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FCFD" w14:textId="77777777" w:rsidR="008C6D0F" w:rsidRPr="009A4FAB" w:rsidRDefault="008C6D0F" w:rsidP="008C6D0F">
      <w:pPr>
        <w:widowControl w:val="0"/>
        <w:autoSpaceDE w:val="0"/>
        <w:autoSpaceDN w:val="0"/>
        <w:adjustRightInd w:val="0"/>
        <w:spacing w:line="360" w:lineRule="auto"/>
        <w:jc w:val="center"/>
        <w:rPr>
          <w:b/>
          <w:bCs/>
          <w:color w:val="000000" w:themeColor="text1"/>
          <w:sz w:val="22"/>
          <w:szCs w:val="22"/>
        </w:rPr>
      </w:pPr>
      <w:bookmarkStart w:id="0" w:name="OLE_LINK1"/>
      <w:bookmarkStart w:id="1" w:name="OLE_LINK2"/>
      <w:bookmarkStart w:id="2" w:name="OLE_LINK3"/>
      <w:bookmarkStart w:id="3" w:name="OLE_LINK4"/>
      <w:bookmarkStart w:id="4" w:name="OLE_LINK5"/>
      <w:r w:rsidRPr="009A4FAB">
        <w:rPr>
          <w:b/>
          <w:bCs/>
          <w:color w:val="000000" w:themeColor="text1"/>
          <w:sz w:val="22"/>
          <w:szCs w:val="22"/>
        </w:rPr>
        <w:t>Prevalence and factors associated with low back pain in retired Great Britain’s Olympians: a cross-sectional study</w:t>
      </w:r>
    </w:p>
    <w:p w14:paraId="7F4E45B5" w14:textId="790FC669" w:rsidR="008C6D0F" w:rsidRPr="009A4FAB" w:rsidRDefault="008C6D0F" w:rsidP="008C6D0F">
      <w:pPr>
        <w:widowControl w:val="0"/>
        <w:autoSpaceDE w:val="0"/>
        <w:autoSpaceDN w:val="0"/>
        <w:adjustRightInd w:val="0"/>
        <w:spacing w:line="360" w:lineRule="auto"/>
        <w:rPr>
          <w:color w:val="000000" w:themeColor="text1"/>
          <w:sz w:val="22"/>
          <w:szCs w:val="22"/>
          <w:vertAlign w:val="superscript"/>
        </w:rPr>
      </w:pPr>
      <w:r w:rsidRPr="009A4FAB">
        <w:rPr>
          <w:color w:val="000000" w:themeColor="text1"/>
          <w:sz w:val="22"/>
          <w:szCs w:val="22"/>
        </w:rPr>
        <w:t>Dale J Cooper</w:t>
      </w:r>
      <w:r w:rsidRPr="009A4FAB">
        <w:rPr>
          <w:color w:val="000000" w:themeColor="text1"/>
          <w:sz w:val="22"/>
          <w:szCs w:val="22"/>
          <w:vertAlign w:val="superscript"/>
        </w:rPr>
        <w:t>1</w:t>
      </w:r>
      <w:r w:rsidRPr="009A4FAB">
        <w:rPr>
          <w:color w:val="000000" w:themeColor="text1"/>
          <w:sz w:val="22"/>
          <w:szCs w:val="22"/>
        </w:rPr>
        <w:t>, Mark E Batt</w:t>
      </w:r>
      <w:r w:rsidRPr="009A4FAB">
        <w:rPr>
          <w:color w:val="000000" w:themeColor="text1"/>
          <w:sz w:val="22"/>
          <w:szCs w:val="22"/>
          <w:vertAlign w:val="superscript"/>
        </w:rPr>
        <w:t>2</w:t>
      </w:r>
      <w:r w:rsidRPr="009A4FAB">
        <w:rPr>
          <w:color w:val="000000" w:themeColor="text1"/>
          <w:sz w:val="22"/>
          <w:szCs w:val="22"/>
        </w:rPr>
        <w:t>, Mary</w:t>
      </w:r>
      <w:r w:rsidR="0012427D" w:rsidRPr="009A4FAB">
        <w:rPr>
          <w:color w:val="000000" w:themeColor="text1"/>
          <w:sz w:val="22"/>
          <w:szCs w:val="22"/>
        </w:rPr>
        <w:t xml:space="preserve"> S</w:t>
      </w:r>
      <w:r w:rsidRPr="009A4FAB">
        <w:rPr>
          <w:color w:val="000000" w:themeColor="text1"/>
          <w:sz w:val="22"/>
          <w:szCs w:val="22"/>
        </w:rPr>
        <w:t xml:space="preserve"> O’Hanlon</w:t>
      </w:r>
      <w:r w:rsidRPr="009A4FAB">
        <w:rPr>
          <w:color w:val="000000" w:themeColor="text1"/>
          <w:sz w:val="22"/>
          <w:szCs w:val="22"/>
          <w:vertAlign w:val="superscript"/>
        </w:rPr>
        <w:t>3</w:t>
      </w:r>
      <w:r w:rsidR="00253813">
        <w:rPr>
          <w:color w:val="000000" w:themeColor="text1"/>
          <w:sz w:val="22"/>
          <w:szCs w:val="22"/>
          <w:vertAlign w:val="superscript"/>
        </w:rPr>
        <w:t>,4</w:t>
      </w:r>
      <w:r w:rsidRPr="009A4FAB">
        <w:rPr>
          <w:color w:val="000000" w:themeColor="text1"/>
          <w:sz w:val="22"/>
          <w:szCs w:val="22"/>
        </w:rPr>
        <w:t>, Debbie Palmer</w:t>
      </w:r>
      <w:r w:rsidR="00253813">
        <w:rPr>
          <w:color w:val="000000" w:themeColor="text1"/>
          <w:sz w:val="22"/>
          <w:szCs w:val="22"/>
          <w:vertAlign w:val="superscript"/>
        </w:rPr>
        <w:t>5</w:t>
      </w:r>
    </w:p>
    <w:p w14:paraId="78D51BC0" w14:textId="77777777" w:rsidR="008C6D0F" w:rsidRPr="009A4FAB" w:rsidRDefault="008C6D0F" w:rsidP="008C6D0F">
      <w:pPr>
        <w:widowControl w:val="0"/>
        <w:autoSpaceDE w:val="0"/>
        <w:autoSpaceDN w:val="0"/>
        <w:adjustRightInd w:val="0"/>
        <w:spacing w:line="360" w:lineRule="auto"/>
        <w:rPr>
          <w:b/>
          <w:bCs/>
          <w:color w:val="000000" w:themeColor="text1"/>
          <w:sz w:val="22"/>
          <w:szCs w:val="22"/>
        </w:rPr>
      </w:pPr>
    </w:p>
    <w:p w14:paraId="22967D47" w14:textId="77777777" w:rsidR="008C6D0F" w:rsidRPr="009A4FAB" w:rsidRDefault="008C6D0F" w:rsidP="008C6D0F">
      <w:pPr>
        <w:widowControl w:val="0"/>
        <w:autoSpaceDE w:val="0"/>
        <w:autoSpaceDN w:val="0"/>
        <w:adjustRightInd w:val="0"/>
        <w:spacing w:line="360" w:lineRule="auto"/>
        <w:rPr>
          <w:color w:val="000000" w:themeColor="text1"/>
          <w:sz w:val="22"/>
          <w:szCs w:val="22"/>
        </w:rPr>
      </w:pPr>
      <w:r w:rsidRPr="009A4FAB">
        <w:rPr>
          <w:color w:val="000000" w:themeColor="text1"/>
          <w:sz w:val="22"/>
          <w:szCs w:val="22"/>
          <w:vertAlign w:val="superscript"/>
        </w:rPr>
        <w:t>1</w:t>
      </w:r>
      <w:r w:rsidRPr="009A4FAB">
        <w:rPr>
          <w:color w:val="000000" w:themeColor="text1"/>
          <w:sz w:val="22"/>
          <w:szCs w:val="22"/>
        </w:rPr>
        <w:t xml:space="preserve"> School of Allied Health Professions, Keele University, Keele, Staffordshire, UK.</w:t>
      </w:r>
    </w:p>
    <w:p w14:paraId="0250CF42" w14:textId="77777777" w:rsidR="008C6D0F" w:rsidRPr="009A4FAB" w:rsidRDefault="008C6D0F" w:rsidP="008C6D0F">
      <w:pPr>
        <w:widowControl w:val="0"/>
        <w:autoSpaceDE w:val="0"/>
        <w:autoSpaceDN w:val="0"/>
        <w:adjustRightInd w:val="0"/>
        <w:spacing w:line="360" w:lineRule="auto"/>
        <w:rPr>
          <w:color w:val="000000" w:themeColor="text1"/>
          <w:sz w:val="22"/>
          <w:szCs w:val="22"/>
        </w:rPr>
      </w:pPr>
    </w:p>
    <w:p w14:paraId="712BCEDF" w14:textId="77777777" w:rsidR="008C6D0F" w:rsidRPr="009A4FAB" w:rsidRDefault="008C6D0F" w:rsidP="008C6D0F">
      <w:pPr>
        <w:widowControl w:val="0"/>
        <w:autoSpaceDE w:val="0"/>
        <w:autoSpaceDN w:val="0"/>
        <w:adjustRightInd w:val="0"/>
        <w:spacing w:line="360" w:lineRule="auto"/>
        <w:ind w:right="1417"/>
        <w:rPr>
          <w:color w:val="000000" w:themeColor="text1"/>
          <w:sz w:val="22"/>
          <w:szCs w:val="22"/>
          <w:lang w:val="en-US"/>
        </w:rPr>
      </w:pPr>
      <w:r w:rsidRPr="009A4FAB">
        <w:rPr>
          <w:color w:val="000000" w:themeColor="text1"/>
          <w:sz w:val="22"/>
          <w:szCs w:val="22"/>
          <w:vertAlign w:val="superscript"/>
          <w:lang w:val="en-US"/>
        </w:rPr>
        <w:t>2</w:t>
      </w:r>
      <w:r w:rsidRPr="009A4FAB">
        <w:rPr>
          <w:color w:val="000000" w:themeColor="text1"/>
          <w:sz w:val="22"/>
          <w:szCs w:val="22"/>
          <w:lang w:val="en-US"/>
        </w:rPr>
        <w:t xml:space="preserve"> Centre for Sport, Exercise and Osteoarthritis Research Versus Arthritis,</w:t>
      </w:r>
      <w:r w:rsidRPr="009A4FAB">
        <w:rPr>
          <w:iCs/>
          <w:color w:val="000000" w:themeColor="text1"/>
          <w:sz w:val="22"/>
          <w:szCs w:val="22"/>
        </w:rPr>
        <w:t xml:space="preserve"> Nottingham University Hospitals NHS Trust,</w:t>
      </w:r>
      <w:r w:rsidRPr="009A4FAB">
        <w:rPr>
          <w:color w:val="000000" w:themeColor="text1"/>
          <w:sz w:val="22"/>
          <w:szCs w:val="22"/>
          <w:lang w:val="en-US"/>
        </w:rPr>
        <w:t xml:space="preserve"> Nottingham, UK. </w:t>
      </w:r>
    </w:p>
    <w:p w14:paraId="38AC2E2F" w14:textId="77777777" w:rsidR="008C6D0F" w:rsidRPr="009A4FAB" w:rsidRDefault="008C6D0F" w:rsidP="008C6D0F">
      <w:pPr>
        <w:widowControl w:val="0"/>
        <w:autoSpaceDE w:val="0"/>
        <w:autoSpaceDN w:val="0"/>
        <w:adjustRightInd w:val="0"/>
        <w:spacing w:line="360" w:lineRule="auto"/>
        <w:ind w:right="1417"/>
        <w:rPr>
          <w:color w:val="000000" w:themeColor="text1"/>
          <w:sz w:val="22"/>
          <w:szCs w:val="22"/>
          <w:lang w:val="en-US"/>
        </w:rPr>
      </w:pPr>
    </w:p>
    <w:p w14:paraId="4074A481" w14:textId="46FA9501" w:rsidR="008C6D0F" w:rsidRDefault="008C6D0F" w:rsidP="008C6D0F">
      <w:pPr>
        <w:widowControl w:val="0"/>
        <w:autoSpaceDE w:val="0"/>
        <w:autoSpaceDN w:val="0"/>
        <w:adjustRightInd w:val="0"/>
        <w:spacing w:line="360" w:lineRule="auto"/>
        <w:rPr>
          <w:color w:val="000000"/>
          <w:sz w:val="22"/>
          <w:szCs w:val="22"/>
        </w:rPr>
      </w:pPr>
      <w:r w:rsidRPr="009A4FAB">
        <w:rPr>
          <w:color w:val="000000" w:themeColor="text1"/>
          <w:sz w:val="22"/>
          <w:szCs w:val="22"/>
          <w:vertAlign w:val="superscript"/>
        </w:rPr>
        <w:t>3</w:t>
      </w:r>
      <w:r w:rsidRPr="009A4FAB">
        <w:rPr>
          <w:color w:val="000000" w:themeColor="text1"/>
          <w:sz w:val="22"/>
          <w:szCs w:val="22"/>
        </w:rPr>
        <w:t xml:space="preserve"> </w:t>
      </w:r>
      <w:r w:rsidR="00B734E6" w:rsidRPr="008C6D0F">
        <w:rPr>
          <w:color w:val="000000"/>
          <w:sz w:val="22"/>
          <w:szCs w:val="22"/>
        </w:rPr>
        <w:t>Academic Department of Orthopaedics, Trauma and Sports Medicine, Queen’s Medical Centre, University of Nottingham, Nottingham, UK.</w:t>
      </w:r>
    </w:p>
    <w:p w14:paraId="16332387" w14:textId="77777777" w:rsidR="00253813" w:rsidRDefault="00253813" w:rsidP="008C6D0F">
      <w:pPr>
        <w:widowControl w:val="0"/>
        <w:autoSpaceDE w:val="0"/>
        <w:autoSpaceDN w:val="0"/>
        <w:adjustRightInd w:val="0"/>
        <w:spacing w:line="360" w:lineRule="auto"/>
        <w:rPr>
          <w:color w:val="000000"/>
          <w:sz w:val="22"/>
          <w:szCs w:val="22"/>
        </w:rPr>
      </w:pPr>
    </w:p>
    <w:p w14:paraId="736A26C6" w14:textId="41EA1D7B" w:rsidR="00253813" w:rsidRPr="009A4FAB" w:rsidRDefault="00253813" w:rsidP="008C6D0F">
      <w:pPr>
        <w:widowControl w:val="0"/>
        <w:autoSpaceDE w:val="0"/>
        <w:autoSpaceDN w:val="0"/>
        <w:adjustRightInd w:val="0"/>
        <w:spacing w:line="360" w:lineRule="auto"/>
        <w:rPr>
          <w:color w:val="000000" w:themeColor="text1"/>
          <w:sz w:val="22"/>
          <w:szCs w:val="22"/>
        </w:rPr>
      </w:pPr>
      <w:r w:rsidRPr="00253813">
        <w:rPr>
          <w:color w:val="000000"/>
          <w:sz w:val="22"/>
          <w:szCs w:val="22"/>
          <w:vertAlign w:val="superscript"/>
        </w:rPr>
        <w:t xml:space="preserve">4 </w:t>
      </w:r>
      <w:r>
        <w:rPr>
          <w:color w:val="000000"/>
          <w:sz w:val="22"/>
          <w:szCs w:val="22"/>
        </w:rPr>
        <w:t>Birmingham Medical School, Institute of Clinical Sciences, College of Medical and Dental Sciences, University of Birmingham, UK.</w:t>
      </w:r>
    </w:p>
    <w:p w14:paraId="55D7C420" w14:textId="77777777" w:rsidR="008C6D0F" w:rsidRPr="009A4FAB" w:rsidRDefault="008C6D0F" w:rsidP="008C6D0F">
      <w:pPr>
        <w:widowControl w:val="0"/>
        <w:autoSpaceDE w:val="0"/>
        <w:autoSpaceDN w:val="0"/>
        <w:adjustRightInd w:val="0"/>
        <w:spacing w:line="360" w:lineRule="auto"/>
        <w:rPr>
          <w:color w:val="000000" w:themeColor="text1"/>
          <w:sz w:val="22"/>
          <w:szCs w:val="22"/>
        </w:rPr>
      </w:pPr>
    </w:p>
    <w:p w14:paraId="518BE29B" w14:textId="25536676" w:rsidR="008C6D0F" w:rsidRPr="009A4FAB" w:rsidRDefault="00253813" w:rsidP="008C6D0F">
      <w:pPr>
        <w:widowControl w:val="0"/>
        <w:autoSpaceDE w:val="0"/>
        <w:autoSpaceDN w:val="0"/>
        <w:adjustRightInd w:val="0"/>
        <w:spacing w:line="360" w:lineRule="auto"/>
        <w:rPr>
          <w:color w:val="000000" w:themeColor="text1"/>
          <w:sz w:val="22"/>
          <w:szCs w:val="22"/>
        </w:rPr>
      </w:pPr>
      <w:r>
        <w:rPr>
          <w:color w:val="000000" w:themeColor="text1"/>
          <w:sz w:val="22"/>
          <w:szCs w:val="22"/>
          <w:vertAlign w:val="superscript"/>
          <w:lang w:val="en-US"/>
        </w:rPr>
        <w:t>5</w:t>
      </w:r>
      <w:r w:rsidR="008C6D0F" w:rsidRPr="009A4FAB">
        <w:rPr>
          <w:color w:val="000000" w:themeColor="text1"/>
          <w:sz w:val="22"/>
          <w:szCs w:val="22"/>
          <w:lang w:val="en-US"/>
        </w:rPr>
        <w:t xml:space="preserve"> </w:t>
      </w:r>
      <w:r w:rsidR="008C6D0F" w:rsidRPr="009A4FAB">
        <w:rPr>
          <w:iCs/>
          <w:color w:val="000000" w:themeColor="text1"/>
          <w:sz w:val="22"/>
          <w:szCs w:val="22"/>
        </w:rPr>
        <w:t>Institute for Sport, PE and Health Sciences Moray House School of Education and Sport, University of Edinburgh, Edinburgh,</w:t>
      </w:r>
      <w:r w:rsidR="008C6D0F" w:rsidRPr="009A4FAB">
        <w:rPr>
          <w:color w:val="000000" w:themeColor="text1"/>
          <w:sz w:val="22"/>
          <w:szCs w:val="22"/>
        </w:rPr>
        <w:t xml:space="preserve"> UK. </w:t>
      </w:r>
    </w:p>
    <w:p w14:paraId="7E812C1F" w14:textId="77777777" w:rsidR="008C6D0F" w:rsidRPr="009A4FAB" w:rsidRDefault="008C6D0F" w:rsidP="008C6D0F">
      <w:pPr>
        <w:widowControl w:val="0"/>
        <w:autoSpaceDE w:val="0"/>
        <w:autoSpaceDN w:val="0"/>
        <w:adjustRightInd w:val="0"/>
        <w:spacing w:line="360" w:lineRule="auto"/>
        <w:rPr>
          <w:color w:val="000000" w:themeColor="text1"/>
          <w:sz w:val="22"/>
          <w:szCs w:val="22"/>
          <w:lang w:val="en-US"/>
        </w:rPr>
      </w:pPr>
    </w:p>
    <w:p w14:paraId="3C869CF8" w14:textId="30D4E1D1" w:rsidR="008C6D0F" w:rsidRPr="009A4FAB" w:rsidRDefault="008C6D0F" w:rsidP="008C6D0F">
      <w:pPr>
        <w:widowControl w:val="0"/>
        <w:numPr>
          <w:ilvl w:val="0"/>
          <w:numId w:val="3"/>
        </w:numPr>
        <w:autoSpaceDE w:val="0"/>
        <w:autoSpaceDN w:val="0"/>
        <w:adjustRightInd w:val="0"/>
        <w:spacing w:line="360" w:lineRule="auto"/>
        <w:ind w:left="360" w:hanging="360"/>
        <w:contextualSpacing/>
        <w:rPr>
          <w:color w:val="000000" w:themeColor="text1"/>
          <w:sz w:val="22"/>
          <w:szCs w:val="22"/>
        </w:rPr>
      </w:pPr>
      <w:r w:rsidRPr="009A4FAB">
        <w:rPr>
          <w:b/>
          <w:color w:val="000000" w:themeColor="text1"/>
          <w:sz w:val="22"/>
          <w:szCs w:val="22"/>
        </w:rPr>
        <w:t xml:space="preserve">Corresponding Author: </w:t>
      </w:r>
      <w:r w:rsidRPr="009A4FAB">
        <w:rPr>
          <w:color w:val="000000" w:themeColor="text1"/>
          <w:sz w:val="22"/>
          <w:szCs w:val="22"/>
        </w:rPr>
        <w:t>Dale J Cooper, School of Allied Health Professions, Keele University, Keele, Staffordshire, UK.</w:t>
      </w:r>
      <w:r w:rsidRPr="009A4FAB">
        <w:rPr>
          <w:color w:val="000000" w:themeColor="text1"/>
          <w:sz w:val="22"/>
          <w:szCs w:val="22"/>
          <w:bdr w:val="none" w:sz="0" w:space="0" w:color="auto" w:frame="1"/>
          <w:shd w:val="clear" w:color="auto" w:fill="FFFFFF"/>
        </w:rPr>
        <w:t xml:space="preserve"> Email: </w:t>
      </w:r>
      <w:r w:rsidR="00E34CA1" w:rsidRPr="009A4FAB">
        <w:rPr>
          <w:color w:val="000000" w:themeColor="text1"/>
          <w:sz w:val="22"/>
          <w:szCs w:val="22"/>
          <w:bdr w:val="none" w:sz="0" w:space="0" w:color="auto" w:frame="1"/>
          <w:shd w:val="clear" w:color="auto" w:fill="FFFFFF"/>
        </w:rPr>
        <w:t>d.cooper1@keele.ac.uk</w:t>
      </w:r>
    </w:p>
    <w:p w14:paraId="1340ABBD" w14:textId="77777777" w:rsidR="008C6D0F" w:rsidRPr="009A4FAB" w:rsidRDefault="008C6D0F" w:rsidP="008C6D0F">
      <w:pPr>
        <w:spacing w:line="360" w:lineRule="auto"/>
        <w:rPr>
          <w:b/>
          <w:bCs/>
          <w:color w:val="000000" w:themeColor="text1"/>
          <w:sz w:val="22"/>
          <w:szCs w:val="22"/>
          <w:lang w:val="en-US"/>
        </w:rPr>
      </w:pPr>
    </w:p>
    <w:p w14:paraId="33093CBD" w14:textId="77777777" w:rsidR="008C6D0F" w:rsidRPr="009A4FAB" w:rsidRDefault="008C6D0F" w:rsidP="008C6D0F">
      <w:pPr>
        <w:spacing w:line="360" w:lineRule="auto"/>
        <w:rPr>
          <w:b/>
          <w:bCs/>
          <w:color w:val="000000" w:themeColor="text1"/>
          <w:sz w:val="22"/>
          <w:szCs w:val="22"/>
          <w:lang w:val="en-US"/>
        </w:rPr>
      </w:pPr>
    </w:p>
    <w:p w14:paraId="046BF8A7" w14:textId="77777777" w:rsidR="008C6D0F" w:rsidRPr="009A4FAB" w:rsidRDefault="008C6D0F" w:rsidP="008C6D0F">
      <w:pPr>
        <w:spacing w:line="360" w:lineRule="auto"/>
        <w:rPr>
          <w:b/>
          <w:bCs/>
          <w:color w:val="000000" w:themeColor="text1"/>
          <w:sz w:val="22"/>
          <w:szCs w:val="22"/>
          <w:lang w:val="en-US"/>
        </w:rPr>
      </w:pPr>
    </w:p>
    <w:p w14:paraId="3D2ED7EA" w14:textId="77777777" w:rsidR="008C6D0F" w:rsidRPr="009A4FAB" w:rsidRDefault="008C6D0F" w:rsidP="008C6D0F">
      <w:pPr>
        <w:spacing w:line="360" w:lineRule="auto"/>
        <w:rPr>
          <w:b/>
          <w:bCs/>
          <w:color w:val="000000" w:themeColor="text1"/>
          <w:sz w:val="22"/>
          <w:szCs w:val="22"/>
          <w:lang w:val="en-US"/>
        </w:rPr>
      </w:pPr>
    </w:p>
    <w:p w14:paraId="491DFD28" w14:textId="77777777" w:rsidR="008C6D0F" w:rsidRPr="009A4FAB" w:rsidRDefault="008C6D0F" w:rsidP="008C6D0F">
      <w:pPr>
        <w:spacing w:line="360" w:lineRule="auto"/>
        <w:rPr>
          <w:b/>
          <w:bCs/>
          <w:color w:val="000000" w:themeColor="text1"/>
          <w:sz w:val="22"/>
          <w:szCs w:val="22"/>
          <w:lang w:val="en-US"/>
        </w:rPr>
      </w:pPr>
    </w:p>
    <w:p w14:paraId="1E85B682" w14:textId="77777777" w:rsidR="008C6D0F" w:rsidRPr="009A4FAB" w:rsidRDefault="008C6D0F" w:rsidP="008C6D0F">
      <w:pPr>
        <w:spacing w:line="360" w:lineRule="auto"/>
        <w:rPr>
          <w:b/>
          <w:bCs/>
          <w:color w:val="000000" w:themeColor="text1"/>
          <w:sz w:val="22"/>
          <w:szCs w:val="22"/>
          <w:lang w:val="en-US"/>
        </w:rPr>
      </w:pPr>
    </w:p>
    <w:p w14:paraId="0AB75DF0" w14:textId="77777777" w:rsidR="008C6D0F" w:rsidRPr="009A4FAB" w:rsidRDefault="008C6D0F" w:rsidP="008C6D0F">
      <w:pPr>
        <w:spacing w:line="360" w:lineRule="auto"/>
        <w:rPr>
          <w:b/>
          <w:bCs/>
          <w:color w:val="000000" w:themeColor="text1"/>
          <w:sz w:val="22"/>
          <w:szCs w:val="22"/>
          <w:lang w:val="en-US"/>
        </w:rPr>
      </w:pPr>
    </w:p>
    <w:p w14:paraId="379B8951" w14:textId="77777777" w:rsidR="008C6D0F" w:rsidRPr="009A4FAB" w:rsidRDefault="008C6D0F" w:rsidP="008C6D0F">
      <w:pPr>
        <w:spacing w:line="360" w:lineRule="auto"/>
        <w:rPr>
          <w:b/>
          <w:bCs/>
          <w:color w:val="000000" w:themeColor="text1"/>
          <w:sz w:val="22"/>
          <w:szCs w:val="22"/>
          <w:lang w:val="en-US"/>
        </w:rPr>
      </w:pPr>
    </w:p>
    <w:p w14:paraId="64EFCD0D" w14:textId="77777777" w:rsidR="008C6D0F" w:rsidRPr="009A4FAB" w:rsidRDefault="008C6D0F" w:rsidP="008C6D0F">
      <w:pPr>
        <w:spacing w:line="360" w:lineRule="auto"/>
        <w:rPr>
          <w:b/>
          <w:bCs/>
          <w:color w:val="000000" w:themeColor="text1"/>
          <w:sz w:val="22"/>
          <w:szCs w:val="22"/>
          <w:lang w:val="en-US"/>
        </w:rPr>
      </w:pPr>
    </w:p>
    <w:p w14:paraId="5E9A69C0" w14:textId="77777777" w:rsidR="008C6D0F" w:rsidRPr="009A4FAB" w:rsidRDefault="008C6D0F" w:rsidP="008C6D0F">
      <w:pPr>
        <w:spacing w:line="360" w:lineRule="auto"/>
        <w:rPr>
          <w:b/>
          <w:bCs/>
          <w:color w:val="000000" w:themeColor="text1"/>
          <w:sz w:val="22"/>
          <w:szCs w:val="22"/>
          <w:lang w:val="en-US"/>
        </w:rPr>
      </w:pPr>
    </w:p>
    <w:p w14:paraId="64D7D885" w14:textId="77777777" w:rsidR="008C6D0F" w:rsidRPr="009A4FAB" w:rsidRDefault="008C6D0F" w:rsidP="008C6D0F">
      <w:pPr>
        <w:spacing w:line="360" w:lineRule="auto"/>
        <w:rPr>
          <w:b/>
          <w:bCs/>
          <w:color w:val="000000" w:themeColor="text1"/>
          <w:sz w:val="22"/>
          <w:szCs w:val="22"/>
          <w:lang w:val="en-US"/>
        </w:rPr>
      </w:pPr>
    </w:p>
    <w:p w14:paraId="479A4420" w14:textId="77777777" w:rsidR="008C6D0F" w:rsidRPr="009A4FAB" w:rsidRDefault="008C6D0F" w:rsidP="008C6D0F">
      <w:pPr>
        <w:spacing w:line="360" w:lineRule="auto"/>
        <w:rPr>
          <w:b/>
          <w:bCs/>
          <w:color w:val="000000" w:themeColor="text1"/>
          <w:sz w:val="22"/>
          <w:szCs w:val="22"/>
          <w:lang w:val="en-US"/>
        </w:rPr>
      </w:pPr>
    </w:p>
    <w:p w14:paraId="0434695A" w14:textId="77777777" w:rsidR="008C6D0F" w:rsidRPr="009A4FAB" w:rsidRDefault="008C6D0F" w:rsidP="008C6D0F">
      <w:pPr>
        <w:spacing w:line="360" w:lineRule="auto"/>
        <w:rPr>
          <w:b/>
          <w:bCs/>
          <w:color w:val="000000" w:themeColor="text1"/>
          <w:sz w:val="22"/>
          <w:szCs w:val="22"/>
          <w:lang w:val="en-US"/>
        </w:rPr>
      </w:pPr>
    </w:p>
    <w:p w14:paraId="69BA607C" w14:textId="77777777" w:rsidR="008C6D0F" w:rsidRPr="009A4FAB" w:rsidRDefault="008C6D0F" w:rsidP="008C6D0F">
      <w:pPr>
        <w:spacing w:line="360" w:lineRule="auto"/>
        <w:rPr>
          <w:b/>
          <w:bCs/>
          <w:color w:val="000000" w:themeColor="text1"/>
          <w:sz w:val="22"/>
          <w:szCs w:val="22"/>
          <w:lang w:val="en-US"/>
        </w:rPr>
      </w:pPr>
    </w:p>
    <w:p w14:paraId="2E145721" w14:textId="77777777" w:rsidR="008C6D0F" w:rsidRPr="009A4FAB" w:rsidRDefault="008C6D0F" w:rsidP="008C6D0F">
      <w:pPr>
        <w:spacing w:line="360" w:lineRule="auto"/>
        <w:rPr>
          <w:b/>
          <w:bCs/>
          <w:color w:val="000000" w:themeColor="text1"/>
          <w:sz w:val="22"/>
          <w:szCs w:val="22"/>
          <w:lang w:val="en-US"/>
        </w:rPr>
      </w:pPr>
    </w:p>
    <w:p w14:paraId="5D5F5DE9" w14:textId="77777777" w:rsidR="008C6D0F" w:rsidRPr="009A4FAB" w:rsidRDefault="008C6D0F" w:rsidP="008C6D0F">
      <w:pPr>
        <w:spacing w:line="360" w:lineRule="auto"/>
        <w:rPr>
          <w:b/>
          <w:bCs/>
          <w:color w:val="000000" w:themeColor="text1"/>
          <w:sz w:val="22"/>
          <w:szCs w:val="22"/>
          <w:lang w:val="en-US"/>
        </w:rPr>
      </w:pPr>
    </w:p>
    <w:p w14:paraId="4D5270DD" w14:textId="77777777" w:rsidR="008C6D0F" w:rsidRPr="009A4FAB" w:rsidRDefault="008C6D0F" w:rsidP="008C6D0F">
      <w:pPr>
        <w:spacing w:line="360" w:lineRule="auto"/>
        <w:rPr>
          <w:b/>
          <w:bCs/>
          <w:color w:val="000000" w:themeColor="text1"/>
          <w:sz w:val="22"/>
          <w:szCs w:val="22"/>
          <w:lang w:val="en-US"/>
        </w:rPr>
      </w:pPr>
    </w:p>
    <w:p w14:paraId="6EC0BD67" w14:textId="77777777" w:rsidR="008C6D0F" w:rsidRPr="009A4FAB" w:rsidRDefault="008C6D0F" w:rsidP="008C6D0F">
      <w:pPr>
        <w:spacing w:line="360" w:lineRule="auto"/>
        <w:rPr>
          <w:color w:val="000000" w:themeColor="text1"/>
        </w:rPr>
      </w:pPr>
      <w:r w:rsidRPr="009A4FAB">
        <w:rPr>
          <w:b/>
          <w:bCs/>
          <w:color w:val="000000" w:themeColor="text1"/>
          <w:sz w:val="22"/>
          <w:szCs w:val="22"/>
          <w:lang w:val="en-US"/>
        </w:rPr>
        <w:lastRenderedPageBreak/>
        <w:t>ABSTRACT</w:t>
      </w:r>
    </w:p>
    <w:p w14:paraId="732F0091" w14:textId="3ACC7E44" w:rsidR="008C6D0F" w:rsidRPr="009A4FAB" w:rsidRDefault="008C6D0F" w:rsidP="008C6D0F">
      <w:pPr>
        <w:spacing w:line="360" w:lineRule="auto"/>
        <w:rPr>
          <w:b/>
          <w:bCs/>
          <w:color w:val="000000" w:themeColor="text1"/>
          <w:sz w:val="22"/>
          <w:szCs w:val="22"/>
          <w:lang w:val="en-US"/>
        </w:rPr>
      </w:pPr>
      <w:r w:rsidRPr="009A4FAB">
        <w:rPr>
          <w:color w:val="000000" w:themeColor="text1"/>
          <w:sz w:val="22"/>
          <w:szCs w:val="22"/>
        </w:rPr>
        <w:t>This study determined the point prevalence and factors associated with low back pain (LBP) in retired Great Britain’s (GB) Olympians. Six hundred and thirteen retired athletes completed a cross-sectional survey.</w:t>
      </w:r>
      <w:r w:rsidRPr="009A4FAB">
        <w:rPr>
          <w:rFonts w:ascii="Segoe UI" w:eastAsia="Calibri" w:hAnsi="Segoe UI" w:cs="Segoe UI"/>
          <w:color w:val="000000" w:themeColor="text1"/>
          <w:sz w:val="22"/>
          <w:szCs w:val="22"/>
        </w:rPr>
        <w:t xml:space="preserve"> </w:t>
      </w:r>
      <w:r w:rsidRPr="009A4FAB">
        <w:rPr>
          <w:color w:val="000000" w:themeColor="text1"/>
          <w:sz w:val="22"/>
          <w:szCs w:val="22"/>
        </w:rPr>
        <w:t>Prevalence of LBP (pain on most days in the past 4-weeks) was 32.1%. LBP was associated with a prior significant low back injury [aOR 2.51; 95% CI, 1.60- 3.92, p</w:t>
      </w:r>
      <w:r w:rsidRPr="009A4FAB">
        <w:rPr>
          <w:color w:val="000000" w:themeColor="text1"/>
          <w:sz w:val="22"/>
          <w:szCs w:val="22"/>
        </w:rPr>
        <w:sym w:font="Symbol" w:char="003C"/>
      </w:r>
      <w:r w:rsidRPr="009A4FAB">
        <w:rPr>
          <w:color w:val="000000" w:themeColor="text1"/>
          <w:sz w:val="22"/>
          <w:szCs w:val="22"/>
        </w:rPr>
        <w:t>0.001] and a change from a healthy</w:t>
      </w:r>
      <w:r w:rsidR="00707AC6" w:rsidRPr="009A4FAB">
        <w:rPr>
          <w:color w:val="000000" w:themeColor="text1"/>
          <w:sz w:val="22"/>
          <w:szCs w:val="22"/>
        </w:rPr>
        <w:t xml:space="preserve"> </w:t>
      </w:r>
      <w:r w:rsidRPr="009A4FAB">
        <w:rPr>
          <w:color w:val="000000" w:themeColor="text1"/>
          <w:sz w:val="22"/>
          <w:szCs w:val="22"/>
        </w:rPr>
        <w:t xml:space="preserve">to </w:t>
      </w:r>
      <w:r w:rsidR="00707AC6" w:rsidRPr="009A4FAB">
        <w:rPr>
          <w:color w:val="000000" w:themeColor="text1"/>
          <w:sz w:val="22"/>
          <w:szCs w:val="22"/>
        </w:rPr>
        <w:t xml:space="preserve">a </w:t>
      </w:r>
      <w:r w:rsidRPr="009A4FAB">
        <w:rPr>
          <w:color w:val="000000" w:themeColor="text1"/>
          <w:sz w:val="22"/>
          <w:szCs w:val="22"/>
        </w:rPr>
        <w:t>high BMI [aOR 2.21; 95% CI, 1.46-3.34, p</w:t>
      </w:r>
      <w:r w:rsidRPr="009A4FAB">
        <w:rPr>
          <w:color w:val="000000" w:themeColor="text1"/>
          <w:sz w:val="22"/>
          <w:szCs w:val="22"/>
        </w:rPr>
        <w:sym w:font="Symbol" w:char="003C"/>
      </w:r>
      <w:r w:rsidRPr="009A4FAB">
        <w:rPr>
          <w:color w:val="000000" w:themeColor="text1"/>
          <w:sz w:val="22"/>
          <w:szCs w:val="22"/>
        </w:rPr>
        <w:t>0.001]. Fewer cases of LBP were reported in those with a moderate training volume [aOR 0.29; 95% CI, 0.18-0.48, p</w:t>
      </w:r>
      <w:r w:rsidRPr="009A4FAB">
        <w:rPr>
          <w:color w:val="000000" w:themeColor="text1"/>
          <w:sz w:val="22"/>
          <w:szCs w:val="22"/>
        </w:rPr>
        <w:sym w:font="Symbol" w:char="003C"/>
      </w:r>
      <w:r w:rsidRPr="009A4FAB">
        <w:rPr>
          <w:color w:val="000000" w:themeColor="text1"/>
          <w:sz w:val="22"/>
          <w:szCs w:val="22"/>
        </w:rPr>
        <w:t xml:space="preserve">0.001] and those aged 75 years and older [aOR 0.51; 95% CI, 0.29-0.91, p=0.022]. Chronic LBP (symptoms past </w:t>
      </w:r>
      <w:r w:rsidRPr="009A4FAB">
        <w:rPr>
          <w:color w:val="000000" w:themeColor="text1"/>
          <w:sz w:val="22"/>
          <w:szCs w:val="22"/>
          <w:u w:val="single"/>
        </w:rPr>
        <w:sym w:font="Symbol" w:char="003E"/>
      </w:r>
      <w:r w:rsidRPr="009A4FAB">
        <w:rPr>
          <w:color w:val="000000" w:themeColor="text1"/>
          <w:sz w:val="22"/>
          <w:szCs w:val="22"/>
        </w:rPr>
        <w:t xml:space="preserve"> 12-weeks) was associated with a higher pain severity [aOR 1.18; 95% CI, 1.02-1.37. p=0.031], widespread pain [aOR 2.62; 95% CI, 1.15-5.99, p=0.022], anxiety (aOR 2.99; 95% CI, 1.14-7.80, p=0.025) and depression [aOR 2.47; 95% CI, 1.08-5.63, p=0.031].</w:t>
      </w:r>
      <w:r w:rsidRPr="009A4FAB">
        <w:rPr>
          <w:b/>
          <w:bCs/>
          <w:color w:val="000000" w:themeColor="text1"/>
          <w:sz w:val="22"/>
          <w:szCs w:val="22"/>
          <w:lang w:val="en-US"/>
        </w:rPr>
        <w:t xml:space="preserve"> </w:t>
      </w:r>
      <w:r w:rsidRPr="009A4FAB">
        <w:rPr>
          <w:color w:val="000000" w:themeColor="text1"/>
          <w:sz w:val="22"/>
          <w:szCs w:val="22"/>
        </w:rPr>
        <w:t>LBP is common in retired GB Olympians. Chronic symptoms were associated with features of central sensitization and imply that different pain mechanisms are involved in those with persistent symptoms. Strategies to promote health among retired athletes should consider the importance of psychological factors in the management of back pain.</w:t>
      </w:r>
    </w:p>
    <w:p w14:paraId="6D35A718" w14:textId="77777777" w:rsidR="008C6D0F" w:rsidRPr="009A4FAB" w:rsidRDefault="008C6D0F" w:rsidP="008C6D0F">
      <w:pPr>
        <w:spacing w:line="360" w:lineRule="auto"/>
        <w:rPr>
          <w:b/>
          <w:bCs/>
          <w:color w:val="000000" w:themeColor="text1"/>
          <w:sz w:val="22"/>
          <w:szCs w:val="22"/>
        </w:rPr>
      </w:pPr>
    </w:p>
    <w:p w14:paraId="3E583DA1" w14:textId="0AC17100" w:rsidR="008C6D0F" w:rsidRPr="009A4FAB" w:rsidRDefault="008C6D0F" w:rsidP="008C6D0F">
      <w:pPr>
        <w:spacing w:line="360" w:lineRule="auto"/>
        <w:rPr>
          <w:b/>
          <w:color w:val="000000" w:themeColor="text1"/>
          <w:sz w:val="22"/>
          <w:szCs w:val="22"/>
          <w:lang w:val="en-US"/>
        </w:rPr>
      </w:pPr>
      <w:r w:rsidRPr="009A4FAB">
        <w:rPr>
          <w:b/>
          <w:bCs/>
          <w:color w:val="000000" w:themeColor="text1"/>
          <w:sz w:val="22"/>
          <w:szCs w:val="22"/>
        </w:rPr>
        <w:t>Keywords: </w:t>
      </w:r>
      <w:r w:rsidR="002F2051" w:rsidRPr="009A4FAB">
        <w:rPr>
          <w:color w:val="000000" w:themeColor="text1"/>
          <w:sz w:val="22"/>
          <w:szCs w:val="22"/>
        </w:rPr>
        <w:t>Health, Injury, Musculoskeletal System</w:t>
      </w:r>
      <w:r w:rsidRPr="009A4FAB">
        <w:rPr>
          <w:rFonts w:eastAsia="Calibri"/>
          <w:color w:val="000000" w:themeColor="text1"/>
          <w:sz w:val="22"/>
          <w:szCs w:val="22"/>
        </w:rPr>
        <w:t xml:space="preserve"> </w:t>
      </w:r>
    </w:p>
    <w:p w14:paraId="5A411158" w14:textId="77777777" w:rsidR="008C6D0F" w:rsidRPr="009A4FAB" w:rsidRDefault="008C6D0F" w:rsidP="008C6D0F">
      <w:pPr>
        <w:spacing w:line="360" w:lineRule="auto"/>
        <w:rPr>
          <w:b/>
          <w:color w:val="000000" w:themeColor="text1"/>
          <w:sz w:val="22"/>
          <w:szCs w:val="22"/>
          <w:lang w:val="en-US"/>
        </w:rPr>
      </w:pPr>
    </w:p>
    <w:p w14:paraId="0D433E3B" w14:textId="77777777" w:rsidR="008C6D0F" w:rsidRPr="009A4FAB" w:rsidRDefault="008C6D0F" w:rsidP="008C6D0F">
      <w:pPr>
        <w:spacing w:line="360" w:lineRule="auto"/>
        <w:rPr>
          <w:b/>
          <w:color w:val="000000" w:themeColor="text1"/>
          <w:sz w:val="22"/>
          <w:szCs w:val="22"/>
          <w:lang w:val="en-US"/>
        </w:rPr>
      </w:pPr>
    </w:p>
    <w:p w14:paraId="67B70811" w14:textId="77777777" w:rsidR="008C6D0F" w:rsidRPr="009A4FAB" w:rsidRDefault="008C6D0F" w:rsidP="008C6D0F">
      <w:pPr>
        <w:spacing w:line="360" w:lineRule="auto"/>
        <w:rPr>
          <w:b/>
          <w:color w:val="000000" w:themeColor="text1"/>
          <w:sz w:val="22"/>
          <w:szCs w:val="22"/>
          <w:lang w:val="en-US"/>
        </w:rPr>
      </w:pPr>
    </w:p>
    <w:p w14:paraId="73BD5B93" w14:textId="77777777" w:rsidR="008C6D0F" w:rsidRPr="009A4FAB" w:rsidRDefault="008C6D0F" w:rsidP="008C6D0F">
      <w:pPr>
        <w:spacing w:line="360" w:lineRule="auto"/>
        <w:rPr>
          <w:b/>
          <w:color w:val="000000" w:themeColor="text1"/>
          <w:sz w:val="22"/>
          <w:szCs w:val="22"/>
          <w:lang w:val="en-US"/>
        </w:rPr>
      </w:pPr>
    </w:p>
    <w:p w14:paraId="426F09B8" w14:textId="77777777" w:rsidR="008C6D0F" w:rsidRPr="009A4FAB" w:rsidRDefault="008C6D0F" w:rsidP="008C6D0F">
      <w:pPr>
        <w:spacing w:line="360" w:lineRule="auto"/>
        <w:rPr>
          <w:b/>
          <w:color w:val="000000" w:themeColor="text1"/>
          <w:sz w:val="22"/>
          <w:szCs w:val="22"/>
          <w:lang w:val="en-US"/>
        </w:rPr>
      </w:pPr>
    </w:p>
    <w:p w14:paraId="38D4A04D" w14:textId="77777777" w:rsidR="008C6D0F" w:rsidRPr="009A4FAB" w:rsidRDefault="008C6D0F" w:rsidP="008C6D0F">
      <w:pPr>
        <w:spacing w:line="360" w:lineRule="auto"/>
        <w:rPr>
          <w:b/>
          <w:color w:val="000000" w:themeColor="text1"/>
          <w:sz w:val="22"/>
          <w:szCs w:val="22"/>
          <w:lang w:val="en-US"/>
        </w:rPr>
      </w:pPr>
    </w:p>
    <w:p w14:paraId="50167640" w14:textId="77777777" w:rsidR="008C6D0F" w:rsidRPr="009A4FAB" w:rsidRDefault="008C6D0F" w:rsidP="008C6D0F">
      <w:pPr>
        <w:spacing w:line="360" w:lineRule="auto"/>
        <w:rPr>
          <w:b/>
          <w:color w:val="000000" w:themeColor="text1"/>
          <w:sz w:val="22"/>
          <w:szCs w:val="22"/>
          <w:lang w:val="en-US"/>
        </w:rPr>
      </w:pPr>
    </w:p>
    <w:p w14:paraId="08C34BA5" w14:textId="77777777" w:rsidR="008C6D0F" w:rsidRPr="009A4FAB" w:rsidRDefault="008C6D0F" w:rsidP="008C6D0F">
      <w:pPr>
        <w:spacing w:line="360" w:lineRule="auto"/>
        <w:rPr>
          <w:color w:val="000000" w:themeColor="text1"/>
          <w:sz w:val="22"/>
          <w:szCs w:val="22"/>
        </w:rPr>
      </w:pPr>
    </w:p>
    <w:p w14:paraId="4739BCFA" w14:textId="77777777" w:rsidR="008C6D0F" w:rsidRPr="009A4FAB" w:rsidRDefault="008C6D0F" w:rsidP="008C6D0F">
      <w:pPr>
        <w:spacing w:line="360" w:lineRule="auto"/>
        <w:rPr>
          <w:color w:val="000000" w:themeColor="text1"/>
          <w:sz w:val="22"/>
          <w:szCs w:val="22"/>
        </w:rPr>
      </w:pPr>
    </w:p>
    <w:p w14:paraId="0D1399F7" w14:textId="77777777" w:rsidR="008C6D0F" w:rsidRPr="009A4FAB" w:rsidRDefault="008C6D0F" w:rsidP="008C6D0F">
      <w:pPr>
        <w:spacing w:line="360" w:lineRule="auto"/>
        <w:rPr>
          <w:color w:val="000000" w:themeColor="text1"/>
          <w:sz w:val="22"/>
          <w:szCs w:val="22"/>
        </w:rPr>
      </w:pPr>
    </w:p>
    <w:p w14:paraId="440655B9" w14:textId="77777777" w:rsidR="008C6D0F" w:rsidRPr="009A4FAB" w:rsidRDefault="008C6D0F" w:rsidP="008C6D0F">
      <w:pPr>
        <w:spacing w:line="360" w:lineRule="auto"/>
        <w:rPr>
          <w:color w:val="000000" w:themeColor="text1"/>
          <w:sz w:val="22"/>
          <w:szCs w:val="22"/>
        </w:rPr>
      </w:pPr>
    </w:p>
    <w:p w14:paraId="42136E80" w14:textId="77777777" w:rsidR="008C6D0F" w:rsidRPr="009A4FAB" w:rsidRDefault="008C6D0F" w:rsidP="008C6D0F">
      <w:pPr>
        <w:spacing w:line="360" w:lineRule="auto"/>
        <w:rPr>
          <w:color w:val="000000" w:themeColor="text1"/>
          <w:sz w:val="22"/>
          <w:szCs w:val="22"/>
        </w:rPr>
      </w:pPr>
    </w:p>
    <w:p w14:paraId="7E830B99" w14:textId="77777777" w:rsidR="008C6D0F" w:rsidRPr="009A4FAB" w:rsidRDefault="008C6D0F" w:rsidP="008C6D0F">
      <w:pPr>
        <w:spacing w:line="360" w:lineRule="auto"/>
        <w:rPr>
          <w:color w:val="000000" w:themeColor="text1"/>
          <w:sz w:val="22"/>
          <w:szCs w:val="22"/>
        </w:rPr>
      </w:pPr>
    </w:p>
    <w:p w14:paraId="0460EA64" w14:textId="77777777" w:rsidR="008C6D0F" w:rsidRPr="009A4FAB" w:rsidRDefault="008C6D0F" w:rsidP="008C6D0F">
      <w:pPr>
        <w:spacing w:line="360" w:lineRule="auto"/>
        <w:rPr>
          <w:color w:val="000000" w:themeColor="text1"/>
          <w:sz w:val="22"/>
          <w:szCs w:val="22"/>
        </w:rPr>
      </w:pPr>
    </w:p>
    <w:p w14:paraId="150CB0E8" w14:textId="77777777" w:rsidR="008C6D0F" w:rsidRPr="009A4FAB" w:rsidRDefault="008C6D0F" w:rsidP="008C6D0F">
      <w:pPr>
        <w:spacing w:line="360" w:lineRule="auto"/>
        <w:rPr>
          <w:color w:val="000000" w:themeColor="text1"/>
          <w:sz w:val="22"/>
          <w:szCs w:val="22"/>
        </w:rPr>
      </w:pPr>
    </w:p>
    <w:p w14:paraId="22EB7F10" w14:textId="77777777" w:rsidR="008C6D0F" w:rsidRPr="009A4FAB" w:rsidRDefault="008C6D0F" w:rsidP="008C6D0F">
      <w:pPr>
        <w:spacing w:line="360" w:lineRule="auto"/>
        <w:rPr>
          <w:color w:val="000000" w:themeColor="text1"/>
          <w:sz w:val="22"/>
          <w:szCs w:val="22"/>
        </w:rPr>
      </w:pPr>
    </w:p>
    <w:p w14:paraId="3F7646EE" w14:textId="77777777" w:rsidR="008C6D0F" w:rsidRPr="009A4FAB" w:rsidRDefault="008C6D0F" w:rsidP="008C6D0F">
      <w:pPr>
        <w:spacing w:line="360" w:lineRule="auto"/>
        <w:rPr>
          <w:color w:val="000000" w:themeColor="text1"/>
          <w:sz w:val="22"/>
          <w:szCs w:val="22"/>
        </w:rPr>
      </w:pPr>
    </w:p>
    <w:p w14:paraId="378BE231" w14:textId="77777777" w:rsidR="008C6D0F" w:rsidRPr="009A4FAB" w:rsidRDefault="008C6D0F" w:rsidP="008C6D0F">
      <w:pPr>
        <w:spacing w:line="360" w:lineRule="auto"/>
        <w:rPr>
          <w:color w:val="000000" w:themeColor="text1"/>
          <w:sz w:val="22"/>
          <w:szCs w:val="22"/>
        </w:rPr>
      </w:pPr>
    </w:p>
    <w:p w14:paraId="0C714174" w14:textId="77777777" w:rsidR="008C6D0F" w:rsidRPr="009A4FAB" w:rsidRDefault="008C6D0F" w:rsidP="008C6D0F">
      <w:pPr>
        <w:widowControl w:val="0"/>
        <w:autoSpaceDE w:val="0"/>
        <w:autoSpaceDN w:val="0"/>
        <w:adjustRightInd w:val="0"/>
        <w:spacing w:line="360" w:lineRule="auto"/>
        <w:rPr>
          <w:noProof/>
          <w:color w:val="000000" w:themeColor="text1"/>
          <w:sz w:val="22"/>
          <w:szCs w:val="22"/>
          <w:lang w:val="en-US"/>
        </w:rPr>
      </w:pPr>
      <w:r w:rsidRPr="009A4FAB">
        <w:rPr>
          <w:b/>
          <w:bCs/>
          <w:color w:val="000000" w:themeColor="text1"/>
          <w:sz w:val="22"/>
          <w:szCs w:val="22"/>
          <w:bdr w:val="none" w:sz="0" w:space="0" w:color="auto" w:frame="1"/>
          <w:lang w:val="en-US"/>
        </w:rPr>
        <w:lastRenderedPageBreak/>
        <w:t>1.</w:t>
      </w:r>
      <w:r w:rsidRPr="009A4FAB">
        <w:rPr>
          <w:b/>
          <w:bCs/>
          <w:color w:val="000000" w:themeColor="text1"/>
          <w:sz w:val="22"/>
          <w:szCs w:val="22"/>
          <w:bdr w:val="none" w:sz="0" w:space="0" w:color="auto" w:frame="1"/>
          <w:lang w:val="en-US"/>
        </w:rPr>
        <w:tab/>
        <w:t>INTRODUCTION </w:t>
      </w:r>
    </w:p>
    <w:p w14:paraId="6FE8B5D6" w14:textId="77777777" w:rsidR="008C6D0F" w:rsidRPr="009A4FAB" w:rsidRDefault="008C6D0F" w:rsidP="008C6D0F">
      <w:pPr>
        <w:pStyle w:val="xmsonormal"/>
        <w:spacing w:before="0" w:beforeAutospacing="0" w:after="0" w:afterAutospacing="0" w:line="360" w:lineRule="auto"/>
        <w:rPr>
          <w:color w:val="000000" w:themeColor="text1"/>
          <w:sz w:val="22"/>
          <w:szCs w:val="22"/>
        </w:rPr>
      </w:pPr>
      <w:r w:rsidRPr="009A4FAB">
        <w:rPr>
          <w:color w:val="000000" w:themeColor="text1"/>
          <w:sz w:val="22"/>
          <w:szCs w:val="22"/>
          <w:bdr w:val="none" w:sz="0" w:space="0" w:color="auto" w:frame="1"/>
        </w:rPr>
        <w:t>Low back pain (LBP) is a common disorder</w:t>
      </w:r>
      <w:r w:rsidRPr="009A4FAB">
        <w:rPr>
          <w:color w:val="000000" w:themeColor="text1"/>
          <w:sz w:val="22"/>
          <w:szCs w:val="22"/>
        </w:rPr>
        <w:t>.</w:t>
      </w:r>
      <w:r w:rsidRPr="009A4FAB">
        <w:rPr>
          <w:color w:val="000000" w:themeColor="text1"/>
        </w:rPr>
        <w:fldChar w:fldCharType="begin" w:fldLock="1"/>
      </w:r>
      <w:r w:rsidRPr="009A4FAB">
        <w:rPr>
          <w:color w:val="000000" w:themeColor="text1"/>
          <w:sz w:val="22"/>
          <w:szCs w:val="22"/>
        </w:rPr>
        <w:instrText>ADDIN CSL_CITATION {"citationItems":[{"id":"ITEM-1","itemData":{"DOI":"10.1016/S0140-6736(17)32154-2","ISSN":"1474547X","abstract":"Background As mortality rates decline, life expectancy increases, and populations age, non-fatal outcomes of diseases and injuries are becoming a larger component of the global burden of disease. The Global Burden of Diseases, Injuries, and Risk Factors Study 2016 (GBD 2016) provides a comprehensive assessment of prevalence, incidence, and years lived with disability (YLDs) for 328 causes in 195 countries and territories from 1990 to 2016. Methods We estimated prevalence and incidence for 328 diseases and injuries and 2982 sequelae, their non-fatal consequences. We used DisMod-MR 2.1, a Bayesian meta-regression tool, as the main method of estimation, ensuring consistency between incidence, prevalence, remission, and cause of death rates for each condition. For some causes, we used alternative modelling strategies if incidence or prevalence needed to be derived from other data. YLDs were estimated as the product of prevalence and a disability weight for all mutually exclusive sequelae, corrected for comorbidity and aggregated to cause level. We updated the Socio-demographic Index (SDI), a summary indicator of income per capita, years of schooling, and total fertility rate. GBD 2016 complies with the Guidelines for Accurate and Transparent Health Estimates Reporting (GATHER). Findings Globally, low back pain, migraine, age-related and other hearing loss, iron-deficiency anaemia, and major depressive disorder were the five leading causes of YLDs in 2016, contributing 57·6 million (95% uncertainty interval [UI] 40·8-75·9 million [7·2%, 6·0-8·3]), 45·1 million (29·0-62·8 million [5·6%, 4·0-7·2]), 36·3 million (25·3-50·9 million [4·5%, 3·8-5·3]), 34·7 million (23·0-49·6 million [4·3%, 3·5-5·2]), and 34·1 million (23·5-46·0 million [4·2%, 3·2-5·3]) of total YLDs, respectively. Age-standardised rates of YLDs for all causes combined decreased between 1990 and 2016 by 2·7% (95% UI 2·3-3·1). Despite mostly stagnant age-standardised rates, the absolute number of YLDs from non-communicable diseases has been growing rapidly across all SDI quintiles, partly because of population growth, but also the ageing of populations. The largest absolute increases in total numbers of YLDs globally were between the ages of 40 and 69 years. Age-standardised YLD rates for all conditions combined were 10·4% (95% UI 9·0-11·8) higher in women than in men. Iron-deficiency anaemia, migraine, Alzheimer's disease and other dementias, major depressive disorder, anxiety, and all musculoskele…","author":[{"dropping-particle":"","family":"Vos","given":"T","non-dropping-particle":"","parse-names":false,"suffix":""},{"dropping-particle":"","family":"Abajobir","given":"A. A","non-dropping-particle":"","parse-names":false,"suffix":""},{"dropping-particle":"","family":"Abbafati","given":"C","non-dropping-particle":"","parse-names":false,"suffix":""},{"dropping-particle":"","family":"Abbas","given":"K. M","non-dropping-particle":"","parse-names":false,"suffix":""},{"dropping-particle":"","family":"Abate","given":"K. H","non-dropping-particle":"","parse-names":false,"suffix":""},{"dropping-particle":"","family":"Abd-Allah","given":"F","non-dropping-particle":"","parse-names":false,"suffix":""},{"dropping-particle":"","family":"Abdulle","given":"A. M","non-dropping-particle":"","parse-names":false,"suffix":""}],"container-title":"The Lancet","id":"ITEM-1","issued":{"date-parts":[["2017"]]},"page":"1211-1259","title":"Global, regional, and national incidence, prevalence, and years lived with disability for 328 diseases and injuries for 195 countries, 1990-2016: A systematic analysis for the Global Burden of Disease Study 2016","type":"article-journal","volume":"390"},"uris":["http://www.mendeley.com/documents/?uuid=7f511cc5-9e44-49fd-be12-0af3e7872a76"]}],"mendeley":{"formattedCitation":"(1)","plainTextFormattedCitation":"(1)","previouslyFormattedCitation":"(1)"},"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(1)</w:t>
      </w:r>
      <w:r w:rsidRPr="009A4FAB">
        <w:rPr>
          <w:color w:val="000000" w:themeColor="text1"/>
        </w:rPr>
        <w:fldChar w:fldCharType="end"/>
      </w:r>
      <w:r w:rsidRPr="009A4FAB">
        <w:rPr>
          <w:color w:val="000000" w:themeColor="text1"/>
          <w:sz w:val="22"/>
          <w:szCs w:val="22"/>
          <w:bdr w:val="none" w:sz="0" w:space="0" w:color="auto" w:frame="1"/>
        </w:rPr>
        <w:t xml:space="preserve"> Most episodes recover quickly but it can become recurrent and persistent. In the general population, LBP is known to </w:t>
      </w:r>
      <w:r w:rsidRPr="009A4FAB">
        <w:rPr>
          <w:color w:val="000000" w:themeColor="text1"/>
          <w:sz w:val="22"/>
          <w:szCs w:val="22"/>
        </w:rPr>
        <w:t>cause a considerable proportion of work absence,</w:t>
      </w:r>
      <w:r w:rsidRPr="009A4FAB">
        <w:rPr>
          <w:color w:val="000000" w:themeColor="text1"/>
        </w:rPr>
        <w:fldChar w:fldCharType="begin" w:fldLock="1"/>
      </w:r>
      <w:r w:rsidRPr="009A4FAB">
        <w:rPr>
          <w:color w:val="000000" w:themeColor="text1"/>
          <w:sz w:val="22"/>
          <w:szCs w:val="22"/>
        </w:rPr>
        <w:instrText>ADDIN CSL_CITATION {"citationItems":[{"id":"ITEM-1","itemData":{"DOI":"10.1136/oemed-2013-101571","ISSN":"14707926","abstract":"Background: A considerable proportion of work absence is attributed to back pain, however prospective studies in working populations with back pain are variable in setting and design, and a quantitative summary of current evidence is lacking. Objective: To investigate the extent to which differences in setting, country, sampling procedures and methods for data  collection are responsible for variation in estimates of work absence and return to work. Methods: Systematic searches of seven bibliographic databases. Inclusion criteria were: adults in paid employment, with back pain, work absence or return to work during follow-up had been reported. Random effects meta-analysis and meta-regression analysis was carried out to provide summary estimates of work absence and return to work rates. Results: 45 studies were identified for inclusion in the review; 34 were included in the meta-analysis. The pooled estimate for the occurrence of work absence in workers with back pain was 15.5% (95% CI 9.8% to 23.6%, n=17 studies, I 2  98.1%) in studies with followup periods of ≤ 6 months. The pooled estimate for the proportion of people with back pain returning to work was 68.2% (95% CI 54.8% to 79.1%, n=13, I 2  99.2%), 85.6% (95% CI 78.2% to 90.7%, n=13, I 2  98.7%) and 93.3% (95% CI 84.0% to 94.7%, n=10, I 2  99%), at 1 month, 1-6 months and  &lt; 6 months, respectively. Differences in setting, risk of participation bias and method of assessing work absence explained some of the heterogeneity. Conclusions: Pooled estimates suggest high return to work rates, with wide variation in estimates of return to work only partly explained by a priori defined study-level variables. The estimated 32% not back at work at 1 month are at a crucial point for intervention to prevent long term work absence.","author":[{"dropping-particle":"","family":"Wynne-Jones","given":"Gwenllian","non-dropping-particle":"","parse-names":false,"suffix":""},{"dropping-particle":"","family":"Cowen","given":"Jemma","non-dropping-particle":"","parse-names":false,"suffix":""},{"dropping-particle":"","family":"Jordan","given":"Joanne L.","non-dropping-particle":"","parse-names":false,"suffix":""},{"dropping-particle":"","family":"Uthman","given":"Olalekan","non-dropping-particle":"","parse-names":false,"suffix":""},{"dropping-particle":"","family":"Main","given":"Chris J.","non-dropping-particle":"","parse-names":false,"suffix":""},{"dropping-particle":"","family":"Glozier","given":"Nick","non-dropping-particle":"","parse-names":false,"suffix":""},{"dropping-particle":"","family":"Windt","given":"Danielle","non-dropping-particle":"Van Der","parse-names":false,"suffix":""}],"container-title":"Occupational and Environmental Medicine","id":"ITEM-1","issue":"6","issued":{"date-parts":[["2014"]]},"page":"448-458","title":"Absence from work and return to work in people with back pain: A systematic review and meta-analysis","type":"article-journal","volume":"71"},"uris":["http://www.mendeley.com/documents/?uuid=20a6e8d2-3e4f-42ea-92dc-7620758d594c"]}],"mendeley":{"formattedCitation":"(2)","plainTextFormattedCitation":"(2)","previouslyFormattedCitation":"(2)"},"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(2)</w:t>
      </w:r>
      <w:r w:rsidRPr="009A4FAB">
        <w:rPr>
          <w:color w:val="000000" w:themeColor="text1"/>
        </w:rPr>
        <w:fldChar w:fldCharType="end"/>
      </w:r>
      <w:r w:rsidRPr="009A4FAB">
        <w:rPr>
          <w:color w:val="000000" w:themeColor="text1"/>
          <w:sz w:val="22"/>
          <w:szCs w:val="22"/>
        </w:rPr>
        <w:t xml:space="preserve"> and is associated with depression,</w:t>
      </w:r>
      <w:r w:rsidRPr="009A4FAB">
        <w:rPr>
          <w:color w:val="000000" w:themeColor="text1"/>
        </w:rPr>
        <w:fldChar w:fldCharType="begin" w:fldLock="1"/>
      </w:r>
      <w:r w:rsidRPr="009A4FAB">
        <w:rPr>
          <w:color w:val="000000" w:themeColor="text1"/>
          <w:sz w:val="22"/>
          <w:szCs w:val="22"/>
        </w:rPr>
        <w:instrText>ADDIN CSL_CITATION {"citationItems":[{"id":"ITEM-1","itemData":{"author":[{"dropping-particle":"","family":"Tetsunaga","given":"T","non-dropping-particle":"","parse-names":false,"suffix":""},{"dropping-particle":"","family":"Misawa","given":"H","non-dropping-particle":"","parse-names":false,"suffix":""},{"dropping-particle":"","family":"Tanaka","given":"M","non-dropping-particle":"","parse-names":false,"suffix":""},{"dropping-particle":"","family":"Sugimoto","given":"Y","non-dropping-particle":"","parse-names":false,"suffix":""},{"dropping-particle":"","family":"Tetsunaga","given":"T","non-dropping-particle":"","parse-names":false,"suffix":""},{"dropping-particle":"","family":"Takigawa","given":"T","non-dropping-particle":"","parse-names":false,"suffix":""},{"dropping-particle":"","family":"Ozaki","given":"T","non-dropping-particle":"","parse-names":false,"suffix":""}],"container-title":"Journal of Orthopaedic Science","id":"ITEM-1","issue":"3","issued":{"date-parts":[["2013"]]},"page":"374-9","title":"The clinical manifestations of lumbar disease are correlated with self-rating depression scale scores","type":"article-journal","volume":"18"},"uris":["http://www.mendeley.com/documents/?uuid=739c9dfe-13a9-424e-97a0-77460a4a1227"]}],"mendeley":{"formattedCitation":"(3)","plainTextFormattedCitation":"(3)","previouslyFormattedCitation":"(3)"},"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(3)</w:t>
      </w:r>
      <w:r w:rsidRPr="009A4FAB">
        <w:rPr>
          <w:color w:val="000000" w:themeColor="text1"/>
        </w:rPr>
        <w:fldChar w:fldCharType="end"/>
      </w:r>
      <w:r w:rsidRPr="009A4FAB">
        <w:rPr>
          <w:color w:val="000000" w:themeColor="text1"/>
          <w:sz w:val="22"/>
          <w:szCs w:val="22"/>
        </w:rPr>
        <w:t xml:space="preserve"> coronary heart disease,</w:t>
      </w:r>
      <w:r w:rsidRPr="009A4FAB">
        <w:rPr>
          <w:color w:val="000000" w:themeColor="text1"/>
        </w:rPr>
        <w:fldChar w:fldCharType="begin" w:fldLock="1"/>
      </w:r>
      <w:r w:rsidRPr="009A4FAB">
        <w:rPr>
          <w:color w:val="000000" w:themeColor="text1"/>
          <w:sz w:val="22"/>
          <w:szCs w:val="22"/>
        </w:rPr>
        <w:instrText>ADDIN CSL_CITATION {"citationItems":[{"id":"ITEM-1","itemData":{"DOI":"10.1371/journal.pone.0155194","ISSN":"19326203","abstract":"© 2016 Fernandez et al. This is an open access article distributed under the terms of the Creative Commons Attribution License, which permits unrestricted use, distribution, and reproduction in any medium, provided the original author and source are credited. Objective: To investigate the chronic low back pain and coronary heart disease relationship, after adjusting for relevant confounders, including genetics. Methods: In a cross-sectional design, 2148 twins were recruited from the Murcia Twin Registry, Spain. The exposure was chronic LBP and the outcomes were myocardial infarction and other coronary heart diseases - lifetime and in the last 2 years-based on standardized health-related questionnaires. First, logistic regression analysis investigated associations of the total sample followed by a matched co-twin control analyses, with all complete twin pairs discordant for chronic LBP utilised, separated for zygosity - dizygotic (DZ) and monozygotic (MZ) pairs, which adjusted for shared familial factors, including genetics. Results: Chronic LBP pain is associated with lifetime myocardial infarction [odds ratio (OR) = 2.69, 95% confidence interval (CI) = 1.35-5.36], other coronary heart diseases over a lifetime (OR = 2.58, 95% CI: 1.69-3.93) and in the last two years (OR = 2.19, 95% CI: 1.33-3.60), while there was a borderline association with myocardial infarction in the last 2 years (OR = 2.64, 95% CI: 0.98-7.12). Although the magnitude of the association remained or increased in the co-twin control analyses, none reached statistical significance. Conclusion: Chronic LBP is associated with a higher prevalence of myocardial infarction and coronary heart disease. It is possible that this association remains even when controlling for genetics and early shared environment, although this should be investigated with larger samples of twins discordant for LBP.","author":[{"dropping-particle":"","family":"Fernandez","given":"Matt","non-dropping-particle":"","parse-names":false,"suffix":""},{"dropping-particle":"","family":"Ordoñana","given":"Juan R.","non-dropping-particle":"","parse-names":false,"suffix":""},{"dropping-particle":"","family":"Hartvigsen","given":"Jan","non-dropping-particle":"","parse-names":false,"suffix":""},{"dropping-particle":"","family":"Ferreira","given":"Manuela L.","non-dropping-particle":"","parse-names":false,"suffix":""},{"dropping-particle":"","family":"Refshauge","given":"Kathryn M.","non-dropping-particle":"","parse-names":false,"suffix":""},{"dropping-particle":"","family":"Sánchez-Romera","given":"Juan F.","non-dropping-particle":"","parse-names":false,"suffix":""},{"dropping-particle":"","family":"Pinheiro","given":"Marina B.","non-dropping-particle":"","parse-names":false,"suffix":""},{"dropping-particle":"","family":"Simpson","given":"Stephen J.","non-dropping-particle":"","parse-names":false,"suffix":""},{"dropping-particle":"","family":"Hopper","given":"John L.","non-dropping-particle":"","parse-names":false,"suffix":""},{"dropping-particle":"","family":"Ferreira","given":"Paulo H.","non-dropping-particle":"","parse-names":false,"suffix":""}],"container-title":"PLoS ONE","id":"ITEM-1","issue":"5","issued":{"date-parts":[["2016"]]},"page":"1-15","title":"Is chronic low back pain associated with the prevalence of coronary heart disease when genetic susceptibility is considered? A co-twin control study of Spanish twins","type":"article-journal","volume":"11"},"uris":["http://www.mendeley.com/documents/?uuid=64b7a811-9999-4c1b-a1a3-d3db3f9f25ed"]}],"mendeley":{"formattedCitation":"(4)","plainTextFormattedCitation":"(4)","previouslyFormattedCitation":"(4)"},"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(4)</w:t>
      </w:r>
      <w:r w:rsidRPr="009A4FAB">
        <w:rPr>
          <w:color w:val="000000" w:themeColor="text1"/>
        </w:rPr>
        <w:fldChar w:fldCharType="end"/>
      </w:r>
      <w:r w:rsidRPr="009A4FAB">
        <w:rPr>
          <w:color w:val="000000" w:themeColor="text1"/>
          <w:sz w:val="22"/>
          <w:szCs w:val="22"/>
        </w:rPr>
        <w:t xml:space="preserve"> </w:t>
      </w:r>
      <w:r w:rsidRPr="009A4FAB">
        <w:rPr>
          <w:color w:val="000000" w:themeColor="text1"/>
          <w:sz w:val="22"/>
          <w:szCs w:val="22"/>
          <w:lang w:val="en-US"/>
        </w:rPr>
        <w:t>reduced longevity,</w:t>
      </w:r>
      <w:r w:rsidRPr="009A4FAB">
        <w:rPr>
          <w:color w:val="000000" w:themeColor="text1"/>
        </w:rPr>
        <w:fldChar w:fldCharType="begin" w:fldLock="1"/>
      </w:r>
      <w:r w:rsidRPr="009A4FAB">
        <w:rPr>
          <w:color w:val="000000" w:themeColor="text1"/>
          <w:sz w:val="22"/>
          <w:szCs w:val="22"/>
          <w:lang w:val="en-US"/>
        </w:rPr>
        <w:instrText>ADDIN CSL_CITATION {"citationItems":[{"id":"ITEM-1","itemData":{"author":[{"dropping-particle":"","family":"Zhu","given":"K","non-dropping-particle":"","parse-names":false,"suffix":""},{"dropping-particle":"","family":"Devine","given":"A","non-dropping-particle":"","parse-names":false,"suffix":""},{"dropping-particle":"","family":"Dick","given":"I. M","non-dropping-particle":"","parse-names":false,"suffix":""},{"dropping-particle":"","family":"Prince","given":"R. L","non-dropping-particle":"","parse-names":false,"suffix":""}],"container-title":"Spine","id":"ITEM-1","issue":"18","issued":{"date-parts":[["2007"]]},"page":"2012-8","title":"Association of back pain frequency with mortality, coronary heart events, mobility, and quality of life in elderly women","type":"article-journal","volume":"32"},"uris":["http://www.mendeley.com/documents/?uuid=3f4f80b6-9c09-4065-87f7-01957387eae4"]}],"mendeley":{"formattedCitation":"(5)","plainTextFormattedCitation":"(5)","previouslyFormattedCitation":"(5)"},"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(5)</w:t>
      </w:r>
      <w:r w:rsidRPr="009A4FAB">
        <w:rPr>
          <w:color w:val="000000" w:themeColor="text1"/>
        </w:rPr>
        <w:fldChar w:fldCharType="end"/>
      </w:r>
      <w:r w:rsidRPr="009A4FAB">
        <w:rPr>
          <w:color w:val="000000" w:themeColor="text1"/>
          <w:sz w:val="22"/>
          <w:szCs w:val="22"/>
          <w:lang w:val="en-US"/>
        </w:rPr>
        <w:t xml:space="preserve"> and </w:t>
      </w:r>
      <w:r w:rsidRPr="009A4FAB">
        <w:rPr>
          <w:color w:val="000000" w:themeColor="text1"/>
          <w:sz w:val="22"/>
          <w:szCs w:val="22"/>
        </w:rPr>
        <w:t>is a global cause of disability.</w:t>
      </w:r>
      <w:r w:rsidRPr="009A4FAB">
        <w:rPr>
          <w:color w:val="000000" w:themeColor="text1"/>
        </w:rPr>
        <w:fldChar w:fldCharType="begin" w:fldLock="1"/>
      </w:r>
      <w:r w:rsidRPr="009A4FAB">
        <w:rPr>
          <w:color w:val="000000" w:themeColor="text1"/>
          <w:sz w:val="22"/>
          <w:szCs w:val="22"/>
        </w:rPr>
        <w:instrText>ADDIN CSL_CITATION {"citationItems":[{"id":"ITEM-1","itemData":{"DOI":"10.1016/S0140-6736(17)32154-2","ISSN":"1474547X","abstract":"Background As mortality rates decline, life expectancy increases, and populations age, non-fatal outcomes of diseases and injuries are becoming a larger component of the global burden of disease. The Global Burden of Diseases, Injuries, and Risk Factors Study 2016 (GBD 2016) provides a comprehensive assessment of prevalence, incidence, and years lived with disability (YLDs) for 328 causes in 195 countries and territories from 1990 to 2016. Methods We estimated prevalence and incidence for 328 diseases and injuries and 2982 sequelae, their non-fatal consequences. We used DisMod-MR 2.1, a Bayesian meta-regression tool, as the main method of estimation, ensuring consistency between incidence, prevalence, remission, and cause of death rates for each condition. For some causes, we used alternative modelling strategies if incidence or prevalence needed to be derived from other data. YLDs were estimated as the product of prevalence and a disability weight for all mutually exclusive sequelae, corrected for comorbidity and aggregated to cause level. We updated the Socio-demographic Index (SDI), a summary indicator of income per capita, years of schooling, and total fertility rate. GBD 2016 complies with the Guidelines for Accurate and Transparent Health Estimates Reporting (GATHER). Findings Globally, low back pain, migraine, age-related and other hearing loss, iron-deficiency anaemia, and major depressive disorder were the five leading causes of YLDs in 2016, contributing 57·6 million (95% uncertainty interval [UI] 40·8-75·9 million [7·2%, 6·0-8·3]), 45·1 million (29·0-62·8 million [5·6%, 4·0-7·2]), 36·3 million (25·3-50·9 million [4·5%, 3·8-5·3]), 34·7 million (23·0-49·6 million [4·3%, 3·5-5·2]), and 34·1 million (23·5-46·0 million [4·2%, 3·2-5·3]) of total YLDs, respectively. Age-standardised rates of YLDs for all causes combined decreased between 1990 and 2016 by 2·7% (95% UI 2·3-3·1). Despite mostly stagnant age-standardised rates, the absolute number of YLDs from non-communicable diseases has been growing rapidly across all SDI quintiles, partly because of population growth, but also the ageing of populations. The largest absolute increases in total numbers of YLDs globally were between the ages of 40 and 69 years. Age-standardised YLD rates for all conditions combined were 10·4% (95% UI 9·0-11·8) higher in women than in men. Iron-deficiency anaemia, migraine, Alzheimer's disease and other dementias, major depressive disorder, anxiety, and all musculoskele…","author":[{"dropping-particle":"","family":"Vos","given":"T","non-dropping-particle":"","parse-names":false,"suffix":""},{"dropping-particle":"","family":"Abajobir","given":"A. A","non-dropping-particle":"","parse-names":false,"suffix":""},{"dropping-particle":"","family":"Abbafati","given":"C","non-dropping-particle":"","parse-names":false,"suffix":""},{"dropping-particle":"","family":"Abbas","given":"K. M","non-dropping-particle":"","parse-names":false,"suffix":""},{"dropping-particle":"","family":"Abate","given":"K. H","non-dropping-particle":"","parse-names":false,"suffix":""},{"dropping-particle":"","family":"Abd-Allah","given":"F","non-dropping-particle":"","parse-names":false,"suffix":""},{"dropping-particle":"","family":"Abdulle","given":"A. M","non-dropping-particle":"","parse-names":false,"suffix":""}],"container-title":"The Lancet","id":"ITEM-1","issued":{"date-parts":[["2017"]]},"page":"1211-1259","title":"Global, regional, and national incidence, prevalence, and years lived with disability for 328 diseases and injuries for 195 countries, 1990-2016: A systematic analysis for the Global Burden of Disease Study 2016","type":"article-journal","volume":"390"},"uris":["http://www.mendeley.com/documents/?uuid=7f511cc5-9e44-49fd-be12-0af3e7872a76"]}],"mendeley":{"formattedCitation":"(1)","plainTextFormattedCitation":"(1)","previouslyFormattedCitation":"(1)"},"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(1)</w:t>
      </w:r>
      <w:r w:rsidRPr="009A4FAB">
        <w:rPr>
          <w:color w:val="000000" w:themeColor="text1"/>
        </w:rPr>
        <w:fldChar w:fldCharType="end"/>
      </w:r>
      <w:r w:rsidRPr="009A4FAB">
        <w:rPr>
          <w:color w:val="000000" w:themeColor="text1"/>
          <w:sz w:val="22"/>
          <w:szCs w:val="22"/>
        </w:rPr>
        <w:t xml:space="preserve"> Sedentary people at greatest risk of LBP are those with physical and mental comorbidities, obesity, and physically demanding jobs that require</w:t>
      </w:r>
      <w:r w:rsidRPr="009A4FAB">
        <w:rPr>
          <w:color w:val="000000" w:themeColor="text1"/>
          <w:sz w:val="22"/>
          <w:szCs w:val="22"/>
          <w:bdr w:val="none" w:sz="0" w:space="0" w:color="auto" w:frame="1"/>
        </w:rPr>
        <w:t xml:space="preserve"> frequent lifting, bending and twisting.</w:t>
      </w:r>
      <w:r w:rsidRPr="009A4FAB">
        <w:rPr>
          <w:color w:val="000000" w:themeColor="text1"/>
        </w:rPr>
        <w:fldChar w:fldCharType="begin" w:fldLock="1"/>
      </w:r>
      <w:r w:rsidRPr="009A4FAB">
        <w:rPr>
          <w:color w:val="000000" w:themeColor="text1"/>
          <w:sz w:val="22"/>
          <w:szCs w:val="22"/>
          <w:bdr w:val="none" w:sz="0" w:space="0" w:color="auto" w:frame="1"/>
        </w:rPr>
        <w:instrText>ADDIN CSL_CITATION {"citationItems":[{"id":"ITEM-1","itemData":{"DOI":"10.1007/s00586-010-1680-7","ISBN":"0058601016807","ISSN":"09406719","PMID":"21221663","abstract":"The objective of the study is to systematically evaluate the available evidence on the association between physical activity (i.e. occupational load and non-occupational physical activities) and low back pain (LBP). A systematic approach was used to explore the literature between 1999 and 2009. Studies were selected for inclusion following a comprehensive search of Medline, Embase and CINAHL. The methodological quality of each study was assessed. Studies were considered to be of 'high quality' if they met the cut-off criterion of 60% of the maximum available quality score. Thirty-six cohort or case-control studies were retrieved. Heavy workload and the accumulation of loads or frequency of lifts were moderate to strong risk factors for LBP. Strong associations were found for flexed, rotated and the awkward positions of the lumbar spine. Inconsistent results were found for leisure time physical activities, sports and physical exercise. Studies focusing on daily habitual physical activities (e.g. domestic activities and commuting) in association with LBP are lacking. In conclusion, the occurrence of LBP is related to the nature and intensity of the physical activities undertaken. However, physical activities can be subdivided into separate types and intensities and the ultimate physical load is the sum of all these activities. This makes it difficult to designate one particular activity as the cause of LBP. © Springer-Verlag 2011.","author":[{"dropping-particle":"","family":"Heneweer","given":"H","non-dropping-particle":"","parse-names":false,"suffix":""},{"dropping-particle":"","family":"Staes","given":"F","non-dropping-particle":"","parse-names":false,"suffix":""},{"dropping-particle":"","family":"Aufdemkampe","given":"G","non-dropping-particle":"","parse-names":false,"suffix":""},{"dropping-particle":"","family":"Rijn","given":"M","non-dropping-particle":"Van","parse-names":false,"suffix":""},{"dropping-particle":"","family":"Vanhees","given":"L","non-dropping-particle":"","parse-names":false,"suffix":""}],"container-title":"European Spine Journal","id":"ITEM-1","issue":"6","issued":{"date-parts":[["2011"]]},"page":"826-845","title":"Physical activity and low back pain: a systematic review of recent literature","type":"article-journal","volume":"20"},"uris":["http://www.mendeley.com/documents/?uuid=e8ce6787-3d4e-43cf-a968-67a02080be2f"]}],"mendeley":{"formattedCitation":"(6)","plainTextFormattedCitation":"(6)","previouslyFormattedCitation":"(6)"},"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bdr w:val="none" w:sz="0" w:space="0" w:color="auto" w:frame="1"/>
        </w:rPr>
        <w:t>(6)</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bdr w:val="none" w:sz="0" w:space="0" w:color="auto" w:frame="1"/>
        </w:rPr>
        <w:instrText>ADDIN CSL_CITATION {"citationItems":[{"id":"ITEM-1","itemData":{"DOI":"10.1097/00007632-200012010-00018","ISSN":"0362-2436","abstract":"STUDY DESIGN:A 3-year prospective cohort study among workers of 34 companies in the Netherlands.\\n\\nOBJECTIVES:To investigate the relation between flexion and rotation of the trunk and lifting at work and the occurrence of low back pain.\\n\\nSUMMARY OF BACKGROUND DATA:Previous studies on work-related physical risk factors for low back pain either lacked quantification of the physical load or did not take confounding by individual and psychosocial factors into account.\\n\\nMETHODS:The study population consisted of 861 workers with no low back pain at baseline and complete data on the occurrence of low back pain during the 3-year follow-up period. Physical load at work was assessed by means of analyses of video-recordings. Information on other risk factors and the occurrence of low back pain was obtained by means of self-administered questionnaires.\\n\\nRESULTS:An increased risk of low back pain was observed for workers who worked with the trunk in a minimum of 60 degrees of flexion for more than 5% of the working time (RR 1.5, 95% CI 1.0-2.1), for workers who worked with the trunk in a minimum of 30 degrees of rotation for more than 10% of the working time (RR 1.3, 95% CI 0.9-1. 9), and for workers who lifted a load of at least 25 kg more than 15 times per working day (RR 1.6, 95% CI 1.1-2.3).\\n\\nCONCLUSIONS:Flexion and rotation of the trunk and lifting at work are moderate risk factors for low back pain, especially at greater levels of exposure.","author":[{"dropping-particle":"","family":"Hoogendoorn","given":"W. E","non-dropping-particle":"","parse-names":false,"suffix":""},{"dropping-particle":"","family":"Bongers","given":"P. M","non-dropping-particle":"","parse-names":false,"suffix":""},{"dropping-particle":"","family":"Vet","given":"H. C. W","non-dropping-particle":"de","parse-names":false,"suffix":""},{"dropping-particle":"","family":"Douwes","given":"M","non-dropping-particle":"","parse-names":false,"suffix":""},{"dropping-particle":"","family":"Koes","given":"B. W","non-dropping-particle":"","parse-names":false,"suffix":""},{"dropping-particle":"","family":"Miedema","given":"M. C","non-dropping-particle":"","parse-names":false,"suffix":""},{"dropping-particle":"","family":"Ariëns","given":"Geertje A. M","non-dropping-particle":"","parse-names":false,"suffix":""},{"dropping-particle":"","family":"Bouter","given":"L. M","non-dropping-particle":"","parse-names":false,"suffix":""}],"container-title":"Spine","id":"ITEM-1","issue":"23","issued":{"date-parts":[["2000"]]},"page":"3087-3092","title":"Flexion and rotation of the trunk and lifting at work are risk factors for low back pain","type":"article-journal","volume":"25"},"uris":["http://www.mendeley.com/documents/?uuid=116f0665-ecb3-417b-afe0-08b294889c49"]}],"mendeley":{"formattedCitation":"(7)","plainTextFormattedCitation":"(7)","previouslyFormattedCitation":"(7)"},"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bdr w:val="none" w:sz="0" w:space="0" w:color="auto" w:frame="1"/>
        </w:rPr>
        <w:t>(7)</w:t>
      </w:r>
      <w:r w:rsidRPr="009A4FAB">
        <w:rPr>
          <w:color w:val="000000" w:themeColor="text1"/>
        </w:rPr>
        <w:fldChar w:fldCharType="end"/>
      </w:r>
      <w:r w:rsidRPr="009A4FAB">
        <w:rPr>
          <w:color w:val="000000" w:themeColor="text1"/>
          <w:sz w:val="22"/>
          <w:szCs w:val="22"/>
        </w:rPr>
        <w:t xml:space="preserve"> </w:t>
      </w:r>
      <w:r w:rsidRPr="009A4FAB">
        <w:rPr>
          <w:color w:val="000000" w:themeColor="text1"/>
          <w:sz w:val="22"/>
          <w:szCs w:val="22"/>
          <w:bdr w:val="none" w:sz="0" w:space="0" w:color="auto" w:frame="1"/>
        </w:rPr>
        <w:t>Elite athletes are exposed to a high physical workload through competition and training and this has been linked to an increased risk of back pain.</w:t>
      </w:r>
      <w:r w:rsidRPr="009A4FAB">
        <w:rPr>
          <w:color w:val="000000" w:themeColor="text1"/>
        </w:rPr>
        <w:fldChar w:fldCharType="begin" w:fldLock="1"/>
      </w:r>
      <w:r w:rsidRPr="009A4FAB">
        <w:rPr>
          <w:color w:val="000000" w:themeColor="text1"/>
          <w:sz w:val="22"/>
          <w:szCs w:val="22"/>
          <w:bdr w:val="none" w:sz="0" w:space="0" w:color="auto" w:frame="1"/>
        </w:rPr>
        <w:instrText>ADDIN CSL_CITATION {"citationItems":[{"id":"ITEM-1","itemData":{"DOI":"10.1371/journal.pone.0180130","ISBN":"1111111111","ISSN":"19326203","abstract":"© 2017 Fett et al. This is an open access article distributed under the terms of the Creative Commons Attribution License, which permits unrestricted use, distribution, and reproduction in any medium, provided the original author and source are credited. Objectives To establish the prevalence of back pain in German elite athletes; examine the influence of age, sex, sports discipline and training volume; and compare elite athletes with a physically active control group. Methods A standardized and validated online back pain questionnaire was sent by the German Olympic Sports Confederation to approximately 4,000 German national and international elite athletes, and a control group of 253 physically active but non-elite sports students. Results We received responses from 1,114 elite athletes (46.5% male and 53.1% female, mean age 20.9 years ± 4.8 years, mean height 176.5 ± 11.5 cm, mean weight 71.0 ± 10.3 kg) and 166 physically active sports students (74.7% male and 24.1 female, mean age 21.2 ± 2.0 years, mean height 180.0 ± 8.0 cm, mean weight 74.0 ± 14.5 kg). In elite athletes, the lifetime prevalence of back pain was 88.5%, the 12-month prevalence was 81.1%, the 3-month prevalence was 68.3% and the point prevalence was 49.0%, compared with 80.7%, 69.9%, 59.0% and 42.8%, respectively in the control group. The lifetime, 12-month and 3-month prevalences in elite athletes were significantly higher than in the control group. Regarding the individual sports disciplines, the prevalence of back pain was significantly higher in elite rowers, dancers, fencers, gymnasts, track and field athletes, figure skaters and marksmen, and those who play underwater rugby, water polo, basketball, hockey and ice hockey compared with the control group. The prevalence of back pain was significantly lower in elite triathletes. Conclusions Back pain is a common complaint in German elite athletes. Low back pain seems to be a problem in both elite athletes and physically active controls. A high training volume in elite athletes and a low training volume in physically active individuals might increase prevalence rates. Our findings indicate the necessity for specific prevention programs, especially in high-risk sports. Further research should investigate the optimal dose-effect relationship of sporting activity for the general population to prevent back pain.","author":[{"dropping-particle":"","family":"Fett","given":"Daniela","non-dropping-particle":"","parse-names":false,"suffix":""},{"dropping-particle":"","family":"Trompeter","given":"Katharina","non-dropping-particle":"","parse-names":false,"suffix":""},{"dropping-particle":"","family":"Platen","given":"Petra","non-dropping-particle":"","parse-names":false,"suffix":""}],"container-title":"PLoS ONE","id":"ITEM-1","issue":"6","issued":{"date-parts":[["2017"]]},"page":"1-17","title":"Back pain in elite sports: A cross-sectional study on 1114 athletes","type":"article-journal","volume":"12"},"uris":["http://www.mendeley.com/documents/?uuid=768eeee5-4b0f-4956-a350-e24f3a32d30a"]}],"mendeley":{"formattedCitation":"(8)","plainTextFormattedCitation":"(8)","previouslyFormattedCitation":"(8)"},"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bdr w:val="none" w:sz="0" w:space="0" w:color="auto" w:frame="1"/>
        </w:rPr>
        <w:t>(8)</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bdr w:val="none" w:sz="0" w:space="0" w:color="auto" w:frame="1"/>
        </w:rPr>
        <w:instrText>ADDIN CSL_CITATION {"citationItems":[{"id":"ITEM-1","itemData":{"DOI":"10.1097/01.BRS.0000096176.92881.37","ISBN":"0521252784","ISSN":"0362-2436","PMID":"15094542","author":[{"dropping-particle":"","family":"Bahr","given":"R","non-dropping-particle":"","parse-names":false,"suffix":""},{"dropping-particle":"","family":"Andersen","given":"S. O","non-dropping-particle":"","parse-names":false,"suffix":""},{"dropping-particle":"","family":"Loken","given":"S","non-dropping-particle":"","parse-names":false,"suffix":""},{"dropping-particle":"","family":"Fossan","given":"B","non-dropping-particle":"","parse-names":false,"suffix":""},{"dropping-particle":"","family":"Hansen","given":"T","non-dropping-particle":"","parse-names":false,"suffix":""},{"dropping-particle":"","family":"Holme","given":"I","non-dropping-particle":"","parse-names":false,"suffix":""}],"container-title":"Spine","id":"ITEM-1","issue":"4","issued":{"date-parts":[["2004"]]},"page":"449-454","title":"Low Back Pain Among Endurance Athletes With and Without Specific Back Loading - A Cross-Sectional Survey of Cross-Country Skiers, Rowers, Orienteerers, and Nonathletic Controls","type":"article-journal","volume":"29"},"uris":["http://www.mendeley.com/documents/?uuid=36b30f2e-19c4-403c-8cc3-871144f03e34"]}],"mendeley":{"formattedCitation":"(9)","plainTextFormattedCitation":"(9)","previouslyFormattedCitation":"(9)"},"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bdr w:val="none" w:sz="0" w:space="0" w:color="auto" w:frame="1"/>
        </w:rPr>
        <w:t>(9)</w:t>
      </w:r>
      <w:r w:rsidRPr="009A4FAB">
        <w:rPr>
          <w:color w:val="000000" w:themeColor="text1"/>
        </w:rPr>
        <w:fldChar w:fldCharType="end"/>
      </w:r>
      <w:r w:rsidRPr="009A4FAB">
        <w:rPr>
          <w:color w:val="000000" w:themeColor="text1"/>
          <w:sz w:val="22"/>
          <w:szCs w:val="22"/>
        </w:rPr>
        <w:t xml:space="preserve"> Despite this, there is limited knowledge about its impact on health across the lifespan of the athlete and there is insufficient evidence to determine the sports that pose the greatest risk.</w:t>
      </w:r>
    </w:p>
    <w:p w14:paraId="4D94C382" w14:textId="77777777" w:rsidR="008C6D0F" w:rsidRPr="009A4FAB" w:rsidRDefault="008C6D0F" w:rsidP="008C6D0F">
      <w:pPr>
        <w:pStyle w:val="xmsonormal"/>
        <w:spacing w:before="0" w:beforeAutospacing="0" w:after="0" w:afterAutospacing="0" w:line="360" w:lineRule="auto"/>
        <w:rPr>
          <w:color w:val="000000" w:themeColor="text1"/>
          <w:sz w:val="22"/>
          <w:szCs w:val="22"/>
        </w:rPr>
      </w:pPr>
    </w:p>
    <w:p w14:paraId="5F1D3A4D" w14:textId="77777777" w:rsidR="008C6D0F" w:rsidRPr="009A4FAB" w:rsidRDefault="008C6D0F" w:rsidP="008C6D0F">
      <w:pPr>
        <w:pStyle w:val="xmsonormal"/>
        <w:spacing w:before="0" w:beforeAutospacing="0" w:after="0" w:afterAutospacing="0" w:line="360" w:lineRule="auto"/>
        <w:rPr>
          <w:color w:val="000000" w:themeColor="text1"/>
          <w:sz w:val="22"/>
          <w:szCs w:val="22"/>
        </w:rPr>
      </w:pPr>
      <w:r w:rsidRPr="009A4FAB">
        <w:rPr>
          <w:color w:val="000000" w:themeColor="text1"/>
          <w:sz w:val="22"/>
          <w:szCs w:val="22"/>
        </w:rPr>
        <w:t xml:space="preserve">Previous studies have shown that LBP in athletes is associated with </w:t>
      </w:r>
      <w:r w:rsidRPr="009A4FAB">
        <w:rPr>
          <w:color w:val="000000" w:themeColor="text1"/>
          <w:sz w:val="22"/>
          <w:szCs w:val="22"/>
          <w:bdr w:val="none" w:sz="0" w:space="0" w:color="auto" w:frame="1"/>
        </w:rPr>
        <w:t>a high training volume, spikes in training/competition, and a prior episode of LBP.</w:t>
      </w:r>
      <w:r w:rsidRPr="009A4FAB">
        <w:rPr>
          <w:color w:val="000000" w:themeColor="text1"/>
        </w:rPr>
        <w:fldChar w:fldCharType="begin" w:fldLock="1"/>
      </w:r>
      <w:r w:rsidRPr="009A4FAB">
        <w:rPr>
          <w:color w:val="000000" w:themeColor="text1"/>
          <w:sz w:val="22"/>
          <w:szCs w:val="22"/>
          <w:bdr w:val="none" w:sz="0" w:space="0" w:color="auto" w:frame="1"/>
        </w:rPr>
        <w:instrText>ADDIN CSL_CITATION {"citationItems":[{"id":"ITEM-1","itemData":{"DOI":"10.1136/bjsports-2020-102537","ISSN":"14730480","abstract":"Objectives We aimed to determine the prevalence of low back pain (LBP) in sport, and what risk factors were associated with LBP in athletes. Design Systematic review with meta-analysis. Data sources Literature searches from database inception to June 2019 in Medline, Embase, Cumulated Index to Nursing and Allied Health Literature (CINAHL), Web of Science and Scopus, supplemented by grey literature searching. Eligibility criteria Studies evaluating prevalence of LBP in adult athletes across all sports. Results Eighty-six studies were included (30 732, range 20-5958, participants), of which 45 were of'high' quality. Definitions of LBP varied widely, and in 17 studies, no definition was provided. High-quality studies were pooled and the mean point prevalence across six studies was 42%; range 18%-80% (95% CI 27% to 58%, I2=97%). Lifetime prevalence across 13 studies was 63%; range 36%-88% (95% CI 51% to 74%, I2=99%). Twelve-month LBP prevalence from 22 studies was 51%; range 12%-94% (95% CI 41% to 61%, I2=98%). Comparison across sports was limited by participant numbers, study quality and methodologies, and varying LBP definitions. Risk factors for LBP included history of a previous episode with a pooled OR of 3.5; range 1.6-4.0 (95% CI 1.9 to 6.4). Statistically significant associations were reported for high training volume, periods of load increase and years of exposure to the sport. Conclusion LBP in sport is common but estimates vary. Current evidence is insufficient to identify which sports are at highest risk. A previous episode of LBP, high training volume, periods of load increase and years of exposure are common risk factors.","author":[{"dropping-particle":"","family":"Wilson","given":"F","non-dropping-particle":"","parse-names":false,"suffix":""},{"dropping-particle":"","family":"Ardern","given":"C. L","non-dropping-particle":"","parse-names":false,"suffix":""},{"dropping-particle":"","family":"Hartvigsen","given":"J","non-dropping-particle":"","parse-names":false,"suffix":""},{"dropping-particle":"","family":"Dane","given":"K","non-dropping-particle":"","parse-names":false,"suffix":""},{"dropping-particle":"","family":"Trompeter","given":"K","non-dropping-particle":"","parse-names":false,"suffix":""},{"dropping-particle":"","family":"Trease","given":"L","non-dropping-particle":"","parse-names":false,"suffix":""},{"dropping-particle":"","family":"Vinther","given":"A","non-dropping-particle":"","parse-names":false,"suffix":""},{"dropping-particle":"","family":"Gissane","given":"C","non-dropping-particle":"","parse-names":false,"suffix":""},{"dropping-particle":"","family":"McDonnell","given":"S. J","non-dropping-particle":"","parse-names":false,"suffix":""},{"dropping-particle":"","family":"Caneiro","given":"J. P","non-dropping-particle":"","parse-names":false,"suffix":""},{"dropping-particle":"","family":"Newlands","given":"C","non-dropping-particle":"","parse-names":false,"suffix":""},{"dropping-particle":"","family":"Wilkie","given":"K","non-dropping-particle":"","parse-names":false,"suffix":""},{"dropping-particle":"","family":"Mockler","given":"D","non-dropping-particle":"","parse-names":false,"suffix":""},{"dropping-particle":"","family":"Thornton","given":"J. S","non-dropping-particle":"","parse-names":false,"suffix":""}],"container-title":"British Journal of Sports Medicine","id":"ITEM-1","issued":{"date-parts":[["2020"]]},"page":"1-9","title":"Prevalence and risk factors for back pain in sports: a systematic review with meta-analysis","type":"article-journal"},"uris":["http://www.mendeley.com/documents/?uuid=44bd9497-575f-4d77-a51c-4bd0744b1bc9"]}],"mendeley":{"formattedCitation":"(10)","plainTextFormattedCitation":"(10)","previouslyFormattedCitation":"(10)"},"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bdr w:val="none" w:sz="0" w:space="0" w:color="auto" w:frame="1"/>
        </w:rPr>
        <w:t>(10)</w:t>
      </w:r>
      <w:r w:rsidRPr="009A4FAB">
        <w:rPr>
          <w:color w:val="000000" w:themeColor="text1"/>
        </w:rPr>
        <w:fldChar w:fldCharType="end"/>
      </w:r>
      <w:r w:rsidRPr="009A4FAB">
        <w:rPr>
          <w:color w:val="000000" w:themeColor="text1"/>
          <w:sz w:val="22"/>
          <w:szCs w:val="22"/>
          <w:lang w:val="en-US"/>
        </w:rPr>
        <w:t xml:space="preserve"> There is inconsistent evidence to demonstrate an association with increasing age and sex.</w:t>
      </w:r>
      <w:r w:rsidRPr="009A4FAB">
        <w:rPr>
          <w:color w:val="000000" w:themeColor="text1"/>
          <w:sz w:val="22"/>
          <w:szCs w:val="22"/>
          <w:bdr w:val="none" w:sz="0" w:space="0" w:color="auto" w:frame="1"/>
        </w:rPr>
        <w:t xml:space="preserve"> Many potential risk factors</w:t>
      </w:r>
      <w:r w:rsidRPr="009A4FAB">
        <w:rPr>
          <w:color w:val="000000" w:themeColor="text1"/>
          <w:sz w:val="22"/>
          <w:szCs w:val="22"/>
          <w:lang w:val="en-US"/>
        </w:rPr>
        <w:t xml:space="preserve"> require investigation </w:t>
      </w:r>
      <w:r w:rsidRPr="009A4FAB">
        <w:rPr>
          <w:color w:val="000000" w:themeColor="text1"/>
          <w:sz w:val="22"/>
          <w:szCs w:val="22"/>
          <w:bdr w:val="none" w:sz="0" w:space="0" w:color="auto" w:frame="1"/>
        </w:rPr>
        <w:t xml:space="preserve">including </w:t>
      </w:r>
      <w:r w:rsidRPr="009A4FAB">
        <w:rPr>
          <w:color w:val="000000" w:themeColor="text1"/>
          <w:sz w:val="22"/>
          <w:szCs w:val="22"/>
          <w:lang w:val="en-US"/>
        </w:rPr>
        <w:t>psychological factors such as anxiety and depression that may predispose athletes to persistent LBP.</w:t>
      </w:r>
      <w:r w:rsidRPr="009A4FAB">
        <w:rPr>
          <w:color w:val="000000" w:themeColor="text1"/>
        </w:rPr>
        <w:fldChar w:fldCharType="begin" w:fldLock="1"/>
      </w:r>
      <w:r w:rsidRPr="009A4FAB">
        <w:rPr>
          <w:color w:val="000000" w:themeColor="text1"/>
          <w:sz w:val="22"/>
          <w:szCs w:val="22"/>
          <w:lang w:val="en-US"/>
        </w:rPr>
        <w:instrText>ADDIN CSL_CITATION {"citationItems":[{"id":"ITEM-1","itemData":{"DOI":"10.1007/s40279-016-0645-3","ISBN":"4027901606","ISSN":"11792035","abstract":"© 2016, The Author(s). Background: Back pain is a frequent health problem in the general population. The epidemiology of back pain in the general population is well researched, but detailed data on the prevalence and risk factors of back pain in athletes are rare. Objective: The primary objective was to review articles about back pain in athletes to provide an overview of its prevalence in different sports and compare its prevalence among various types of sports and the general population. Data Sources: A comprehensive search of articles published through May 2015 was conducted. Two independent reviewers searched six databases from inception (PubMed ® , Embase, MEDLINE ® , Cochrane Library, PsycINFO and PSYNDEX), using specifically developed search strategies, for relevant epidemiological research on back pain in 14- to 40-year-old athletes of Olympic disciplines. The reviewers independently evaluated the methodological quality of reviewed articles meeting the inclusion criteria to identify potential sources of bias. Relevant data were extracted from each study. Results: Forty-three articles were judged to meet the inclusion criteria and were included in the assessment of methodological quality. Of these, 25 were assessed to be of high quality. Lifetime prevalence and point prevalence were the most commonly researched episodes and the lower back was the most common localization of pain. In the high-quality studies, lifetime prevalence of low back pain in athletes was 1–94%, (highest prevalence in rowing and cross-country skiing), and point prevalence of low back pain was 18–65% (lowest prevalence in basketball and highest prevalence in rowing). Conclusion: The methodological heterogeneity of the included studies showed a wide range of prevalence rates and did not enable a detailed comparison of data among different sports, within one discipline, or versus the general population. Based on the results of this review, however, it seems obvious that back pain requires further study in some sports.","author":[{"dropping-particle":"","family":"Trompeter","given":"Katharina","non-dropping-particle":"","parse-names":false,"suffix":""},{"dropping-particle":"","family":"Fett","given":"Daniela","non-dropping-particle":"","parse-names":false,"suffix":""},{"dropping-particle":"","family":"Platen","given":"Petra","non-dropping-particle":"","parse-names":false,"suffix":""}],"container-title":"Sports Medicine","id":"ITEM-1","issue":"6","issued":{"date-parts":[["2017"]]},"page":"1183-1207","publisher":"Springer International Publishing","title":"Prevalence of Back Pain in Sports: A Systematic Review of the Literature","type":"article-journal","volume":"47"},"uris":["http://www.mendeley.com/documents/?uuid=1d5e4cf5-94d6-421d-9c71-17add769aa27"]}],"mendeley":{"formattedCitation":"(11)","plainTextFormattedCitation":"(11)","previouslyFormattedCitation":"(11)"},"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(11)</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lang w:val="en-US"/>
        </w:rPr>
        <w:instrText>ADDIN CSL_CITATION {"citationItems":[{"id":"ITEM-1","itemData":{"DOI":"10.1155/2015/850184","ISSN":"2090-2867","abstract":"We aimed to examine systematically the available evidence on risk factors of low back pain (LBP) in athletes. We performed search without language restriction in PubMed, Ovid, Google Scholar, Scopus, and CINAHL. Longitudinal studies that examined possible risk factors of LBP in athletes were included in this systematic review. Based on methodological quality of studies, a best-evidence synthesis was conducted. Seven longitudinal studies were included, four of which had high methodological quality. Results showed that previous LBP, decreased lumbar flexion, and decreased lumbar extension are positively associated with LBP. There was moderate evidence for hip flexor tightness and high body weight as a risk factor. We found insufficient evidence for association between forward bending, previous injury, and amount of training per week, active years, age, and sex with LBP. In conclusion this study would provide a list of risk factors for LBP in athletes, though it showed a strong evidence for only a few including decrease lumbar flexion or extension, previous LBP, and high body weight. This review indicated a high heterogeneity of study characteristics including assessed risk factors and statistical techniques might limit the quality of evidence.","author":[{"dropping-particle":"","family":"Moradi","given":"Vahideh","non-dropping-particle":"","parse-names":false,"suffix":""},{"dropping-particle":"","family":"Memari","given":"Amir-Hossein","non-dropping-particle":"","parse-names":false,"suffix":""},{"dropping-particle":"","family":"ShayestehFar","given":"Monir","non-dropping-particle":"","parse-names":false,"suffix":""},{"dropping-particle":"","family":"Kordi","given":"Ramin","non-dropping-particle":"","parse-names":false,"suffix":""}],"container-title":"Rehabilitation Research and Practice","id":"ITEM-1","issued":{"date-parts":[["2015"]]},"page":"1-10","title":"Low Back Pain in Athletes Is Associated with General and Sport Specific Risk Factors: A Comprehensive Review of Longitudinal Studies","type":"article-journal"},"uris":["http://www.mendeley.com/documents/?uuid=ce1caad9-0e58-4b8b-93bb-d91900b0bf62"]}],"mendeley":{"formattedCitation":"(12)","plainTextFormattedCitation":"(12)","previouslyFormattedCitation":"(12)"},"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(12)</w:t>
      </w:r>
      <w:r w:rsidRPr="009A4FAB">
        <w:rPr>
          <w:color w:val="000000" w:themeColor="text1"/>
        </w:rPr>
        <w:fldChar w:fldCharType="end"/>
      </w:r>
      <w:r w:rsidRPr="009A4FAB">
        <w:rPr>
          <w:color w:val="000000" w:themeColor="text1"/>
          <w:sz w:val="22"/>
          <w:szCs w:val="22"/>
        </w:rPr>
        <w:t xml:space="preserve"> The gap in current evidence means that healthcare professionals, coaches and governing bodies have limited knowledge of how to mitigate the risks for LBP.</w:t>
      </w:r>
      <w:r w:rsidRPr="009A4FAB">
        <w:rPr>
          <w:color w:val="000000" w:themeColor="text1"/>
          <w:sz w:val="22"/>
          <w:szCs w:val="22"/>
          <w:bdr w:val="none" w:sz="0" w:space="0" w:color="auto" w:frame="1"/>
        </w:rPr>
        <w:t xml:space="preserve"> </w:t>
      </w:r>
      <w:r w:rsidRPr="009A4FAB">
        <w:rPr>
          <w:color w:val="000000" w:themeColor="text1"/>
          <w:sz w:val="22"/>
          <w:szCs w:val="22"/>
        </w:rPr>
        <w:t xml:space="preserve">Identifying risk factors for LBP in the retired athlete </w:t>
      </w:r>
      <w:r w:rsidRPr="009A4FAB">
        <w:rPr>
          <w:color w:val="000000" w:themeColor="text1"/>
          <w:sz w:val="22"/>
          <w:szCs w:val="22"/>
          <w:lang w:val="en-US"/>
        </w:rPr>
        <w:t>will help provide the basis for longitudinal follow-up and subsequent intervention studies</w:t>
      </w:r>
      <w:r w:rsidRPr="009A4FAB">
        <w:rPr>
          <w:color w:val="000000" w:themeColor="text1"/>
          <w:sz w:val="22"/>
          <w:szCs w:val="22"/>
        </w:rPr>
        <w:t xml:space="preserve">. </w:t>
      </w:r>
      <w:r w:rsidRPr="009A4FAB">
        <w:rPr>
          <w:color w:val="000000" w:themeColor="text1"/>
          <w:sz w:val="22"/>
          <w:szCs w:val="22"/>
          <w:lang w:val="en-US"/>
        </w:rPr>
        <w:t xml:space="preserve">The aim of this study is to determine in retired Great Britain’s (GB) Olympians aged 30 years and older the prevalence and factors associated with LBP. </w:t>
      </w:r>
    </w:p>
    <w:p w14:paraId="7F528146" w14:textId="77777777" w:rsidR="008C6D0F" w:rsidRPr="009A4FAB" w:rsidRDefault="008C6D0F" w:rsidP="008C6D0F">
      <w:pPr>
        <w:spacing w:line="360" w:lineRule="auto"/>
        <w:rPr>
          <w:b/>
          <w:bCs/>
          <w:iCs/>
          <w:color w:val="000000" w:themeColor="text1"/>
          <w:sz w:val="22"/>
          <w:szCs w:val="22"/>
        </w:rPr>
      </w:pPr>
    </w:p>
    <w:p w14:paraId="1B364A73" w14:textId="77777777" w:rsidR="008C6D0F" w:rsidRPr="009A4FAB" w:rsidRDefault="008C6D0F" w:rsidP="008C6D0F">
      <w:pPr>
        <w:pStyle w:val="ListParagraph"/>
        <w:numPr>
          <w:ilvl w:val="0"/>
          <w:numId w:val="3"/>
        </w:numPr>
        <w:spacing w:line="360" w:lineRule="auto"/>
        <w:rPr>
          <w:color w:val="000000" w:themeColor="text1"/>
          <w:sz w:val="22"/>
          <w:szCs w:val="22"/>
        </w:rPr>
      </w:pPr>
      <w:r w:rsidRPr="009A4FAB">
        <w:rPr>
          <w:b/>
          <w:bCs/>
          <w:iCs/>
          <w:color w:val="000000" w:themeColor="text1"/>
          <w:sz w:val="22"/>
          <w:szCs w:val="22"/>
        </w:rPr>
        <w:t>MATERIAL AND METHODS</w:t>
      </w:r>
    </w:p>
    <w:p w14:paraId="0CD2E689" w14:textId="77777777" w:rsidR="008C6D0F" w:rsidRPr="009A4FAB" w:rsidRDefault="008C6D0F" w:rsidP="008C6D0F">
      <w:pPr>
        <w:spacing w:line="360" w:lineRule="auto"/>
        <w:rPr>
          <w:color w:val="000000" w:themeColor="text1"/>
          <w:sz w:val="22"/>
          <w:szCs w:val="22"/>
        </w:rPr>
      </w:pPr>
      <w:r w:rsidRPr="009A4FAB">
        <w:rPr>
          <w:b/>
          <w:bCs/>
          <w:color w:val="000000" w:themeColor="text1"/>
          <w:sz w:val="22"/>
          <w:szCs w:val="22"/>
          <w:lang w:val="en-US"/>
        </w:rPr>
        <w:t>2.1 Research Ethics Approval</w:t>
      </w:r>
    </w:p>
    <w:p w14:paraId="11E2D78F" w14:textId="77777777" w:rsidR="008C6D0F" w:rsidRPr="009A4FAB" w:rsidRDefault="008C6D0F" w:rsidP="008C6D0F">
      <w:pPr>
        <w:spacing w:line="360" w:lineRule="auto"/>
        <w:rPr>
          <w:color w:val="000000" w:themeColor="text1"/>
          <w:sz w:val="22"/>
          <w:szCs w:val="22"/>
        </w:rPr>
      </w:pPr>
      <w:r w:rsidRPr="009A4FAB">
        <w:rPr>
          <w:bCs/>
          <w:color w:val="000000" w:themeColor="text1"/>
          <w:sz w:val="22"/>
          <w:szCs w:val="22"/>
          <w:lang w:val="en-US"/>
        </w:rPr>
        <w:t>This study was approved by the University of Nottingham Research Ethics Committee</w:t>
      </w:r>
      <w:r w:rsidRPr="009A4FAB">
        <w:rPr>
          <w:rFonts w:eastAsia="MS Mincho"/>
          <w:color w:val="000000" w:themeColor="text1"/>
          <w:sz w:val="22"/>
          <w:szCs w:val="22"/>
          <w:lang w:val="en-US"/>
        </w:rPr>
        <w:t xml:space="preserve"> (Ref: K13022014</w:t>
      </w:r>
      <w:r w:rsidRPr="009A4FAB">
        <w:rPr>
          <w:bCs/>
          <w:color w:val="000000" w:themeColor="text1"/>
          <w:sz w:val="22"/>
          <w:szCs w:val="22"/>
          <w:lang w:val="en-US"/>
        </w:rPr>
        <w:t xml:space="preserve">). </w:t>
      </w:r>
      <w:r w:rsidRPr="009A4FAB">
        <w:rPr>
          <w:color w:val="000000" w:themeColor="text1"/>
          <w:sz w:val="22"/>
          <w:szCs w:val="22"/>
          <w:lang w:val="en-US"/>
        </w:rPr>
        <w:t xml:space="preserve">All procedures involving research participants were in accordance with the ethical standards of the </w:t>
      </w:r>
      <w:r w:rsidRPr="009A4FAB">
        <w:rPr>
          <w:bCs/>
          <w:color w:val="000000" w:themeColor="text1"/>
          <w:sz w:val="22"/>
          <w:szCs w:val="22"/>
          <w:lang w:val="en-US"/>
        </w:rPr>
        <w:t>university institution review board</w:t>
      </w:r>
      <w:r w:rsidRPr="009A4FAB">
        <w:rPr>
          <w:color w:val="000000" w:themeColor="text1"/>
          <w:sz w:val="22"/>
          <w:szCs w:val="22"/>
          <w:lang w:val="en-US"/>
        </w:rPr>
        <w:t xml:space="preserve">. Participants received detailed information at the start of the questionnaire, detailing how data would be handled to ensure confidentiality and anonymity. </w:t>
      </w:r>
      <w:r w:rsidRPr="009A4FAB">
        <w:rPr>
          <w:color w:val="000000" w:themeColor="text1"/>
          <w:sz w:val="22"/>
          <w:szCs w:val="22"/>
          <w:shd w:val="clear" w:color="auto" w:fill="FFFFFF"/>
        </w:rPr>
        <w:t>It was made explicitly clear to participants that by completing and returning a questionnaire they gave i</w:t>
      </w:r>
      <w:r w:rsidRPr="009A4FAB">
        <w:rPr>
          <w:bCs/>
          <w:iCs/>
          <w:color w:val="000000" w:themeColor="text1"/>
          <w:sz w:val="22"/>
          <w:szCs w:val="22"/>
        </w:rPr>
        <w:t>mplied consent for their data to be used anonymously for the purposes of this study.</w:t>
      </w:r>
      <w:r w:rsidRPr="009A4FAB">
        <w:rPr>
          <w:color w:val="000000" w:themeColor="text1"/>
          <w:sz w:val="22"/>
          <w:szCs w:val="22"/>
          <w:lang w:val="en-US"/>
        </w:rPr>
        <w:t xml:space="preserve"> </w:t>
      </w:r>
    </w:p>
    <w:p w14:paraId="46744EDB" w14:textId="77777777" w:rsidR="008C6D0F" w:rsidRPr="009A4FAB" w:rsidRDefault="008C6D0F" w:rsidP="008C6D0F">
      <w:pPr>
        <w:spacing w:line="360" w:lineRule="auto"/>
        <w:rPr>
          <w:b/>
          <w:bCs/>
          <w:color w:val="000000" w:themeColor="text1"/>
          <w:sz w:val="22"/>
          <w:szCs w:val="22"/>
          <w:lang w:val="en-US"/>
        </w:rPr>
      </w:pPr>
    </w:p>
    <w:p w14:paraId="77021374" w14:textId="77777777" w:rsidR="008C6D0F" w:rsidRPr="009A4FAB" w:rsidRDefault="008C6D0F" w:rsidP="008C6D0F">
      <w:pPr>
        <w:spacing w:line="360" w:lineRule="auto"/>
        <w:rPr>
          <w:b/>
          <w:bCs/>
          <w:color w:val="000000" w:themeColor="text1"/>
          <w:sz w:val="22"/>
          <w:szCs w:val="22"/>
          <w:lang w:val="en-US"/>
        </w:rPr>
      </w:pPr>
      <w:r w:rsidRPr="009A4FAB">
        <w:rPr>
          <w:b/>
          <w:bCs/>
          <w:color w:val="000000" w:themeColor="text1"/>
          <w:sz w:val="22"/>
          <w:szCs w:val="22"/>
          <w:lang w:val="en-US"/>
        </w:rPr>
        <w:t>2.2 Study Design</w:t>
      </w:r>
    </w:p>
    <w:p w14:paraId="25B13890" w14:textId="05E91F5E" w:rsidR="008C6D0F" w:rsidRPr="009A4FAB" w:rsidRDefault="008C6D0F" w:rsidP="008C6D0F">
      <w:pPr>
        <w:spacing w:line="360" w:lineRule="auto"/>
        <w:rPr>
          <w:color w:val="000000" w:themeColor="text1"/>
          <w:sz w:val="22"/>
          <w:szCs w:val="22"/>
        </w:rPr>
      </w:pPr>
      <w:r w:rsidRPr="009A4FAB">
        <w:rPr>
          <w:color w:val="000000" w:themeColor="text1"/>
          <w:sz w:val="22"/>
          <w:szCs w:val="22"/>
        </w:rPr>
        <w:t xml:space="preserve">This cross-sectional study involved distributing a letter by post or email inviting GB Olympians the opportunity to complete and return a postal questionnaire or the option of completing an online version. The questionnaire was distributed </w:t>
      </w:r>
      <w:r w:rsidRPr="009A4FAB">
        <w:rPr>
          <w:color w:val="000000" w:themeColor="text1"/>
          <w:sz w:val="22"/>
          <w:szCs w:val="22"/>
          <w:lang w:val="en-US"/>
        </w:rPr>
        <w:t xml:space="preserve">to current and retired athletes </w:t>
      </w:r>
      <w:r w:rsidRPr="009A4FAB">
        <w:rPr>
          <w:color w:val="000000" w:themeColor="text1"/>
          <w:sz w:val="22"/>
          <w:szCs w:val="22"/>
          <w:lang w:val="en-US"/>
        </w:rPr>
        <w:lastRenderedPageBreak/>
        <w:t xml:space="preserve">registered on the BOA database. Recruitment took place </w:t>
      </w:r>
      <w:r w:rsidRPr="009A4FAB">
        <w:rPr>
          <w:color w:val="000000" w:themeColor="text1"/>
          <w:sz w:val="22"/>
          <w:szCs w:val="22"/>
        </w:rPr>
        <w:t>between May 2014 and April 2015 and involved distributing the questionnaire to those living in the UK and overseas</w:t>
      </w:r>
      <w:r w:rsidRPr="009A4FAB">
        <w:rPr>
          <w:color w:val="000000" w:themeColor="text1"/>
          <w:sz w:val="22"/>
          <w:szCs w:val="22"/>
          <w:lang w:val="en-US"/>
        </w:rPr>
        <w:t xml:space="preserve">. Two email reminders and one </w:t>
      </w:r>
      <w:r w:rsidR="0012427D" w:rsidRPr="009A4FAB">
        <w:rPr>
          <w:color w:val="000000" w:themeColor="text1"/>
          <w:sz w:val="22"/>
          <w:szCs w:val="22"/>
          <w:lang w:val="en-US"/>
        </w:rPr>
        <w:t xml:space="preserve">postal </w:t>
      </w:r>
      <w:r w:rsidRPr="009A4FAB">
        <w:rPr>
          <w:color w:val="000000" w:themeColor="text1"/>
          <w:sz w:val="22"/>
          <w:szCs w:val="22"/>
          <w:lang w:val="en-US"/>
        </w:rPr>
        <w:t xml:space="preserve">reminder were sent to non-responders between August 2014 and April 2015. The second phase of recruitment involved the BOA Athlete’s Commission distributing copies of the questionnaire to GB Olympians at their request. All questionnaires were returned by December 2016. </w:t>
      </w:r>
      <w:r w:rsidRPr="009A4FAB">
        <w:rPr>
          <w:color w:val="000000" w:themeColor="text1"/>
          <w:sz w:val="22"/>
          <w:szCs w:val="22"/>
        </w:rPr>
        <w:t>For the present study, we excluded responses from those who were training to quality for or compete at an upcoming Olympic Games and/or were aged less than 30 years.</w:t>
      </w:r>
    </w:p>
    <w:p w14:paraId="1AD3A3B0" w14:textId="77777777" w:rsidR="008C6D0F" w:rsidRPr="009A4FAB" w:rsidRDefault="008C6D0F" w:rsidP="008C6D0F">
      <w:pPr>
        <w:spacing w:line="360" w:lineRule="auto"/>
        <w:rPr>
          <w:color w:val="000000" w:themeColor="text1"/>
          <w:sz w:val="22"/>
          <w:szCs w:val="22"/>
        </w:rPr>
      </w:pPr>
    </w:p>
    <w:p w14:paraId="443B5354" w14:textId="77777777" w:rsidR="008C6D0F" w:rsidRPr="009A4FAB" w:rsidRDefault="008C6D0F" w:rsidP="008C6D0F">
      <w:pPr>
        <w:spacing w:line="360" w:lineRule="auto"/>
        <w:rPr>
          <w:b/>
          <w:color w:val="000000" w:themeColor="text1"/>
          <w:sz w:val="22"/>
          <w:szCs w:val="22"/>
          <w:lang w:val="en-US"/>
        </w:rPr>
      </w:pPr>
      <w:r w:rsidRPr="009A4FAB">
        <w:rPr>
          <w:b/>
          <w:color w:val="000000" w:themeColor="text1"/>
          <w:sz w:val="22"/>
          <w:szCs w:val="22"/>
          <w:lang w:val="en-US"/>
        </w:rPr>
        <w:t>2.3 Data Collection and Management</w:t>
      </w:r>
    </w:p>
    <w:p w14:paraId="32F8A6CA" w14:textId="77777777" w:rsidR="008C6D0F" w:rsidRPr="009A4FAB" w:rsidRDefault="008C6D0F" w:rsidP="008C6D0F">
      <w:pPr>
        <w:spacing w:line="360" w:lineRule="auto"/>
        <w:rPr>
          <w:color w:val="000000" w:themeColor="text1"/>
        </w:rPr>
      </w:pPr>
      <w:r w:rsidRPr="009A4FAB">
        <w:rPr>
          <w:color w:val="000000" w:themeColor="text1"/>
          <w:sz w:val="22"/>
          <w:szCs w:val="22"/>
        </w:rPr>
        <w:t>The questionnaire collected data on demographics, medical history, musculoskeletal health, and career details.</w:t>
      </w:r>
      <w:r w:rsidRPr="009A4FAB">
        <w:rPr>
          <w:color w:val="000000" w:themeColor="text1"/>
        </w:rPr>
        <w:fldChar w:fldCharType="begin" w:fldLock="1"/>
      </w:r>
      <w:r w:rsidRPr="009A4FAB">
        <w:rPr>
          <w:color w:val="000000" w:themeColor="text1"/>
          <w:sz w:val="22"/>
          <w:szCs w:val="22"/>
        </w:rPr>
        <w:instrText>ADDIN CSL_CITATION {"citationItems":[{"id":"ITEM-1","itemData":{"DOI":"10.1136/bjsports-2017-098315","ISSN":"14730480","abstract":"BACKGROUND Knowledge of the epidemiology and potentially modifiable factors associated with musculoskeletal disease is an important first step in injury prevention among elite athletes. AIM This study investigated the prevalence and factors associated with pain and osteoarthritis (OA) at the hip and knee in Great Britain's (GB) Olympians aged 40 and older. METHODS This is a cross-sectional study. A survey was distributed to 2742 GB Olympians living in 30 countries. Of the 714 (26.0%) who responded, 605 were eligible for analysis (ie, aged 40 and older). RESULTS The prevalence of hip and knee pain was 22.4% and 26.1%, and of hip and knee OA was 11.1% and 14.2%, respectively. Using a multivariable model, injury was associated with OA at the hip (adjusted OR (aOR) 10.85; 95% CI 3.80 to 30.96) and knee (aOR 4.92; 95% CI 2.58 to 9.38), and pain at the hip (aOR 5.55; 95% CI 1.83 to 16.86) and knee (aOR 2.65; 95% CI 1.57 to 4.46). Widespread pain was associated with pain at the hip (aOR 7.63; 95% CI 1.84 to 31.72) and knee (aOR 4.77; 95% CI 1.58 to 14.41). Older age, obesity, knee malalignment, comorbidities, hypermobility and weight-bearing exercise were associated with hip and knee OA and/or pain. CONCLUSIONS This study detected an association between several factors and hip and knee pain/OA in retired GB Olympic athletes. These associations require further substantiation in retired athletes from other National Olympic Committees, and through comparison with the general population. Longitudinal follow-up is needed to investigate the factors associated with the onset and progression of OA/pain, and to determine if modulation of such factors can reduce the prevalence of pain and OA in this population.","author":[{"dropping-particle":"","family":"Cooper","given":"D. J","non-dropping-particle":"","parse-names":false,"suffix":""},{"dropping-particle":"","family":"Scammell","given":"B. E","non-dropping-particle":"","parse-names":false,"suffix":""},{"dropping-particle":"","family":"Batt","given":"M. E","non-dropping-particle":"","parse-names":false,"suffix":""},{"dropping-particle":"","family":"Palmer","given":"D","non-dropping-particle":"","parse-names":false,"suffix":""}],"container-title":"British Journal of Sports Medicine","id":"ITEM-1","issue":"17","issued":{"date-parts":[["2018"]]},"page":"1101-1108","title":"Factors associated with pain and osteoarthritis at the hip and knee in Great Britain's Olympians: A cross-sectional study","type":"article-journal","volume":"52"},"uris":["http://www.mendeley.com/documents/?uuid=607e0c3d-7226-4a00-90ba-c7d33ad461f3"]}],"mendeley":{"formattedCitation":"(13)","plainTextFormattedCitation":"(13)","previouslyFormattedCitation":"(13)"},"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(13)</w:t>
      </w:r>
      <w:r w:rsidRPr="009A4FAB">
        <w:rPr>
          <w:color w:val="000000" w:themeColor="text1"/>
        </w:rPr>
        <w:fldChar w:fldCharType="end"/>
      </w:r>
      <w:r w:rsidRPr="009A4FAB">
        <w:rPr>
          <w:color w:val="000000" w:themeColor="text1"/>
        </w:rPr>
        <w:fldChar w:fldCharType="begin" w:fldLock="1"/>
      </w:r>
      <w:r w:rsidRPr="009A4FAB">
        <w:rPr>
          <w:color w:val="000000" w:themeColor="text1"/>
        </w:rPr>
        <w:instrText>ADDIN CSL_CITATION {"citationItems":[{"id":"ITEM-1","itemData":{"DOI":"10.1186/s40798-021-00339-1","author":[{"dropping-particle":"","family":"Cooper","given":"D","non-dropping-particle":"","parse-names":false,"suffix":""},{"dropping-particle":"","family":"Batt","given":"M. E","non-dropping-particle":"","parse-names":false,"suffix":""},{"dropping-particle":"","family":"O'Hanlon","given":"M. S","non-dropping-particle":"","parse-names":false,"suffix":""},{"dropping-particle":"","family":"Palmer","given":"D","non-dropping-particle":"","parse-names":false,"suffix":""}],"container-title":"Sports Med Open","id":"ITEM-1","issue":"1","issued":{"date-parts":[["2021"]]},"page":"54","title":"A cross-sectional study of retired Great British Olympians (Berlin 1936 - Sochi 2014): Olympic career injuries, joint health in later life, and reasons for retirement from Olympic sport","type":"article-journal","volume":"Jul 31;7"},"uris":["http://www.mendeley.com/documents/?uuid=4254ca5a-23b2-4645-9603-da6ffd2642c5"]}],"mendeley":{"formattedCitation":"(14)","plainTextFormattedCitation":"(14)","previouslyFormattedCitation":"(14)"},"properties":{"noteIndex":0},"schema":"https://github.com/citation-style-language/schema/raw/master/csl-citation.json"}</w:instrText>
      </w:r>
      <w:r w:rsidRPr="009A4FAB">
        <w:rPr>
          <w:color w:val="000000" w:themeColor="text1"/>
        </w:rPr>
        <w:fldChar w:fldCharType="separate"/>
      </w:r>
      <w:r w:rsidRPr="009A4FAB">
        <w:rPr>
          <w:noProof/>
          <w:color w:val="000000" w:themeColor="text1"/>
        </w:rPr>
        <w:t>(14)</w:t>
      </w:r>
      <w:r w:rsidRPr="009A4FAB">
        <w:rPr>
          <w:color w:val="000000" w:themeColor="text1"/>
        </w:rPr>
        <w:fldChar w:fldCharType="end"/>
      </w:r>
      <w:r w:rsidRPr="009A4FAB">
        <w:rPr>
          <w:color w:val="000000" w:themeColor="text1"/>
        </w:rPr>
        <w:t xml:space="preserve"> </w:t>
      </w:r>
      <w:r w:rsidRPr="009A4FAB">
        <w:rPr>
          <w:color w:val="000000" w:themeColor="text1"/>
          <w:sz w:val="22"/>
          <w:szCs w:val="22"/>
        </w:rPr>
        <w:t>Baseline questions captured self-report information on age (years), sex, height (cm), weight (kg), and ethnicity. A composite measure of body mass index (BMI) was calculated from Olympic career (t</w:t>
      </w:r>
      <w:r w:rsidRPr="009A4FAB">
        <w:rPr>
          <w:color w:val="000000" w:themeColor="text1"/>
          <w:sz w:val="22"/>
          <w:szCs w:val="22"/>
          <w:vertAlign w:val="subscript"/>
        </w:rPr>
        <w:t>o</w:t>
      </w:r>
      <w:r w:rsidRPr="009A4FAB">
        <w:rPr>
          <w:color w:val="000000" w:themeColor="text1"/>
          <w:sz w:val="22"/>
          <w:szCs w:val="22"/>
        </w:rPr>
        <w:t>) and current (t</w:t>
      </w:r>
      <w:r w:rsidRPr="009A4FAB">
        <w:rPr>
          <w:color w:val="000000" w:themeColor="text1"/>
          <w:sz w:val="22"/>
          <w:szCs w:val="22"/>
          <w:vertAlign w:val="subscript"/>
        </w:rPr>
        <w:t>1</w:t>
      </w:r>
      <w:r w:rsidRPr="009A4FAB">
        <w:rPr>
          <w:color w:val="000000" w:themeColor="text1"/>
          <w:sz w:val="22"/>
          <w:szCs w:val="22"/>
        </w:rPr>
        <w:t>) BMI (kg/m</w:t>
      </w:r>
      <w:r w:rsidRPr="009A4FAB">
        <w:rPr>
          <w:color w:val="000000" w:themeColor="text1"/>
          <w:sz w:val="22"/>
          <w:szCs w:val="22"/>
          <w:vertAlign w:val="superscript"/>
        </w:rPr>
        <w:t>2</w:t>
      </w:r>
      <w:r w:rsidRPr="009A4FAB">
        <w:rPr>
          <w:color w:val="000000" w:themeColor="text1"/>
          <w:sz w:val="22"/>
          <w:szCs w:val="22"/>
        </w:rPr>
        <w:t xml:space="preserve">). Data was coded </w:t>
      </w:r>
      <w:r w:rsidRPr="009A4FAB">
        <w:rPr>
          <w:rFonts w:eastAsia="MS Mincho"/>
          <w:color w:val="000000" w:themeColor="text1"/>
          <w:sz w:val="22"/>
          <w:szCs w:val="22"/>
        </w:rPr>
        <w:t>using World Health Organisation BMI categories into: 1) t</w:t>
      </w:r>
      <w:r w:rsidRPr="009A4FAB">
        <w:rPr>
          <w:rFonts w:eastAsia="MS Mincho"/>
          <w:color w:val="000000" w:themeColor="text1"/>
          <w:sz w:val="22"/>
          <w:szCs w:val="22"/>
          <w:vertAlign w:val="subscript"/>
        </w:rPr>
        <w:t>1</w:t>
      </w:r>
      <w:r w:rsidRPr="009A4FAB">
        <w:rPr>
          <w:rFonts w:eastAsia="MS Mincho"/>
          <w:color w:val="000000" w:themeColor="text1"/>
          <w:sz w:val="22"/>
          <w:szCs w:val="22"/>
        </w:rPr>
        <w:t xml:space="preserve"> </w:t>
      </w:r>
      <w:r w:rsidRPr="009A4FAB">
        <w:rPr>
          <w:color w:val="000000" w:themeColor="text1"/>
          <w:sz w:val="22"/>
          <w:szCs w:val="22"/>
        </w:rPr>
        <w:sym w:font="Symbol" w:char="00A3"/>
      </w:r>
      <w:r w:rsidRPr="009A4FAB">
        <w:rPr>
          <w:color w:val="000000" w:themeColor="text1"/>
          <w:sz w:val="22"/>
          <w:szCs w:val="22"/>
        </w:rPr>
        <w:t xml:space="preserve"> </w:t>
      </w:r>
      <w:r w:rsidRPr="009A4FAB">
        <w:rPr>
          <w:rFonts w:eastAsia="MS Mincho"/>
          <w:color w:val="000000" w:themeColor="text1"/>
          <w:sz w:val="22"/>
          <w:szCs w:val="22"/>
        </w:rPr>
        <w:t>24.9</w:t>
      </w:r>
      <w:r w:rsidRPr="009A4FAB">
        <w:rPr>
          <w:color w:val="000000" w:themeColor="text1"/>
          <w:sz w:val="22"/>
          <w:szCs w:val="22"/>
        </w:rPr>
        <w:t xml:space="preserve"> kg/m</w:t>
      </w:r>
      <w:r w:rsidRPr="009A4FAB">
        <w:rPr>
          <w:color w:val="000000" w:themeColor="text1"/>
          <w:sz w:val="22"/>
          <w:szCs w:val="22"/>
          <w:vertAlign w:val="superscript"/>
        </w:rPr>
        <w:t>2</w:t>
      </w:r>
      <w:r w:rsidRPr="009A4FAB">
        <w:rPr>
          <w:rFonts w:eastAsia="MS Mincho"/>
          <w:color w:val="000000" w:themeColor="text1"/>
          <w:sz w:val="22"/>
          <w:szCs w:val="22"/>
        </w:rPr>
        <w:t xml:space="preserve"> (reference standard); 2) t</w:t>
      </w:r>
      <w:r w:rsidRPr="009A4FAB">
        <w:rPr>
          <w:rFonts w:eastAsia="MS Mincho"/>
          <w:color w:val="000000" w:themeColor="text1"/>
          <w:sz w:val="22"/>
          <w:szCs w:val="22"/>
          <w:vertAlign w:val="subscript"/>
        </w:rPr>
        <w:t>o</w:t>
      </w:r>
      <w:r w:rsidRPr="009A4FAB">
        <w:rPr>
          <w:rFonts w:eastAsia="MS Mincho"/>
          <w:color w:val="000000" w:themeColor="text1"/>
          <w:sz w:val="22"/>
          <w:szCs w:val="22"/>
        </w:rPr>
        <w:t xml:space="preserve"> </w:t>
      </w:r>
      <w:r w:rsidRPr="009A4FAB">
        <w:rPr>
          <w:color w:val="000000" w:themeColor="text1"/>
          <w:sz w:val="22"/>
          <w:szCs w:val="22"/>
        </w:rPr>
        <w:sym w:font="Symbol" w:char="00A3"/>
      </w:r>
      <w:r w:rsidRPr="009A4FAB">
        <w:rPr>
          <w:color w:val="000000" w:themeColor="text1"/>
          <w:sz w:val="22"/>
          <w:szCs w:val="22"/>
        </w:rPr>
        <w:t xml:space="preserve"> 24.9 </w:t>
      </w:r>
      <w:r w:rsidRPr="009A4FAB">
        <w:rPr>
          <w:rFonts w:eastAsia="MS Mincho"/>
          <w:color w:val="000000" w:themeColor="text1"/>
          <w:sz w:val="22"/>
          <w:szCs w:val="22"/>
        </w:rPr>
        <w:t>and t</w:t>
      </w:r>
      <w:r w:rsidRPr="009A4FAB">
        <w:rPr>
          <w:rFonts w:eastAsia="MS Mincho"/>
          <w:color w:val="000000" w:themeColor="text1"/>
          <w:sz w:val="22"/>
          <w:szCs w:val="22"/>
          <w:vertAlign w:val="subscript"/>
        </w:rPr>
        <w:t>1</w:t>
      </w:r>
      <w:r w:rsidRPr="009A4FAB">
        <w:rPr>
          <w:rFonts w:eastAsia="MS Mincho"/>
          <w:color w:val="000000" w:themeColor="text1"/>
          <w:sz w:val="22"/>
          <w:szCs w:val="22"/>
        </w:rPr>
        <w:t xml:space="preserve"> </w:t>
      </w:r>
      <w:r w:rsidRPr="009A4FAB">
        <w:rPr>
          <w:color w:val="000000" w:themeColor="text1"/>
          <w:sz w:val="22"/>
          <w:szCs w:val="22"/>
        </w:rPr>
        <w:sym w:font="Symbol" w:char="00B3"/>
      </w:r>
      <w:r w:rsidRPr="009A4FAB">
        <w:rPr>
          <w:rFonts w:eastAsia="MS Mincho"/>
          <w:color w:val="000000" w:themeColor="text1"/>
          <w:sz w:val="22"/>
          <w:szCs w:val="22"/>
        </w:rPr>
        <w:t xml:space="preserve"> 25.0; and 3) t</w:t>
      </w:r>
      <w:r w:rsidRPr="009A4FAB">
        <w:rPr>
          <w:rFonts w:eastAsia="MS Mincho"/>
          <w:color w:val="000000" w:themeColor="text1"/>
          <w:sz w:val="22"/>
          <w:szCs w:val="22"/>
          <w:vertAlign w:val="subscript"/>
        </w:rPr>
        <w:t xml:space="preserve">0 </w:t>
      </w:r>
      <w:r w:rsidRPr="009A4FAB">
        <w:rPr>
          <w:rFonts w:eastAsia="MS Mincho"/>
          <w:color w:val="000000" w:themeColor="text1"/>
          <w:sz w:val="22"/>
          <w:szCs w:val="22"/>
        </w:rPr>
        <w:t>and t</w:t>
      </w:r>
      <w:r w:rsidRPr="009A4FAB">
        <w:rPr>
          <w:rFonts w:eastAsia="MS Mincho"/>
          <w:color w:val="000000" w:themeColor="text1"/>
          <w:sz w:val="22"/>
          <w:szCs w:val="22"/>
          <w:vertAlign w:val="subscript"/>
        </w:rPr>
        <w:t>1</w:t>
      </w:r>
      <w:r w:rsidRPr="009A4FAB">
        <w:rPr>
          <w:rFonts w:eastAsia="MS Mincho"/>
          <w:color w:val="000000" w:themeColor="text1"/>
          <w:sz w:val="22"/>
          <w:szCs w:val="22"/>
        </w:rPr>
        <w:t xml:space="preserve"> remained </w:t>
      </w:r>
      <w:r w:rsidRPr="009A4FAB">
        <w:rPr>
          <w:color w:val="000000" w:themeColor="text1"/>
          <w:sz w:val="22"/>
          <w:szCs w:val="22"/>
        </w:rPr>
        <w:sym w:font="Symbol" w:char="00B3"/>
      </w:r>
      <w:r w:rsidRPr="009A4FAB">
        <w:rPr>
          <w:rFonts w:eastAsia="MS Mincho"/>
          <w:color w:val="000000" w:themeColor="text1"/>
          <w:sz w:val="22"/>
          <w:szCs w:val="22"/>
        </w:rPr>
        <w:t xml:space="preserve"> 25.0.</w:t>
      </w:r>
      <w:r w:rsidRPr="009A4FAB">
        <w:rPr>
          <w:color w:val="000000" w:themeColor="text1"/>
          <w:sz w:val="22"/>
          <w:szCs w:val="22"/>
        </w:rPr>
        <w:t xml:space="preserve"> Sport participation included the frequency and duration for the period of training and competition leading up to their first Olympic Games until retirement from their last Olympic Games. A mean annual volume of training during the participants Olympic career was categorised according to 0-199 hr, 200-399 hr, 400-549 hr, 550-699 hr, and </w:t>
      </w:r>
      <w:r w:rsidRPr="009A4FAB">
        <w:rPr>
          <w:color w:val="000000" w:themeColor="text1"/>
          <w:sz w:val="22"/>
          <w:szCs w:val="22"/>
        </w:rPr>
        <w:sym w:font="Symbol" w:char="00B3"/>
      </w:r>
      <w:r w:rsidRPr="009A4FAB">
        <w:rPr>
          <w:color w:val="000000" w:themeColor="text1"/>
          <w:sz w:val="22"/>
          <w:szCs w:val="22"/>
        </w:rPr>
        <w:t xml:space="preserve"> 700 hours.</w:t>
      </w:r>
      <w:r w:rsidRPr="009A4FAB">
        <w:rPr>
          <w:color w:val="000000" w:themeColor="text1"/>
        </w:rPr>
        <w:fldChar w:fldCharType="begin" w:fldLock="1"/>
      </w:r>
      <w:r w:rsidRPr="009A4FAB">
        <w:rPr>
          <w:color w:val="000000" w:themeColor="text1"/>
          <w:sz w:val="22"/>
          <w:szCs w:val="22"/>
          <w:vertAlign w:val="superscript"/>
        </w:rPr>
        <w:instrText>ADDIN CSL_CITATION {"citationItems":[{"id":"ITEM-1","itemData":{"DOI":"10.1097/01.BRS.0000096176.92881.37","ISBN":"0521252784","ISSN":"0362-2436","PMID":"15094542","author":[{"dropping-particle":"","family":"Bahr","given":"R","non-dropping-particle":"","parse-names":false,"suffix":""},{"dropping-particle":"","family":"Andersen","given":"S. O","non-dropping-particle":"","parse-names":false,"suffix":""},{"dropping-particle":"","family":"Loken","given":"S","non-dropping-particle":"","parse-names":false,"suffix":""},{"dropping-particle":"","family":"Fossan","given":"B","non-dropping-particle":"","parse-names":false,"suffix":""},{"dropping-particle":"","family":"Hansen","given":"T","non-dropping-particle":"","parse-names":false,"suffix":""},{"dropping-particle":"","family":"Holme","given":"I","non-dropping-particle":"","parse-names":false,"suffix":""}],"container-title":"Spine","id":"ITEM-1","issue":"4","issued":{"date-parts":[["2004"]]},"page":"449-454","title":"Low Back Pain Among Endurance Athletes With and Without Specific Back Loading - A Cross-Sectional Survey of Cross-Country Skiers, Rowers, Orienteerers, and Nonathletic Controls","type":"article-journal","volume":"29"},"uris":["http://www.mendeley.com/documents/?uuid=36b30f2e-19c4-403c-8cc3-871144f03e34"]}],"mendeley":{"formattedCitation":"(9)","plainTextFormattedCitation":"(9)","previouslyFormattedCitation":"(9)"},"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(9)</w:t>
      </w:r>
      <w:r w:rsidRPr="009A4FAB">
        <w:rPr>
          <w:color w:val="000000" w:themeColor="text1"/>
        </w:rPr>
        <w:fldChar w:fldCharType="end"/>
      </w:r>
      <w:r w:rsidRPr="009A4FAB">
        <w:rPr>
          <w:color w:val="000000" w:themeColor="text1"/>
          <w:sz w:val="22"/>
          <w:szCs w:val="22"/>
          <w:vertAlign w:val="superscript"/>
        </w:rPr>
        <w:t xml:space="preserve"> </w:t>
      </w:r>
      <w:r w:rsidRPr="009A4FAB">
        <w:rPr>
          <w:rFonts w:eastAsia="MS Mincho"/>
          <w:color w:val="000000" w:themeColor="text1"/>
          <w:sz w:val="22"/>
          <w:szCs w:val="22"/>
        </w:rPr>
        <w:t>The sporting discipline in which participants spent the longest time competing in at the Olympic Games was</w:t>
      </w:r>
      <w:r w:rsidRPr="009A4FAB">
        <w:rPr>
          <w:color w:val="000000" w:themeColor="text1"/>
          <w:sz w:val="22"/>
          <w:szCs w:val="22"/>
        </w:rPr>
        <w:t xml:space="preserve"> dichotomised into sports with and without specific back loading.</w:t>
      </w:r>
      <w:r w:rsidRPr="009A4FAB">
        <w:rPr>
          <w:color w:val="000000" w:themeColor="text1"/>
        </w:rPr>
        <w:fldChar w:fldCharType="begin" w:fldLock="1"/>
      </w:r>
      <w:r w:rsidRPr="009A4FAB">
        <w:rPr>
          <w:color w:val="000000" w:themeColor="text1"/>
          <w:sz w:val="22"/>
          <w:szCs w:val="22"/>
          <w:vertAlign w:val="superscript"/>
        </w:rPr>
        <w:instrText>ADDIN CSL_CITATION {"citationItems":[{"id":"ITEM-1","itemData":{"DOI":"10.1097/01.BRS.0000096176.92881.37","ISBN":"0521252784","ISSN":"0362-2436","PMID":"15094542","author":[{"dropping-particle":"","family":"Bahr","given":"R","non-dropping-particle":"","parse-names":false,"suffix":""},{"dropping-particle":"","family":"Andersen","given":"S. O","non-dropping-particle":"","parse-names":false,"suffix":""},{"dropping-particle":"","family":"Loken","given":"S","non-dropping-particle":"","parse-names":false,"suffix":""},{"dropping-particle":"","family":"Fossan","given":"B","non-dropping-particle":"","parse-names":false,"suffix":""},{"dropping-particle":"","family":"Hansen","given":"T","non-dropping-particle":"","parse-names":false,"suffix":""},{"dropping-particle":"","family":"Holme","given":"I","non-dropping-particle":"","parse-names":false,"suffix":""}],"container-title":"Spine","id":"ITEM-1","issue":"4","issued":{"date-parts":[["2004"]]},"page":"449-454","title":"Low Back Pain Among Endurance Athletes With and Without Specific Back Loading - A Cross-Sectional Survey of Cross-Country Skiers, Rowers, Orienteerers, and Nonathletic Controls","type":"article-journal","volume":"29"},"uris":["http://www.mendeley.com/documents/?uuid=36b30f2e-19c4-403c-8cc3-871144f03e34"]}],"mendeley":{"formattedCitation":"(9)","plainTextFormattedCitation":"(9)","previouslyFormattedCitation":"(9)"},"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(9)</w:t>
      </w:r>
      <w:r w:rsidRPr="009A4FAB">
        <w:rPr>
          <w:color w:val="000000" w:themeColor="text1"/>
        </w:rPr>
        <w:fldChar w:fldCharType="end"/>
      </w:r>
      <w:r w:rsidRPr="009A4FAB">
        <w:rPr>
          <w:rFonts w:eastAsia="MS Mincho"/>
          <w:color w:val="000000" w:themeColor="text1"/>
          <w:sz w:val="22"/>
          <w:szCs w:val="22"/>
        </w:rPr>
        <w:t xml:space="preserve"> </w:t>
      </w:r>
      <w:r w:rsidRPr="009A4FAB">
        <w:rPr>
          <w:color w:val="000000" w:themeColor="text1"/>
          <w:sz w:val="22"/>
          <w:szCs w:val="22"/>
        </w:rPr>
        <w:t>The history of a significant low back injury was determined by asking participants: “have you ever sustained a significant low back injury that caused pain for most days during a one-month period and for which you consulted a medical professional or a health provider such as a general practitioner?”</w:t>
      </w:r>
      <w:r w:rsidRPr="009A4FAB">
        <w:rPr>
          <w:rFonts w:eastAsia="MS Mincho"/>
          <w:color w:val="000000" w:themeColor="text1"/>
          <w:sz w:val="22"/>
          <w:szCs w:val="22"/>
        </w:rPr>
        <w:t xml:space="preserve"> </w:t>
      </w:r>
      <w:r w:rsidRPr="009A4FAB">
        <w:rPr>
          <w:color w:val="000000" w:themeColor="text1"/>
          <w:sz w:val="22"/>
          <w:szCs w:val="22"/>
        </w:rPr>
        <w:t>Injury data was collected in line with International Olympic Committee injury surveillance methods.</w:t>
      </w:r>
      <w:r w:rsidRPr="009A4FAB">
        <w:rPr>
          <w:color w:val="000000" w:themeColor="text1"/>
        </w:rPr>
        <w:fldChar w:fldCharType="begin" w:fldLock="1"/>
      </w:r>
      <w:r w:rsidRPr="009A4FAB">
        <w:rPr>
          <w:color w:val="000000" w:themeColor="text1"/>
          <w:sz w:val="22"/>
          <w:szCs w:val="22"/>
          <w:vertAlign w:val="superscript"/>
        </w:rPr>
        <w:instrText>ADDIN CSL_CITATION {"citationItems":[{"id":"ITEM-1","itemData":{"author":[{"dropping-particle":"","family":"Soligard","given":"T","non-dropping-particle":"","parse-names":false,"suffix":""},{"dropping-particle":"","family":"Steffen","given":"K","non-dropping-particle":"","parse-names":false,"suffix":""},{"dropping-particle":"","family":"Palmer-Green","given":"D","non-dropping-particle":"","parse-names":false,"suffix":""},{"dropping-particle":"","family":"Aubry","given":"M","non-dropping-particle":"","parse-names":false,"suffix":""},{"dropping-particle":"","family":"Grant","given":"M. E","non-dropping-particle":"","parse-names":false,"suffix":""},{"dropping-particle":"","family":"Meeuwisse","given":"W","non-dropping-particle":"","parse-names":false,"suffix":""},{"dropping-particle":"","family":"Mountjoy","given":"M","non-dropping-particle":"","parse-names":false,"suffix":""},{"dropping-particle":"","family":"Budgett","given":"R","non-dropping-particle":"","parse-names":false,"suffix":""},{"dropping-particle":"","family":"Engebretsen","given":"L","non-dropping-particle":"","parse-names":false,"suffix":""}],"container-title":"British Journal of Sports Medicine","id":"ITEM-1","issue":"7","issued":{"date-parts":[["2015"]]},"page":"441-7","title":"Sports injuries and illnesses in the Sochi 2014 Olympic Winter Games","type":"article-journal","volume":"49"},"uris":["http://www.mendeley.com/documents/?uuid=7e705f08-4aeb-4c7b-8a38-8e52ea8beb36"]}],"mendeley":{"formattedCitation":"(15)","plainTextFormattedCitation":"(15)","previouslyFormattedCitation":"(15)"},"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(15)</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vertAlign w:val="superscript"/>
        </w:rPr>
        <w:instrText>ADDIN CSL_CITATION {"citationItems":[{"id":"ITEM-1","itemData":{"DOI":"10.1136/bjsports-2017-097956","ISSN":"14730480","PMID":"28756389","abstract":"Objective To describe the pattern of injuries and illnesses sustained during the Games of the XXXI Olympiad, hosted by Rio de Janeiro from 5 to 21 August 2016. Methods We recorded the daily incidence of athlete injuries and illnesses (1) through the reporting of all National Olympic Committee (NOC) medical teams and (2) in the polyclinic and medical venues by the Rio 2016 medical staff. Results In total, 11 274 athletes (5089 women, 45%; 6185 men, 55%) from 207 NOCs participated in the study. NOC and Rio 2016 medical staff reported 1101 injuries and 651 illnesses, equalling 9.8 injuries and 5.4 illnesses per 100 athletes over the 17-day period. Altogether, 8% of the athletes incurred at least one injury and 5% at least one illness. The injury incidence was highest in BMX cycling (38% of the athletes injured), boxing (30%), mountain bike cycling (24%), taekwondo (24%), water polo (19%) and rugby (19%), and lowest in canoe slalom, rowing, shooting, archery, swimming, golf and table tennis (0%-3%). Of the 1101 injuries recorded, 40% and 20% were estimated to lead to ≥1 and &gt;7 days of absence from sport, respectively. Women suffered 40% more illnesses than men. Illness was generally less common than injury, with the highest incidence recorded in diving (12%), open-water marathon (12%), sailing (12%), canoe slalom (11%), equestrian (11%) and synchronised swimming (10%). Illnesses were also less severe; 18% were expected to result in time loss. Of the illnesses, 47% affected the respiratory system and 21% the gastrointestinal system. The anticipated problem of infections in the Rio Olympic Games did not materialise, as the proportion of athletes with infectious diseases mirrored that of recent Olympic Games (3%). Conclusion Overall, 8% of the athletes incurred at least one injury during the Olympic Games, and 5% an illness, which is slightly lower than in the Olympic Summer Games of 2008 and 2012.","author":[{"dropping-particle":"","family":"Soligard","given":"T","non-dropping-particle":"","parse-names":false,"suffix":""},{"dropping-particle":"","family":"Steffen","given":"K","non-dropping-particle":"","parse-names":false,"suffix":""},{"dropping-particle":"","family":"Palmer","given":"D","non-dropping-particle":"","parse-names":false,"suffix":""},{"dropping-particle":"","family":"Alonso","given":"J. M","non-dropping-particle":"","parse-names":false,"suffix":""},{"dropping-particle":"","family":"Bahr","given":"R","non-dropping-particle":"","parse-names":false,"suffix":""},{"dropping-particle":"","family":"Lopes","given":"A. D","non-dropping-particle":"","parse-names":false,"suffix":""},{"dropping-particle":"","family":"Dvorak","given":"J","non-dropping-particle":"","parse-names":false,"suffix":""},{"dropping-particle":"","family":"Grant","given":"M. E","non-dropping-particle":"","parse-names":false,"suffix":""},{"dropping-particle":"","family":"Meeuwisse","given":"W","non-dropping-particle":"","parse-names":false,"suffix":""},{"dropping-particle":"","family":"Mountjoy","given":"M","non-dropping-particle":"","parse-names":false,"suffix":""},{"dropping-particle":"","family":"Pena Costa","given":"L.O","non-dropping-particle":"","parse-names":false,"suffix":""},{"dropping-particle":"","family":"Salmina","given":"N","non-dropping-particle":"","parse-names":false,"suffix":""},{"dropping-particle":"","family":"Budgett","given":"R","non-dropping-particle":"","parse-names":false,"suffix":""},{"dropping-particle":"","family":"Engebretsen","given":"L","non-dropping-particle":"","parse-names":false,"suffix":""}],"container-title":"British Journal of Sports Medicine","id":"ITEM-1","issue":"17","issued":{"date-parts":[["2017"]]},"page":"1265-1271","title":"Sports injury and illness incidence in the Rio de Janeiro 2016 Olympic Summer Games: A prospective study of 11274 athletes from 207 countries","type":"article-journal","volume":"51"},"uris":["http://www.mendeley.com/documents/?uuid=4e36c539-6422-44a9-90f9-5aff81f9f47d"]}],"mendeley":{"formattedCitation":"(16)","plainTextFormattedCitation":"(16)","previouslyFormattedCitation":"(16)"},"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(16)</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rPr>
        <w:instrText>ADDIN CSL_CITATION {"citationItems":[{"id":"ITEM-1","itemData":{"ISBN":"1473-0480 (Electronic)\\n0306-3674 (Linking)","ISSN":"0306-3674","PMID":"18390916","abstract":"BACKGROUND: The protection of athletes' health by preventing injuries is an important task for international sports federations. Standardised injury surveillance provides not only important epidemiological information, but also directions for injury prevention, and the opportunity for monitoring long-term changes in the frequency and circumstances of injury. Numerous studies have evaluated sports injuries during the season, but few have focused on injuries during major sport events such as World Championships, World Cups or the Olympic Games. OBJECTIVES: To provide an injury surveillance system for multi-sports tournaments, using the 2008 Olympic Games in Beijing as an example. METHODS: A group of experienced researchers reviewed existing injury report systems and developed a scientific sound and concise injury surveillance system for large multi-sport events. RESULTS: The injury report system for multi-sport events is based on an established system for team sports tournaments and has proved feasible for individual sports during the International Association of Athletics Federations World Championships in Athletics 2007. The most important principles and advantages of the system are comprehensive definition of injury, injury report by the physician responsible for the athlete, a single-page report of all injuries, and daily report irrespective of whether or not an injury occurred. Implementation of the injury surveillance system, all definitions, the report form, and the analysis of data are described in detail to enable other researchers to implement the injury surveillance system in any sports tournament. CONCLUSION: The injury surveillance system has been accepted by experienced team physicians and shown to be feasible for single-sport and multi-sport events. It can be modified depending on the specific objectives of a certain sport or research question; however, a standardised use of injury definition, report forms and methodology will ensure the comparability of results.","author":[{"dropping-particle":"","family":"Junge","given":"A","non-dropping-particle":"","parse-names":false,"suffix":""},{"dropping-particle":"","family":"Engebretsen","given":"L","non-dropping-particle":"","parse-names":false,"suffix":""},{"dropping-particle":"","family":"Alonso","given":"J. M","non-dropping-particle":"","parse-names":false,"suffix":""},{"dropping-particle":"","family":"Renström","given":"P","non-dropping-particle":"","parse-names":false,"suffix":""},{"dropping-particle":"","family":"Mountjoy","given":"M","non-dropping-particle":"","parse-names":false,"suffix":""},{"dropping-particle":"","family":"Aubry","given":"M","non-dropping-particle":"","parse-names":false,"suffix":""},{"dropping-particle":"","family":"Dvorak","given":"J","non-dropping-particle":"","parse-names":false,"suffix":""}],"container-title":"British Journal of Sports Medicine","id":"ITEM-1","issue":"6","issued":{"date-parts":[["2008"]]},"page":"413-421","title":"Injury surveillance in multi-sport events: the International Olympic Committee approach.","type":"article-journal","volume":"42"},"uris":["http://www.mendeley.com/documents/?uuid=a5d846fe-2110-481e-b00e-3cb385dbcf33"]}],"mendeley":{"formattedCitation":"(17)","plainTextFormattedCitation":"(17)","previouslyFormattedCitation":"(17)"},"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(17)</w:t>
      </w:r>
      <w:r w:rsidRPr="009A4FAB">
        <w:rPr>
          <w:color w:val="000000" w:themeColor="text1"/>
        </w:rPr>
        <w:fldChar w:fldCharType="end"/>
      </w:r>
      <w:r w:rsidRPr="009A4FAB">
        <w:rPr>
          <w:color w:val="000000" w:themeColor="text1"/>
          <w:sz w:val="22"/>
          <w:szCs w:val="22"/>
        </w:rPr>
        <w:t xml:space="preserve"> For the present study we examined injuries to the lower back that occurred during training for, and/or competition, as part of the athletes Olympic-career.</w:t>
      </w:r>
      <w:r w:rsidRPr="009A4FAB">
        <w:rPr>
          <w:color w:val="000000" w:themeColor="text1"/>
          <w:sz w:val="22"/>
          <w:szCs w:val="22"/>
          <w:vertAlign w:val="superscript"/>
        </w:rPr>
        <w:t xml:space="preserve"> </w:t>
      </w:r>
      <w:r w:rsidRPr="009A4FAB">
        <w:rPr>
          <w:color w:val="000000" w:themeColor="text1"/>
          <w:sz w:val="22"/>
          <w:szCs w:val="22"/>
          <w:lang w:val="en-US"/>
        </w:rPr>
        <w:t xml:space="preserve">Non-sporting occupations were </w:t>
      </w:r>
      <w:r w:rsidRPr="009A4FAB">
        <w:rPr>
          <w:color w:val="000000" w:themeColor="text1"/>
          <w:sz w:val="22"/>
          <w:szCs w:val="22"/>
        </w:rPr>
        <w:t>classified according to high or low risk groups.</w:t>
      </w:r>
      <w:r w:rsidRPr="009A4FAB">
        <w:rPr>
          <w:color w:val="000000" w:themeColor="text1"/>
        </w:rPr>
        <w:fldChar w:fldCharType="begin" w:fldLock="1"/>
      </w:r>
      <w:r w:rsidRPr="009A4FAB">
        <w:rPr>
          <w:color w:val="000000" w:themeColor="text1"/>
          <w:sz w:val="22"/>
          <w:szCs w:val="22"/>
          <w:vertAlign w:val="superscript"/>
        </w:rPr>
        <w:instrText>ADDIN CSL_CITATION {"citationItems":[{"id":"ITEM-1","itemData":{"DOI":"10.1136/oem.54.10.741","ISSN":"13510711","PMID":"9404322","abstract":"Objectives - To find associations between the prevalence of low back pain and occupational activities. Methods - Interviews of a random sample of 5185 19-59 year old Danish employees analysed by logistic regression. Results--Increased risks of low back pain were found for 'vibration affecting the whole body' (odds ratio (OR)=1.28), 'physically hard work' (OR=1.28), 'frequently twisting or bending' (OR=1.71), 'standing up' (OR=1.20), and 'concentration demands' (OR=1.28). In the analysis of dose-response relations between low back pain and the risk factors, the one year period prevalence increased with increasing exposure time during a working day to each of the risk factors. The prevalence proportion ratio for those reporting to be exposed for most of the working time were 1.30 for vibrations affecting the whole body, 1.54 for physically hard work, 1.48 for frequently twisting or bending, 1.29 for standing up, and 1.13 for concentration demands. These associations seemed to be stronger in the subset of subjects who worked for 37 hours or more per week. The population attributable fractions were 15.1% for frequently twisting or bending, 15.0% for standing up, 7.6% for concentration demands, and 4.4% for physically hard work. Conclusion - Vibrations affecting the whole body, physically hard work, frequently twisting or bending, standing up, and concentration demands proved to be risk factors for the occurrence of low back pain, even after controlling for age, sex, educational level and duration of employment in a specific occupation.","author":[{"dropping-particle":"","family":"Xu","given":"X","non-dropping-particle":"","parse-names":false,"suffix":""},{"dropping-particle":"","family":"Bach","given":"E","non-dropping-particle":"","parse-names":false,"suffix":""},{"dropping-particle":"","family":"Ørhede","given":"E","non-dropping-particle":"","parse-names":false,"suffix":""}],"container-title":"Occupational and Environmental Medicine","id":"ITEM-1","issue":"10","issued":{"date-parts":[["1997"]]},"page":"741-745","title":"Work environment and low back pain: The influence of occupational activities","type":"article-journal","volume":"54"},"uris":["http://www.mendeley.com/documents/?uuid=1674c6ec-db4d-4159-a922-ebdaa8658677"]}],"mendeley":{"formattedCitation":"(18)","plainTextFormattedCitation":"(18)","previouslyFormattedCitation":"(18)"},"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(18)</w:t>
      </w:r>
      <w:r w:rsidRPr="009A4FAB">
        <w:rPr>
          <w:color w:val="000000" w:themeColor="text1"/>
        </w:rPr>
        <w:fldChar w:fldCharType="end"/>
      </w:r>
      <w:r w:rsidRPr="009A4FAB">
        <w:rPr>
          <w:color w:val="000000" w:themeColor="text1"/>
          <w:sz w:val="22"/>
          <w:szCs w:val="22"/>
        </w:rPr>
        <w:t xml:space="preserve"> Joint flexibility was determined by self-examination using a validated line drawing instrument of the modified 9-point Beighton score.</w:t>
      </w:r>
      <w:r w:rsidRPr="009A4FAB">
        <w:rPr>
          <w:color w:val="000000" w:themeColor="text1"/>
        </w:rPr>
        <w:fldChar w:fldCharType="begin" w:fldLock="1"/>
      </w:r>
      <w:r w:rsidRPr="009A4FAB">
        <w:rPr>
          <w:color w:val="000000" w:themeColor="text1"/>
          <w:sz w:val="22"/>
          <w:szCs w:val="22"/>
          <w:vertAlign w:val="superscript"/>
        </w:rPr>
        <w:instrText>ADDIN CSL_CITATION {"citationItems":[{"id":"ITEM-1","itemData":{"DOI":"10.1186/s12874-017-0464-8","ISSN":"14712288","abstract":"© 2018 The Author(s). Background: The impracticalities and comparative expense of carrying out a clinical assessment is an obstacle in many large epidemiological studies. The purpose of this study was to develop and validate a series of electronic self-reported line drawing instruments based on the modified Beighton scoring system for the assessment of self-reported generalised joint hypermobility. Methods: Five sets of line drawings were created to depict the 9-point Beighton score criteria. Each instrument consisted of an explanatory question whereby participants were asked to select the line drawing which best represented their joints. Fifty participants completed the self-report online instrument on two occasions, before attending a clinical assessment. A blinded expert clinical observer then assessed participants' on two occasions, using a standardised goniometry measurement protocol. Validity of the instrument was assessed by participant-observer agreement and reliability by participant repeatability and observer repeatability using unweighted Cohen's kappa (k). Validity and reliability were assessed for each item in the self-reported instrument separately, and for the sum of the total scores. An aggregate score for generalised joint hypermobility was determined based on a Beighton score of 4 or more out of 9. Results: Observer-repeatability between the two clinical assessments demonstrated perfect agreement (k 1.00; 95% CI 1.00, 1.00). Self-reported participant-repeatability was lower but it was still excellent (k 0.91; 95% CI 0.74, 1.00). The participant-observer agreement was excellent (k 0.96; 95% CI 0.87, 1.00). Validity was excellent for the self-report instrument, with a good sensitivity of 0.87 (95% CI 0.81, 0.91) and excellent specificity of 0.99 (95% CI 0.98, 1.00). Conclusions: The self-reported instrument provides a valid and reliable assessment of the presence of generalised joint hypermobility and may have practical use in epidemiological studies.","author":[{"dropping-particle":"","family":"Cooper","given":"D.J.","non-dropping-particle":"","parse-names":false,"suffix":""},{"dropping-particle":"","family":"Scammell","given":"B.E.","non-dropping-particle":"","parse-names":false,"suffix":""},{"dropping-particle":"","family":"Batt","given":"M.E.","non-dropping-particle":"","parse-names":false,"suffix":""},{"dropping-particle":"","family":"Palmer","given":"D.","non-dropping-particle":"","parse-names":false,"suffix":""}],"container-title":"BMC Medical Research Methodology","id":"ITEM-1","issue":"1","issued":{"date-parts":[["2018"]]},"title":"Development and validation of self-reported line drawings of the modified Beighton score for the assessment of generalised joint hypermobility","type":"article-journal","volume":"18"},"uris":["http://www.mendeley.com/documents/?uuid=f4f150a8-ce16-38ad-9af2-6833bf855424"]}],"mendeley":{"formattedCitation":"(19)","plainTextFormattedCitation":"(19)","previouslyFormattedCitation":"(19)"},"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(19)</w:t>
      </w:r>
      <w:r w:rsidRPr="009A4FAB">
        <w:rPr>
          <w:color w:val="000000" w:themeColor="text1"/>
        </w:rPr>
        <w:fldChar w:fldCharType="end"/>
      </w:r>
      <w:r w:rsidRPr="009A4FAB">
        <w:rPr>
          <w:color w:val="000000" w:themeColor="text1"/>
          <w:sz w:val="22"/>
          <w:szCs w:val="22"/>
        </w:rPr>
        <w:t xml:space="preserve"> A cut-off threshold of equal to or greater than 4 out of 9 was used to denote generalised joint hypermobility.</w:t>
      </w:r>
      <w:r w:rsidRPr="009A4FAB">
        <w:rPr>
          <w:color w:val="000000" w:themeColor="text1"/>
        </w:rPr>
        <w:fldChar w:fldCharType="begin" w:fldLock="1"/>
      </w:r>
      <w:r w:rsidRPr="009A4FAB">
        <w:rPr>
          <w:rFonts w:eastAsia="MS Mincho"/>
          <w:color w:val="000000" w:themeColor="text1"/>
          <w:sz w:val="22"/>
          <w:szCs w:val="22"/>
          <w:vertAlign w:val="superscript"/>
          <w:lang w:val="en-US"/>
        </w:rPr>
        <w:instrText>ADDIN CSL_CITATION {"citationItems":[{"id":"ITEM-1","itemData":{"author":[{"dropping-particle":"","family":"Remvig","given":"L","non-dropping-particle":"","parse-names":false,"suffix":""},{"dropping-particle":"V","family":"Jensen","given":"D.","non-dropping-particle":"","parse-names":false,"suffix":""},{"dropping-particle":"","family":"Ward","given":"R. C","non-dropping-particle":"","parse-names":false,"suffix":""}],"container-title":"Journal of Rheumatology","id":"ITEM-1","issue":"4","issued":{"date-parts":[["2007"]]},"page":"798-803","title":"Are diagnostic criteria for general joint hypermobility and benign joint hypermobility syndrome based on reproducible and valid tests? A review of the literature","type":"article-journal","volume":"34"},"uris":["http://www.mendeley.com/documents/?uuid=7c749cca-2817-482b-9f8f-d5cb02fa1079"]}],"mendeley":{"formattedCitation":"(20)","plainTextFormattedCitation":"(20)","previouslyFormattedCitation":"(20)"},"properties":{"noteIndex":0},"schema":"https://github.com/citation-style-language/schema/raw/master/csl-citation.json"}</w:instrText>
      </w:r>
      <w:r w:rsidRPr="009A4FAB">
        <w:rPr>
          <w:color w:val="000000" w:themeColor="text1"/>
        </w:rPr>
        <w:fldChar w:fldCharType="separate"/>
      </w:r>
      <w:r w:rsidRPr="009A4FAB">
        <w:rPr>
          <w:rFonts w:eastAsia="MS Mincho"/>
          <w:noProof/>
          <w:color w:val="000000" w:themeColor="text1"/>
          <w:sz w:val="22"/>
          <w:szCs w:val="22"/>
          <w:lang w:val="en-US"/>
        </w:rPr>
        <w:t>(20)</w:t>
      </w:r>
      <w:r w:rsidRPr="009A4FAB">
        <w:rPr>
          <w:color w:val="000000" w:themeColor="text1"/>
        </w:rPr>
        <w:fldChar w:fldCharType="end"/>
      </w:r>
      <w:r w:rsidRPr="009A4FAB">
        <w:rPr>
          <w:rFonts w:eastAsia="MS Mincho"/>
          <w:color w:val="000000" w:themeColor="text1"/>
          <w:sz w:val="22"/>
          <w:szCs w:val="22"/>
          <w:lang w:val="en-US"/>
        </w:rPr>
        <w:t xml:space="preserve"> A 100mm visual analogue scale was used to rate current back pain intensity from no pain (0 mm) to unbearable pain (100 mm). Widespread pain was recorded </w:t>
      </w:r>
      <w:r w:rsidRPr="009A4FAB">
        <w:rPr>
          <w:color w:val="000000" w:themeColor="text1"/>
          <w:sz w:val="22"/>
          <w:szCs w:val="22"/>
        </w:rPr>
        <w:t>if an individual had greater than or equal to 7 out of 19 regions on the Widespread Pain Index.</w:t>
      </w:r>
      <w:r w:rsidRPr="009A4FAB">
        <w:rPr>
          <w:color w:val="000000" w:themeColor="text1"/>
        </w:rPr>
        <w:fldChar w:fldCharType="begin" w:fldLock="1"/>
      </w:r>
      <w:r w:rsidRPr="009A4FAB">
        <w:rPr>
          <w:rFonts w:eastAsia="MS Mincho"/>
          <w:color w:val="000000" w:themeColor="text1"/>
          <w:sz w:val="22"/>
          <w:szCs w:val="22"/>
          <w:vertAlign w:val="superscript"/>
          <w:lang w:val="en-US"/>
        </w:rPr>
        <w:instrText>ADDIN CSL_CITATION {"citationItems":[{"id":"ITEM-1","itemData":{"DOI":"10.1002/acr.20140","author":[{"dropping-particle":"","family":"Wolfe","given":"F","non-dropping-particle":"","parse-names":false,"suffix":""},{"dropping-particle":"","family":"Clauw","given":"D. J","non-dropping-particle":"","parse-names":false,"suffix":""},{"dropping-particle":"","family":"Fitzcharles","given":"M","non-dropping-particle":"","parse-names":false,"suffix":""},{"dropping-particle":"","family":"Goldenberg","given":"D. L","non-dropping-particle":"","parse-names":false,"suffix":""},{"dropping-particle":"","family":"Katz","given":"R. S","non-dropping-particle":"","parse-names":false,"suffix":""},{"dropping-particle":"","family":"Mease","given":"P","non-dropping-particle":"","parse-names":false,"suffix":""},{"dropping-particle":"","family":"Russell","given":"A. S","non-dropping-particle":"","parse-names":false,"suffix":""},{"dropping-particle":"","family":"Russell","given":"I. J","non-dropping-particle":"","parse-names":false,"suffix":""},{"dropping-particle":"","family":"Winfield","given":"J. B","non-dropping-particle":"","parse-names":false,"suffix":""}],"container-title":"Arthritis Care and Research","id":"ITEM-1","issue":"5","issued":{"date-parts":[["2010"]]},"page":"600-610","title":"The American College of Rheumatology preliminary diagnostic criteria for fibromyalgia and measurement of symptom severity","type":"article-journal","volume":"62"},"uris":["http://www.mendeley.com/documents/?uuid=07520b5e-a5d2-45bd-91b4-88acb39a8f56"]}],"mendeley":{"formattedCitation":"(21)","plainTextFormattedCitation":"(21)","previouslyFormattedCitation":"(21)"},"properties":{"noteIndex":0},"schema":"https://github.com/citation-style-language/schema/raw/master/csl-citation.json"}</w:instrText>
      </w:r>
      <w:r w:rsidRPr="009A4FAB">
        <w:rPr>
          <w:color w:val="000000" w:themeColor="text1"/>
        </w:rPr>
        <w:fldChar w:fldCharType="separate"/>
      </w:r>
      <w:r w:rsidRPr="009A4FAB">
        <w:rPr>
          <w:rFonts w:eastAsia="MS Mincho"/>
          <w:noProof/>
          <w:color w:val="000000" w:themeColor="text1"/>
          <w:sz w:val="22"/>
          <w:szCs w:val="22"/>
          <w:lang w:val="en-US"/>
        </w:rPr>
        <w:t>(21)</w:t>
      </w:r>
      <w:r w:rsidRPr="009A4FAB">
        <w:rPr>
          <w:color w:val="000000" w:themeColor="text1"/>
        </w:rPr>
        <w:fldChar w:fldCharType="end"/>
      </w:r>
      <w:r w:rsidRPr="009A4FAB">
        <w:rPr>
          <w:rFonts w:eastAsia="MS Mincho"/>
          <w:color w:val="000000" w:themeColor="text1"/>
          <w:sz w:val="22"/>
          <w:szCs w:val="22"/>
          <w:lang w:val="en-US"/>
        </w:rPr>
        <w:t xml:space="preserve"> A </w:t>
      </w:r>
      <w:r w:rsidRPr="009A4FAB">
        <w:rPr>
          <w:color w:val="000000" w:themeColor="text1"/>
          <w:sz w:val="22"/>
          <w:szCs w:val="22"/>
          <w:lang w:val="en-US"/>
        </w:rPr>
        <w:t>cutoff point of 45.6 on the Short Form-12 Mental Health Composite Scale was used to screen for 30-day depressive disorders.</w:t>
      </w:r>
      <w:r w:rsidRPr="009A4FAB">
        <w:rPr>
          <w:color w:val="000000" w:themeColor="text1"/>
        </w:rPr>
        <w:fldChar w:fldCharType="begin" w:fldLock="1"/>
      </w:r>
      <w:r w:rsidRPr="009A4FAB">
        <w:rPr>
          <w:color w:val="000000" w:themeColor="text1"/>
          <w:sz w:val="22"/>
          <w:szCs w:val="22"/>
          <w:vertAlign w:val="superscript"/>
          <w:lang w:val="en-US"/>
        </w:rPr>
        <w:instrText>ADDIN CSL_CITATION {"citationItems":[{"id":"ITEM-1","itemData":{"DOI":"10.1016/j.jval.2013.01.006","ISSN":"10983015","abstract":"Objectives: To evaluate the performance of the Mental Component of the Short-Form 12 Health Survey, Version 1(SF-12v1), as a screening measure of depressive disorders. Methods: Data come from the European Study of the Epidemiology of Mental Disorders (ESEMeD), a cross-sectional survey carried out on representative samples of 21,425 individuals from the noninstitutionalized adult general population of six European countries (response rate = 61.2%). The SF-12 was administered and scored according to three algorithms: the \"original\" method (mental component summary of SF-12 [MCS-12]), the RAND-12 (RAND-12 Mental Health Composite [RAND-12 MHC]), and the Bidemensional Response Process Model 12 mental health score (BRP-12 MHS), based on a two-factor Item Response Theory graded response model. Thirty-day and 12-month depressive disorders (major depressive episode or dysthymia) were assessed with the Composite International Diagnostic Interview, Version 3.0, by using Diagnostic and Statistical Manual of Mental Disorders, Fourth Edition criteria. Receiver operating characteristic curves analysis was carried out, and optimal cutoff points maximizing balance between sensitivity (SN) and specificity (SP) were chosen for the three methods. Results: Prevalence of 30-day and 12-month depressive disorders in the overall sample was 1.5% and 4.4%, respectively. The area under the curve for 30-day depressive disorders was 0.92, and it decreased to 0.85 for 12-month disorders, regardless of the scoring method. Optimal cutoff for 30-day depressive disorders was 45.6 (SN = 0.86; SP = 0.88) for the MCS-12, 44.5 for the RAND-12 MHC (SN = 0.87, SP = 0.86), and 40.2 for the BRP-12 MHS (SN = 0.87, SP = 0.87). The selected 12-month cutoffs for MCS-12 and RAND-12 MHC were between 4.2 and 5.8 points below the general population means of each country, with SN range 0.67 to 0.78 and SP range 0.77 to 0.87. Conclusions: The SF-12 yielded acceptable results for detecting both active and recent depressive disorders in general population samples, suggesting that the questionnaire could be used as a useful screening tool for monitoring the prevalence of affective disorders and for targeting treatment and prevention. © 2013 International Society for Pharmacoeconomics and Outcomes Research (ISPOR).","author":[{"dropping-particle":"","family":"Vilagut","given":"G","non-dropping-particle":"","parse-names":false,"suffix":""},{"dropping-particle":"","family":"Forero","given":"C. G","non-dropping-particle":"","parse-names":false,"suffix":""},{"dropping-particle":"","family":"Pinto-Meza","given":"A","non-dropping-particle":"","parse-names":false,"suffix":""},{"dropping-particle":"","family":"Haro","given":"J. M","non-dropping-particle":"","parse-names":false,"suffix":""},{"dropping-particle":"","family":"Graaf","given":"R","non-dropping-particle":"De","parse-names":false,"suffix":""},{"dropping-particle":"","family":"Bruffaerts","given":"R","non-dropping-particle":"","parse-names":false,"suffix":""},{"dropping-particle":"","family":"Kovess","given":"V","non-dropping-particle":"","parse-names":false,"suffix":""},{"dropping-particle":"","family":"Girolamo","given":"G","non-dropping-particle":"De","parse-names":false,"suffix":""},{"dropping-particle":"","family":"Matschinger","given":"H","non-dropping-particle":"","parse-names":false,"suffix":""},{"dropping-particle":"","family":"Ferrer","given":"M","non-dropping-particle":"","parse-names":false,"suffix":""},{"dropping-particle":"","family":"Alonso","given":"J","non-dropping-particle":"","parse-names":false,"suffix":""}],"container-title":"Value in Health","id":"ITEM-1","issue":"4","issued":{"date-parts":[["2013"]]},"page":"564-573","publisher":"Elsevier","title":"The mental component of the short-form 12 health survey (SF-12) as a measure of depressive disorders in the general population: Results with three alternative scoring methods","type":"article-journal","volume":"16"},"uris":["http://www.mendeley.com/documents/?uuid=262dd496-25a8-4021-ae42-aa3a2d539702"]}],"mendeley":{"formattedCitation":"(22)","plainTextFormattedCitation":"(22)","previouslyFormattedCitation":"(22)"},"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(22)</w:t>
      </w:r>
      <w:r w:rsidRPr="009A4FAB">
        <w:rPr>
          <w:color w:val="000000" w:themeColor="text1"/>
        </w:rPr>
        <w:fldChar w:fldCharType="end"/>
      </w:r>
    </w:p>
    <w:p w14:paraId="08237518" w14:textId="77777777" w:rsidR="008C6D0F" w:rsidRPr="009A4FAB" w:rsidRDefault="008C6D0F" w:rsidP="008C6D0F">
      <w:pPr>
        <w:spacing w:line="360" w:lineRule="auto"/>
        <w:rPr>
          <w:color w:val="000000" w:themeColor="text1"/>
          <w:sz w:val="22"/>
          <w:szCs w:val="22"/>
        </w:rPr>
      </w:pPr>
    </w:p>
    <w:p w14:paraId="534FC7CC" w14:textId="77777777" w:rsidR="008C6D0F" w:rsidRPr="009A4FAB" w:rsidRDefault="008C6D0F" w:rsidP="008C6D0F">
      <w:pPr>
        <w:spacing w:line="360" w:lineRule="auto"/>
        <w:rPr>
          <w:b/>
          <w:color w:val="000000" w:themeColor="text1"/>
          <w:sz w:val="22"/>
          <w:szCs w:val="22"/>
        </w:rPr>
      </w:pPr>
      <w:r w:rsidRPr="009A4FAB">
        <w:rPr>
          <w:b/>
          <w:color w:val="000000" w:themeColor="text1"/>
          <w:sz w:val="22"/>
          <w:szCs w:val="22"/>
        </w:rPr>
        <w:t>2.4 Outcome Measures</w:t>
      </w:r>
    </w:p>
    <w:p w14:paraId="36B0D226" w14:textId="5985B4F5" w:rsidR="008C6D0F" w:rsidRPr="009A4FAB" w:rsidRDefault="008C6D0F" w:rsidP="008C6D0F">
      <w:pPr>
        <w:spacing w:line="360" w:lineRule="auto"/>
        <w:rPr>
          <w:rFonts w:eastAsia="MS Mincho"/>
          <w:color w:val="000000" w:themeColor="text1"/>
          <w:sz w:val="22"/>
          <w:szCs w:val="22"/>
          <w:lang w:val="en-US"/>
        </w:rPr>
      </w:pPr>
      <w:r w:rsidRPr="009A4FAB">
        <w:rPr>
          <w:rFonts w:eastAsia="MS Mincho"/>
          <w:color w:val="000000" w:themeColor="text1"/>
          <w:sz w:val="22"/>
          <w:szCs w:val="22"/>
          <w:lang w:val="en-US"/>
        </w:rPr>
        <w:t xml:space="preserve">The questionnaire incorporated </w:t>
      </w:r>
      <w:r w:rsidRPr="009A4FAB">
        <w:rPr>
          <w:color w:val="000000" w:themeColor="text1"/>
          <w:sz w:val="22"/>
          <w:szCs w:val="22"/>
        </w:rPr>
        <w:t>a standardised back pain question:</w:t>
      </w:r>
      <w:r w:rsidRPr="009A4FAB">
        <w:rPr>
          <w:rFonts w:eastAsia="MS Mincho"/>
          <w:color w:val="000000" w:themeColor="text1"/>
          <w:sz w:val="22"/>
          <w:szCs w:val="22"/>
          <w:lang w:val="en-US"/>
        </w:rPr>
        <w:t xml:space="preserve"> ‘</w:t>
      </w:r>
      <w:r w:rsidR="00FA6B5B" w:rsidRPr="009A4FAB">
        <w:rPr>
          <w:rFonts w:eastAsia="MS Mincho"/>
          <w:color w:val="000000" w:themeColor="text1"/>
          <w:sz w:val="22"/>
          <w:szCs w:val="22"/>
          <w:lang w:val="en-US"/>
        </w:rPr>
        <w:t xml:space="preserve">do you have lower back pain that has </w:t>
      </w:r>
      <w:r w:rsidR="00573FB6">
        <w:rPr>
          <w:rFonts w:eastAsia="MS Mincho"/>
          <w:color w:val="000000" w:themeColor="text1"/>
          <w:sz w:val="22"/>
          <w:szCs w:val="22"/>
          <w:lang w:val="en-US"/>
        </w:rPr>
        <w:t>been present</w:t>
      </w:r>
      <w:r w:rsidR="00FA6B5B" w:rsidRPr="009A4FAB">
        <w:rPr>
          <w:rFonts w:eastAsia="MS Mincho"/>
          <w:color w:val="000000" w:themeColor="text1"/>
          <w:sz w:val="22"/>
          <w:szCs w:val="22"/>
          <w:lang w:val="en-US"/>
        </w:rPr>
        <w:t xml:space="preserve"> on most days </w:t>
      </w:r>
      <w:r w:rsidR="00573FB6">
        <w:rPr>
          <w:rFonts w:eastAsia="MS Mincho"/>
          <w:color w:val="000000" w:themeColor="text1"/>
          <w:sz w:val="22"/>
          <w:szCs w:val="22"/>
          <w:lang w:val="en-US"/>
        </w:rPr>
        <w:t>in</w:t>
      </w:r>
      <w:r w:rsidR="00FA6B5B" w:rsidRPr="009A4FAB">
        <w:rPr>
          <w:rFonts w:eastAsia="MS Mincho"/>
          <w:color w:val="000000" w:themeColor="text1"/>
          <w:sz w:val="22"/>
          <w:szCs w:val="22"/>
          <w:lang w:val="en-US"/>
        </w:rPr>
        <w:t xml:space="preserve"> the past 4-weeks’.</w:t>
      </w:r>
      <w:r w:rsidRPr="009A4FAB">
        <w:rPr>
          <w:color w:val="000000" w:themeColor="text1"/>
        </w:rPr>
        <w:fldChar w:fldCharType="begin" w:fldLock="1"/>
      </w:r>
      <w:r w:rsidRPr="009A4FAB">
        <w:rPr>
          <w:color w:val="000000" w:themeColor="text1"/>
          <w:sz w:val="22"/>
          <w:szCs w:val="22"/>
        </w:rPr>
        <w:instrText>ADDIN CSL_CITATION {"citationItems":[{"id":"ITEM-1","itemData":{"DOI":"10.1097/BRS.0b013e31815e7f94","ISSN":"03622436","abstract":"STUDY DESIGN. A modified Delphi study conducted with 28 experts in back pain research from 12 countries. OBJECTIVE. To identify standardized definitions of low back pain that could be consistently used by investigators in prevalence studies to provide comparable data. SUMMARY OF BACKGROUND DATA. Differences in the definition of back pain prevalence in population studies lead to heterogeneity in study findings, and limitations or impossibilities in comparing or summarizing prevalence figures from different studies. METHODS. Back pain definitions were identified from 51 articles reporting population-based prevalence studies, and dissected into 77 items documenting 7 elements. These items were submitted to a panel of experts for rating and reduction, in 3 rounds (participation: 76%). Preliminary results were presented and discussed during the Amsterdam Forum VIII for Primary Care Research on Low Back Pain, compared with scientific evidence and confirmed and fine-tuned by the panel in a fourth round and the preparation of the current article. RESULTS. Two definitions were agreed on a minimal definition (with 1 question covering site of low back pain, symptoms observed, and time frame of the measure, and a second question on severity of low back pain) and an optimal definition that is made from the minimal definition and add-ons (covering frequency and duration of symptoms, an additional measure of severity, sciatica, and exclusions) that can be adapted to different needs. CONCLUSION. These definitions provide standards that may improve future comparisons of low back pain prevalence figures by person, place and time characteristics, and offer opportunities for statistical summaries. © 2008 Lippincott Williams &amp; Wilkins, Inc.","author":[{"dropping-particle":"","family":"Dionne","given":"C. E","non-dropping-particle":"","parse-names":false,"suffix":""},{"dropping-particle":"","family":"Dunn","given":"K. M","non-dropping-particle":"","parse-names":false,"suffix":""},{"dropping-particle":"","family":"Croft","given":"P. R","non-dropping-particle":"","parse-names":false,"suffix":""},{"dropping-particle":"","family":"Nachemson","given":"A. L","non-dropping-particle":"","parse-names":false,"suffix":""},{"dropping-particle":"","family":"Buchbinder","given":"R","non-dropping-particle":"","parse-names":false,"suffix":""},{"dropping-particle":"","family":"Walker","given":"B. F","non-dropping-particle":"","parse-names":false,"suffix":""},{"dropping-particle":"","family":"Wyatt","given":"M","non-dropping-particle":"","parse-names":false,"suffix":""},{"dropping-particle":"","family":"Cassidy","given":"J. D","non-dropping-particle":"","parse-names":false,"suffix":""},{"dropping-particle":"","family":"Rossignol","given":"M","non-dropping-particle":"","parse-names":false,"suffix":""},{"dropping-particle":"","family":"Leboeuf-Yde","given":"C","non-dropping-particle":"","parse-names":false,"suffix":""},{"dropping-particle":"","family":"Hartvigsen","given":"J","non-dropping-particle":"","parse-names":false,"suffix":""},{"dropping-particle":"","family":"Leino-Arjas","given":"P","non-dropping-particle":"","parse-names":false,"suffix":""},{"dropping-particle":"","family":"Latza","given":"Ute","non-dropping-particle":"","parse-names":false,"suffix":""},{"dropping-particle":"","family":"Reis","given":"Shmuel","non-dropping-particle":"","parse-names":false,"suffix":""},{"dropping-particle":"","family":"Gil Del Real","given":"M.T","non-dropping-particle":"","parse-names":false,"suffix":""},{"dropping-particle":"","family":"Kovacs","given":"F. M","non-dropping-particle":"","parse-names":false,"suffix":""},{"dropping-particle":"","family":"Öberg","given":"B","non-dropping-particle":"","parse-names":false,"suffix":""},{"dropping-particle":"","family":"Cedraschi","given":"C","non-dropping-particle":"","parse-names":false,"suffix":""},{"dropping-particle":"","family":"Bouter","given":"L. M","non-dropping-particle":"","parse-names":false,"suffix":""},{"dropping-particle":"","family":"Koes","given":"B. W","non-dropping-particle":"","parse-names":false,"suffix":""},{"dropping-particle":"","family":"Picavet","given":"H. S. J","non-dropping-particle":"","parse-names":false,"suffix":""},{"dropping-particle":"","family":"Tulder","given":"M. W","non-dropping-particle":"Van","parse-names":false,"suffix":""},{"dropping-particle":"","family":"Burton","given":"K","non-dropping-particle":"","parse-names":false,"suffix":""},{"dropping-particle":"","family":"Foster","given":"N. E","non-dropping-particle":"","parse-names":false,"suffix":""},{"dropping-particle":"","family":"MacFarlane","given":"G. J","non-dropping-particle":"","parse-names":false,"suffix":""},{"dropping-particle":"","family":"Thomas","given":"E","non-dropping-particle":"","parse-names":false,"suffix":""},{"dropping-particle":"","family":"Underwood","given":"M","non-dropping-particle":"","parse-names":false,"suffix":""},{"dropping-particle":"","family":"Waddell","given":"G","non-dropping-particle":"","parse-names":false,"suffix":""},{"dropping-particle":"","family":"Shekelle","given":"P","non-dropping-particle":"","parse-names":false,"suffix":""},{"dropping-particle":"","family":"Volinn","given":"E","non-dropping-particle":"","parse-names":false,"suffix":""},{"dropping-particle":"","family":"Korff","given":"M","non-dropping-particle":"Von","parse-names":false,"suffix":""}],"container-title":"Spine","id":"ITEM-1","issue":"1","issued":{"date-parts":[["2008"]]},"page":"95-103","title":"A consensus approach toward the standardization of back pain definitions for use in prevalence studies","type":"article-journal","volume":"33"},"uris":["http://www.mendeley.com/documents/?uuid=d5866033-4da9-4864-8513-3498bbfa8722"]}],"mendeley":{"formattedCitation":"(23)","plainTextFormattedCitation":"(23)","previouslyFormattedCitation":"(23)"},"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(23)</w:t>
      </w:r>
      <w:r w:rsidRPr="009A4FAB">
        <w:rPr>
          <w:color w:val="000000" w:themeColor="text1"/>
        </w:rPr>
        <w:fldChar w:fldCharType="end"/>
      </w:r>
      <w:r w:rsidRPr="009A4FAB">
        <w:rPr>
          <w:rFonts w:eastAsia="MS Mincho"/>
          <w:color w:val="000000" w:themeColor="text1"/>
          <w:sz w:val="22"/>
          <w:szCs w:val="22"/>
          <w:lang w:val="en-US"/>
        </w:rPr>
        <w:t xml:space="preserve"> This was repeated for ‘low</w:t>
      </w:r>
      <w:r w:rsidR="009B2225">
        <w:rPr>
          <w:rFonts w:eastAsia="MS Mincho"/>
          <w:color w:val="000000" w:themeColor="text1"/>
          <w:sz w:val="22"/>
          <w:szCs w:val="22"/>
          <w:lang w:val="en-US"/>
        </w:rPr>
        <w:t>er</w:t>
      </w:r>
      <w:r w:rsidRPr="009A4FAB">
        <w:rPr>
          <w:rFonts w:eastAsia="MS Mincho"/>
          <w:color w:val="000000" w:themeColor="text1"/>
          <w:sz w:val="22"/>
          <w:szCs w:val="22"/>
          <w:lang w:val="en-US"/>
        </w:rPr>
        <w:t xml:space="preserve"> back pain on most days </w:t>
      </w:r>
      <w:r w:rsidR="00573FB6">
        <w:rPr>
          <w:rFonts w:eastAsia="MS Mincho"/>
          <w:color w:val="000000" w:themeColor="text1"/>
          <w:sz w:val="22"/>
          <w:szCs w:val="22"/>
          <w:lang w:val="en-US"/>
        </w:rPr>
        <w:t>in</w:t>
      </w:r>
      <w:r w:rsidRPr="009A4FAB">
        <w:rPr>
          <w:rFonts w:eastAsia="MS Mincho"/>
          <w:color w:val="000000" w:themeColor="text1"/>
          <w:sz w:val="22"/>
          <w:szCs w:val="22"/>
          <w:lang w:val="en-US"/>
        </w:rPr>
        <w:t xml:space="preserve"> the past 12-weeks’. Pain from feverish illness or menstruation were excluded. Pain was included if lasting 4-weeks or longer to avoid trivial bouts of pain. </w:t>
      </w:r>
      <w:r w:rsidRPr="009A4FAB">
        <w:rPr>
          <w:rFonts w:eastAsia="MS Mincho"/>
          <w:color w:val="000000" w:themeColor="text1"/>
          <w:sz w:val="22"/>
          <w:szCs w:val="22"/>
        </w:rPr>
        <w:t>Participants</w:t>
      </w:r>
      <w:r w:rsidRPr="009A4FAB">
        <w:rPr>
          <w:rFonts w:eastAsia="MS Mincho"/>
          <w:color w:val="000000" w:themeColor="text1"/>
          <w:sz w:val="22"/>
          <w:szCs w:val="22"/>
          <w:lang w:val="en-US"/>
        </w:rPr>
        <w:t xml:space="preserve"> were also asked to self-report the location of their back pain and other bodily pain on a body manikin.</w:t>
      </w:r>
      <w:r w:rsidRPr="009A4FAB">
        <w:rPr>
          <w:color w:val="000000" w:themeColor="text1"/>
        </w:rPr>
        <w:fldChar w:fldCharType="begin" w:fldLock="1"/>
      </w:r>
      <w:r w:rsidRPr="009A4FAB">
        <w:rPr>
          <w:rFonts w:eastAsia="MS Mincho"/>
          <w:color w:val="000000" w:themeColor="text1"/>
          <w:sz w:val="22"/>
          <w:szCs w:val="22"/>
          <w:vertAlign w:val="superscript"/>
          <w:lang w:val="en-US"/>
        </w:rPr>
        <w:instrText>ADDIN CSL_CITATION {"citationItems":[{"id":"ITEM-1","itemData":{"ISSN":"0362-2436","PMID":"16103839","abstract":"STUDY DESIGN: Study of interrater reliability. OBJECTIVE: To assess the interrater reliability of data from pain drawings scored by multiple raters and the consistency of the subsequent classification of cases of widespread pain. SUMMARY OF BACKGROUND DATA: In large health surveys, pain drawings used to capture self-reported pain, and to classify cases of widespread pain, are often scored by several raters. The reliability of multiple rater scoring of pain drawings has not been investigated. METHODS: As part of a postal survey sent to adults 50 years and older, subjects were asked to shade their pain on a blank body manikin. The first 50 pain drawings in which respondents had shaded pain were selected for this study. Eight nonclinical staff were trained to score pain drawings using transparent templates divided into 50 body areas. Interrater reliability was assessed by comparing the scoring of \"pain\" or \"no pain\" for all 50 areas of each pain drawing. RESULTS: Complete scoring agreement among all raters was observed for at least 78% of pain drawings across all body areas (kappa &gt; 0.60). The raters had complete agreement in 42 of 50 areas in 90% or more of pain drawings. From the raters' scoring of pain areas, there was complete agreement on the presence or absence of widespread pain for 49 of 50 pain drawings (98% agreement, Kappa = 0.98). CONCLUSIONS: This study shows that multiple raters, with training and guidelines, can reliably score pain drawings, and high consistency in the subsequent classification of cases of widespread pain can be obtained from such data.","author":[{"dropping-particle":"","family":"Lacey","given":"Rosie J","non-dropping-particle":"","parse-names":false,"suffix":""},{"dropping-particle":"","family":"Lewis","given":"Martyn","non-dropping-particle":"","parse-names":false,"suffix":""},{"dropping-particle":"","family":"Jordan","given":"Kelvin","non-dropping-particle":"","parse-names":false,"suffix":""},{"dropping-particle":"","family":"Jinks","given":"Clare","non-dropping-particle":"","parse-names":false,"suffix":""},{"dropping-particle":"","family":"Sim","given":"Julius","non-dropping-particle":"","parse-names":false,"suffix":""}],"container-title":"Spine","id":"ITEM-1","issue":"16","issued":{"date-parts":[["2005"]]},"page":"E455-E458","title":"Interrater reliability of scoring of pain drawings in a self-report health survey.","type":"article-journal","volume":"30"},"uris":["http://www.mendeley.com/documents/?uuid=3dc383c5-d3a3-41a1-897b-10f063509cb3"]}],"mendeley":{"formattedCitation":"(24)","plainTextFormattedCitation":"(24)","previouslyFormattedCitation":"(24)"},"properties":{"noteIndex":0},"schema":"https://github.com/citation-style-language/schema/raw/master/csl-citation.json"}</w:instrText>
      </w:r>
      <w:r w:rsidRPr="009A4FAB">
        <w:rPr>
          <w:color w:val="000000" w:themeColor="text1"/>
        </w:rPr>
        <w:fldChar w:fldCharType="separate"/>
      </w:r>
      <w:r w:rsidRPr="009A4FAB">
        <w:rPr>
          <w:rFonts w:eastAsia="MS Mincho"/>
          <w:noProof/>
          <w:color w:val="000000" w:themeColor="text1"/>
          <w:sz w:val="22"/>
          <w:szCs w:val="22"/>
          <w:lang w:val="en-US"/>
        </w:rPr>
        <w:t>(24)</w:t>
      </w:r>
      <w:r w:rsidRPr="009A4FAB">
        <w:rPr>
          <w:color w:val="000000" w:themeColor="text1"/>
        </w:rPr>
        <w:fldChar w:fldCharType="end"/>
      </w:r>
      <w:r w:rsidRPr="009A4FAB">
        <w:rPr>
          <w:color w:val="000000" w:themeColor="text1"/>
          <w:sz w:val="22"/>
          <w:szCs w:val="22"/>
          <w:lang w:val="en-US"/>
        </w:rPr>
        <w:t xml:space="preserve"> </w:t>
      </w:r>
      <w:r w:rsidRPr="009A4FAB">
        <w:rPr>
          <w:color w:val="000000" w:themeColor="text1"/>
          <w:sz w:val="22"/>
          <w:szCs w:val="22"/>
        </w:rPr>
        <w:t>Low back pain on the manikin was defined as the area on the posterior aspect of the body from the lower margin of the twelfth ribs to the lower gluteal folds (+/-pain referred into one or both lower limbs).</w:t>
      </w:r>
      <w:r w:rsidRPr="009A4FAB">
        <w:rPr>
          <w:color w:val="000000" w:themeColor="text1"/>
        </w:rPr>
        <w:fldChar w:fldCharType="begin" w:fldLock="1"/>
      </w:r>
      <w:r w:rsidRPr="009A4FAB">
        <w:rPr>
          <w:color w:val="000000" w:themeColor="text1"/>
          <w:sz w:val="22"/>
          <w:szCs w:val="22"/>
        </w:rPr>
        <w:instrText>ADDIN CSL_CITATION {"citationItems":[{"id":"ITEM-1","itemData":{"DOI":"10.1097/BRS.0b013e31815e7f94","ISSN":"03622436","abstract":"STUDY DESIGN. A modified Delphi study conducted with 28 experts in back pain research from 12 countries. OBJECTIVE. To identify standardized definitions of low back pain that could be consistently used by investigators in prevalence studies to provide comparable data. SUMMARY OF BACKGROUND DATA. Differences in the definition of back pain prevalence in population studies lead to heterogeneity in study findings, and limitations or impossibilities in comparing or summarizing prevalence figures from different studies. METHODS. Back pain definitions were identified from 51 articles reporting population-based prevalence studies, and dissected into 77 items documenting 7 elements. These items were submitted to a panel of experts for rating and reduction, in 3 rounds (participation: 76%). Preliminary results were presented and discussed during the Amsterdam Forum VIII for Primary Care Research on Low Back Pain, compared with scientific evidence and confirmed and fine-tuned by the panel in a fourth round and the preparation of the current article. RESULTS. Two definitions were agreed on a minimal definition (with 1 question covering site of low back pain, symptoms observed, and time frame of the measure, and a second question on severity of low back pain) and an optimal definition that is made from the minimal definition and add-ons (covering frequency and duration of symptoms, an additional measure of severity, sciatica, and exclusions) that can be adapted to different needs. CONCLUSION. These definitions provide standards that may improve future comparisons of low back pain prevalence figures by person, place and time characteristics, and offer opportunities for statistical summaries. © 2008 Lippincott Williams &amp; Wilkins, Inc.","author":[{"dropping-particle":"","family":"Dionne","given":"C. E","non-dropping-particle":"","parse-names":false,"suffix":""},{"dropping-particle":"","family":"Dunn","given":"K. M","non-dropping-particle":"","parse-names":false,"suffix":""},{"dropping-particle":"","family":"Croft","given":"P. R","non-dropping-particle":"","parse-names":false,"suffix":""},{"dropping-particle":"","family":"Nachemson","given":"A. L","non-dropping-particle":"","parse-names":false,"suffix":""},{"dropping-particle":"","family":"Buchbinder","given":"R","non-dropping-particle":"","parse-names":false,"suffix":""},{"dropping-particle":"","family":"Walker","given":"B. F","non-dropping-particle":"","parse-names":false,"suffix":""},{"dropping-particle":"","family":"Wyatt","given":"M","non-dropping-particle":"","parse-names":false,"suffix":""},{"dropping-particle":"","family":"Cassidy","given":"J. D","non-dropping-particle":"","parse-names":false,"suffix":""},{"dropping-particle":"","family":"Rossignol","given":"M","non-dropping-particle":"","parse-names":false,"suffix":""},{"dropping-particle":"","family":"Leboeuf-Yde","given":"C","non-dropping-particle":"","parse-names":false,"suffix":""},{"dropping-particle":"","family":"Hartvigsen","given":"J","non-dropping-particle":"","parse-names":false,"suffix":""},{"dropping-particle":"","family":"Leino-Arjas","given":"P","non-dropping-particle":"","parse-names":false,"suffix":""},{"dropping-particle":"","family":"Latza","given":"Ute","non-dropping-particle":"","parse-names":false,"suffix":""},{"dropping-particle":"","family":"Reis","given":"Shmuel","non-dropping-particle":"","parse-names":false,"suffix":""},{"dropping-particle":"","family":"Gil Del Real","given":"M.T","non-dropping-particle":"","parse-names":false,"suffix":""},{"dropping-particle":"","family":"Kovacs","given":"F. M","non-dropping-particle":"","parse-names":false,"suffix":""},{"dropping-particle":"","family":"Öberg","given":"B","non-dropping-particle":"","parse-names":false,"suffix":""},{"dropping-particle":"","family":"Cedraschi","given":"C","non-dropping-particle":"","parse-names":false,"suffix":""},{"dropping-particle":"","family":"Bouter","given":"L. M","non-dropping-particle":"","parse-names":false,"suffix":""},{"dropping-particle":"","family":"Koes","given":"B. W","non-dropping-particle":"","parse-names":false,"suffix":""},{"dropping-particle":"","family":"Picavet","given":"H. S. J","non-dropping-particle":"","parse-names":false,"suffix":""},{"dropping-particle":"","family":"Tulder","given":"M. W","non-dropping-particle":"Van","parse-names":false,"suffix":""},{"dropping-particle":"","family":"Burton","given":"K","non-dropping-particle":"","parse-names":false,"suffix":""},{"dropping-particle":"","family":"Foster","given":"N. E","non-dropping-particle":"","parse-names":false,"suffix":""},{"dropping-particle":"","family":"MacFarlane","given":"G. J","non-dropping-particle":"","parse-names":false,"suffix":""},{"dropping-particle":"","family":"Thomas","given":"E","non-dropping-particle":"","parse-names":false,"suffix":""},{"dropping-particle":"","family":"Underwood","given":"M","non-dropping-particle":"","parse-names":false,"suffix":""},{"dropping-particle":"","family":"Waddell","given":"G","non-dropping-particle":"","parse-names":false,"suffix":""},{"dropping-particle":"","family":"Shekelle","given":"P","non-dropping-particle":"","parse-names":false,"suffix":""},{"dropping-particle":"","family":"Volinn","given":"E","non-dropping-particle":"","parse-names":false,"suffix":""},{"dropping-particle":"","family":"Korff","given":"M","non-dropping-particle":"Von","parse-names":false,"suffix":""}],"container-title":"Spine","id":"ITEM-1","issue":"1","issued":{"date-parts":[["2008"]]},"page":"95-103","title":"A consensus approach toward the standardization of back pain definitions for use in prevalence studies","type":"article-journal","volume":"33"},"uris":["http://www.mendeley.com/documents/?uuid=d5866033-4da9-4864-8513-3498bbfa8722"]}],"mendeley":{"formattedCitation":"(23)","plainTextFormattedCitation":"(23)","previouslyFormattedCitation":"(23)"},"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(23)</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rPr>
        <w:instrText>ADDIN CSL_CITATION {"citationItems":[{"id":"ITEM-1","itemData":{"DOI":"10.1136/annrheumdis-2013-204428","ISBN":"2013204647","ISSN":"14682060","PMID":"24665116","abstract":"Objective To estimate the global burden of low back pain (LBP). Methods: LBP was defined as pain in the area on the posterior aspect of the body from the lower margin of the twelfth ribs to the lower glutaeal folds with or without pain referred into one or both lower limbs that lasts for at least one day. Systematic reviews were performed of the prevalence, incidence, remission, duration, and mortality risk of LBP. Four levels of severity were identified for LBP with and without leg pain, each with their own disability weights. The disability weights were applied to prevalence values to derive the overall disability of LBP expressed as years lived with disability (YLDs). As there is no mortality from LBP, YLDs are the same as disability-adjusted life years (DALYs). Results: Out of all 291 conditions studied in the Global Burden of Disease 2010 Study, LBP ranked highest in terms of disability (YLDs), and sixth in terms of overall burden (DALYs). The global point prevalence of LBP was 9.4% (95% CI 9.0 to 9.8). DALYs increased from 58.2 million (M) (95% CI 39.9M to 78.1M) in 1990 to 83.0M (95% CI 56.6M to 111.9M) in 2010. Prevalence and burden increased with age. Conclusions: LBP causes more global disability than any other condition. With the ageing population, there is an urgent need for further research to better understand LBP across different settings.","author":[{"dropping-particle":"","family":"Hoy","given":"D","non-dropping-particle":"","parse-names":false,"suffix":""},{"dropping-particle":"","family":"March","given":"L","non-dropping-particle":"","parse-names":false,"suffix":""},{"dropping-particle":"","family":"Brooks","given":"P","non-dropping-particle":"","parse-names":false,"suffix":""},{"dropping-particle":"","family":"Blyth","given":"F","non-dropping-particle":"","parse-names":false,"suffix":""},{"dropping-particle":"","family":"Woolf","given":"A","non-dropping-particle":"","parse-names":false,"suffix":""},{"dropping-particle":"","family":"Bain","given":"C","non-dropping-particle":"","parse-names":false,"suffix":""},{"dropping-particle":"","family":"Williams","given":"G","non-dropping-particle":"","parse-names":false,"suffix":""},{"dropping-particle":"","family":"Smith","given":"E","non-dropping-particle":"","parse-names":false,"suffix":""},{"dropping-particle":"","family":"Vos","given":"T","non-dropping-particle":"","parse-names":false,"suffix":""},{"dropping-particle":"","family":"Barendregt","given":"J","non-dropping-particle":"","parse-names":false,"suffix":""},{"dropping-particle":"","family":"Murray","given":"C","non-dropping-particle":"","parse-names":false,"suffix":""},{"dropping-particle":"","family":"Burstein","given":"R","non-dropping-particle":"","parse-names":false,"suffix":""},{"dropping-particle":"","family":"Buchbinder","given":"R","non-dropping-particle":"","parse-names":false,"suffix":""}],"container-title":"Annals of the Rheumatic Diseases","id":"ITEM-1","issue":"6","issued":{"date-parts":[["2014"]]},"page":"968-974","title":"The global burden of low back pain: estimates from the Global Burden of Disease 2010 study","type":"article-journal","volume":"73"},"uris":["http://www.mendeley.com/documents/?uuid=89fd8054-dc26-4b86-963c-371bd5d2121d"]}],"mendeley":{"formattedCitation":"(25)","plainTextFormattedCitation":"(25)","previouslyFormattedCitation":"(25)"},"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(25)</w:t>
      </w:r>
      <w:r w:rsidRPr="009A4FAB">
        <w:rPr>
          <w:color w:val="000000" w:themeColor="text1"/>
        </w:rPr>
        <w:fldChar w:fldCharType="end"/>
      </w:r>
      <w:r w:rsidRPr="009A4FAB">
        <w:rPr>
          <w:color w:val="000000" w:themeColor="text1"/>
          <w:sz w:val="22"/>
          <w:szCs w:val="22"/>
        </w:rPr>
        <w:t xml:space="preserve"> The point prevalence of  LBP was stratified according to: subacute (SLBP; 4-weeks to less than 12-weeks), and chronic (CLBP; 12-weeks or more).</w:t>
      </w:r>
      <w:r w:rsidRPr="009A4FAB">
        <w:rPr>
          <w:color w:val="000000" w:themeColor="text1"/>
        </w:rPr>
        <w:fldChar w:fldCharType="begin" w:fldLock="1"/>
      </w:r>
      <w:r w:rsidRPr="009A4FAB">
        <w:rPr>
          <w:color w:val="000000" w:themeColor="text1"/>
          <w:sz w:val="22"/>
          <w:szCs w:val="22"/>
        </w:rPr>
        <w:instrText>ADDIN CSL_CITATION {"citationItems":[{"id":"ITEM-1","itemData":{"DOI":"10.7326/M16-2367","ISSN":"15393704","PMID":"28192789","abstract":"Description: The American College of Physicians (ACP) developed this guideline to present the evidence and provide clinical recommendations on noninvasive treatment of low back pain. Methods: Using the ACP grading system, the committee based these recommendations on a systematic review of randomized, controlled trials and systematic reviews published through April 2015 on noninvasive pharmacologic and nonpharmacologic treatments for low back pain. Updated searches were performed through November 2016. Clinical outcomes evaluated included reduction or elimination of low back pain, improvement in backspecific and overall function, improvement in health-related quality of life, reduction in work disability and return to work, global improvement, number of back pain episodes or time between episodes, patient satisfaction, and adverse effects. Target Audience and Patient Population: The target audience for this guideline includes all clinicians, and the target patient population includes adults with acute, subacute, or chronic low back pain.","author":[{"dropping-particle":"","family":"Qaseem","given":"A","non-dropping-particle":"","parse-names":false,"suffix":""},{"dropping-particle":"","family":"Wilt","given":"T. J","non-dropping-particle":"","parse-names":false,"suffix":""},{"dropping-particle":"","family":"McLean","given":"R. M","non-dropping-particle":"","parse-names":false,"suffix":""},{"dropping-particle":"","family":"Forciea","given":"M. Ann","non-dropping-particle":"","parse-names":false,"suffix":""}],"container-title":"Annals of Internal Medicine","id":"ITEM-1","issue":"7","issued":{"date-parts":[["2017"]]},"page":"514-530","title":"Noninvasive treatments for acute, subacute, and chronic low back pain: A clinical practice guideline from the American College of Physicians","type":"article-journal","volume":"166"},"uris":["http://www.mendeley.com/documents/?uuid=b52ac731-5023-4e19-aa6b-d972366b3ae5"]}],"mendeley":{"formattedCitation":"(26)","plainTextFormattedCitation":"(26)","previouslyFormattedCitation":"(26)"},"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(26)</w:t>
      </w:r>
      <w:r w:rsidRPr="009A4FAB">
        <w:rPr>
          <w:color w:val="000000" w:themeColor="text1"/>
        </w:rPr>
        <w:fldChar w:fldCharType="end"/>
      </w:r>
    </w:p>
    <w:p w14:paraId="387ACB01" w14:textId="77777777" w:rsidR="008C6D0F" w:rsidRPr="009A4FAB" w:rsidRDefault="008C6D0F" w:rsidP="008C6D0F">
      <w:pPr>
        <w:spacing w:line="360" w:lineRule="auto"/>
        <w:rPr>
          <w:color w:val="000000" w:themeColor="text1"/>
          <w:sz w:val="22"/>
          <w:szCs w:val="22"/>
        </w:rPr>
      </w:pPr>
    </w:p>
    <w:p w14:paraId="59CABEFA" w14:textId="77777777" w:rsidR="008C6D0F" w:rsidRPr="009A4FAB" w:rsidRDefault="008C6D0F" w:rsidP="008C6D0F">
      <w:pPr>
        <w:spacing w:line="360" w:lineRule="auto"/>
        <w:rPr>
          <w:b/>
          <w:color w:val="000000" w:themeColor="text1"/>
          <w:sz w:val="22"/>
          <w:szCs w:val="22"/>
        </w:rPr>
      </w:pPr>
      <w:r w:rsidRPr="009A4FAB">
        <w:rPr>
          <w:b/>
          <w:color w:val="000000" w:themeColor="text1"/>
          <w:sz w:val="22"/>
          <w:szCs w:val="22"/>
        </w:rPr>
        <w:t>2.5 Power Calculation</w:t>
      </w:r>
    </w:p>
    <w:p w14:paraId="520D5FF3" w14:textId="02542EE4" w:rsidR="008C6D0F" w:rsidRPr="009A4FAB" w:rsidRDefault="008C6D0F" w:rsidP="008C6D0F">
      <w:pPr>
        <w:spacing w:line="360" w:lineRule="auto"/>
        <w:rPr>
          <w:color w:val="000000" w:themeColor="text1"/>
          <w:sz w:val="22"/>
          <w:szCs w:val="22"/>
        </w:rPr>
      </w:pPr>
      <w:r w:rsidRPr="009A4FAB">
        <w:rPr>
          <w:color w:val="000000" w:themeColor="text1"/>
          <w:sz w:val="22"/>
          <w:szCs w:val="22"/>
        </w:rPr>
        <w:t>A power calculation was estimated using nQuery and was based on an estimated 30% LBP prevalence from published data.</w:t>
      </w:r>
      <w:r w:rsidRPr="009A4FAB">
        <w:rPr>
          <w:color w:val="000000" w:themeColor="text1"/>
        </w:rPr>
        <w:fldChar w:fldCharType="begin" w:fldLock="1"/>
      </w:r>
      <w:r w:rsidRPr="009A4FAB">
        <w:rPr>
          <w:color w:val="000000" w:themeColor="text1"/>
          <w:sz w:val="22"/>
          <w:szCs w:val="22"/>
          <w:vertAlign w:val="superscript"/>
        </w:rPr>
        <w:instrText>ADDIN CSL_CITATION {"citationItems":[{"id":"ITEM-1","itemData":{"DOI":"10.1097/01.BRS.0000096176.92881.37","ISBN":"0521252784","ISSN":"0362-2436","PMID":"15094542","author":[{"dropping-particle":"","family":"Bahr","given":"R","non-dropping-particle":"","parse-names":false,"suffix":""},{"dropping-particle":"","family":"Andersen","given":"S. O","non-dropping-particle":"","parse-names":false,"suffix":""},{"dropping-particle":"","family":"Loken","given":"S","non-dropping-particle":"","parse-names":false,"suffix":""},{"dropping-particle":"","family":"Fossan","given":"B","non-dropping-particle":"","parse-names":false,"suffix":""},{"dropping-particle":"","family":"Hansen","given":"T","non-dropping-particle":"","parse-names":false,"suffix":""},{"dropping-particle":"","family":"Holme","given":"I","non-dropping-particle":"","parse-names":false,"suffix":""}],"container-title":"Spine","id":"ITEM-1","issue":"4","issued":{"date-parts":[["2004"]]},"page":"449-454","title":"Low Back Pain Among Endurance Athletes With and Without Specific Back Loading - A Cross-Sectional Survey of Cross-Country Skiers, Rowers, Orienteerers, and Nonathletic Controls","type":"article-journal","volume":"29"},"uris":["http://www.mendeley.com/documents/?uuid=36b30f2e-19c4-403c-8cc3-871144f03e34"]}],"mendeley":{"formattedCitation":"(9)","plainTextFormattedCitation":"(9)","previouslyFormattedCitation":"(9)"},"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(9)</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vertAlign w:val="superscript"/>
        </w:rPr>
        <w:instrText>ADDIN CSL_CITATION {"citationItems":[{"id":"ITEM-1","itemData":{"author":[{"dropping-particle":"","family":"Hoy","given":"D","non-dropping-particle":"","parse-names":false,"suffix":""},{"dropping-particle":"","family":"Bain","given":"C","non-dropping-particle":"","parse-names":false,"suffix":""},{"dropping-particle":"","family":"Williams","given":"G","non-dropping-particle":"","parse-names":false,"suffix":""},{"dropping-particle":"","family":"March","given":"L","non-dropping-particle":"","parse-names":false,"suffix":""},{"dropping-particle":"","family":"Brooks","given":"P","non-dropping-particle":"","parse-names":false,"suffix":""},{"dropping-particle":"","family":"Blyth","given":"F","non-dropping-particle":"","parse-names":false,"suffix":""},{"dropping-particle":"","family":"Woolf","given":"A","non-dropping-particle":"","parse-names":false,"suffix":""},{"dropping-particle":"","family":"Vos","given":"T","non-dropping-particle":"","parse-names":false,"suffix":""},{"dropping-particle":"","family":"Buchbinder","given":"R","non-dropping-particle":"","parse-names":false,"suffix":""}],"container-title":"Arthritis and Rheumatism","id":"ITEM-1","issue":"6","issued":{"date-parts":[["2012"]]},"page":"2028-2037","title":"A Systematic Review of the Global Prevalence of Low Back Pain","type":"article-journal","volume":"64"},"uris":["http://www.mendeley.com/documents/?uuid=b83f563f-8ebc-49fa-a2d5-755a8f64f25c"]}],"mendeley":{"formattedCitation":"(27)","plainTextFormattedCitation":"(27)","previouslyFormattedCitation":"(27)"},"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(27)</w:t>
      </w:r>
      <w:r w:rsidRPr="009A4FAB">
        <w:rPr>
          <w:color w:val="000000" w:themeColor="text1"/>
        </w:rPr>
        <w:fldChar w:fldCharType="end"/>
      </w:r>
      <w:r w:rsidRPr="009A4FAB">
        <w:rPr>
          <w:color w:val="000000" w:themeColor="text1"/>
          <w:sz w:val="22"/>
          <w:szCs w:val="22"/>
        </w:rPr>
        <w:t xml:space="preserve"> With the assumption of a 30% response rate, assuming all exposures could at least be dichotomised into binary variables and assuming a ratio of exposed to unexposed individuals of 1:1 for any given factor, the study had at least 80% power to detect odds ratios of 1.75 or greater at 5% significance. </w:t>
      </w:r>
    </w:p>
    <w:p w14:paraId="6626D307" w14:textId="77777777" w:rsidR="008C6D0F" w:rsidRPr="009A4FAB" w:rsidRDefault="008C6D0F" w:rsidP="008C6D0F">
      <w:pPr>
        <w:spacing w:line="360" w:lineRule="auto"/>
        <w:rPr>
          <w:color w:val="000000" w:themeColor="text1"/>
          <w:sz w:val="22"/>
          <w:szCs w:val="22"/>
        </w:rPr>
      </w:pPr>
    </w:p>
    <w:p w14:paraId="7A7AA701" w14:textId="77777777" w:rsidR="008C6D0F" w:rsidRPr="009A4FAB" w:rsidRDefault="008C6D0F" w:rsidP="008C6D0F">
      <w:pPr>
        <w:spacing w:line="360" w:lineRule="auto"/>
        <w:rPr>
          <w:color w:val="000000" w:themeColor="text1"/>
          <w:sz w:val="22"/>
          <w:szCs w:val="22"/>
        </w:rPr>
      </w:pPr>
      <w:r w:rsidRPr="009A4FAB">
        <w:rPr>
          <w:b/>
          <w:bCs/>
          <w:color w:val="000000" w:themeColor="text1"/>
          <w:sz w:val="22"/>
          <w:szCs w:val="22"/>
          <w:lang w:val="en-US"/>
        </w:rPr>
        <w:t>2.6 Statistical Analysis</w:t>
      </w:r>
    </w:p>
    <w:p w14:paraId="4E65CE0B" w14:textId="6F3F35F9" w:rsidR="008C6D0F" w:rsidRPr="009A4FAB" w:rsidRDefault="008C6D0F" w:rsidP="008C6D0F">
      <w:pPr>
        <w:spacing w:line="360" w:lineRule="auto"/>
        <w:rPr>
          <w:color w:val="000000" w:themeColor="text1"/>
          <w:sz w:val="22"/>
          <w:szCs w:val="22"/>
        </w:rPr>
      </w:pPr>
      <w:r w:rsidRPr="009A4FAB">
        <w:rPr>
          <w:color w:val="000000" w:themeColor="text1"/>
          <w:sz w:val="22"/>
          <w:szCs w:val="22"/>
        </w:rPr>
        <w:t xml:space="preserve">Statistical analyses were conducted within SPSS 25.0 (SPSS Inc., Chicago, IL, USA). For each potential factor, descriptive statistics are presented as frequencies (proportion) for categorical variables, and for numerical variables data are presented with the mean and standard deviation, or median and range where data are not normally distributed. Crude and adjusted odds ratios with 95% confidence intervals were estimated in binary logistic regression for potential factors and outcomes of low back pain. The univariable model is presented and was adjusted for </w:t>
      </w:r>
      <w:r w:rsidRPr="009A4FAB">
        <w:rPr>
          <w:color w:val="000000" w:themeColor="text1"/>
          <w:sz w:val="22"/>
          <w:szCs w:val="22"/>
          <w:lang w:val="en-US"/>
        </w:rPr>
        <w:t xml:space="preserve">a priori confounders of age, sex, and BMI. Continuous independent variables that were non-linear were categorized. Missing values were excluded from the analysis. </w:t>
      </w:r>
    </w:p>
    <w:p w14:paraId="329E5F6D" w14:textId="77777777" w:rsidR="008C6D0F" w:rsidRPr="009A4FAB" w:rsidRDefault="008C6D0F" w:rsidP="008C6D0F">
      <w:pPr>
        <w:spacing w:line="360" w:lineRule="auto"/>
        <w:rPr>
          <w:color w:val="000000" w:themeColor="text1"/>
          <w:sz w:val="22"/>
          <w:szCs w:val="22"/>
        </w:rPr>
      </w:pPr>
    </w:p>
    <w:p w14:paraId="00BFB3DD" w14:textId="77777777" w:rsidR="008C6D0F" w:rsidRPr="009A4FAB" w:rsidRDefault="008C6D0F" w:rsidP="008C6D0F">
      <w:pPr>
        <w:pStyle w:val="ListParagraph"/>
        <w:numPr>
          <w:ilvl w:val="0"/>
          <w:numId w:val="3"/>
        </w:numPr>
        <w:spacing w:line="360" w:lineRule="auto"/>
        <w:rPr>
          <w:color w:val="000000" w:themeColor="text1"/>
          <w:sz w:val="22"/>
          <w:szCs w:val="22"/>
        </w:rPr>
      </w:pPr>
      <w:r w:rsidRPr="009A4FAB">
        <w:rPr>
          <w:b/>
          <w:color w:val="000000" w:themeColor="text1"/>
          <w:sz w:val="22"/>
          <w:szCs w:val="22"/>
        </w:rPr>
        <w:t>RESULTS</w:t>
      </w:r>
    </w:p>
    <w:p w14:paraId="5563E1E7" w14:textId="77777777" w:rsidR="008C6D0F" w:rsidRPr="009A4FAB" w:rsidRDefault="008C6D0F" w:rsidP="008C6D0F">
      <w:pPr>
        <w:spacing w:line="360" w:lineRule="auto"/>
        <w:rPr>
          <w:b/>
          <w:bCs/>
          <w:color w:val="000000" w:themeColor="text1"/>
          <w:sz w:val="22"/>
          <w:szCs w:val="22"/>
          <w:lang w:val="en-US"/>
        </w:rPr>
      </w:pPr>
      <w:r w:rsidRPr="009A4FAB">
        <w:rPr>
          <w:b/>
          <w:bCs/>
          <w:color w:val="000000" w:themeColor="text1"/>
          <w:sz w:val="22"/>
          <w:szCs w:val="22"/>
          <w:lang w:val="en-US"/>
        </w:rPr>
        <w:t>3.1 Recruitment</w:t>
      </w:r>
    </w:p>
    <w:p w14:paraId="73DE32BB" w14:textId="77777777" w:rsidR="008C6D0F" w:rsidRPr="009A4FAB" w:rsidRDefault="008C6D0F" w:rsidP="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 xml:space="preserve">The questionnaire was distributed to 2742 current and retired athletes registered on the BOA Olympian database. Of the 743 who replied (27.1% response rate), 613 were retired and aged 30 years or older and had data for the prevalence analysis of LBP. </w:t>
      </w:r>
      <w:r w:rsidRPr="009A4FAB">
        <w:rPr>
          <w:rFonts w:cs="Cambria"/>
          <w:color w:val="000000" w:themeColor="text1"/>
          <w:sz w:val="22"/>
          <w:szCs w:val="22"/>
          <w:lang w:val="en-US"/>
        </w:rPr>
        <w:t xml:space="preserve">The research team did not have consent to access personal details of non-responders on the database. This permits us </w:t>
      </w:r>
      <w:r w:rsidRPr="009A4FAB">
        <w:rPr>
          <w:rFonts w:cs="Cambria"/>
          <w:color w:val="000000" w:themeColor="text1"/>
          <w:sz w:val="22"/>
          <w:szCs w:val="22"/>
          <w:lang w:val="en-US"/>
        </w:rPr>
        <w:lastRenderedPageBreak/>
        <w:t>from providing the response rate from the total number of retired GB Olympians.</w:t>
      </w:r>
      <w:r w:rsidRPr="009A4FAB">
        <w:rPr>
          <w:color w:val="000000" w:themeColor="text1"/>
          <w:sz w:val="22"/>
          <w:szCs w:val="22"/>
          <w:lang w:val="en-US"/>
        </w:rPr>
        <w:t xml:space="preserve"> </w:t>
      </w:r>
    </w:p>
    <w:p w14:paraId="2E4D371B" w14:textId="77777777" w:rsidR="008C6D0F" w:rsidRPr="009A4FAB" w:rsidRDefault="008C6D0F" w:rsidP="008C6D0F">
      <w:pPr>
        <w:widowControl w:val="0"/>
        <w:autoSpaceDE w:val="0"/>
        <w:autoSpaceDN w:val="0"/>
        <w:adjustRightInd w:val="0"/>
        <w:spacing w:line="360" w:lineRule="auto"/>
        <w:rPr>
          <w:color w:val="000000" w:themeColor="text1"/>
          <w:sz w:val="22"/>
          <w:szCs w:val="22"/>
          <w:lang w:val="en-US"/>
        </w:rPr>
      </w:pPr>
    </w:p>
    <w:p w14:paraId="6347D45C" w14:textId="77777777" w:rsidR="008C6D0F" w:rsidRPr="009A4FAB" w:rsidRDefault="008C6D0F" w:rsidP="008C6D0F">
      <w:pPr>
        <w:spacing w:line="360" w:lineRule="auto"/>
        <w:rPr>
          <w:b/>
          <w:bCs/>
          <w:color w:val="000000" w:themeColor="text1"/>
          <w:sz w:val="22"/>
          <w:szCs w:val="22"/>
          <w:lang w:val="en-US"/>
        </w:rPr>
      </w:pPr>
      <w:r w:rsidRPr="009A4FAB">
        <w:rPr>
          <w:b/>
          <w:bCs/>
          <w:color w:val="000000" w:themeColor="text1"/>
          <w:sz w:val="22"/>
          <w:szCs w:val="22"/>
          <w:lang w:val="en-US"/>
        </w:rPr>
        <w:t>3.2 Olympic Athletes Characteristics</w:t>
      </w:r>
    </w:p>
    <w:p w14:paraId="55AAA72F" w14:textId="18C3640D" w:rsidR="008C6D0F" w:rsidRPr="009A4FAB" w:rsidRDefault="008C6D0F" w:rsidP="008C6D0F">
      <w:pPr>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 xml:space="preserve">Table 1 presents the characteristics of the participants who replied to the questionnaire. The median BMI was 24.3 </w:t>
      </w:r>
      <w:r w:rsidR="0012427D" w:rsidRPr="009A4FAB">
        <w:rPr>
          <w:color w:val="000000" w:themeColor="text1"/>
          <w:sz w:val="22"/>
          <w:szCs w:val="22"/>
          <w:lang w:val="en-US"/>
        </w:rPr>
        <w:t>kg/m</w:t>
      </w:r>
      <w:r w:rsidR="0012427D" w:rsidRPr="009A4FAB">
        <w:rPr>
          <w:color w:val="000000" w:themeColor="text1"/>
          <w:sz w:val="22"/>
          <w:szCs w:val="22"/>
          <w:vertAlign w:val="superscript"/>
          <w:lang w:val="en-US"/>
        </w:rPr>
        <w:t>2</w:t>
      </w:r>
      <w:r w:rsidR="0012427D" w:rsidRPr="009A4FAB">
        <w:rPr>
          <w:color w:val="000000" w:themeColor="text1"/>
          <w:sz w:val="22"/>
          <w:szCs w:val="22"/>
          <w:lang w:val="en-US"/>
        </w:rPr>
        <w:t xml:space="preserve"> </w:t>
      </w:r>
      <w:r w:rsidRPr="009A4FAB">
        <w:rPr>
          <w:color w:val="000000" w:themeColor="text1"/>
          <w:sz w:val="22"/>
          <w:szCs w:val="22"/>
          <w:lang w:val="en-US"/>
        </w:rPr>
        <w:t xml:space="preserve">with 1.1% being classed as underweight, 62.2% normal, 27.4% overweight, and 9.3% obese. All participants had retired from Olympic sport, 65 had competed in 11 sports at the Winter Olympics: and 548 had competed in </w:t>
      </w:r>
      <w:r w:rsidR="00C515D0">
        <w:rPr>
          <w:color w:val="000000" w:themeColor="text1"/>
          <w:sz w:val="22"/>
          <w:szCs w:val="22"/>
          <w:lang w:val="en-US"/>
        </w:rPr>
        <w:t>29</w:t>
      </w:r>
      <w:r w:rsidRPr="009A4FAB">
        <w:rPr>
          <w:color w:val="000000" w:themeColor="text1"/>
          <w:sz w:val="22"/>
          <w:szCs w:val="22"/>
          <w:lang w:val="en-US"/>
        </w:rPr>
        <w:t xml:space="preserve"> sports at the Summer Olympics</w:t>
      </w:r>
      <w:r w:rsidR="008401F9" w:rsidRPr="009A4FAB">
        <w:rPr>
          <w:color w:val="000000" w:themeColor="text1"/>
          <w:sz w:val="22"/>
          <w:szCs w:val="22"/>
          <w:lang w:val="en-US"/>
        </w:rPr>
        <w:t xml:space="preserve"> (</w:t>
      </w:r>
      <w:r w:rsidR="00AF0BED" w:rsidRPr="009A4FAB">
        <w:rPr>
          <w:color w:val="000000" w:themeColor="text1"/>
          <w:sz w:val="22"/>
          <w:szCs w:val="22"/>
          <w:lang w:val="en-US"/>
        </w:rPr>
        <w:t xml:space="preserve">Appendix A, </w:t>
      </w:r>
      <w:r w:rsidR="008401F9" w:rsidRPr="009A4FAB">
        <w:rPr>
          <w:color w:val="000000" w:themeColor="text1"/>
          <w:sz w:val="22"/>
          <w:szCs w:val="22"/>
          <w:lang w:val="en-US"/>
        </w:rPr>
        <w:t>Supp</w:t>
      </w:r>
      <w:r w:rsidR="001E57CA" w:rsidRPr="009A4FAB">
        <w:rPr>
          <w:color w:val="000000" w:themeColor="text1"/>
          <w:sz w:val="22"/>
          <w:szCs w:val="22"/>
          <w:lang w:val="en-US"/>
        </w:rPr>
        <w:t>lementary</w:t>
      </w:r>
      <w:r w:rsidR="008401F9" w:rsidRPr="009A4FAB">
        <w:rPr>
          <w:color w:val="000000" w:themeColor="text1"/>
          <w:sz w:val="22"/>
          <w:szCs w:val="22"/>
          <w:lang w:val="en-US"/>
        </w:rPr>
        <w:t xml:space="preserve"> Table)</w:t>
      </w:r>
      <w:r w:rsidRPr="009A4FAB">
        <w:rPr>
          <w:color w:val="000000" w:themeColor="text1"/>
          <w:sz w:val="22"/>
          <w:szCs w:val="22"/>
          <w:lang w:val="en-US"/>
        </w:rPr>
        <w:t>.</w:t>
      </w:r>
    </w:p>
    <w:p w14:paraId="0EDCA725" w14:textId="77777777" w:rsidR="008C6D0F" w:rsidRPr="009A4FAB" w:rsidRDefault="008C6D0F" w:rsidP="008C6D0F">
      <w:pPr>
        <w:autoSpaceDE w:val="0"/>
        <w:autoSpaceDN w:val="0"/>
        <w:adjustRightInd w:val="0"/>
        <w:spacing w:line="360" w:lineRule="auto"/>
        <w:rPr>
          <w:color w:val="000000" w:themeColor="text1"/>
          <w:sz w:val="22"/>
          <w:szCs w:val="22"/>
          <w:lang w:val="en-US"/>
        </w:rPr>
      </w:pPr>
    </w:p>
    <w:p w14:paraId="4204ED97" w14:textId="77777777" w:rsidR="008C6D0F" w:rsidRPr="009A4FAB" w:rsidRDefault="008C6D0F" w:rsidP="008C6D0F">
      <w:pPr>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TABLE 1 INSERT</w:t>
      </w:r>
    </w:p>
    <w:p w14:paraId="521B87B5" w14:textId="77777777" w:rsidR="008C6D0F" w:rsidRPr="009A4FAB" w:rsidRDefault="008C6D0F" w:rsidP="008C6D0F">
      <w:pPr>
        <w:autoSpaceDE w:val="0"/>
        <w:autoSpaceDN w:val="0"/>
        <w:adjustRightInd w:val="0"/>
        <w:spacing w:line="360" w:lineRule="auto"/>
        <w:rPr>
          <w:color w:val="000000" w:themeColor="text1"/>
          <w:sz w:val="22"/>
          <w:szCs w:val="22"/>
          <w:lang w:val="en-US"/>
        </w:rPr>
      </w:pPr>
    </w:p>
    <w:p w14:paraId="0531FA08" w14:textId="77777777" w:rsidR="008C6D0F" w:rsidRPr="009A4FAB" w:rsidRDefault="008C6D0F" w:rsidP="008C6D0F">
      <w:pPr>
        <w:autoSpaceDE w:val="0"/>
        <w:autoSpaceDN w:val="0"/>
        <w:adjustRightInd w:val="0"/>
        <w:spacing w:line="360" w:lineRule="auto"/>
        <w:rPr>
          <w:color w:val="000000" w:themeColor="text1"/>
          <w:sz w:val="22"/>
          <w:szCs w:val="22"/>
          <w:lang w:val="en-US"/>
        </w:rPr>
      </w:pPr>
      <w:r w:rsidRPr="009A4FAB">
        <w:rPr>
          <w:rFonts w:eastAsia="MS Mincho"/>
          <w:b/>
          <w:bCs/>
          <w:color w:val="000000" w:themeColor="text1"/>
          <w:sz w:val="22"/>
          <w:szCs w:val="22"/>
        </w:rPr>
        <w:t>3.3 Prevalence</w:t>
      </w:r>
    </w:p>
    <w:p w14:paraId="6951BF20" w14:textId="52CF1942" w:rsidR="008C6D0F" w:rsidRPr="009A4FAB" w:rsidRDefault="008C6D0F" w:rsidP="008C6D0F">
      <w:pPr>
        <w:spacing w:line="360" w:lineRule="auto"/>
        <w:rPr>
          <w:color w:val="000000" w:themeColor="text1"/>
          <w:sz w:val="22"/>
          <w:szCs w:val="22"/>
        </w:rPr>
      </w:pPr>
      <w:r w:rsidRPr="009A4FAB">
        <w:rPr>
          <w:color w:val="000000" w:themeColor="text1"/>
          <w:sz w:val="22"/>
          <w:szCs w:val="22"/>
        </w:rPr>
        <w:t xml:space="preserve">The point prevalence of LBP was 32.1% (10.1% subacute; 22.0% chronic) and was similar between sexes (males 31.5%; females 33.1%). 9.6% of females and 10.5% of males reported SLBP, compared to 23.5% of females and 21.0% of males reporting CLBP. The prevalence of CLBP peaked in males and females between ages 60-69 years (Figure 1). Of the sports with a minimum of 15 participants, the point prevalence of LBP was highest in </w:t>
      </w:r>
      <w:r w:rsidR="008401F9" w:rsidRPr="009A4FAB">
        <w:rPr>
          <w:color w:val="000000" w:themeColor="text1"/>
          <w:sz w:val="22"/>
          <w:szCs w:val="22"/>
        </w:rPr>
        <w:t xml:space="preserve">sailing, </w:t>
      </w:r>
      <w:r w:rsidRPr="009A4FAB">
        <w:rPr>
          <w:color w:val="000000" w:themeColor="text1"/>
          <w:sz w:val="22"/>
          <w:szCs w:val="22"/>
        </w:rPr>
        <w:t>field athletics, and gymnastics, and lowest in fencing</w:t>
      </w:r>
      <w:r w:rsidR="008401F9" w:rsidRPr="009A4FAB">
        <w:rPr>
          <w:color w:val="000000" w:themeColor="text1"/>
          <w:sz w:val="22"/>
          <w:szCs w:val="22"/>
        </w:rPr>
        <w:t xml:space="preserve"> (</w:t>
      </w:r>
      <w:r w:rsidR="00AF0BED" w:rsidRPr="009A4FAB">
        <w:rPr>
          <w:color w:val="000000" w:themeColor="text1"/>
          <w:sz w:val="22"/>
          <w:szCs w:val="22"/>
        </w:rPr>
        <w:t xml:space="preserve">Appendix A, </w:t>
      </w:r>
      <w:r w:rsidR="008401F9" w:rsidRPr="009A4FAB">
        <w:rPr>
          <w:color w:val="000000" w:themeColor="text1"/>
          <w:sz w:val="22"/>
          <w:szCs w:val="22"/>
        </w:rPr>
        <w:t>Supplementary Table)</w:t>
      </w:r>
      <w:r w:rsidRPr="009A4FAB">
        <w:rPr>
          <w:color w:val="000000" w:themeColor="text1"/>
          <w:sz w:val="22"/>
          <w:szCs w:val="22"/>
        </w:rPr>
        <w:t xml:space="preserve">. The odds of LBP were greater in throwing events (javelin, hammer, discus, shot put) (OR </w:t>
      </w:r>
      <w:r w:rsidR="00031F4E" w:rsidRPr="009A4FAB">
        <w:rPr>
          <w:color w:val="000000" w:themeColor="text1"/>
          <w:sz w:val="22"/>
          <w:szCs w:val="22"/>
        </w:rPr>
        <w:t>3.04</w:t>
      </w:r>
      <w:r w:rsidRPr="009A4FAB">
        <w:rPr>
          <w:color w:val="000000" w:themeColor="text1"/>
          <w:sz w:val="22"/>
          <w:szCs w:val="22"/>
        </w:rPr>
        <w:t>; 95% CI, 1.</w:t>
      </w:r>
      <w:r w:rsidR="00031F4E" w:rsidRPr="009A4FAB">
        <w:rPr>
          <w:color w:val="000000" w:themeColor="text1"/>
          <w:sz w:val="22"/>
          <w:szCs w:val="22"/>
        </w:rPr>
        <w:t>1</w:t>
      </w:r>
      <w:r w:rsidRPr="009A4FAB">
        <w:rPr>
          <w:color w:val="000000" w:themeColor="text1"/>
          <w:sz w:val="22"/>
          <w:szCs w:val="22"/>
        </w:rPr>
        <w:t>9-</w:t>
      </w:r>
      <w:r w:rsidR="00031F4E" w:rsidRPr="009A4FAB">
        <w:rPr>
          <w:color w:val="000000" w:themeColor="text1"/>
          <w:sz w:val="22"/>
          <w:szCs w:val="22"/>
        </w:rPr>
        <w:t>7.73</w:t>
      </w:r>
      <w:r w:rsidRPr="009A4FAB">
        <w:rPr>
          <w:color w:val="000000" w:themeColor="text1"/>
          <w:sz w:val="22"/>
          <w:szCs w:val="22"/>
        </w:rPr>
        <w:t>, p=0.02) compared to athletics (track and road).</w:t>
      </w:r>
    </w:p>
    <w:p w14:paraId="001E0DA3" w14:textId="77777777" w:rsidR="008C6D0F" w:rsidRPr="009A4FAB" w:rsidRDefault="008C6D0F" w:rsidP="008C6D0F">
      <w:pPr>
        <w:spacing w:line="360" w:lineRule="auto"/>
        <w:rPr>
          <w:rFonts w:eastAsia="MS Mincho"/>
          <w:color w:val="000000" w:themeColor="text1"/>
          <w:sz w:val="22"/>
          <w:szCs w:val="22"/>
        </w:rPr>
      </w:pPr>
    </w:p>
    <w:p w14:paraId="1BFDE5FB" w14:textId="77777777" w:rsidR="008C6D0F" w:rsidRPr="009A4FAB" w:rsidRDefault="008C6D0F" w:rsidP="008C6D0F">
      <w:pPr>
        <w:spacing w:line="360" w:lineRule="auto"/>
        <w:rPr>
          <w:rFonts w:eastAsia="MS Mincho"/>
          <w:b/>
          <w:color w:val="000000" w:themeColor="text1"/>
          <w:sz w:val="22"/>
          <w:szCs w:val="22"/>
        </w:rPr>
      </w:pPr>
      <w:r w:rsidRPr="009A4FAB">
        <w:rPr>
          <w:rFonts w:eastAsia="MS Mincho"/>
          <w:b/>
          <w:color w:val="000000" w:themeColor="text1"/>
          <w:sz w:val="22"/>
          <w:szCs w:val="22"/>
        </w:rPr>
        <w:t>INSERT FIGURE 1</w:t>
      </w:r>
    </w:p>
    <w:p w14:paraId="766C97C3" w14:textId="77777777" w:rsidR="008C6D0F" w:rsidRPr="009A4FAB" w:rsidRDefault="008C6D0F" w:rsidP="008C6D0F">
      <w:pPr>
        <w:spacing w:line="360" w:lineRule="auto"/>
        <w:rPr>
          <w:color w:val="000000" w:themeColor="text1"/>
          <w:sz w:val="22"/>
          <w:szCs w:val="22"/>
        </w:rPr>
      </w:pPr>
    </w:p>
    <w:p w14:paraId="3F070A4D" w14:textId="753A2514" w:rsidR="008C6D0F" w:rsidRPr="009A4FAB" w:rsidRDefault="008C6D0F" w:rsidP="008C6D0F">
      <w:pPr>
        <w:spacing w:line="360" w:lineRule="auto"/>
        <w:rPr>
          <w:color w:val="000000" w:themeColor="text1"/>
          <w:sz w:val="22"/>
          <w:szCs w:val="22"/>
        </w:rPr>
      </w:pPr>
      <w:r w:rsidRPr="009A4FAB">
        <w:rPr>
          <w:b/>
          <w:bCs/>
          <w:color w:val="000000" w:themeColor="text1"/>
          <w:sz w:val="22"/>
          <w:szCs w:val="22"/>
          <w:lang w:val="en-US"/>
        </w:rPr>
        <w:t>3.4 Factors</w:t>
      </w:r>
      <w:r w:rsidR="00E0226C">
        <w:rPr>
          <w:b/>
          <w:bCs/>
          <w:color w:val="000000" w:themeColor="text1"/>
          <w:sz w:val="22"/>
          <w:szCs w:val="22"/>
          <w:lang w:val="en-US"/>
        </w:rPr>
        <w:t xml:space="preserve"> Associated with Low Back Pain</w:t>
      </w:r>
    </w:p>
    <w:p w14:paraId="0C230C8F" w14:textId="2C49C1C8" w:rsidR="008C6D0F" w:rsidRPr="009A4FAB" w:rsidRDefault="008C6D0F" w:rsidP="008C6D0F">
      <w:pPr>
        <w:spacing w:line="360" w:lineRule="auto"/>
        <w:rPr>
          <w:color w:val="000000" w:themeColor="text1"/>
          <w:sz w:val="22"/>
          <w:szCs w:val="22"/>
        </w:rPr>
      </w:pPr>
      <w:r w:rsidRPr="009A4FAB">
        <w:rPr>
          <w:color w:val="000000" w:themeColor="text1"/>
          <w:sz w:val="22"/>
          <w:szCs w:val="22"/>
        </w:rPr>
        <w:t>After adjustment (age, BMI and sex), LBP was associated with a history of significant low back injury, and a change from a healthy BMI (</w:t>
      </w:r>
      <w:r w:rsidRPr="009A4FAB">
        <w:rPr>
          <w:color w:val="000000" w:themeColor="text1"/>
          <w:sz w:val="22"/>
          <w:szCs w:val="22"/>
          <w:u w:val="single"/>
        </w:rPr>
        <w:sym w:font="Symbol" w:char="003C"/>
      </w:r>
      <w:r w:rsidRPr="009A4FAB">
        <w:rPr>
          <w:color w:val="000000" w:themeColor="text1"/>
          <w:sz w:val="22"/>
          <w:szCs w:val="22"/>
        </w:rPr>
        <w:t xml:space="preserve"> 24.9</w:t>
      </w:r>
      <w:r w:rsidR="00A33C75" w:rsidRPr="009A4FAB">
        <w:rPr>
          <w:color w:val="000000" w:themeColor="text1"/>
          <w:sz w:val="22"/>
          <w:szCs w:val="22"/>
        </w:rPr>
        <w:t xml:space="preserve"> </w:t>
      </w:r>
      <w:r w:rsidRPr="009A4FAB">
        <w:rPr>
          <w:color w:val="000000" w:themeColor="text1"/>
          <w:sz w:val="22"/>
          <w:szCs w:val="22"/>
        </w:rPr>
        <w:t>kg/m</w:t>
      </w:r>
      <w:r w:rsidRPr="009A4FAB">
        <w:rPr>
          <w:color w:val="000000" w:themeColor="text1"/>
          <w:sz w:val="22"/>
          <w:szCs w:val="22"/>
          <w:vertAlign w:val="superscript"/>
        </w:rPr>
        <w:t>2</w:t>
      </w:r>
      <w:r w:rsidRPr="009A4FAB">
        <w:rPr>
          <w:color w:val="000000" w:themeColor="text1"/>
          <w:sz w:val="22"/>
          <w:szCs w:val="22"/>
        </w:rPr>
        <w:t>) to a high BMI (</w:t>
      </w:r>
      <w:r w:rsidRPr="009A4FAB">
        <w:rPr>
          <w:color w:val="000000" w:themeColor="text1"/>
          <w:sz w:val="22"/>
          <w:szCs w:val="22"/>
          <w:u w:val="single"/>
        </w:rPr>
        <w:sym w:font="Symbol" w:char="003E"/>
      </w:r>
      <w:r w:rsidRPr="009A4FAB">
        <w:rPr>
          <w:color w:val="000000" w:themeColor="text1"/>
          <w:sz w:val="22"/>
          <w:szCs w:val="22"/>
        </w:rPr>
        <w:t xml:space="preserve"> 25.0</w:t>
      </w:r>
      <w:r w:rsidR="00A33C75" w:rsidRPr="009A4FAB">
        <w:rPr>
          <w:color w:val="000000" w:themeColor="text1"/>
          <w:sz w:val="22"/>
          <w:szCs w:val="22"/>
        </w:rPr>
        <w:t xml:space="preserve"> </w:t>
      </w:r>
      <w:r w:rsidRPr="009A4FAB">
        <w:rPr>
          <w:color w:val="000000" w:themeColor="text1"/>
          <w:sz w:val="22"/>
          <w:szCs w:val="22"/>
        </w:rPr>
        <w:t>kg/m</w:t>
      </w:r>
      <w:r w:rsidRPr="009A4FAB">
        <w:rPr>
          <w:color w:val="000000" w:themeColor="text1"/>
          <w:sz w:val="22"/>
          <w:szCs w:val="22"/>
          <w:vertAlign w:val="superscript"/>
        </w:rPr>
        <w:t>2</w:t>
      </w:r>
      <w:r w:rsidRPr="009A4FAB">
        <w:rPr>
          <w:color w:val="000000" w:themeColor="text1"/>
          <w:sz w:val="22"/>
          <w:szCs w:val="22"/>
        </w:rPr>
        <w:t>) following retirement from Olympic sport, whereas fewer cases of LBP were reported in those with a moderate training volume of 400-549 hours/year and in those aged 75 years and older (Table 2). We then compared participants with symptoms of CLBP compared to SLBP to determine if those with CLBP were more likely to report current symptoms of depression, anxiety, a higher pain intensity, and widespread pain (Table 3). After adjustment CLBP was associated with a 10</w:t>
      </w:r>
      <w:r w:rsidR="0012427D" w:rsidRPr="009A4FAB">
        <w:rPr>
          <w:color w:val="000000" w:themeColor="text1"/>
          <w:sz w:val="22"/>
          <w:szCs w:val="22"/>
        </w:rPr>
        <w:t xml:space="preserve"> </w:t>
      </w:r>
      <w:r w:rsidRPr="009A4FAB">
        <w:rPr>
          <w:color w:val="000000" w:themeColor="text1"/>
          <w:sz w:val="22"/>
          <w:szCs w:val="22"/>
        </w:rPr>
        <w:t xml:space="preserve">mm increase in pain severity, widespread pain, anxiety, and depression. </w:t>
      </w:r>
    </w:p>
    <w:p w14:paraId="37A58299" w14:textId="77777777" w:rsidR="008C6D0F" w:rsidRPr="009A4FAB" w:rsidRDefault="008C6D0F" w:rsidP="008C6D0F">
      <w:pPr>
        <w:spacing w:line="360" w:lineRule="auto"/>
        <w:rPr>
          <w:color w:val="000000" w:themeColor="text1"/>
          <w:sz w:val="22"/>
          <w:szCs w:val="22"/>
          <w:lang w:val="en-US"/>
        </w:rPr>
      </w:pPr>
    </w:p>
    <w:p w14:paraId="638FE758" w14:textId="77777777" w:rsidR="008C6D0F" w:rsidRPr="009A4FAB" w:rsidRDefault="008C6D0F" w:rsidP="008C6D0F">
      <w:pPr>
        <w:spacing w:line="360" w:lineRule="auto"/>
        <w:rPr>
          <w:b/>
          <w:bCs/>
          <w:color w:val="000000" w:themeColor="text1"/>
          <w:sz w:val="22"/>
          <w:szCs w:val="22"/>
          <w:lang w:val="en-US"/>
        </w:rPr>
      </w:pPr>
      <w:r w:rsidRPr="009A4FAB">
        <w:rPr>
          <w:b/>
          <w:bCs/>
          <w:color w:val="000000" w:themeColor="text1"/>
          <w:sz w:val="22"/>
          <w:szCs w:val="22"/>
          <w:lang w:val="en-US"/>
        </w:rPr>
        <w:t>TABLE 2 INSERT</w:t>
      </w:r>
    </w:p>
    <w:p w14:paraId="22AB0AEA" w14:textId="77777777" w:rsidR="008C6D0F" w:rsidRPr="009A4FAB" w:rsidRDefault="008C6D0F" w:rsidP="008C6D0F">
      <w:pPr>
        <w:spacing w:line="360" w:lineRule="auto"/>
        <w:rPr>
          <w:b/>
          <w:bCs/>
          <w:color w:val="000000" w:themeColor="text1"/>
          <w:sz w:val="22"/>
          <w:szCs w:val="22"/>
          <w:lang w:val="en-US"/>
        </w:rPr>
      </w:pPr>
    </w:p>
    <w:p w14:paraId="16CE74B9" w14:textId="77777777" w:rsidR="008C6D0F" w:rsidRPr="009A4FAB" w:rsidRDefault="008C6D0F" w:rsidP="008C6D0F">
      <w:pPr>
        <w:spacing w:line="360" w:lineRule="auto"/>
        <w:rPr>
          <w:b/>
          <w:bCs/>
          <w:color w:val="000000" w:themeColor="text1"/>
          <w:sz w:val="22"/>
          <w:szCs w:val="22"/>
          <w:lang w:val="en-US"/>
        </w:rPr>
      </w:pPr>
      <w:r w:rsidRPr="009A4FAB">
        <w:rPr>
          <w:b/>
          <w:bCs/>
          <w:color w:val="000000" w:themeColor="text1"/>
          <w:sz w:val="22"/>
          <w:szCs w:val="22"/>
          <w:lang w:val="en-US"/>
        </w:rPr>
        <w:t>TABLE 3 INSERT</w:t>
      </w:r>
    </w:p>
    <w:p w14:paraId="09609C27" w14:textId="77777777" w:rsidR="008C6D0F" w:rsidRPr="009A4FAB" w:rsidRDefault="008C6D0F" w:rsidP="008C6D0F">
      <w:pPr>
        <w:spacing w:line="360" w:lineRule="auto"/>
        <w:rPr>
          <w:b/>
          <w:color w:val="000000" w:themeColor="text1"/>
          <w:sz w:val="22"/>
          <w:szCs w:val="22"/>
        </w:rPr>
      </w:pPr>
    </w:p>
    <w:p w14:paraId="5A532775" w14:textId="014217AE" w:rsidR="008C6D0F" w:rsidRPr="009A4FAB" w:rsidRDefault="008C6D0F" w:rsidP="00AB057B">
      <w:pPr>
        <w:pStyle w:val="ListParagraph"/>
        <w:numPr>
          <w:ilvl w:val="0"/>
          <w:numId w:val="3"/>
        </w:numPr>
        <w:spacing w:line="360" w:lineRule="auto"/>
        <w:rPr>
          <w:color w:val="000000" w:themeColor="text1"/>
          <w:sz w:val="22"/>
          <w:szCs w:val="22"/>
        </w:rPr>
      </w:pPr>
      <w:r w:rsidRPr="009A4FAB">
        <w:rPr>
          <w:b/>
          <w:color w:val="000000" w:themeColor="text1"/>
          <w:sz w:val="22"/>
          <w:szCs w:val="22"/>
        </w:rPr>
        <w:lastRenderedPageBreak/>
        <w:t xml:space="preserve"> DISCUSSION</w:t>
      </w:r>
    </w:p>
    <w:p w14:paraId="431DA28C" w14:textId="5AB9501C" w:rsidR="008C6D0F" w:rsidRPr="009A4FAB" w:rsidRDefault="008C6D0F" w:rsidP="008C6D0F">
      <w:pPr>
        <w:spacing w:line="360" w:lineRule="auto"/>
        <w:rPr>
          <w:color w:val="000000" w:themeColor="text1"/>
          <w:sz w:val="22"/>
          <w:szCs w:val="22"/>
          <w:lang w:val="en-US"/>
        </w:rPr>
      </w:pPr>
      <w:r w:rsidRPr="009A4FAB">
        <w:rPr>
          <w:color w:val="000000" w:themeColor="text1"/>
          <w:sz w:val="22"/>
          <w:szCs w:val="22"/>
          <w:lang w:val="en-US"/>
        </w:rPr>
        <w:t>Th</w:t>
      </w:r>
      <w:r w:rsidR="00583545">
        <w:rPr>
          <w:color w:val="000000" w:themeColor="text1"/>
          <w:sz w:val="22"/>
          <w:szCs w:val="22"/>
          <w:lang w:val="en-US"/>
        </w:rPr>
        <w:t xml:space="preserve">is </w:t>
      </w:r>
      <w:r w:rsidRPr="009A4FAB">
        <w:rPr>
          <w:color w:val="000000" w:themeColor="text1"/>
          <w:sz w:val="22"/>
          <w:szCs w:val="22"/>
          <w:lang w:val="en-US"/>
        </w:rPr>
        <w:t xml:space="preserve">study </w:t>
      </w:r>
      <w:r w:rsidR="00583545">
        <w:rPr>
          <w:color w:val="000000" w:themeColor="text1"/>
          <w:sz w:val="22"/>
          <w:szCs w:val="22"/>
          <w:lang w:val="en-US"/>
        </w:rPr>
        <w:t>aimed</w:t>
      </w:r>
      <w:r w:rsidRPr="009A4FAB">
        <w:rPr>
          <w:color w:val="000000" w:themeColor="text1"/>
          <w:sz w:val="22"/>
          <w:szCs w:val="22"/>
          <w:lang w:val="en-US"/>
        </w:rPr>
        <w:t xml:space="preserve"> to determine in retired Great Britain’s (GB) Olympians aged 30 years and older the prevalence and factors associated with LBP. The present study found that: (i) LBP is common in retired GB Olympians aged 30 years and older; that (ii) a previous significant low back injury and a change in BMI from </w:t>
      </w:r>
      <w:r w:rsidRPr="009A4FAB">
        <w:rPr>
          <w:color w:val="000000" w:themeColor="text1"/>
          <w:sz w:val="22"/>
          <w:szCs w:val="22"/>
          <w:u w:val="single"/>
          <w:lang w:val="en-US"/>
        </w:rPr>
        <w:sym w:font="Symbol" w:char="003C"/>
      </w:r>
      <w:r w:rsidRPr="009A4FAB">
        <w:rPr>
          <w:color w:val="000000" w:themeColor="text1"/>
          <w:sz w:val="22"/>
          <w:szCs w:val="22"/>
          <w:lang w:val="en-US"/>
        </w:rPr>
        <w:t xml:space="preserve"> 24.9</w:t>
      </w:r>
      <w:r w:rsidR="008A500D" w:rsidRPr="009A4FAB">
        <w:rPr>
          <w:color w:val="000000" w:themeColor="text1"/>
          <w:sz w:val="22"/>
          <w:szCs w:val="22"/>
          <w:lang w:val="en-US"/>
        </w:rPr>
        <w:t xml:space="preserve"> </w:t>
      </w:r>
      <w:r w:rsidRPr="009A4FAB">
        <w:rPr>
          <w:color w:val="000000" w:themeColor="text1"/>
          <w:sz w:val="22"/>
          <w:szCs w:val="22"/>
          <w:lang w:val="en-US"/>
        </w:rPr>
        <w:t>kg/m</w:t>
      </w:r>
      <w:r w:rsidRPr="009A4FAB">
        <w:rPr>
          <w:color w:val="000000" w:themeColor="text1"/>
          <w:sz w:val="22"/>
          <w:szCs w:val="22"/>
          <w:vertAlign w:val="superscript"/>
          <w:lang w:val="en-US"/>
        </w:rPr>
        <w:t>2</w:t>
      </w:r>
      <w:r w:rsidRPr="009A4FAB">
        <w:rPr>
          <w:color w:val="000000" w:themeColor="text1"/>
          <w:sz w:val="22"/>
          <w:szCs w:val="22"/>
          <w:lang w:val="en-US"/>
        </w:rPr>
        <w:t xml:space="preserve"> to </w:t>
      </w:r>
      <w:r w:rsidRPr="009A4FAB">
        <w:rPr>
          <w:color w:val="000000" w:themeColor="text1"/>
          <w:sz w:val="22"/>
          <w:szCs w:val="22"/>
          <w:u w:val="single"/>
          <w:lang w:val="en-US"/>
        </w:rPr>
        <w:sym w:font="Symbol" w:char="003E"/>
      </w:r>
      <w:r w:rsidRPr="009A4FAB">
        <w:rPr>
          <w:color w:val="000000" w:themeColor="text1"/>
          <w:sz w:val="22"/>
          <w:szCs w:val="22"/>
          <w:lang w:val="en-US"/>
        </w:rPr>
        <w:t xml:space="preserve"> 25.0 kg/m</w:t>
      </w:r>
      <w:r w:rsidRPr="009A4FAB">
        <w:rPr>
          <w:color w:val="000000" w:themeColor="text1"/>
          <w:sz w:val="22"/>
          <w:szCs w:val="22"/>
          <w:vertAlign w:val="superscript"/>
          <w:lang w:val="en-US"/>
        </w:rPr>
        <w:t>2</w:t>
      </w:r>
      <w:r w:rsidRPr="009A4FAB">
        <w:rPr>
          <w:color w:val="000000" w:themeColor="text1"/>
          <w:sz w:val="22"/>
          <w:szCs w:val="22"/>
          <w:lang w:val="en-US"/>
        </w:rPr>
        <w:t xml:space="preserve"> was associated with LBP; that (iii) LBP was less common in those aged 75 years and older and there was a U-shaped curve with fewer cases in those with a moderate annual training load; that (iv) sex, high risk occupation, comorbidities, trunk flexion, hypermobility, and Olympic sport exposure (hours/years) were not detected to be associated with LBP; and that (v) </w:t>
      </w:r>
      <w:r w:rsidRPr="009A4FAB">
        <w:rPr>
          <w:rFonts w:eastAsia="MS Mincho"/>
          <w:color w:val="000000" w:themeColor="text1"/>
          <w:sz w:val="22"/>
          <w:szCs w:val="22"/>
        </w:rPr>
        <w:t xml:space="preserve">chronic symptoms of LBP were associated with a </w:t>
      </w:r>
      <w:r w:rsidRPr="009A4FAB">
        <w:rPr>
          <w:color w:val="000000" w:themeColor="text1"/>
          <w:sz w:val="22"/>
          <w:szCs w:val="22"/>
        </w:rPr>
        <w:t>10</w:t>
      </w:r>
      <w:r w:rsidR="0012427D" w:rsidRPr="009A4FAB">
        <w:rPr>
          <w:color w:val="000000" w:themeColor="text1"/>
          <w:sz w:val="22"/>
          <w:szCs w:val="22"/>
        </w:rPr>
        <w:t xml:space="preserve"> </w:t>
      </w:r>
      <w:r w:rsidRPr="009A4FAB">
        <w:rPr>
          <w:color w:val="000000" w:themeColor="text1"/>
          <w:sz w:val="22"/>
          <w:szCs w:val="22"/>
        </w:rPr>
        <w:t xml:space="preserve">mm increase in pain severity, widespread pain, anxiety and depression. It remains unclear if sports that involve repetitive twisting and bending are associated with LBP in retired athletes. </w:t>
      </w:r>
    </w:p>
    <w:p w14:paraId="62F1B60A" w14:textId="77777777" w:rsidR="008C6D0F" w:rsidRPr="009A4FAB" w:rsidRDefault="008C6D0F" w:rsidP="008C6D0F">
      <w:pPr>
        <w:spacing w:line="360" w:lineRule="auto"/>
        <w:rPr>
          <w:color w:val="000000" w:themeColor="text1"/>
          <w:sz w:val="22"/>
          <w:szCs w:val="22"/>
        </w:rPr>
      </w:pPr>
    </w:p>
    <w:p w14:paraId="6DE18E06" w14:textId="51299203" w:rsidR="008C6D0F" w:rsidRPr="009A4FAB" w:rsidRDefault="008C6D0F" w:rsidP="008C6D0F">
      <w:pPr>
        <w:spacing w:line="360" w:lineRule="auto"/>
        <w:rPr>
          <w:color w:val="000000" w:themeColor="text1"/>
          <w:sz w:val="22"/>
          <w:szCs w:val="22"/>
        </w:rPr>
      </w:pPr>
      <w:r w:rsidRPr="009A4FAB">
        <w:rPr>
          <w:color w:val="000000" w:themeColor="text1"/>
          <w:sz w:val="22"/>
          <w:szCs w:val="22"/>
          <w:lang w:val="en-US"/>
        </w:rPr>
        <w:t xml:space="preserve">The present study found </w:t>
      </w:r>
      <w:r w:rsidRPr="009A4FAB">
        <w:rPr>
          <w:color w:val="000000" w:themeColor="text1"/>
          <w:sz w:val="22"/>
          <w:szCs w:val="22"/>
          <w:shd w:val="clear" w:color="auto" w:fill="FFFFFF"/>
        </w:rPr>
        <w:t xml:space="preserve">a LBP point prevalence of 32.1% (10.1% subacute; 22.0% chronic). </w:t>
      </w:r>
      <w:r w:rsidRPr="009A4FAB">
        <w:rPr>
          <w:color w:val="000000" w:themeColor="text1"/>
          <w:sz w:val="22"/>
          <w:szCs w:val="22"/>
          <w:lang w:val="en-US"/>
        </w:rPr>
        <w:t>The low back was the most commonly affected area and this was identical for retired athletes in each sporting discipline, sex and age groups. Our findings accord to those reported in cross-country skiers,</w:t>
      </w:r>
      <w:r w:rsidRPr="009A4FAB">
        <w:rPr>
          <w:color w:val="000000" w:themeColor="text1"/>
        </w:rPr>
        <w:fldChar w:fldCharType="begin" w:fldLock="1"/>
      </w:r>
      <w:r w:rsidRPr="009A4FAB">
        <w:rPr>
          <w:color w:val="000000" w:themeColor="text1"/>
          <w:sz w:val="22"/>
          <w:szCs w:val="22"/>
          <w:vertAlign w:val="superscript"/>
          <w:lang w:val="en-US"/>
        </w:rPr>
        <w:instrText>ADDIN CSL_CITATION {"citationItems":[{"id":"ITEM-1","itemData":{"author":[{"dropping-particle":"","family":"Eriksson","given":"K","non-dropping-particle":"","parse-names":false,"suffix":""},{"dropping-particle":"","family":"Nemeth","given":"G","non-dropping-particle":"","parse-names":false,"suffix":""},{"dropping-particle":"","family":"Eriksson","given":"E","non-dropping-particle":"","parse-names":false,"suffix":""}],"container-title":"Scandinavian Journal of Medicine and Science in Sports","id":"ITEM-1","issue":"1","issued":{"date-parts":[["1996"]]},"page":"31-5","title":"Low back pain in elite cross-country skiers. A retrospective epidemiological study","type":"article-journal","volume":"6"},"uris":["http://www.mendeley.com/documents/?uuid=7310fe27-17e2-4266-ad7a-01e772e55cc9"]}],"mendeley":{"formattedCitation":"(28)","plainTextFormattedCitation":"(28)","previouslyFormattedCitation":"(28)"},"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(28)</w:t>
      </w:r>
      <w:r w:rsidRPr="009A4FAB">
        <w:rPr>
          <w:color w:val="000000" w:themeColor="text1"/>
        </w:rPr>
        <w:fldChar w:fldCharType="end"/>
      </w:r>
      <w:r w:rsidRPr="009A4FAB">
        <w:rPr>
          <w:color w:val="000000" w:themeColor="text1"/>
          <w:sz w:val="22"/>
          <w:szCs w:val="22"/>
          <w:lang w:val="en-US"/>
        </w:rPr>
        <w:t xml:space="preserve"> and elite German athletes</w:t>
      </w:r>
      <w:r w:rsidRPr="009A4FAB">
        <w:rPr>
          <w:color w:val="000000" w:themeColor="text1"/>
        </w:rPr>
        <w:fldChar w:fldCharType="begin" w:fldLock="1"/>
      </w:r>
      <w:r w:rsidRPr="009A4FAB">
        <w:rPr>
          <w:color w:val="000000" w:themeColor="text1"/>
          <w:sz w:val="22"/>
          <w:szCs w:val="22"/>
        </w:rPr>
        <w:instrText>ADDIN CSL_CITATION {"citationItems":[{"id":"ITEM-1","itemData":{"DOI":"10.1007/s00586-015-4210-9","ISSN":"14320932","abstract":"Purpose: The cross-sectional study evaluates the incidence, localization, treatment, and influencing factors of back pain (BP) in Germany’s elite athletes. Methods: An online questionnaire was sent out to 3564 top athletes. We used the VAS to identify the intensity of BP and SPSS for statistical analyses. Results: 929 athletes responded. 514 (55.3 %) had BP within the last 12 months, mainly located in the lumbar spine (n = 293, 56.1 %). The average pain intensity was 5.75/10. Back-affecting exercise and additional burdens (e.g. at their place of work) did not increase the intensity of BP. When dividing the athletes into two groups according to the BP intensity, BP did not correlate with gender, age or BMI. Conclusion: At least every tenth athlete suffers temporarily from low BP at a level at which spine surgery could be the only option to relieve the pain. BP occurs independently of back-affecting training and additional stress. Further evaluation is needed to identify factors for avoiding severe BP in top athletes.","author":[{"dropping-particle":"","family":"Schulz","given":"S. S","non-dropping-particle":"","parse-names":false,"suffix":""},{"dropping-particle":"","family":"Lenz","given":"K","non-dropping-particle":"","parse-names":false,"suffix":""},{"dropping-particle":"","family":"Büttner-Janz","given":"K","non-dropping-particle":"","parse-names":false,"suffix":""}],"container-title":"European Spine Journal","id":"ITEM-1","issue":"4","issued":{"date-parts":[["2016"]]},"page":"1204-1210","title":"Severe back pain in elite athletes: a cross-sectional study on 929 top athletes of Germany","type":"article-journal","volume":"25"},"uris":["http://www.mendeley.com/documents/?uuid=82d8e5d0-5f43-4dec-a06d-c72bc84c6fad"]}],"mendeley":{"formattedCitation":"(29)","plainTextFormattedCitation":"(29)","previouslyFormattedCitation":"(29)"},"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(29)</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vertAlign w:val="superscript"/>
          <w:lang w:val="en-US"/>
        </w:rPr>
        <w:instrText>ADDIN CSL_CITATION {"citationItems":[{"id":"ITEM-1","itemData":{"DOI":"10.1371/journal.pone.0180130","ISBN":"1111111111","ISSN":"19326203","abstract":"© 2017 Fett et al. This is an open access article distributed under the terms of the Creative Commons Attribution License, which permits unrestricted use, distribution, and reproduction in any medium, provided the original author and source are credited. Objectives To establish the prevalence of back pain in German elite athletes; examine the influence of age, sex, sports discipline and training volume; and compare elite athletes with a physically active control group. Methods A standardized and validated online back pain questionnaire was sent by the German Olympic Sports Confederation to approximately 4,000 German national and international elite athletes, and a control group of 253 physically active but non-elite sports students. Results We received responses from 1,114 elite athletes (46.5% male and 53.1% female, mean age 20.9 years ± 4.8 years, mean height 176.5 ± 11.5 cm, mean weight 71.0 ± 10.3 kg) and 166 physically active sports students (74.7% male and 24.1 female, mean age 21.2 ± 2.0 years, mean height 180.0 ± 8.0 cm, mean weight 74.0 ± 14.5 kg). In elite athletes, the lifetime prevalence of back pain was 88.5%, the 12-month prevalence was 81.1%, the 3-month prevalence was 68.3% and the point prevalence was 49.0%, compared with 80.7%, 69.9%, 59.0% and 42.8%, respectively in the control group. The lifetime, 12-month and 3-month prevalences in elite athletes were significantly higher than in the control group. Regarding the individual sports disciplines, the prevalence of back pain was significantly higher in elite rowers, dancers, fencers, gymnasts, track and field athletes, figure skaters and marksmen, and those who play underwater rugby, water polo, basketball, hockey and ice hockey compared with the control group. The prevalence of back pain was significantly lower in elite triathletes. Conclusions Back pain is a common complaint in German elite athletes. Low back pain seems to be a problem in both elite athletes and physically active controls. A high training volume in elite athletes and a low training volume in physically active individuals might increase prevalence rates. Our findings indicate the necessity for specific prevention programs, especially in high-risk sports. Further research should investigate the optimal dose-effect relationship of sporting activity for the general population to prevent back pain.","author":[{"dropping-particle":"","family":"Fett","given":"Daniela","non-dropping-particle":"","parse-names":false,"suffix":""},{"dropping-particle":"","family":"Trompeter","given":"Katharina","non-dropping-particle":"","parse-names":false,"suffix":""},{"dropping-particle":"","family":"Platen","given":"Petra","non-dropping-particle":"","parse-names":false,"suffix":""}],"container-title":"PLoS ONE","id":"ITEM-1","issue":"6","issued":{"date-parts":[["2017"]]},"page":"1-17","title":"Back pain in elite sports: A cross-sectional study on 1114 athletes","type":"article-journal","volume":"12"},"uris":["http://www.mendeley.com/documents/?uuid=768eeee5-4b0f-4956-a350-e24f3a32d30a"]}],"mendeley":{"formattedCitation":"(8)","plainTextFormattedCitation":"(8)","previouslyFormattedCitation":"(8)"},"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(8)</w:t>
      </w:r>
      <w:r w:rsidRPr="009A4FAB">
        <w:rPr>
          <w:color w:val="000000" w:themeColor="text1"/>
        </w:rPr>
        <w:fldChar w:fldCharType="end"/>
      </w:r>
      <w:r w:rsidRPr="009A4FAB">
        <w:rPr>
          <w:color w:val="000000" w:themeColor="text1"/>
          <w:sz w:val="22"/>
          <w:szCs w:val="22"/>
          <w:lang w:val="en-US"/>
        </w:rPr>
        <w:t xml:space="preserve"> that found the low back was the most commonly affected area of pain. Comparison of LBP prevalence rates with other studies is impractical because of different LBP definitions and participant numbers. </w:t>
      </w:r>
    </w:p>
    <w:p w14:paraId="011267B5" w14:textId="77777777" w:rsidR="008C6D0F" w:rsidRPr="009A4FAB" w:rsidRDefault="008C6D0F" w:rsidP="008C6D0F">
      <w:pPr>
        <w:spacing w:line="360" w:lineRule="auto"/>
        <w:rPr>
          <w:color w:val="000000" w:themeColor="text1"/>
          <w:sz w:val="22"/>
          <w:szCs w:val="22"/>
        </w:rPr>
      </w:pPr>
    </w:p>
    <w:p w14:paraId="3A21310B" w14:textId="77777777" w:rsidR="008C6D0F" w:rsidRPr="009A4FAB" w:rsidRDefault="008C6D0F" w:rsidP="008C6D0F">
      <w:pPr>
        <w:spacing w:line="360" w:lineRule="auto"/>
        <w:rPr>
          <w:color w:val="000000" w:themeColor="text1"/>
          <w:sz w:val="22"/>
          <w:szCs w:val="22"/>
        </w:rPr>
      </w:pPr>
      <w:r w:rsidRPr="009A4FAB">
        <w:rPr>
          <w:color w:val="000000" w:themeColor="text1"/>
          <w:sz w:val="22"/>
          <w:szCs w:val="22"/>
          <w:lang w:val="en-US"/>
        </w:rPr>
        <w:t>The relationship between sex and LBP prevalence in athletes is inconsistent.</w:t>
      </w:r>
      <w:r w:rsidRPr="009A4FAB">
        <w:rPr>
          <w:color w:val="000000" w:themeColor="text1"/>
        </w:rPr>
        <w:fldChar w:fldCharType="begin" w:fldLock="1"/>
      </w:r>
      <w:r w:rsidRPr="009A4FAB">
        <w:rPr>
          <w:color w:val="000000" w:themeColor="text1"/>
          <w:sz w:val="22"/>
          <w:szCs w:val="22"/>
          <w:lang w:val="en-US"/>
        </w:rPr>
        <w:instrText>ADDIN CSL_CITATION {"citationItems":[{"id":"ITEM-1","itemData":{"DOI":"10.1136/bjsports-2020-102537","ISSN":"14730480","abstract":"Objectives We aimed to determine the prevalence of low back pain (LBP) in sport, and what risk factors were associated with LBP in athletes. Design Systematic review with meta-analysis. Data sources Literature searches from database inception to June 2019 in Medline, Embase, Cumulated Index to Nursing and Allied Health Literature (CINAHL), Web of Science and Scopus, supplemented by grey literature searching. Eligibility criteria Studies evaluating prevalence of LBP in adult athletes across all sports. Results Eighty-six studies were included (30 732, range 20-5958, participants), of which 45 were of'high' quality. Definitions of LBP varied widely, and in 17 studies, no definition was provided. High-quality studies were pooled and the mean point prevalence across six studies was 42%; range 18%-80% (95% CI 27% to 58%, I2=97%). Lifetime prevalence across 13 studies was 63%; range 36%-88% (95% CI 51% to 74%, I2=99%). Twelve-month LBP prevalence from 22 studies was 51%; range 12%-94% (95% CI 41% to 61%, I2=98%). Comparison across sports was limited by participant numbers, study quality and methodologies, and varying LBP definitions. Risk factors for LBP included history of a previous episode with a pooled OR of 3.5; range 1.6-4.0 (95% CI 1.9 to 6.4). Statistically significant associations were reported for high training volume, periods of load increase and years of exposure to the sport. Conclusion LBP in sport is common but estimates vary. Current evidence is insufficient to identify which sports are at highest risk. A previous episode of LBP, high training volume, periods of load increase and years of exposure are common risk factors.","author":[{"dropping-particle":"","family":"Wilson","given":"F","non-dropping-particle":"","parse-names":false,"suffix":""},{"dropping-particle":"","family":"Ardern","given":"C. L","non-dropping-particle":"","parse-names":false,"suffix":""},{"dropping-particle":"","family":"Hartvigsen","given":"J","non-dropping-particle":"","parse-names":false,"suffix":""},{"dropping-particle":"","family":"Dane","given":"K","non-dropping-particle":"","parse-names":false,"suffix":""},{"dropping-particle":"","family":"Trompeter","given":"K","non-dropping-particle":"","parse-names":false,"suffix":""},{"dropping-particle":"","family":"Trease","given":"L","non-dropping-particle":"","parse-names":false,"suffix":""},{"dropping-particle":"","family":"Vinther","given":"A","non-dropping-particle":"","parse-names":false,"suffix":""},{"dropping-particle":"","family":"Gissane","given":"C","non-dropping-particle":"","parse-names":false,"suffix":""},{"dropping-particle":"","family":"McDonnell","given":"S. J","non-dropping-particle":"","parse-names":false,"suffix":""},{"dropping-particle":"","family":"Caneiro","given":"J. P","non-dropping-particle":"","parse-names":false,"suffix":""},{"dropping-particle":"","family":"Newlands","given":"C","non-dropping-particle":"","parse-names":false,"suffix":""},{"dropping-particle":"","family":"Wilkie","given":"K","non-dropping-particle":"","parse-names":false,"suffix":""},{"dropping-particle":"","family":"Mockler","given":"D","non-dropping-particle":"","parse-names":false,"suffix":""},{"dropping-particle":"","family":"Thornton","given":"J. S","non-dropping-particle":"","parse-names":false,"suffix":""}],"container-title":"British Journal of Sports Medicine","id":"ITEM-1","issued":{"date-parts":[["2020"]]},"page":"1-9","title":"Prevalence and risk factors for back pain in sports: a systematic review with meta-analysis","type":"article-journal"},"uris":["http://www.mendeley.com/documents/?uuid=44bd9497-575f-4d77-a51c-4bd0744b1bc9"]}],"mendeley":{"formattedCitation":"(10)","plainTextFormattedCitation":"(10)","previouslyFormattedCitation":"(10)"},"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(10)</w:t>
      </w:r>
      <w:r w:rsidRPr="009A4FAB">
        <w:rPr>
          <w:color w:val="000000" w:themeColor="text1"/>
        </w:rPr>
        <w:fldChar w:fldCharType="end"/>
      </w:r>
      <w:r w:rsidRPr="009A4FAB">
        <w:rPr>
          <w:color w:val="000000" w:themeColor="text1"/>
          <w:sz w:val="22"/>
          <w:szCs w:val="22"/>
          <w:lang w:val="en-US"/>
        </w:rPr>
        <w:t xml:space="preserve"> The present study found no association between LBP and sex in retired athletes despite females in the general population being more likely to report LBP and chronic symptoms.</w:t>
      </w:r>
      <w:r w:rsidRPr="009A4FAB">
        <w:rPr>
          <w:color w:val="000000" w:themeColor="text1"/>
        </w:rPr>
        <w:fldChar w:fldCharType="begin" w:fldLock="1"/>
      </w:r>
      <w:r w:rsidRPr="009A4FAB">
        <w:rPr>
          <w:color w:val="000000" w:themeColor="text1"/>
          <w:sz w:val="22"/>
          <w:szCs w:val="22"/>
          <w:vertAlign w:val="superscript"/>
          <w:lang w:val="en-US"/>
        </w:rPr>
        <w:instrText>ADDIN CSL_CITATION {"citationItems":[{"id":"ITEM-1","itemData":{"DOI":"10.1016/j.berh.2010.10.002","ISSN":"1521-6942","author":[{"dropping-particle":"","family":"Hoy","given":"D","non-dropping-particle":"","parse-names":false,"suffix":""},{"dropping-particle":"","family":"Brooks","given":"P","non-dropping-particle":"","parse-names":false,"suffix":""},{"dropping-particle":"","family":"Blyth","given":"F","non-dropping-particle":"","parse-names":false,"suffix":""},{"dropping-particle":"","family":"Buchbinder","given":"R","non-dropping-particle":"","parse-names":false,"suffix":""}],"container-title":"Best Practice &amp; Research Clinical Rheumatology","id":"ITEM-1","issue":"6","issued":{"date-parts":[["2010"]]},"page":"769-781","publisher":"Elsevier Ltd","title":"The Epidemiology of low back pain","type":"article-journal","volume":"24"},"uris":["http://www.mendeley.com/documents/?uuid=b6949723-11d6-49d4-978a-8d3a6824cc8d"]}],"mendeley":{"formattedCitation":"(30)","plainTextFormattedCitation":"(30)","previouslyFormattedCitation":"(30)"},"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(30)</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vertAlign w:val="superscript"/>
          <w:lang w:val="en-US"/>
        </w:rPr>
        <w:instrText>ADDIN CSL_CITATION {"citationItems":[{"id":"ITEM-1","itemData":{"author":[{"dropping-particle":"","family":"Hoy","given":"D","non-dropping-particle":"","parse-names":false,"suffix":""},{"dropping-particle":"","family":"Bain","given":"C","non-dropping-particle":"","parse-names":false,"suffix":""},{"dropping-particle":"","family":"Williams","given":"G","non-dropping-particle":"","parse-names":false,"suffix":""},{"dropping-particle":"","family":"March","given":"L","non-dropping-particle":"","parse-names":false,"suffix":""},{"dropping-particle":"","family":"Brooks","given":"P","non-dropping-particle":"","parse-names":false,"suffix":""},{"dropping-particle":"","family":"Blyth","given":"F","non-dropping-particle":"","parse-names":false,"suffix":""},{"dropping-particle":"","family":"Woolf","given":"A","non-dropping-particle":"","parse-names":false,"suffix":""},{"dropping-particle":"","family":"Vos","given":"T","non-dropping-particle":"","parse-names":false,"suffix":""},{"dropping-particle":"","family":"Buchbinder","given":"R","non-dropping-particle":"","parse-names":false,"suffix":""}],"container-title":"Arthritis and Rheumatism","id":"ITEM-1","issue":"6","issued":{"date-parts":[["2012"]]},"page":"2028-2037","title":"A Systematic Review of the Global Prevalence of Low Back Pain","type":"article-journal","volume":"64"},"uris":["http://www.mendeley.com/documents/?uuid=b83f563f-8ebc-49fa-a2d5-755a8f64f25c"]}],"mendeley":{"formattedCitation":"(27)","plainTextFormattedCitation":"(27)","previouslyFormattedCitation":"(27)"},"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(27)</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vertAlign w:val="superscript"/>
          <w:lang w:val="en-US"/>
        </w:rPr>
        <w:instrText>ADDIN CSL_CITATION {"citationItems":[{"id":"ITEM-1","itemData":{"DOI":"10.1097/00007632-200405010-00016","ISSN":"03622436","abstract":"Introduction. We compared the prevalence of chronic back pain (CBP) at two points 4 years apart and examined socio-demographic, health, and pain-related factors associated with its onset and persistence. Method. A random population sample of 2,184 adults was surveyed in 1996 and resurveyed in 2000. The questionnaire included chronic pain case definition questions (pain for 3 months or longer); the cause (1996) or site (2000) of any chronic pain; the Chronic Pain Grade questionnaire; the Level of Expressed Need (LEN) questionnaire; the SF-36 general health questionnaire; and demographic questions. Those with CBP in 1996 and 2000 had \"persistent\" CBP; those with CBP in 1996 but not 2000 had \"recovered\" CBP; those with CBP in 2000 but not 1996 had \"new\" CBP. Results. Corrected response rates were 82.3% (1996) and 83.0% (2000). The sample prevalence of CBP was 16% (1996) and 27% (2000). Factors in 1996 independently associated with \"persistent\" compared with \"recovered\" CBP were preexisting arthritis, high LEN, poor mental health, and not living alone. Factors independently predicting \"new\" CBP compared with no previous CBP were previous chronic pain elsewhere and poor physical health. \"Persistent\" CBP was associated with more severe pain, higher LEN, and poorer general health than \"new\" CBP. Discussion. CBP is a common and lasting problem, whose persistence and onset are predicted by clinical (especially pain) and help-seeking behavior factors, rather than socio-demographic. Prevention should focus on these factors.","author":[{"dropping-particle":"","family":"Smith","given":"B. H","non-dropping-particle":"","parse-names":false,"suffix":""},{"dropping-particle":"","family":"Elliott","given":"A. M","non-dropping-particle":"","parse-names":false,"suffix":""},{"dropping-particle":"","family":"Hannaford","given":"P. C","non-dropping-particle":"","parse-names":false,"suffix":""},{"dropping-particle":"","family":"Chambers","given":"W. A","non-dropping-particle":"","parse-names":false,"suffix":""},{"dropping-particle":"","family":"Smith","given":"W. C","non-dropping-particle":"","parse-names":false,"suffix":""}],"container-title":"Spine","id":"ITEM-1","issue":"9","issued":{"date-parts":[["2004"]]},"page":"1032-1040","title":"Factors Related to the Onset and Persistence of Chronic Back Pain in the Community: Results from a General Population Follow-up Study","type":"article-journal","volume":"29"},"uris":["http://www.mendeley.com/documents/?uuid=d247249f-19f6-436a-93dd-d7cd501a2df9"]}],"mendeley":{"formattedCitation":"(31)","plainTextFormattedCitation":"(31)","previouslyFormattedCitation":"(31)"},"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(31)</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rPr>
        <w:instrText>ADDIN CSL_CITATION {"citationItems":[{"id":"ITEM-1","itemData":{"DOI":"10.1136/bmj.318.7199.1662","ISSN":"09598146","PMID":"10373170","abstract":"Objectives. To quantify the relative contribution of premorbid and episode specific factors in determining the long term persistence of disabling symptoms of low back pain. Design. Prospective cohort study. Setting. Two general practices in the south Manchester area. Participants. 180 patients, who previously participated in a cross sectional population survey, who consulted because of low back pain during the study period. They were followed at 1 week and 3 and 12 months after consultation. Main outcome measure. Persistent disabling low back pain in the 12 months after the consultation. Results. Disabling low back pain persisted in one third of participants after consultation and was more common with increasing age, among those with a history of low back pain, and in women. Persistence of symptoms was associated with 'premorbid' factors (high levels of psychological distress (odds ratio 3.3; 95% confidence interval 1.5 to 7.2), poor self rated health (3.6; 1.9 to 6.8), low levels of physical activity (2.8; 1.4 to 5.6), smoking (2.1; 1.0 to 4.3), dissatisfaction with employment (2.4; 1.3 to 4.5)) and factors related to the episode of low back pain (duration of symptoms, pain radiating to the leg (2.6; 1.3 to 5.1), widespread pain (6.4; 2.7 to 15), and restriction in spinal mobility). A multivariate model based on six factors identified groups whose likelihood of persistent symptoms ranged from 6% to 70%. Conclusions. The presence of persistent low back pain is determined not only by clinical factors associated with pain but also by the premorbid state.","author":[{"dropping-particle":"","family":"Thomas","given":"E","non-dropping-particle":"","parse-names":false,"suffix":""},{"dropping-particle":"","family":"Silman","given":"A. J","non-dropping-particle":"","parse-names":false,"suffix":""},{"dropping-particle":"","family":"Croft","given":"P. R","non-dropping-particle":"","parse-names":false,"suffix":""},{"dropping-particle":"","family":"Papageorgiou","given":"A. C","non-dropping-particle":"","parse-names":false,"suffix":""},{"dropping-particle":"","family":"Jayson","given":"M.","non-dropping-particle":"","parse-names":false,"suffix":""},{"dropping-particle":"","family":"Macfarlane","given":"G. J","non-dropping-particle":"","parse-names":false,"suffix":""}],"container-title":"British Medical Journal","id":"ITEM-1","issue":"7199","issued":{"date-parts":[["1999"]]},"page":"1662-1667","title":"Predicting who develops chronic low back pain in primary care: A prospective study","type":"article-journal","volume":"318"},"uris":["http://www.mendeley.com/documents/?uuid=ab4c13c0-2fef-4f91-8b16-3e940c9d0be5"]}],"mendeley":{"formattedCitation":"(32)","plainTextFormattedCitation":"(32)","previouslyFormattedCitation":"(32)"},"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(32)</w:t>
      </w:r>
      <w:r w:rsidRPr="009A4FAB">
        <w:rPr>
          <w:color w:val="000000" w:themeColor="text1"/>
        </w:rPr>
        <w:fldChar w:fldCharType="end"/>
      </w:r>
      <w:r w:rsidRPr="009A4FAB">
        <w:rPr>
          <w:color w:val="000000" w:themeColor="text1"/>
          <w:sz w:val="22"/>
          <w:szCs w:val="22"/>
          <w:lang w:val="en-US"/>
        </w:rPr>
        <w:t xml:space="preserve"> Higher physical activity levels seen in our female study population may have an inverse proportional relationship with the prevalence of LBP. Further studies are required to confirm this and to determine if musculoskeletal core conditioning and bone health in elite female athletes reduces the risk of LBP associated with pregnancy</w:t>
      </w:r>
      <w:r w:rsidRPr="009A4FAB">
        <w:rPr>
          <w:color w:val="000000" w:themeColor="text1"/>
        </w:rPr>
        <w:fldChar w:fldCharType="begin" w:fldLock="1"/>
      </w:r>
      <w:r w:rsidRPr="009A4FAB">
        <w:rPr>
          <w:color w:val="000000" w:themeColor="text1"/>
          <w:sz w:val="22"/>
          <w:szCs w:val="22"/>
          <w:vertAlign w:val="superscript"/>
          <w:lang w:val="en-US"/>
        </w:rPr>
        <w:instrText>ADDIN CSL_CITATION {"citationItems":[{"id":"ITEM-1","itemData":{"author":[{"dropping-particle":"","family":"Close","given":"C","non-dropping-particle":"","parse-names":false,"suffix":""},{"dropping-particle":"","family":"Sinclair","given":"M","non-dropping-particle":"","parse-names":false,"suffix":""},{"dropping-particle":"","family":"Liddle","given":"D","non-dropping-particle":"","parse-names":false,"suffix":""},{"dropping-particle":"","family":"McCullough","given":"J","non-dropping-particle":"","parse-names":false,"suffix":""},{"dropping-particle":"","family":"Hughes","given":"C","non-dropping-particle":"","parse-names":false,"suffix":""}],"container-title":"Midwifery","id":"ITEM-1","issued":{"date-parts":[["2016"]]},"page":"1-8","title":"Women's experience of low back and/or pelvic pain (LBPP) during pregnancy","type":"article-journal","volume":"37"},"uris":["http://www.mendeley.com/documents/?uuid=b1c1340b-1ea0-437a-9251-5440613ab363"]}],"mendeley":{"formattedCitation":"(33)","plainTextFormattedCitation":"(33)","previouslyFormattedCitation":"(33)"},"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(33)</w:t>
      </w:r>
      <w:r w:rsidRPr="009A4FAB">
        <w:rPr>
          <w:color w:val="000000" w:themeColor="text1"/>
        </w:rPr>
        <w:fldChar w:fldCharType="end"/>
      </w:r>
      <w:r w:rsidRPr="009A4FAB">
        <w:rPr>
          <w:color w:val="000000" w:themeColor="text1"/>
          <w:sz w:val="22"/>
          <w:szCs w:val="22"/>
          <w:lang w:val="en-US"/>
        </w:rPr>
        <w:t xml:space="preserve"> and menopause,</w:t>
      </w:r>
      <w:r w:rsidRPr="009A4FAB">
        <w:rPr>
          <w:color w:val="000000" w:themeColor="text1"/>
        </w:rPr>
        <w:fldChar w:fldCharType="begin" w:fldLock="1"/>
      </w:r>
      <w:r w:rsidRPr="009A4FAB">
        <w:rPr>
          <w:color w:val="000000" w:themeColor="text1"/>
          <w:sz w:val="22"/>
          <w:szCs w:val="22"/>
          <w:vertAlign w:val="superscript"/>
          <w:lang w:val="en-US"/>
        </w:rPr>
        <w:instrText>ADDIN CSL_CITATION {"citationItems":[{"id":"ITEM-1","itemData":{"DOI":"10.1016/j.jot.2016.05.012","ISSN":"2214031X","abstract":"Female sex hormones play an important role in the aetiology and pathophysiology of a variety of musculoskeletal degenerative diseases. Postmenopausal women show accelerated disc degeneration due to relative oestrogen deficiency, resulting in narrower intervertebral disc space in women than age-matched men, increased prevalence of spondylolisthesis, and increased prevalence of facet joint osteoarthritis. Postmenopausal women also show higher osteoporosis related spine fracture rate, particularly at the thoracic–lumbar junction site. I propose the concept that low back pain (LBP) is more prevalent in postmenopausal women than age-matched men and is associated with the physiological changes caused by the relatively lower level of sex hormones after menopause in women. Considering hormone replacement treatment (HRT)'s consistent efficacy reported with menopause-associated osteoarthritis, an in-depth understanding of the role of the gonadal hormones in LBP modulation warrants further study. HRT initiated at early postmenopausal phase may be protective for recurring LBP. If this is the case, further cost–benefit analysis should be performed for optimal HRT regimen in cases of women with high risk of recurring severe LBP.","author":[{"dropping-particle":"","family":"Wang","given":"Yi","non-dropping-particle":"","parse-names":false,"suffix":""},{"dropping-particle":"","family":"J.","given":"Xiang","non-dropping-particle":"","parse-names":false,"suffix":""}],"container-title":"Journal of Orthopaedic Translation","id":"ITEM-1","issued":{"date-parts":[["2017"]]},"page":"1-4","publisher":"Elsevier Ltd","title":"Menopause as a potential cause for higher prevalence of low back pain in women than in age-matched men","type":"article-journal","volume":"8"},"uris":["http://www.mendeley.com/documents/?uuid=3b98a2f1-a3e8-4e47-be71-4bb227f10094"]}],"mendeley":{"formattedCitation":"(34)","plainTextFormattedCitation":"(34)","previouslyFormattedCitation":"(34)"},"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(34)</w:t>
      </w:r>
      <w:r w:rsidRPr="009A4FAB">
        <w:rPr>
          <w:color w:val="000000" w:themeColor="text1"/>
        </w:rPr>
        <w:fldChar w:fldCharType="end"/>
      </w:r>
      <w:r w:rsidRPr="009A4FAB">
        <w:rPr>
          <w:color w:val="000000" w:themeColor="text1"/>
          <w:sz w:val="22"/>
          <w:szCs w:val="22"/>
          <w:lang w:val="en-US"/>
        </w:rPr>
        <w:t xml:space="preserve"> compared with less active females living in the community.</w:t>
      </w:r>
    </w:p>
    <w:p w14:paraId="266345DF" w14:textId="77777777" w:rsidR="008C6D0F" w:rsidRPr="009A4FAB" w:rsidRDefault="008C6D0F" w:rsidP="008C6D0F">
      <w:pPr>
        <w:spacing w:line="360" w:lineRule="auto"/>
        <w:rPr>
          <w:color w:val="000000" w:themeColor="text1"/>
          <w:sz w:val="22"/>
          <w:szCs w:val="22"/>
        </w:rPr>
      </w:pPr>
    </w:p>
    <w:p w14:paraId="497C36E8" w14:textId="77777777" w:rsidR="008C6D0F" w:rsidRPr="009A4FAB" w:rsidRDefault="008C6D0F" w:rsidP="008C6D0F">
      <w:pPr>
        <w:spacing w:line="360" w:lineRule="auto"/>
        <w:rPr>
          <w:color w:val="000000" w:themeColor="text1"/>
          <w:sz w:val="22"/>
          <w:szCs w:val="22"/>
        </w:rPr>
      </w:pPr>
      <w:r w:rsidRPr="009A4FAB">
        <w:rPr>
          <w:color w:val="000000" w:themeColor="text1"/>
          <w:sz w:val="22"/>
          <w:szCs w:val="22"/>
        </w:rPr>
        <w:t>Previous studies in sport have demonstrated increasing age was associated with a higher lifetime prevalence of back pain in 1114 German elite athletes,</w:t>
      </w:r>
      <w:r w:rsidRPr="009A4FAB">
        <w:rPr>
          <w:color w:val="000000" w:themeColor="text1"/>
        </w:rPr>
        <w:fldChar w:fldCharType="begin" w:fldLock="1"/>
      </w:r>
      <w:r w:rsidRPr="009A4FAB">
        <w:rPr>
          <w:color w:val="000000" w:themeColor="text1"/>
          <w:sz w:val="22"/>
          <w:szCs w:val="22"/>
        </w:rPr>
        <w:instrText>ADDIN CSL_CITATION {"citationItems":[{"id":"ITEM-1","itemData":{"DOI":"10.1371/journal.pone.0180130","ISBN":"1111111111","ISSN":"19326203","abstract":"© 2017 Fett et al. This is an open access article distributed under the terms of the Creative Commons Attribution License, which permits unrestricted use, distribution, and reproduction in any medium, provided the original author and source are credited. Objectives To establish the prevalence of back pain in German elite athletes; examine the influence of age, sex, sports discipline and training volume; and compare elite athletes with a physically active control group. Methods A standardized and validated online back pain questionnaire was sent by the German Olympic Sports Confederation to approximately 4,000 German national and international elite athletes, and a control group of 253 physically active but non-elite sports students. Results We received responses from 1,114 elite athletes (46.5% male and 53.1% female, mean age 20.9 years ± 4.8 years, mean height 176.5 ± 11.5 cm, mean weight 71.0 ± 10.3 kg) and 166 physically active sports students (74.7% male and 24.1 female, mean age 21.2 ± 2.0 years, mean height 180.0 ± 8.0 cm, mean weight 74.0 ± 14.5 kg). In elite athletes, the lifetime prevalence of back pain was 88.5%, the 12-month prevalence was 81.1%, the 3-month prevalence was 68.3% and the point prevalence was 49.0%, compared with 80.7%, 69.9%, 59.0% and 42.8%, respectively in the control group. The lifetime, 12-month and 3-month prevalences in elite athletes were significantly higher than in the control group. Regarding the individual sports disciplines, the prevalence of back pain was significantly higher in elite rowers, dancers, fencers, gymnasts, track and field athletes, figure skaters and marksmen, and those who play underwater rugby, water polo, basketball, hockey and ice hockey compared with the control group. The prevalence of back pain was significantly lower in elite triathletes. Conclusions Back pain is a common complaint in German elite athletes. Low back pain seems to be a problem in both elite athletes and physically active controls. A high training volume in elite athletes and a low training volume in physically active individuals might increase prevalence rates. Our findings indicate the necessity for specific prevention programs, especially in high-risk sports. Further research should investigate the optimal dose-effect relationship of sporting activity for the general population to prevent back pain.","author":[{"dropping-particle":"","family":"Fett","given":"Daniela","non-dropping-particle":"","parse-names":false,"suffix":""},{"dropping-particle":"","family":"Trompeter","given":"Katharina","non-dropping-particle":"","parse-names":false,"suffix":""},{"dropping-particle":"","family":"Platen","given":"Petra","non-dropping-particle":"","parse-names":false,"suffix":""}],"container-title":"PLoS ONE","id":"ITEM-1","issue":"6","issued":{"date-parts":[["2017"]]},"page":"1-17","title":"Back pain in elite sports: A cross-sectional study on 1114 athletes","type":"article-journal","volume":"12"},"uris":["http://www.mendeley.com/documents/?uuid=768eeee5-4b0f-4956-a350-e24f3a32d30a"]}],"mendeley":{"formattedCitation":"(8)","plainTextFormattedCitation":"(8)","previouslyFormattedCitation":"(8)"},"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(8)</w:t>
      </w:r>
      <w:r w:rsidRPr="009A4FAB">
        <w:rPr>
          <w:color w:val="000000" w:themeColor="text1"/>
        </w:rPr>
        <w:fldChar w:fldCharType="end"/>
      </w:r>
      <w:r w:rsidRPr="009A4FAB">
        <w:rPr>
          <w:color w:val="000000" w:themeColor="text1"/>
          <w:sz w:val="22"/>
          <w:szCs w:val="22"/>
        </w:rPr>
        <w:t xml:space="preserve"> and a greater likelihood of developing LBP among 76 international elite rowers.</w:t>
      </w:r>
      <w:r w:rsidRPr="009A4FAB">
        <w:rPr>
          <w:color w:val="000000" w:themeColor="text1"/>
        </w:rPr>
        <w:fldChar w:fldCharType="begin" w:fldLock="1"/>
      </w:r>
      <w:r w:rsidRPr="009A4FAB">
        <w:rPr>
          <w:color w:val="000000" w:themeColor="text1"/>
          <w:sz w:val="22"/>
          <w:szCs w:val="22"/>
          <w:vertAlign w:val="superscript"/>
        </w:rPr>
        <w:instrText>ADDIN CSL_CITATION {"citationItems":[{"id":"ITEM-1","itemData":{"DOI":"10.1136/bjsports-2014-093889","ISSN":"14730480","abstract":"BACKGROUND/AIMS: There is a paucity of prospective cohort studies investigating the incidence of low back pain (LBP) in rowing. We investigated (1) the prevalence and incidence of LBP among international-level rowers in New Zealand, (2) the relationship between training volume and LBP and (3) the effect of LBP on rowers' ability to train and compete.\\n\\nMETHODS: This was a prospective cohort study of 76 New Zealand representative rowers, including 46 men (mean age 22, SD=4) and 30 women (mean age 21, SD=4). Data were collected using an online questionnaire repeated monthly for 12 months.\\n\\nRESULTS: The prevalence of LBP ranged from 6% to 25% throughout the year. The incidence of episodes of LBP was 1.67 per 1000 exposure-hours. A total of 72 episodes of LBP were reported by 40 rowers (53%) during 12 months. Of these, 45% had an incidental effect on training. 29% minor, 18% moderate and 9% had a major effect as determined by the length of time the training was interrupted. There was a high correlation between new LBP and total training hours per month (r=0.83, p&lt;0.01). A previous history of LBP was a risk factor in developing new LBP (OR 2.06, 95% CI 1.22 to 3.48, p=0.01). Age was also a risk factor, with the likelihood of developing LBP increasing for every year (OR 1.08, 95% CI 1.01 to 1.15, p=0.02).\\n\\nCONCLUSIONS: LBP is common among New Zealand representative rowers. There is a high correlation between training load and the development of LBP.","author":[{"dropping-particle":"","family":"Newlands","given":"Craig","non-dropping-particle":"","parse-names":false,"suffix":""},{"dropping-particle":"","family":"Reid","given":"Duncan","non-dropping-particle":"","parse-names":false,"suffix":""},{"dropping-particle":"","family":"Parmar","given":"Priya","non-dropping-particle":"","parse-names":false,"suffix":""}],"container-title":"British Journal of Sports Medicine","id":"ITEM-1","issue":"14","issued":{"date-parts":[["2015"]]},"page":"951-956","title":"The prevalence, incidence and severity of low back pain among international-level rowers","type":"article-journal","volume":"49"},"uris":["http://www.mendeley.com/documents/?uuid=23818fd6-09f6-4885-bdfc-7370b2759b30"]}],"mendeley":{"formattedCitation":"(35)","plainTextFormattedCitation":"(35)","previouslyFormattedCitation":"(35)"},"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(35)</w:t>
      </w:r>
      <w:r w:rsidRPr="009A4FAB">
        <w:rPr>
          <w:color w:val="000000" w:themeColor="text1"/>
        </w:rPr>
        <w:fldChar w:fldCharType="end"/>
      </w:r>
      <w:r w:rsidRPr="009A4FAB">
        <w:rPr>
          <w:color w:val="000000" w:themeColor="text1"/>
          <w:sz w:val="22"/>
          <w:szCs w:val="22"/>
        </w:rPr>
        <w:t xml:space="preserve"> Our study population examined retired athletes in a much wider age range and </w:t>
      </w:r>
      <w:r w:rsidRPr="009A4FAB">
        <w:rPr>
          <w:color w:val="000000" w:themeColor="text1"/>
          <w:sz w:val="22"/>
          <w:szCs w:val="22"/>
          <w:lang w:val="en-US"/>
        </w:rPr>
        <w:t xml:space="preserve">found the point prevalence of LBP </w:t>
      </w:r>
      <w:r w:rsidRPr="009A4FAB">
        <w:rPr>
          <w:color w:val="000000" w:themeColor="text1"/>
          <w:sz w:val="22"/>
          <w:szCs w:val="22"/>
        </w:rPr>
        <w:t>was less common in those aged 75 years and older</w:t>
      </w:r>
      <w:r w:rsidRPr="009A4FAB">
        <w:rPr>
          <w:color w:val="000000" w:themeColor="text1"/>
          <w:sz w:val="22"/>
          <w:szCs w:val="22"/>
          <w:lang w:val="en-US"/>
        </w:rPr>
        <w:t>. A similar decline in the prevalence of LBP was found in the general population and thought to stem from mortality and underreporting of pain in the elderly and this may extend to our population.</w:t>
      </w:r>
      <w:r w:rsidRPr="009A4FAB">
        <w:rPr>
          <w:color w:val="000000" w:themeColor="text1"/>
        </w:rPr>
        <w:fldChar w:fldCharType="begin" w:fldLock="1"/>
      </w:r>
      <w:r w:rsidRPr="009A4FAB">
        <w:rPr>
          <w:color w:val="000000" w:themeColor="text1"/>
          <w:sz w:val="22"/>
          <w:szCs w:val="22"/>
          <w:vertAlign w:val="superscript"/>
          <w:lang w:val="en-US"/>
        </w:rPr>
        <w:instrText>ADDIN CSL_CITATION {"citationItems":[{"id":"ITEM-1","itemData":{"author":[{"dropping-particle":"","family":"Herr","given":"K. A","non-dropping-particle":"","parse-names":false,"suffix":""},{"dropping-particle":"","family":"Garand","given":"L","non-dropping-particle":"","parse-names":false,"suffix":""}],"container-title":"Cinical Geriatric Medicine","id":"ITEM-1","issue":"3","issued":{"date-parts":[["2001"]]},"page":"457-478","title":"Assessment and measurement of pain in older adults","type":"article-journal","volume":"17"},"uris":["http://www.mendeley.com/documents/?uuid=55552095-8b73-4d10-9c1b-f6bc972f2761"]}],"mendeley":{"formattedCitation":"(36)","plainTextFormattedCitation":"(36)","previouslyFormattedCitation":"(36)"},"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(36)</w:t>
      </w:r>
      <w:r w:rsidRPr="009A4FAB">
        <w:rPr>
          <w:color w:val="000000" w:themeColor="text1"/>
        </w:rPr>
        <w:fldChar w:fldCharType="end"/>
      </w:r>
      <w:r w:rsidRPr="009A4FAB">
        <w:rPr>
          <w:color w:val="000000" w:themeColor="text1"/>
          <w:sz w:val="22"/>
          <w:szCs w:val="22"/>
          <w:lang w:val="en-US"/>
        </w:rPr>
        <w:t xml:space="preserve"> </w:t>
      </w:r>
    </w:p>
    <w:p w14:paraId="3D533347" w14:textId="77777777" w:rsidR="008C6D0F" w:rsidRPr="009A4FAB" w:rsidRDefault="008C6D0F" w:rsidP="008C6D0F">
      <w:pPr>
        <w:spacing w:line="360" w:lineRule="auto"/>
        <w:rPr>
          <w:color w:val="000000" w:themeColor="text1"/>
          <w:sz w:val="22"/>
          <w:szCs w:val="22"/>
          <w:lang w:val="en-US"/>
        </w:rPr>
      </w:pPr>
    </w:p>
    <w:p w14:paraId="3BE31232" w14:textId="71C84393" w:rsidR="008C6D0F" w:rsidRPr="009A4FAB" w:rsidRDefault="008C6D0F" w:rsidP="008C6D0F">
      <w:pPr>
        <w:spacing w:line="360" w:lineRule="auto"/>
        <w:rPr>
          <w:color w:val="000000" w:themeColor="text1"/>
          <w:sz w:val="22"/>
          <w:szCs w:val="22"/>
          <w:lang w:val="en-US"/>
        </w:rPr>
      </w:pPr>
      <w:r w:rsidRPr="009A4FAB">
        <w:rPr>
          <w:color w:val="000000" w:themeColor="text1"/>
          <w:sz w:val="22"/>
          <w:szCs w:val="22"/>
          <w:lang w:val="en-US"/>
        </w:rPr>
        <w:lastRenderedPageBreak/>
        <w:t xml:space="preserve">A recent review </w:t>
      </w:r>
      <w:r w:rsidRPr="009A4FAB">
        <w:rPr>
          <w:color w:val="000000" w:themeColor="text1"/>
          <w:sz w:val="22"/>
          <w:szCs w:val="22"/>
        </w:rPr>
        <w:t>demonstrated an inconsistent relationship between LBP and BMI in athletes.</w:t>
      </w:r>
      <w:r w:rsidRPr="009A4FAB">
        <w:rPr>
          <w:color w:val="000000" w:themeColor="text1"/>
        </w:rPr>
        <w:fldChar w:fldCharType="begin" w:fldLock="1"/>
      </w:r>
      <w:r w:rsidRPr="009A4FAB">
        <w:rPr>
          <w:color w:val="000000" w:themeColor="text1"/>
          <w:sz w:val="22"/>
          <w:szCs w:val="22"/>
        </w:rPr>
        <w:instrText>ADDIN CSL_CITATION {"citationItems":[{"id":"ITEM-1","itemData":{"DOI":"10.1136/bjsports-2020-102537","ISSN":"14730480","abstract":"Objectives We aimed to determine the prevalence of low back pain (LBP) in sport, and what risk factors were associated with LBP in athletes. Design Systematic review with meta-analysis. Data sources Literature searches from database inception to June 2019 in Medline, Embase, Cumulated Index to Nursing and Allied Health Literature (CINAHL), Web of Science and Scopus, supplemented by grey literature searching. Eligibility criteria Studies evaluating prevalence of LBP in adult athletes across all sports. Results Eighty-six studies were included (30 732, range 20-5958, participants), of which 45 were of'high' quality. Definitions of LBP varied widely, and in 17 studies, no definition was provided. High-quality studies were pooled and the mean point prevalence across six studies was 42%; range 18%-80% (95% CI 27% to 58%, I2=97%). Lifetime prevalence across 13 studies was 63%; range 36%-88% (95% CI 51% to 74%, I2=99%). Twelve-month LBP prevalence from 22 studies was 51%; range 12%-94% (95% CI 41% to 61%, I2=98%). Comparison across sports was limited by participant numbers, study quality and methodologies, and varying LBP definitions. Risk factors for LBP included history of a previous episode with a pooled OR of 3.5; range 1.6-4.0 (95% CI 1.9 to 6.4). Statistically significant associations were reported for high training volume, periods of load increase and years of exposure to the sport. Conclusion LBP in sport is common but estimates vary. Current evidence is insufficient to identify which sports are at highest risk. A previous episode of LBP, high training volume, periods of load increase and years of exposure are common risk factors.","author":[{"dropping-particle":"","family":"Wilson","given":"F","non-dropping-particle":"","parse-names":false,"suffix":""},{"dropping-particle":"","family":"Ardern","given":"C. L","non-dropping-particle":"","parse-names":false,"suffix":""},{"dropping-particle":"","family":"Hartvigsen","given":"J","non-dropping-particle":"","parse-names":false,"suffix":""},{"dropping-particle":"","family":"Dane","given":"K","non-dropping-particle":"","parse-names":false,"suffix":""},{"dropping-particle":"","family":"Trompeter","given":"K","non-dropping-particle":"","parse-names":false,"suffix":""},{"dropping-particle":"","family":"Trease","given":"L","non-dropping-particle":"","parse-names":false,"suffix":""},{"dropping-particle":"","family":"Vinther","given":"A","non-dropping-particle":"","parse-names":false,"suffix":""},{"dropping-particle":"","family":"Gissane","given":"C","non-dropping-particle":"","parse-names":false,"suffix":""},{"dropping-particle":"","family":"McDonnell","given":"S. J","non-dropping-particle":"","parse-names":false,"suffix":""},{"dropping-particle":"","family":"Caneiro","given":"J. P","non-dropping-particle":"","parse-names":false,"suffix":""},{"dropping-particle":"","family":"Newlands","given":"C","non-dropping-particle":"","parse-names":false,"suffix":""},{"dropping-particle":"","family":"Wilkie","given":"K","non-dropping-particle":"","parse-names":false,"suffix":""},{"dropping-particle":"","family":"Mockler","given":"D","non-dropping-particle":"","parse-names":false,"suffix":""},{"dropping-particle":"","family":"Thornton","given":"J. S","non-dropping-particle":"","parse-names":false,"suffix":""}],"container-title":"British Journal of Sports Medicine","id":"ITEM-1","issued":{"date-parts":[["2020"]]},"page":"1-9","title":"Prevalence and risk factors for back pain in sports: a systematic review with meta-analysis","type":"article-journal"},"uris":["http://www.mendeley.com/documents/?uuid=44bd9497-575f-4d77-a51c-4bd0744b1bc9"]}],"mendeley":{"formattedCitation":"(10)","plainTextFormattedCitation":"(10)","previouslyFormattedCitation":"(10)"},"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(10)</w:t>
      </w:r>
      <w:r w:rsidRPr="009A4FAB">
        <w:rPr>
          <w:color w:val="000000" w:themeColor="text1"/>
        </w:rPr>
        <w:fldChar w:fldCharType="end"/>
      </w:r>
      <w:r w:rsidRPr="009A4FAB">
        <w:rPr>
          <w:color w:val="000000" w:themeColor="text1"/>
          <w:sz w:val="22"/>
          <w:szCs w:val="22"/>
        </w:rPr>
        <w:t xml:space="preserve"> The use of univariable analysis in previous studies may account for this inconsistency. Our study used a more rigorous multivariable analysis and confirmed that </w:t>
      </w:r>
      <w:r w:rsidRPr="009A4FAB">
        <w:rPr>
          <w:color w:val="000000" w:themeColor="text1"/>
          <w:sz w:val="22"/>
          <w:szCs w:val="22"/>
          <w:lang w:val="en-US"/>
        </w:rPr>
        <w:t xml:space="preserve">a change from a healthy </w:t>
      </w:r>
      <w:r w:rsidR="00B15017" w:rsidRPr="009A4FAB">
        <w:rPr>
          <w:color w:val="000000" w:themeColor="text1"/>
          <w:sz w:val="22"/>
          <w:szCs w:val="22"/>
          <w:lang w:val="en-US"/>
        </w:rPr>
        <w:t xml:space="preserve">BMI </w:t>
      </w:r>
      <w:r w:rsidRPr="009A4FAB">
        <w:rPr>
          <w:color w:val="000000" w:themeColor="text1"/>
          <w:sz w:val="22"/>
          <w:szCs w:val="22"/>
          <w:lang w:val="en-US"/>
        </w:rPr>
        <w:t xml:space="preserve">to a high BMI following retirement from sport was associated with LBP after adjustment for a priori confounders. This accords to previous studies </w:t>
      </w:r>
      <w:r w:rsidRPr="009A4FAB">
        <w:rPr>
          <w:color w:val="000000" w:themeColor="text1"/>
          <w:sz w:val="22"/>
          <w:szCs w:val="22"/>
        </w:rPr>
        <w:t xml:space="preserve">in the general population that have demonstrated those with a </w:t>
      </w:r>
      <w:r w:rsidRPr="009A4FAB">
        <w:rPr>
          <w:color w:val="000000" w:themeColor="text1"/>
          <w:sz w:val="22"/>
          <w:szCs w:val="22"/>
          <w:lang w:val="en-US"/>
        </w:rPr>
        <w:t>higher BMI are more likely to complain of back pain, with structural body weight having a biomechanical effect, and the spine being placed under increased mechanical stress.</w:t>
      </w:r>
      <w:r w:rsidRPr="009A4FAB">
        <w:rPr>
          <w:color w:val="000000" w:themeColor="text1"/>
        </w:rPr>
        <w:fldChar w:fldCharType="begin" w:fldLock="1"/>
      </w:r>
      <w:r w:rsidRPr="009A4FAB">
        <w:rPr>
          <w:color w:val="000000" w:themeColor="text1"/>
          <w:sz w:val="22"/>
          <w:szCs w:val="22"/>
          <w:vertAlign w:val="superscript"/>
        </w:rPr>
        <w:instrText>ADDIN CSL_CITATION {"citationItems":[{"id":"ITEM-1","itemData":{"author":[{"dropping-particle":"","family":"Webb","given":"R","non-dropping-particle":"","parse-names":false,"suffix":""},{"dropping-particle":"","family":"Brammah","given":"T","non-dropping-particle":"","parse-names":false,"suffix":""},{"dropping-particle":"","family":"Lunt","given":"M","non-dropping-particle":"","parse-names":false,"suffix":""},{"dropping-particle":"","family":"Urwin","given":"M","non-dropping-particle":"","parse-names":false,"suffix":""},{"dropping-particle":"","family":"Allison","given":"T","non-dropping-particle":"","parse-names":false,"suffix":""},{"dropping-particle":"","family":"Symmons","given":"D","non-dropping-particle":"","parse-names":false,"suffix":""}],"container-title":"Spine","id":"ITEM-1","issue":"11","issued":{"date-parts":[["2003"]]},"page":"1195-1202","title":"Prevalence and predictors of intense, chronic, and disabling neck and back pain in the UK general population","type":"article-journal","volume":"28"},"uris":["http://www.mendeley.com/documents/?uuid=e02c0c4c-b18d-489c-8229-ebb939084ae3"]}],"mendeley":{"formattedCitation":"(37)","plainTextFormattedCitation":"(37)","previouslyFormattedCitation":"(37)"},"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(37)</w:t>
      </w:r>
      <w:r w:rsidRPr="009A4FAB">
        <w:rPr>
          <w:color w:val="000000" w:themeColor="text1"/>
        </w:rPr>
        <w:fldChar w:fldCharType="end"/>
      </w:r>
    </w:p>
    <w:p w14:paraId="113DD51E" w14:textId="77777777" w:rsidR="008C6D0F" w:rsidRPr="009A4FAB" w:rsidRDefault="008C6D0F" w:rsidP="008C6D0F">
      <w:pPr>
        <w:spacing w:line="360" w:lineRule="auto"/>
        <w:rPr>
          <w:color w:val="000000" w:themeColor="text1"/>
          <w:sz w:val="22"/>
          <w:szCs w:val="22"/>
        </w:rPr>
      </w:pPr>
    </w:p>
    <w:p w14:paraId="0C25A848" w14:textId="77777777" w:rsidR="008C6D0F" w:rsidRPr="009A4FAB" w:rsidRDefault="008C6D0F" w:rsidP="008C6D0F">
      <w:pPr>
        <w:spacing w:line="360" w:lineRule="auto"/>
        <w:rPr>
          <w:color w:val="000000" w:themeColor="text1"/>
          <w:sz w:val="22"/>
          <w:szCs w:val="22"/>
          <w:shd w:val="clear" w:color="auto" w:fill="FFFFFF"/>
        </w:rPr>
      </w:pPr>
      <w:r w:rsidRPr="009A4FAB">
        <w:rPr>
          <w:color w:val="000000" w:themeColor="text1"/>
          <w:sz w:val="22"/>
          <w:szCs w:val="22"/>
          <w:lang w:val="en-US"/>
        </w:rPr>
        <w:t>There is inconsistent evidence to support whether training volume is a risk factor for LBP in sport; with studies demonstrating no trend between training volume and LBP prevalence and intensity,</w:t>
      </w:r>
      <w:r w:rsidRPr="009A4FAB">
        <w:rPr>
          <w:color w:val="000000" w:themeColor="text1"/>
        </w:rPr>
        <w:fldChar w:fldCharType="begin" w:fldLock="1"/>
      </w:r>
      <w:r w:rsidRPr="009A4FAB">
        <w:rPr>
          <w:color w:val="000000" w:themeColor="text1"/>
          <w:sz w:val="22"/>
          <w:szCs w:val="22"/>
          <w:lang w:val="en-US"/>
        </w:rPr>
        <w:instrText>ADDIN CSL_CITATION {"citationItems":[{"id":"ITEM-1","itemData":{"DOI":"10.1097/01.BRS.0000096176.92881.37","ISBN":"0521252784","ISSN":"0362-2436","PMID":"15094542","author":[{"dropping-particle":"","family":"Bahr","given":"R","non-dropping-particle":"","parse-names":false,"suffix":""},{"dropping-particle":"","family":"Andersen","given":"S. O","non-dropping-particle":"","parse-names":false,"suffix":""},{"dropping-particle":"","family":"Loken","given":"S","non-dropping-particle":"","parse-names":false,"suffix":""},{"dropping-particle":"","family":"Fossan","given":"B","non-dropping-particle":"","parse-names":false,"suffix":""},{"dropping-particle":"","family":"Hansen","given":"T","non-dropping-particle":"","parse-names":false,"suffix":""},{"dropping-particle":"","family":"Holme","given":"I","non-dropping-particle":"","parse-names":false,"suffix":""}],"container-title":"Spine","id":"ITEM-1","issue":"4","issued":{"date-parts":[["2004"]]},"page":"449-454","title":"Low Back Pain Among Endurance Athletes With and Without Specific Back Loading - A Cross-Sectional Survey of Cross-Country Skiers, Rowers, Orienteerers, and Nonathletic Controls","type":"article-journal","volume":"29"},"uris":["http://www.mendeley.com/documents/?uuid=36b30f2e-19c4-403c-8cc3-871144f03e34"]}],"mendeley":{"formattedCitation":"(9)","plainTextFormattedCitation":"(9)","previouslyFormattedCitation":"(9)"},"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(9)</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lang w:val="en-US"/>
        </w:rPr>
        <w:instrText>ADDIN CSL_CITATION {"citationItems":[{"id":"ITEM-1","itemData":{"DOI":"10.1007/s00586-015-4210-9","ISSN":"14320932","abstract":"Purpose: The cross-sectional study evaluates the incidence, localization, treatment, and influencing factors of back pain (BP) in Germany’s elite athletes. Methods: An online questionnaire was sent out to 3564 top athletes. We used the VAS to identify the intensity of BP and SPSS for statistical analyses. Results: 929 athletes responded. 514 (55.3 %) had BP within the last 12 months, mainly located in the lumbar spine (n = 293, 56.1 %). The average pain intensity was 5.75/10. Back-affecting exercise and additional burdens (e.g. at their place of work) did not increase the intensity of BP. When dividing the athletes into two groups according to the BP intensity, BP did not correlate with gender, age or BMI. Conclusion: At least every tenth athlete suffers temporarily from low BP at a level at which spine surgery could be the only option to relieve the pain. BP occurs independently of back-affecting training and additional stress. Further evaluation is needed to identify factors for avoiding severe BP in top athletes.","author":[{"dropping-particle":"","family":"Schulz","given":"S. S","non-dropping-particle":"","parse-names":false,"suffix":""},{"dropping-particle":"","family":"Lenz","given":"K","non-dropping-particle":"","parse-names":false,"suffix":""},{"dropping-particle":"","family":"Büttner-Janz","given":"K","non-dropping-particle":"","parse-names":false,"suffix":""}],"container-title":"European Spine Journal","id":"ITEM-1","issue":"4","issued":{"date-parts":[["2016"]]},"page":"1204-1210","title":"Severe back pain in elite athletes: a cross-sectional study on 929 top athletes of Germany","type":"article-journal","volume":"25"},"uris":["http://www.mendeley.com/documents/?uuid=82d8e5d0-5f43-4dec-a06d-c72bc84c6fad"]}],"mendeley":{"formattedCitation":"(29)","plainTextFormattedCitation":"(29)","previouslyFormattedCitation":"(29)"},"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(29)</w:t>
      </w:r>
      <w:r w:rsidRPr="009A4FAB">
        <w:rPr>
          <w:color w:val="000000" w:themeColor="text1"/>
        </w:rPr>
        <w:fldChar w:fldCharType="end"/>
      </w:r>
      <w:r w:rsidRPr="009A4FAB">
        <w:rPr>
          <w:color w:val="000000" w:themeColor="text1"/>
          <w:sz w:val="22"/>
          <w:szCs w:val="22"/>
          <w:lang w:val="en-US"/>
        </w:rPr>
        <w:t xml:space="preserve"> whereas other studies have confirmed a positive relationship.</w:t>
      </w:r>
      <w:r w:rsidRPr="009A4FAB">
        <w:rPr>
          <w:color w:val="000000" w:themeColor="text1"/>
        </w:rPr>
        <w:fldChar w:fldCharType="begin" w:fldLock="1"/>
      </w:r>
      <w:r w:rsidRPr="009A4FAB">
        <w:rPr>
          <w:color w:val="000000" w:themeColor="text1"/>
          <w:sz w:val="22"/>
          <w:szCs w:val="22"/>
          <w:lang w:val="en-US"/>
        </w:rPr>
        <w:instrText>ADDIN CSL_CITATION {"citationItems":[{"id":"ITEM-1","itemData":{"DOI":"10.1136/bjsports-2014-093889","ISSN":"14730480","abstract":"BACKGROUND/AIMS: There is a paucity of prospective cohort studies investigating the incidence of low back pain (LBP) in rowing. We investigated (1) the prevalence and incidence of LBP among international-level rowers in New Zealand, (2) the relationship between training volume and LBP and (3) the effect of LBP on rowers' ability to train and compete.\\n\\nMETHODS: This was a prospective cohort study of 76 New Zealand representative rowers, including 46 men (mean age 22, SD=4) and 30 women (mean age 21, SD=4). Data were collected using an online questionnaire repeated monthly for 12 months.\\n\\nRESULTS: The prevalence of LBP ranged from 6% to 25% throughout the year. The incidence of episodes of LBP was 1.67 per 1000 exposure-hours. A total of 72 episodes of LBP were reported by 40 rowers (53%) during 12 months. Of these, 45% had an incidental effect on training. 29% minor, 18% moderate and 9% had a major effect as determined by the length of time the training was interrupted. There was a high correlation between new LBP and total training hours per month (r=0.83, p&lt;0.01). A previous history of LBP was a risk factor in developing new LBP (OR 2.06, 95% CI 1.22 to 3.48, p=0.01). Age was also a risk factor, with the likelihood of developing LBP increasing for every year (OR 1.08, 95% CI 1.01 to 1.15, p=0.02).\\n\\nCONCLUSIONS: LBP is common among New Zealand representative rowers. There is a high correlation between training load and the development of LBP.","author":[{"dropping-particle":"","family":"Newlands","given":"Craig","non-dropping-particle":"","parse-names":false,"suffix":""},{"dropping-particle":"","family":"Reid","given":"Duncan","non-dropping-particle":"","parse-names":false,"suffix":""},{"dropping-particle":"","family":"Parmar","given":"Priya","non-dropping-particle":"","parse-names":false,"suffix":""}],"container-title":"British Journal of Sports Medicine","id":"ITEM-1","issue":"14","issued":{"date-parts":[["2015"]]},"page":"951-956","title":"The prevalence, incidence and severity of low back pain among international-level rowers","type":"article-journal","volume":"49"},"uris":["http://www.mendeley.com/documents/?uuid=23818fd6-09f6-4885-bdfc-7370b2759b30"]}],"mendeley":{"formattedCitation":"(35)","plainTextFormattedCitation":"(35)","previouslyFormattedCitation":"(35)"},"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(35)</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lang w:val="en-US"/>
        </w:rPr>
        <w:instrText>ADDIN CSL_CITATION {"citationItems":[{"id":"ITEM-1","itemData":{"DOI":"10.1371/journal.pone.0210429","ISBN":"1111111111","ISSN":"19326203","abstract":"Background The prevalence of back pain in athletes has been investigated in several studies, but there are still under- or uninvestigated sports discipline like sports exposed to repetitive overhead activity. Elite athletes spend much time in training and competition and, because of the nature of their disciplines, subject their bodies to a great deal of mechanical strain, which puts a high level of stress on their musculoskeletal systems. From this it is hypothesized that elite athletes who engage in repetitive overhead motions experience a higher strain on their spine and thus possibly a higher prevalence of back pain compared with an active control group.   Objectives To examine the prevalence of back pain and the exact location of pain in a cohort of elite athletes with repetitive overhead activity and in a control group of physically active sport students. Additionally, to examine different characteristics of pain, and to evaluate the influence of confounders on back pain.   Methods A standardized and validated online back pain questionnaire was sent by the German Olympic Sports Confederation to German national and international elite athletes, and a control group of physically active but non-elite sports students.   Results The final sample comprised 181 elite athletes of the sports disciplines badminton, beach volleyball, handball, tennis and volleyball and 166 physically active controls. In elite athletes, lifetime prevalence of back pain was 85%, 12-month prevalence was 75%, 3-month prevalence was 58% and point prevalence was 38%; for the physically active control group, these prevalences were 81%, 70%, 59% and 43%, respectively. There was no significant group difference in prevalence over all time periods. The lower back was the main location of back pain in elite athletes across all disciplines and in controls; additionally a distinct problem of upper back pain was found among volleyball players.   Conclusion Despite the high mechanical load inherent in the sport disciplines included in this study, the elite athletes who engaged in repetitive overhead activities did not suffer more from back pain than the physically active controls. This suggests that other mechanisms may be influencing back pain prevalences in a positive way in these athletes. Furthermore, these disciplines may practice preventive factors for back pain that outweigh their detrimental factors. Therefore, we posit that extensive prevention work is already being implemented in …","author":[{"dropping-particle":"","family":"Fett","given":"Daniela","non-dropping-particle":"","parse-names":false,"suffix":""},{"dropping-particle":"","family":"Trompeter","given":"Katharina","non-dropping-particle":"","parse-names":false,"suffix":""},{"dropping-particle":"","family":"Platen","given":"Petra","non-dropping-particle":"","parse-names":false,"suffix":""}],"container-title":"PLoS ONE","id":"ITEM-1","issue":"1","issued":{"date-parts":[["2019"]]},"page":"1-17","title":"Prevalence of back pain in a group of elite athletes exposed to repetitive overhead activity","type":"article-journal","volume":"14"},"uris":["http://www.mendeley.com/documents/?uuid=fc005c66-5834-48ca-a6a0-6f317ea36fbe"]}],"mendeley":{"formattedCitation":"(38)","plainTextFormattedCitation":"(38)","previouslyFormattedCitation":"(38)"},"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(38)</w:t>
      </w:r>
      <w:r w:rsidRPr="009A4FAB">
        <w:rPr>
          <w:color w:val="000000" w:themeColor="text1"/>
        </w:rPr>
        <w:fldChar w:fldCharType="end"/>
      </w:r>
      <w:r w:rsidRPr="009A4FAB">
        <w:rPr>
          <w:color w:val="000000" w:themeColor="text1"/>
        </w:rPr>
        <w:fldChar w:fldCharType="begin" w:fldLock="1"/>
      </w:r>
      <w:r w:rsidRPr="009A4FAB">
        <w:rPr>
          <w:color w:val="000000" w:themeColor="text1"/>
          <w:sz w:val="22"/>
          <w:szCs w:val="22"/>
          <w:shd w:val="clear" w:color="auto" w:fill="FFFFFF"/>
          <w:vertAlign w:val="superscript"/>
        </w:rPr>
        <w:instrText>ADDIN CSL_CITATION {"citationItems":[{"id":"ITEM-1","itemData":{"DOI":"10.1177/0363546512458413","ISSN":"03635465","abstract":"BACKGROUND: Some cross-sectional studies have suggested that the prevalence of low back pain (LBP) may be high among endurance athletes with repetitive back loading, but there are no large, prospective cohort studies addressing this issue.\\n\\nPURPOSE: To compare the prevalence of symptoms of low back pain (LBP) among former endurance athletes with different loading characteristics on the lumbar region: cross-country skiing (flexion loading), rowing (extension loading), and orienteering (no specific loading), as well as a nonathletic control group.\\n\\nSTUDY DESIGN: Cohort study; level of evidence, 2.\\n\\nMETHODS: Self-reported questionnaire on LBP adapted for sports based on standardized Nordic questionnaires for musculoskeletal symptoms. Responders were 173 rowers, 209 orienteerers, 242 cross-country skiers, and 116 control subjects (88% of the original cohort).\\n\\nRESULTS: There were no group differences between the athletic groups and the control group with regard to the 2 main outcomes: reported LBP the previous 12 months (P = .66) and frequent LBP the past year (&gt;30 days with LBP) (P = .14). More rowers than orienteerers reported frequent LBP the past year (adjusted OR = 2.32; CI, 1.02-5.28). Occupational changes due to LBP were reported more often by rowers (13%) than skiers (7%) and orienteerers (3%) (P = .002). More rowers and skiers reported having received outpatient medical assistance than orienteerers or controls. A training volume &gt;550 h/y was a risk factor for reporting LBP during the previous 12 months compared with a training volume &lt;200 h/y (adjusted OR = 2.51; CI, 1.26-5.02). A previous episode with LBP was associated with LBP later in life (adjusted OR = 3.02; CI, 2.22-4.10).\\n\\nCONCLUSION: Low back pain was not more common among former endurance athletes with specific back loading compared with non-athletes. The results indicate that years of prolonged and repetitive flexion or extension loading in endurance sports does not lead to more LBP. However, a large training volume in the past year and previous episodes with LBP are risk factors for LBP. Comparing the sports of rowing, cross-country skiing, and orienteering, it appears that whereas orienteering is protective, rowing can provoke LBP.","author":[{"dropping-particle":"","family":"Foss","given":"Ida Stange","non-dropping-particle":"","parse-names":false,"suffix":""},{"dropping-particle":"","family":"Holme","given":"Ingar","non-dropping-particle":"","parse-names":false,"suffix":""},{"dropping-particle":"","family":"Bahr","given":"Roald","non-dropping-particle":"","parse-names":false,"suffix":""}],"container-title":"American Journal of Sports Medicine","id":"ITEM-1","issue":"11","issued":{"date-parts":[["2012"]]},"page":"2610-2616","title":"The prevalence of low back pain among former elite cross-country skiers, rowers, orienteerers, and nonathletes: A 10-year cohort study","type":"article-journal","volume":"40"},"uris":["http://www.mendeley.com/documents/?uuid=0c9b48e2-4f73-46ed-a6b7-31e1212583dc"]}],"mendeley":{"formattedCitation":"(39)","plainTextFormattedCitation":"(39)","previouslyFormattedCitation":"(39)"},"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shd w:val="clear" w:color="auto" w:fill="FFFFFF"/>
        </w:rPr>
        <w:t>(39)</w:t>
      </w:r>
      <w:r w:rsidRPr="009A4FAB">
        <w:rPr>
          <w:color w:val="000000" w:themeColor="text1"/>
        </w:rPr>
        <w:fldChar w:fldCharType="end"/>
      </w:r>
      <w:r w:rsidRPr="009A4FAB">
        <w:rPr>
          <w:color w:val="000000" w:themeColor="text1"/>
          <w:sz w:val="22"/>
          <w:szCs w:val="22"/>
          <w:shd w:val="clear" w:color="auto" w:fill="FFFFFF"/>
        </w:rPr>
        <w:t xml:space="preserve"> In the general population, both inactivity and excessive physical activity presents an increased risk for back pain, according to the U-shaped exposure-response curve.</w:t>
      </w:r>
      <w:r w:rsidRPr="009A4FAB">
        <w:rPr>
          <w:color w:val="000000" w:themeColor="text1"/>
        </w:rPr>
        <w:fldChar w:fldCharType="begin" w:fldLock="1"/>
      </w:r>
      <w:r w:rsidRPr="009A4FAB">
        <w:rPr>
          <w:color w:val="000000" w:themeColor="text1"/>
          <w:sz w:val="22"/>
          <w:szCs w:val="22"/>
          <w:shd w:val="clear" w:color="auto" w:fill="FFFFFF"/>
        </w:rPr>
        <w:instrText>ADDIN CSL_CITATION {"citationItems":[{"id":"ITEM-1","itemData":{"DOI":"10.1016/j.pain.2008.12.033","ISSN":"03043959","PMID":"19217208","abstract":"Being physically active is often suggested to be important in the prevention and management of low back pain. This simple view does not take into account that the relation between the level of activity and back pain may be a U-shaped curve - i.e. both inactivity and excessive activities (back-unhealthy activity) present an increased risk for back pain. We explored the U-shaped association between physical activity and chronic low back pain (≥3 months duration) by analyzing cross-sectional data from the Dutch population-based Musculoskeletal Complaints and Consequences Cohort study (DMC3, 1998) of a sex-age stratified sample of 25 years and older (n = 3364). Type of activity (daily routine, leisure time and sport activity), intensity of and time spent on these activities, and back exertion of sport activities were taken into account. Physical activity was not associated with chronic low back pain (CLBP) when studied by the dimension of activity, by the intensity or by the duration of physical activity. Only engaging in sport activity was associated with less CLBP (OR 0.78: 95% CI 0.66-0.93). The extremes of the total physical activity pattern were associated with CLBP. A moderate increased risk for CLBP was found for both participants with a sedentary lifestyle (OR 1.31: 95% CI 1.08-1.58) and for those being involved in physical strenuous activities (OR 1.22: 95% CI 1.00-1.49). This was especially true for women (sedentary: OR 1.44: 95% CI 1.10-1.83; physically active: OR 1.36: 95% CI 1.04-1.78). This study provides some evidence that the relation between physical activity and CLBP is U-shaped. © 2009 International Association for the Study of Pain.","author":[{"dropping-particle":"","family":"Heneweer","given":"H","non-dropping-particle":"","parse-names":false,"suffix":""},{"dropping-particle":"","family":"Vanhees","given":"L","non-dropping-particle":"","parse-names":false,"suffix":""},{"dropping-particle":"","family":"Picavet","given":"H. S","non-dropping-particle":"","parse-names":false,"suffix":""}],"container-title":"Pain","id":"ITEM-1","issue":"1-2","issued":{"date-parts":[["2009"]]},"page":"21-25","publisher":"International Association for the Study of Pain","title":"Physical activity and low back pain: A U-shaped relation?","type":"article-journal","volume":"143"},"uris":["http://www.mendeley.com/documents/?uuid=ecc10805-e4a4-48dc-bb96-59953c3e9b7a"]}],"mendeley":{"formattedCitation":"(40)","plainTextFormattedCitation":"(40)","previouslyFormattedCitation":"(40)"},"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shd w:val="clear" w:color="auto" w:fill="FFFFFF"/>
        </w:rPr>
        <w:t>(40)</w:t>
      </w:r>
      <w:r w:rsidRPr="009A4FAB">
        <w:rPr>
          <w:color w:val="000000" w:themeColor="text1"/>
        </w:rPr>
        <w:fldChar w:fldCharType="end"/>
      </w:r>
      <w:r w:rsidRPr="009A4FAB">
        <w:rPr>
          <w:color w:val="000000" w:themeColor="text1"/>
          <w:sz w:val="22"/>
          <w:szCs w:val="22"/>
          <w:shd w:val="clear" w:color="auto" w:fill="FFFFFF"/>
        </w:rPr>
        <w:t xml:space="preserve"> Our study extends this knowledge by providing evidence that the relation between training volume and LBP in elite retired athletes is U-shaped </w:t>
      </w:r>
      <w:r w:rsidRPr="009A4FAB">
        <w:rPr>
          <w:color w:val="000000" w:themeColor="text1"/>
          <w:sz w:val="22"/>
          <w:szCs w:val="22"/>
          <w:lang w:val="en-US"/>
        </w:rPr>
        <w:t xml:space="preserve">with a medium training volume (400-549 hours/year) aligned to a lower prevalence of LBP. These findings require confirmation in a longitudinal study and have implications for monitoring the dose of sport exposure in the management and prevention of LBP in the elite athlete. </w:t>
      </w:r>
    </w:p>
    <w:p w14:paraId="1BB59778" w14:textId="77777777" w:rsidR="008C6D0F" w:rsidRPr="009A4FAB" w:rsidRDefault="008C6D0F" w:rsidP="008C6D0F">
      <w:pPr>
        <w:spacing w:line="360" w:lineRule="auto"/>
        <w:rPr>
          <w:color w:val="000000" w:themeColor="text1"/>
          <w:sz w:val="22"/>
          <w:szCs w:val="22"/>
          <w:shd w:val="clear" w:color="auto" w:fill="FFFFFF"/>
        </w:rPr>
      </w:pPr>
    </w:p>
    <w:p w14:paraId="20808ABF" w14:textId="77777777" w:rsidR="008C6D0F" w:rsidRPr="009A4FAB" w:rsidRDefault="008C6D0F" w:rsidP="008C6D0F">
      <w:pPr>
        <w:spacing w:line="360" w:lineRule="auto"/>
        <w:rPr>
          <w:color w:val="000000" w:themeColor="text1"/>
          <w:sz w:val="22"/>
          <w:szCs w:val="22"/>
          <w:shd w:val="clear" w:color="auto" w:fill="FFFFFF"/>
        </w:rPr>
      </w:pPr>
      <w:r w:rsidRPr="009A4FAB">
        <w:rPr>
          <w:color w:val="000000" w:themeColor="text1"/>
          <w:sz w:val="22"/>
          <w:szCs w:val="22"/>
          <w:lang w:val="en-US"/>
        </w:rPr>
        <w:t>Previous studies have investigated LBP and the loading characteristics associated with different sports and found it was no more common among cross-country skiers and rowers than orienteers and nonathletic controls</w:t>
      </w:r>
      <w:r w:rsidRPr="009A4FAB">
        <w:rPr>
          <w:color w:val="000000" w:themeColor="text1"/>
          <w:sz w:val="22"/>
          <w:szCs w:val="22"/>
        </w:rPr>
        <w:t>.</w:t>
      </w:r>
      <w:r w:rsidRPr="009A4FAB">
        <w:rPr>
          <w:color w:val="000000" w:themeColor="text1"/>
        </w:rPr>
        <w:fldChar w:fldCharType="begin" w:fldLock="1"/>
      </w:r>
      <w:r w:rsidRPr="009A4FAB">
        <w:rPr>
          <w:color w:val="000000" w:themeColor="text1"/>
          <w:sz w:val="22"/>
          <w:szCs w:val="22"/>
          <w:vertAlign w:val="superscript"/>
        </w:rPr>
        <w:instrText>ADDIN CSL_CITATION {"citationItems":[{"id":"ITEM-1","itemData":{"DOI":"10.1097/01.BRS.0000096176.92881.37","ISBN":"0521252784","ISSN":"0362-2436","PMID":"15094542","author":[{"dropping-particle":"","family":"Bahr","given":"R","non-dropping-particle":"","parse-names":false,"suffix":""},{"dropping-particle":"","family":"Andersen","given":"S. O","non-dropping-particle":"","parse-names":false,"suffix":""},{"dropping-particle":"","family":"Loken","given":"S","non-dropping-particle":"","parse-names":false,"suffix":""},{"dropping-particle":"","family":"Fossan","given":"B","non-dropping-particle":"","parse-names":false,"suffix":""},{"dropping-particle":"","family":"Hansen","given":"T","non-dropping-particle":"","parse-names":false,"suffix":""},{"dropping-particle":"","family":"Holme","given":"I","non-dropping-particle":"","parse-names":false,"suffix":""}],"container-title":"Spine","id":"ITEM-1","issue":"4","issued":{"date-parts":[["2004"]]},"page":"449-454","title":"Low Back Pain Among Endurance Athletes With and Without Specific Back Loading - A Cross-Sectional Survey of Cross-Country Skiers, Rowers, Orienteerers, and Nonathletic Controls","type":"article-journal","volume":"29"},"uris":["http://www.mendeley.com/documents/?uuid=36b30f2e-19c4-403c-8cc3-871144f03e34"]}],"mendeley":{"formattedCitation":"(9)","plainTextFormattedCitation":"(9)","previouslyFormattedCitation":"(9)"},"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(9)</w:t>
      </w:r>
      <w:r w:rsidRPr="009A4FAB">
        <w:rPr>
          <w:color w:val="000000" w:themeColor="text1"/>
        </w:rPr>
        <w:fldChar w:fldCharType="end"/>
      </w:r>
      <w:r w:rsidRPr="009A4FAB">
        <w:rPr>
          <w:color w:val="000000" w:themeColor="text1"/>
          <w:sz w:val="22"/>
          <w:szCs w:val="22"/>
          <w:lang w:val="en-US"/>
        </w:rPr>
        <w:t xml:space="preserve"> Elite athletes from badminton, beach volleyball, handball, tennis and volleyball who engaged in repetitive overhead activities were not more likely to complain of back pain than active controls.</w:t>
      </w:r>
      <w:r w:rsidRPr="009A4FAB">
        <w:rPr>
          <w:color w:val="000000" w:themeColor="text1"/>
        </w:rPr>
        <w:fldChar w:fldCharType="begin" w:fldLock="1"/>
      </w:r>
      <w:r w:rsidRPr="009A4FAB">
        <w:rPr>
          <w:color w:val="000000" w:themeColor="text1"/>
          <w:sz w:val="22"/>
          <w:szCs w:val="22"/>
          <w:lang w:val="en-US"/>
        </w:rPr>
        <w:instrText>ADDIN CSL_CITATION {"citationItems":[{"id":"ITEM-1","itemData":{"DOI":"10.1371/journal.pone.0210429","ISBN":"1111111111","ISSN":"19326203","abstract":"Background The prevalence of back pain in athletes has been investigated in several studies, but there are still under- or uninvestigated sports discipline like sports exposed to repetitive overhead activity. Elite athletes spend much time in training and competition and, because of the nature of their disciplines, subject their bodies to a great deal of mechanical strain, which puts a high level of stress on their musculoskeletal systems. From this it is hypothesized that elite athletes who engage in repetitive overhead motions experience a higher strain on their spine and thus possibly a higher prevalence of back pain compared with an active control group.   Objectives To examine the prevalence of back pain and the exact location of pain in a cohort of elite athletes with repetitive overhead activity and in a control group of physically active sport students. Additionally, to examine different characteristics of pain, and to evaluate the influence of confounders on back pain.   Methods A standardized and validated online back pain questionnaire was sent by the German Olympic Sports Confederation to German national and international elite athletes, and a control group of physically active but non-elite sports students.   Results The final sample comprised 181 elite athletes of the sports disciplines badminton, beach volleyball, handball, tennis and volleyball and 166 physically active controls. In elite athletes, lifetime prevalence of back pain was 85%, 12-month prevalence was 75%, 3-month prevalence was 58% and point prevalence was 38%; for the physically active control group, these prevalences were 81%, 70%, 59% and 43%, respectively. There was no significant group difference in prevalence over all time periods. The lower back was the main location of back pain in elite athletes across all disciplines and in controls; additionally a distinct problem of upper back pain was found among volleyball players.   Conclusion Despite the high mechanical load inherent in the sport disciplines included in this study, the elite athletes who engaged in repetitive overhead activities did not suffer more from back pain than the physically active controls. This suggests that other mechanisms may be influencing back pain prevalences in a positive way in these athletes. Furthermore, these disciplines may practice preventive factors for back pain that outweigh their detrimental factors. Therefore, we posit that extensive prevention work is already being implemented in …","author":[{"dropping-particle":"","family":"Fett","given":"Daniela","non-dropping-particle":"","parse-names":false,"suffix":""},{"dropping-particle":"","family":"Trompeter","given":"Katharina","non-dropping-particle":"","parse-names":false,"suffix":""},{"dropping-particle":"","family":"Platen","given":"Petra","non-dropping-particle":"","parse-names":false,"suffix":""}],"container-title":"PLoS ONE","id":"ITEM-1","issue":"1","issued":{"date-parts":[["2019"]]},"page":"1-17","title":"Prevalence of back pain in a group of elite athletes exposed to repetitive overhead activity","type":"article-journal","volume":"14"},"uris":["http://www.mendeley.com/documents/?uuid=fc005c66-5834-48ca-a6a0-6f317ea36fbe"]}],"mendeley":{"formattedCitation":"(38)","plainTextFormattedCitation":"(38)","previouslyFormattedCitation":"(38)"},"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lang w:val="en-US"/>
        </w:rPr>
        <w:t>(38)</w:t>
      </w:r>
      <w:r w:rsidRPr="009A4FAB">
        <w:rPr>
          <w:color w:val="000000" w:themeColor="text1"/>
        </w:rPr>
        <w:fldChar w:fldCharType="end"/>
      </w:r>
      <w:r w:rsidRPr="009A4FAB">
        <w:rPr>
          <w:color w:val="000000" w:themeColor="text1"/>
          <w:sz w:val="22"/>
          <w:szCs w:val="22"/>
          <w:lang w:val="en-US"/>
        </w:rPr>
        <w:t xml:space="preserve"> </w:t>
      </w:r>
      <w:r w:rsidRPr="009A4FAB">
        <w:rPr>
          <w:color w:val="000000" w:themeColor="text1"/>
          <w:sz w:val="22"/>
          <w:szCs w:val="22"/>
        </w:rPr>
        <w:t xml:space="preserve">The present study extends this knowledge and found no difference in LBP prevalence and participants from sports with and without specific back loading or overhead activities. However, when we investigated participants with overhead throwing activities from field athletics they were more likely to report LBP. The repetitive axial loading type movements of field athletes is believed to contribute to their greater prevalence of LBP. The different types of loading patterns that individual Olympic sports place on the spine require investigation in a much larger population of retired athletes from other National Olympic Committees. </w:t>
      </w:r>
    </w:p>
    <w:p w14:paraId="7E57850B" w14:textId="77777777" w:rsidR="008C6D0F" w:rsidRPr="009A4FAB" w:rsidRDefault="008C6D0F" w:rsidP="008C6D0F">
      <w:pPr>
        <w:widowControl w:val="0"/>
        <w:autoSpaceDE w:val="0"/>
        <w:autoSpaceDN w:val="0"/>
        <w:adjustRightInd w:val="0"/>
        <w:spacing w:line="360" w:lineRule="auto"/>
        <w:rPr>
          <w:color w:val="000000" w:themeColor="text1"/>
          <w:sz w:val="22"/>
          <w:szCs w:val="22"/>
        </w:rPr>
      </w:pPr>
    </w:p>
    <w:p w14:paraId="7E97F805" w14:textId="77777777" w:rsidR="008C6D0F" w:rsidRPr="009A4FAB" w:rsidRDefault="008C6D0F" w:rsidP="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 xml:space="preserve">The present study found a </w:t>
      </w:r>
      <w:r w:rsidRPr="009A4FAB">
        <w:rPr>
          <w:color w:val="000000" w:themeColor="text1"/>
          <w:sz w:val="22"/>
          <w:szCs w:val="22"/>
        </w:rPr>
        <w:t xml:space="preserve">prior significant low back injury was the dominant factor associated with LBP. </w:t>
      </w:r>
      <w:r w:rsidRPr="009A4FAB">
        <w:rPr>
          <w:color w:val="000000" w:themeColor="text1"/>
          <w:sz w:val="22"/>
          <w:szCs w:val="22"/>
          <w:lang w:val="en-US"/>
        </w:rPr>
        <w:t xml:space="preserve">Intervertebral disc injury, fracture, and overload injuries were more common in those with LBP. Our findings illustrate the importance of injury prevention strategies in reducing the number of spinal injuries during the athlete’s career in order to </w:t>
      </w:r>
      <w:r w:rsidRPr="009A4FAB">
        <w:rPr>
          <w:color w:val="000000" w:themeColor="text1"/>
          <w:sz w:val="22"/>
          <w:szCs w:val="22"/>
          <w:lang w:val="en-US"/>
        </w:rPr>
        <w:lastRenderedPageBreak/>
        <w:t xml:space="preserve">mitigate </w:t>
      </w:r>
      <w:r w:rsidRPr="009A4FAB">
        <w:rPr>
          <w:color w:val="000000" w:themeColor="text1"/>
          <w:sz w:val="22"/>
          <w:szCs w:val="22"/>
          <w:shd w:val="clear" w:color="auto" w:fill="FFFFFF"/>
        </w:rPr>
        <w:t>the long-term sequelae of LBP.</w:t>
      </w:r>
      <w:r w:rsidRPr="009A4FAB">
        <w:rPr>
          <w:color w:val="000000" w:themeColor="text1"/>
          <w:sz w:val="22"/>
          <w:szCs w:val="22"/>
          <w:lang w:val="en-US"/>
        </w:rPr>
        <w:t xml:space="preserve"> Our analysis revealed no association between hypermobility and lumbar spine flexion range of movement with LBP. Our findings do not support reports that athletes with lower extremity ligamentous laxity are reported to be at greater risk of LBP,</w:t>
      </w:r>
      <w:r w:rsidRPr="009A4FAB">
        <w:rPr>
          <w:color w:val="000000" w:themeColor="text1"/>
        </w:rPr>
        <w:fldChar w:fldCharType="begin" w:fldLock="1"/>
      </w:r>
      <w:r w:rsidRPr="009A4FAB">
        <w:rPr>
          <w:color w:val="000000" w:themeColor="text1"/>
          <w:sz w:val="22"/>
          <w:szCs w:val="22"/>
          <w:shd w:val="clear" w:color="auto" w:fill="FFFFFF"/>
          <w:vertAlign w:val="superscript"/>
        </w:rPr>
        <w:instrText>ADDIN CSL_CITATION {"citationItems":[{"id":"ITEM-1","itemData":{"DOI":"10.1111/j.1600-0838.1994.tb00426.x","ISSN":"16000838","abstract":"Factors associated with low</w:instrText>
      </w:r>
      <w:r w:rsidRPr="009A4FAB">
        <w:rPr>
          <w:rFonts w:ascii="Noteworthy Light" w:hAnsi="Noteworthy Light" w:cs="Noteworthy Light"/>
          <w:color w:val="000000" w:themeColor="text1"/>
          <w:sz w:val="22"/>
          <w:szCs w:val="22"/>
          <w:shd w:val="clear" w:color="auto" w:fill="FFFFFF"/>
          <w:vertAlign w:val="superscript"/>
        </w:rPr>
        <w:instrText>‐</w:instrText>
      </w:r>
      <w:r w:rsidRPr="009A4FAB">
        <w:rPr>
          <w:color w:val="000000" w:themeColor="text1"/>
          <w:sz w:val="22"/>
          <w:szCs w:val="22"/>
          <w:shd w:val="clear" w:color="auto" w:fill="FFFFFF"/>
          <w:vertAlign w:val="superscript"/>
        </w:rPr>
        <w:instrText>back pain were sought by examining physical activity, low</w:instrText>
      </w:r>
      <w:r w:rsidRPr="009A4FAB">
        <w:rPr>
          <w:rFonts w:ascii="Noteworthy Light" w:hAnsi="Noteworthy Light" w:cs="Noteworthy Light"/>
          <w:color w:val="000000" w:themeColor="text1"/>
          <w:sz w:val="22"/>
          <w:szCs w:val="22"/>
          <w:shd w:val="clear" w:color="auto" w:fill="FFFFFF"/>
          <w:vertAlign w:val="superscript"/>
        </w:rPr>
        <w:instrText>‐</w:instrText>
      </w:r>
      <w:r w:rsidRPr="009A4FAB">
        <w:rPr>
          <w:color w:val="000000" w:themeColor="text1"/>
          <w:sz w:val="22"/>
          <w:szCs w:val="22"/>
          <w:shd w:val="clear" w:color="auto" w:fill="FFFFFF"/>
          <w:vertAlign w:val="superscript"/>
        </w:rPr>
        <w:instrText>back pain reports and physical measurements in 86 athletes and 33 nonathletes, a total of 119 adolescents (52 boys and 67 girls). The athletic boys participated in team sports (19 in soccer and 17 in ice hockey) and the athletic girls in individual sports or dance (14 in gymnastics, 17 in figure skating, and 19 in ballet). All subjects answered a questionnaire on physical activity and pain history at the beginning of the study and at the 1</w:instrText>
      </w:r>
      <w:r w:rsidRPr="009A4FAB">
        <w:rPr>
          <w:rFonts w:ascii="Noteworthy Light" w:hAnsi="Noteworthy Light" w:cs="Noteworthy Light"/>
          <w:color w:val="000000" w:themeColor="text1"/>
          <w:sz w:val="22"/>
          <w:szCs w:val="22"/>
          <w:shd w:val="clear" w:color="auto" w:fill="FFFFFF"/>
          <w:vertAlign w:val="superscript"/>
        </w:rPr>
        <w:instrText>‐</w:instrText>
      </w:r>
      <w:r w:rsidRPr="009A4FAB">
        <w:rPr>
          <w:color w:val="000000" w:themeColor="text1"/>
          <w:sz w:val="22"/>
          <w:szCs w:val="22"/>
          <w:shd w:val="clear" w:color="auto" w:fill="FFFFFF"/>
          <w:vertAlign w:val="superscript"/>
        </w:rPr>
        <w:instrText>year follow</w:instrText>
      </w:r>
      <w:r w:rsidRPr="009A4FAB">
        <w:rPr>
          <w:rFonts w:ascii="Noteworthy Light" w:hAnsi="Noteworthy Light" w:cs="Noteworthy Light"/>
          <w:color w:val="000000" w:themeColor="text1"/>
          <w:sz w:val="22"/>
          <w:szCs w:val="22"/>
          <w:shd w:val="clear" w:color="auto" w:fill="FFFFFF"/>
          <w:vertAlign w:val="superscript"/>
        </w:rPr>
        <w:instrText>‐</w:instrText>
      </w:r>
      <w:r w:rsidRPr="009A4FAB">
        <w:rPr>
          <w:color w:val="000000" w:themeColor="text1"/>
          <w:sz w:val="22"/>
          <w:szCs w:val="22"/>
          <w:shd w:val="clear" w:color="auto" w:fill="FFFFFF"/>
          <w:vertAlign w:val="superscript"/>
        </w:rPr>
        <w:instrText>up. At the beginning of the study, the subjects also participated in quantitative measurements of anthropometry, flexibility (joint hypermobility and muscular tightness), and strength. In multivariate analysis, decreased lumbar flexion and hip flexor tightness at the baseline were predictive of low</w:instrText>
      </w:r>
      <w:r w:rsidRPr="009A4FAB">
        <w:rPr>
          <w:rFonts w:ascii="Noteworthy Light" w:hAnsi="Noteworthy Light" w:cs="Noteworthy Light"/>
          <w:color w:val="000000" w:themeColor="text1"/>
          <w:sz w:val="22"/>
          <w:szCs w:val="22"/>
          <w:shd w:val="clear" w:color="auto" w:fill="FFFFFF"/>
          <w:vertAlign w:val="superscript"/>
        </w:rPr>
        <w:instrText>‐</w:instrText>
      </w:r>
      <w:r w:rsidRPr="009A4FAB">
        <w:rPr>
          <w:color w:val="000000" w:themeColor="text1"/>
          <w:sz w:val="22"/>
          <w:szCs w:val="22"/>
          <w:shd w:val="clear" w:color="auto" w:fill="FFFFFF"/>
          <w:vertAlign w:val="superscript"/>
        </w:rPr>
        <w:instrText>back pain among boys during the follow</w:instrText>
      </w:r>
      <w:r w:rsidRPr="009A4FAB">
        <w:rPr>
          <w:rFonts w:ascii="Noteworthy Light" w:hAnsi="Noteworthy Light" w:cs="Noteworthy Light"/>
          <w:color w:val="000000" w:themeColor="text1"/>
          <w:sz w:val="22"/>
          <w:szCs w:val="22"/>
          <w:shd w:val="clear" w:color="auto" w:fill="FFFFFF"/>
          <w:vertAlign w:val="superscript"/>
        </w:rPr>
        <w:instrText>‐</w:instrText>
      </w:r>
      <w:r w:rsidRPr="009A4FAB">
        <w:rPr>
          <w:color w:val="000000" w:themeColor="text1"/>
          <w:sz w:val="22"/>
          <w:szCs w:val="22"/>
          <w:shd w:val="clear" w:color="auto" w:fill="FFFFFF"/>
          <w:vertAlign w:val="superscript"/>
        </w:rPr>
        <w:instrText>up. Among girls higher than average body weight at the baseline and low</w:instrText>
      </w:r>
      <w:r w:rsidRPr="009A4FAB">
        <w:rPr>
          <w:rFonts w:ascii="Noteworthy Light" w:hAnsi="Noteworthy Light" w:cs="Noteworthy Light"/>
          <w:color w:val="000000" w:themeColor="text1"/>
          <w:sz w:val="22"/>
          <w:szCs w:val="22"/>
          <w:shd w:val="clear" w:color="auto" w:fill="FFFFFF"/>
          <w:vertAlign w:val="superscript"/>
        </w:rPr>
        <w:instrText>‐</w:instrText>
      </w:r>
      <w:r w:rsidRPr="009A4FAB">
        <w:rPr>
          <w:color w:val="000000" w:themeColor="text1"/>
          <w:sz w:val="22"/>
          <w:szCs w:val="22"/>
          <w:shd w:val="clear" w:color="auto" w:fill="FFFFFF"/>
          <w:vertAlign w:val="superscript"/>
        </w:rPr>
        <w:instrText>back pain during the 12 months preceding the baseline measurements were predictive of low</w:instrText>
      </w:r>
      <w:r w:rsidRPr="009A4FAB">
        <w:rPr>
          <w:rFonts w:ascii="Noteworthy Light" w:hAnsi="Noteworthy Light" w:cs="Noteworthy Light"/>
          <w:color w:val="000000" w:themeColor="text1"/>
          <w:sz w:val="22"/>
          <w:szCs w:val="22"/>
          <w:shd w:val="clear" w:color="auto" w:fill="FFFFFF"/>
          <w:vertAlign w:val="superscript"/>
        </w:rPr>
        <w:instrText>‐</w:instrText>
      </w:r>
      <w:r w:rsidRPr="009A4FAB">
        <w:rPr>
          <w:color w:val="000000" w:themeColor="text1"/>
          <w:sz w:val="22"/>
          <w:szCs w:val="22"/>
          <w:shd w:val="clear" w:color="auto" w:fill="FFFFFF"/>
          <w:vertAlign w:val="superscript"/>
        </w:rPr>
        <w:instrText>back pain during the follow</w:instrText>
      </w:r>
      <w:r w:rsidRPr="009A4FAB">
        <w:rPr>
          <w:rFonts w:ascii="Noteworthy Light" w:hAnsi="Noteworthy Light" w:cs="Noteworthy Light"/>
          <w:color w:val="000000" w:themeColor="text1"/>
          <w:sz w:val="22"/>
          <w:szCs w:val="22"/>
          <w:shd w:val="clear" w:color="auto" w:fill="FFFFFF"/>
          <w:vertAlign w:val="superscript"/>
        </w:rPr>
        <w:instrText>‐</w:instrText>
      </w:r>
      <w:r w:rsidRPr="009A4FAB">
        <w:rPr>
          <w:color w:val="000000" w:themeColor="text1"/>
          <w:sz w:val="22"/>
          <w:szCs w:val="22"/>
          <w:shd w:val="clear" w:color="auto" w:fill="FFFFFF"/>
          <w:vertAlign w:val="superscript"/>
        </w:rPr>
        <w:instrText>up. However, the differences between the groups with and without low</w:instrText>
      </w:r>
      <w:r w:rsidRPr="009A4FAB">
        <w:rPr>
          <w:rFonts w:ascii="Noteworthy Light" w:hAnsi="Noteworthy Light" w:cs="Noteworthy Light"/>
          <w:color w:val="000000" w:themeColor="text1"/>
          <w:sz w:val="22"/>
          <w:szCs w:val="22"/>
          <w:shd w:val="clear" w:color="auto" w:fill="FFFFFF"/>
          <w:vertAlign w:val="superscript"/>
        </w:rPr>
        <w:instrText>‐</w:instrText>
      </w:r>
      <w:r w:rsidRPr="009A4FAB">
        <w:rPr>
          <w:color w:val="000000" w:themeColor="text1"/>
          <w:sz w:val="22"/>
          <w:szCs w:val="22"/>
          <w:shd w:val="clear" w:color="auto" w:fill="FFFFFF"/>
          <w:vertAlign w:val="superscript"/>
        </w:rPr>
        <w:instrText>back pain were small compared with the differences between different physical activity groups. In conclusion, attention should be focused on low</w:instrText>
      </w:r>
      <w:r w:rsidRPr="009A4FAB">
        <w:rPr>
          <w:rFonts w:ascii="Noteworthy Light" w:hAnsi="Noteworthy Light" w:cs="Noteworthy Light"/>
          <w:color w:val="000000" w:themeColor="text1"/>
          <w:sz w:val="22"/>
          <w:szCs w:val="22"/>
          <w:shd w:val="clear" w:color="auto" w:fill="FFFFFF"/>
          <w:vertAlign w:val="superscript"/>
        </w:rPr>
        <w:instrText>‐</w:instrText>
      </w:r>
      <w:r w:rsidRPr="009A4FAB">
        <w:rPr>
          <w:color w:val="000000" w:themeColor="text1"/>
          <w:sz w:val="22"/>
          <w:szCs w:val="22"/>
          <w:shd w:val="clear" w:color="auto" w:fill="FFFFFF"/>
          <w:vertAlign w:val="superscript"/>
        </w:rPr>
        <w:instrText>back pain, which accumulates in adolescent athletes participating in individual sports, such as figure skating and gymnastics. Our results suggest that flexibility and strength measurements are weak predictors in determining athletes at high risk. Copyright © 1994, Wiley Blackwell. All rights reserved","author":[{"dropping-particle":"","family":"Kujala","given":"U. M.","non-dropping-particle":"","parse-names":false,"suffix":""},{"dropping-particle":"","family":"Taimela","given":"S.","non-dropping-particle":"","parse-names":false,"suffix":""},{"dropping-particle":"","family":"Salminen","given":"J. J.","non-dropping-particle":"","parse-names":false,"suffix":""},{"dropping-particle":"","family":"Oksanen","given":"A.","non-dropping-particle":"","parse-names":false,"suffix":""}],"container-title":"Scandinavian Journal of Medicine &amp; Science in Sports","id":"ITEM-1","issue":"3","issued":{"date-parts":[["1994"]]},"page":"200-205","title":"Baseline anthropometry, flexibility and strength characteristics and future low-back pain in adolescent athletes and non-athletes: a prospective one0year follow-up study","type":"article-journal","volume":"4"},"uris":["http://www.mendeley.com/documents/?uuid=a01a7ee8-5785-47c7-b58e-7f625734f24a"]}],"mendeley":{"formattedCitation":"(41)","plainTextFormattedCitation":"(41)","previouslyFormattedCitation":"(41)"},"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shd w:val="clear" w:color="auto" w:fill="FFFFFF"/>
        </w:rPr>
        <w:t>(41)</w:t>
      </w:r>
      <w:r w:rsidRPr="009A4FAB">
        <w:rPr>
          <w:color w:val="000000" w:themeColor="text1"/>
        </w:rPr>
        <w:fldChar w:fldCharType="end"/>
      </w:r>
      <w:r w:rsidRPr="009A4FAB">
        <w:rPr>
          <w:color w:val="000000" w:themeColor="text1"/>
          <w:sz w:val="22"/>
          <w:szCs w:val="22"/>
          <w:lang w:val="en-US"/>
        </w:rPr>
        <w:t xml:space="preserve"> or that a </w:t>
      </w:r>
      <w:r w:rsidRPr="009A4FAB">
        <w:rPr>
          <w:color w:val="000000" w:themeColor="text1"/>
          <w:sz w:val="22"/>
          <w:szCs w:val="22"/>
          <w:shd w:val="clear" w:color="auto" w:fill="FFFFFF"/>
        </w:rPr>
        <w:t>lower segment range of motion at the lumbar spine is thought to be a predictor of back pain,</w:t>
      </w:r>
      <w:r w:rsidRPr="009A4FAB">
        <w:rPr>
          <w:color w:val="000000" w:themeColor="text1"/>
        </w:rPr>
        <w:fldChar w:fldCharType="begin" w:fldLock="1"/>
      </w:r>
      <w:r w:rsidRPr="009A4FAB">
        <w:rPr>
          <w:color w:val="000000" w:themeColor="text1"/>
          <w:sz w:val="22"/>
          <w:szCs w:val="22"/>
          <w:shd w:val="clear" w:color="auto" w:fill="FFFFFF"/>
          <w:vertAlign w:val="superscript"/>
        </w:rPr>
        <w:instrText>ADDIN CSL_CITATION {"citationItems":[{"id":"ITEM-1","itemData":{"author":[{"dropping-particle":"","family":"Kujala","given":"U. M","non-dropping-particle":"","parse-names":false,"suffix":""},{"dropping-particle":"","family":"Taimela","given":"S","non-dropping-particle":"","parse-names":false,"suffix":""},{"dropping-particle":"","family":"Oksanen","given":"A","non-dropping-particle":"","parse-names":false,"suffix":""},{"dropping-particle":"","family":"J","given":"Salminen J.","non-dropping-particle":"","parse-names":false,"suffix":""}],"container-title":"American Journal of Sports Medicine","id":"ITEM-1","issue":"3","issued":{"date-parts":[["1997"]]},"page":"363-8","title":"Lumbar mobility and low back pain during adolescence. A longitudinal three-year follow-up study in athletes and controls","type":"article-journal","volume":"25"},"uris":["http://www.mendeley.com/documents/?uuid=5b5c0870-5258-452d-99dc-183dc61e2be0"]}],"mendeley":{"formattedCitation":"(42)","plainTextFormattedCitation":"(42)","previouslyFormattedCitation":"(42)"},"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shd w:val="clear" w:color="auto" w:fill="FFFFFF"/>
        </w:rPr>
        <w:t>(42)</w:t>
      </w:r>
      <w:r w:rsidRPr="009A4FAB">
        <w:rPr>
          <w:color w:val="000000" w:themeColor="text1"/>
        </w:rPr>
        <w:fldChar w:fldCharType="end"/>
      </w:r>
      <w:r w:rsidRPr="009A4FAB">
        <w:rPr>
          <w:color w:val="000000" w:themeColor="text1"/>
          <w:sz w:val="22"/>
          <w:szCs w:val="22"/>
          <w:lang w:val="en-US"/>
        </w:rPr>
        <w:t xml:space="preserve"> and this may be due to superior core control in elite athletes. </w:t>
      </w:r>
      <w:r w:rsidRPr="009A4FAB">
        <w:rPr>
          <w:color w:val="000000" w:themeColor="text1"/>
          <w:sz w:val="22"/>
          <w:szCs w:val="22"/>
        </w:rPr>
        <w:t xml:space="preserve">The present study found no </w:t>
      </w:r>
      <w:r w:rsidRPr="009A4FAB">
        <w:rPr>
          <w:color w:val="000000" w:themeColor="text1"/>
          <w:sz w:val="22"/>
          <w:szCs w:val="22"/>
          <w:lang w:val="en-US"/>
        </w:rPr>
        <w:t xml:space="preserve">association between back pain and </w:t>
      </w:r>
      <w:r w:rsidRPr="009A4FAB">
        <w:rPr>
          <w:color w:val="000000" w:themeColor="text1"/>
          <w:sz w:val="22"/>
          <w:szCs w:val="22"/>
        </w:rPr>
        <w:t>comorbidities</w:t>
      </w:r>
      <w:r w:rsidRPr="009A4FAB">
        <w:rPr>
          <w:color w:val="000000" w:themeColor="text1"/>
          <w:sz w:val="22"/>
          <w:szCs w:val="22"/>
          <w:lang w:val="en-US"/>
        </w:rPr>
        <w:t xml:space="preserve"> or high</w:t>
      </w:r>
      <w:r w:rsidRPr="009A4FAB">
        <w:rPr>
          <w:color w:val="000000" w:themeColor="text1"/>
          <w:sz w:val="22"/>
          <w:szCs w:val="22"/>
        </w:rPr>
        <w:t>-risk non-sporting occupation.</w:t>
      </w:r>
    </w:p>
    <w:p w14:paraId="2712CFEE" w14:textId="77777777" w:rsidR="008C6D0F" w:rsidRPr="009A4FAB" w:rsidRDefault="008C6D0F" w:rsidP="008C6D0F">
      <w:pPr>
        <w:widowControl w:val="0"/>
        <w:autoSpaceDE w:val="0"/>
        <w:autoSpaceDN w:val="0"/>
        <w:adjustRightInd w:val="0"/>
        <w:spacing w:line="360" w:lineRule="auto"/>
        <w:rPr>
          <w:color w:val="000000" w:themeColor="text1"/>
          <w:sz w:val="22"/>
          <w:szCs w:val="22"/>
          <w:lang w:val="en-US"/>
        </w:rPr>
      </w:pPr>
    </w:p>
    <w:p w14:paraId="17BF9788" w14:textId="77777777" w:rsidR="008C6D0F" w:rsidRPr="009A4FAB" w:rsidRDefault="008C6D0F" w:rsidP="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rPr>
        <w:t>In our study population, the factors associated with LBP differed after stratifying for those with and without chronic symptoms. Chronic LBP was associated with features of central sensitization including anxiety, depression, a higher pain severity, and widespread pain. These features imply that different pain mechanisms are involved in those with chronic LBP and that psychological factors play a significant role in chronic low back pain among retired GB Olympians. In the general population, depression can influence pain perception,</w:t>
      </w:r>
      <w:r w:rsidRPr="009A4FAB">
        <w:rPr>
          <w:color w:val="000000" w:themeColor="text1"/>
        </w:rPr>
        <w:fldChar w:fldCharType="begin" w:fldLock="1"/>
      </w:r>
      <w:r w:rsidRPr="009A4FAB">
        <w:rPr>
          <w:color w:val="000000" w:themeColor="text1"/>
          <w:sz w:val="22"/>
          <w:szCs w:val="22"/>
          <w:vertAlign w:val="superscript"/>
        </w:rPr>
        <w:instrText>ADDIN CSL_CITATION {"citationItems":[{"id":"ITEM-1","itemData":{"DOI":"10.1111/j.1365-2044.1986.tb12803.x","ISSN":"13652044","author":[{"dropping-particle":"","family":"Woo","given":"A. K","non-dropping-particle":"","parse-names":false,"suffix":""}],"container-title":"Reviews in Pain","id":"ITEM-1","issue":"1","issued":{"date-parts":[["2010"]]},"page":"8-12","title":"Depression and anxiety in pain","type":"article-journal","volume":"4"},"uris":["http://www.mendeley.com/documents/?uuid=3802ed6e-cd54-4b58-90fa-a283d2907a57"]}],"mendeley":{"formattedCitation":"(43)","plainTextFormattedCitation":"(43)","previouslyFormattedCitation":"(43)"},"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(43)</w:t>
      </w:r>
      <w:r w:rsidRPr="009A4FAB">
        <w:rPr>
          <w:color w:val="000000" w:themeColor="text1"/>
        </w:rPr>
        <w:fldChar w:fldCharType="end"/>
      </w:r>
      <w:r w:rsidRPr="009A4FAB">
        <w:rPr>
          <w:color w:val="000000" w:themeColor="text1"/>
          <w:sz w:val="22"/>
          <w:szCs w:val="22"/>
        </w:rPr>
        <w:t xml:space="preserve"> and have an adverse effect on the prognosis of LBP and this may extend to our population.</w:t>
      </w:r>
      <w:r w:rsidRPr="009A4FAB">
        <w:rPr>
          <w:color w:val="000000" w:themeColor="text1"/>
        </w:rPr>
        <w:fldChar w:fldCharType="begin" w:fldLock="1"/>
      </w:r>
      <w:r w:rsidRPr="009A4FAB">
        <w:rPr>
          <w:color w:val="000000" w:themeColor="text1"/>
          <w:sz w:val="22"/>
          <w:szCs w:val="22"/>
          <w:vertAlign w:val="superscript"/>
        </w:rPr>
        <w:instrText>ADDIN CSL_CITATION {"citationItems":[{"id":"ITEM-1","itemData":{"author":[{"dropping-particle":"","family":"Pinheiro","given":"M. B","non-dropping-particle":"","parse-names":false,"suffix":""},{"dropping-particle":"","family":"Ferreira","given":"M. L","non-dropping-particle":"","parse-names":false,"suffix":""},{"dropping-particle":"","family":"Refshauge","given":"K","non-dropping-particle":"","parse-names":false,"suffix":""},{"dropping-particle":"","family":"Maher","given":"C. G","non-dropping-particle":"","parse-names":false,"suffix":""},{"dropping-particle":"","family":"Ordoñana","given":"J. R","non-dropping-particle":"","parse-names":false,"suffix":""},{"dropping-particle":"","family":"Andrade","given":"T. B","non-dropping-particle":"","parse-names":false,"suffix":""},{"dropping-particle":"","family":"Tsathas","given":"A","non-dropping-particle":"","parse-names":false,"suffix":""},{"dropping-particle":"","family":"Ferreira","given":"P. H","non-dropping-particle":"","parse-names":false,"suffix":""}],"container-title":"Spine Journal","id":"ITEM-1","issue":"1","issued":{"date-parts":[["2016"]]},"page":"105-116","title":"Symptoms of depression as a prognostic factor for low back pain: a systematic review","type":"article-journal","volume":"16"},"uris":["http://www.mendeley.com/documents/?uuid=e87b1d59-9fce-4899-b3bc-e4664c378ba5"]}],"mendeley":{"formattedCitation":"(44)","plainTextFormattedCitation":"(44)","previouslyFormattedCitation":"(44)"},"properties":{"noteIndex":0},"schema":"https://github.com/citation-style-language/schema/raw/master/csl-citation.json"}</w:instrText>
      </w:r>
      <w:r w:rsidRPr="009A4FAB">
        <w:rPr>
          <w:color w:val="000000" w:themeColor="text1"/>
        </w:rPr>
        <w:fldChar w:fldCharType="separate"/>
      </w:r>
      <w:r w:rsidRPr="009A4FAB">
        <w:rPr>
          <w:noProof/>
          <w:color w:val="000000" w:themeColor="text1"/>
          <w:sz w:val="22"/>
          <w:szCs w:val="22"/>
        </w:rPr>
        <w:t>(44)</w:t>
      </w:r>
      <w:r w:rsidRPr="009A4FAB">
        <w:rPr>
          <w:color w:val="000000" w:themeColor="text1"/>
        </w:rPr>
        <w:fldChar w:fldCharType="end"/>
      </w:r>
      <w:r w:rsidRPr="009A4FAB">
        <w:rPr>
          <w:color w:val="000000" w:themeColor="text1"/>
          <w:sz w:val="22"/>
          <w:szCs w:val="22"/>
        </w:rPr>
        <w:t xml:space="preserve"> </w:t>
      </w:r>
      <w:r w:rsidRPr="009A4FAB">
        <w:rPr>
          <w:color w:val="000000" w:themeColor="text1"/>
          <w:sz w:val="22"/>
          <w:szCs w:val="22"/>
          <w:lang w:val="en-US"/>
        </w:rPr>
        <w:t xml:space="preserve">Strategies </w:t>
      </w:r>
      <w:r w:rsidRPr="009A4FAB">
        <w:rPr>
          <w:color w:val="000000" w:themeColor="text1"/>
          <w:sz w:val="22"/>
          <w:szCs w:val="22"/>
        </w:rPr>
        <w:t>to promote health in retirement in elite athletes should consider the importance of psychological factors.</w:t>
      </w:r>
      <w:r w:rsidRPr="009A4FAB">
        <w:rPr>
          <w:color w:val="000000" w:themeColor="text1"/>
          <w:sz w:val="22"/>
          <w:szCs w:val="22"/>
          <w:lang w:val="en-US"/>
        </w:rPr>
        <w:t xml:space="preserve"> </w:t>
      </w:r>
    </w:p>
    <w:p w14:paraId="2C250D7B" w14:textId="77777777" w:rsidR="008C6D0F" w:rsidRPr="009A4FAB" w:rsidRDefault="008C6D0F" w:rsidP="008C6D0F">
      <w:pPr>
        <w:widowControl w:val="0"/>
        <w:autoSpaceDE w:val="0"/>
        <w:autoSpaceDN w:val="0"/>
        <w:adjustRightInd w:val="0"/>
        <w:spacing w:line="360" w:lineRule="auto"/>
        <w:rPr>
          <w:color w:val="000000" w:themeColor="text1"/>
          <w:sz w:val="22"/>
          <w:szCs w:val="22"/>
        </w:rPr>
      </w:pPr>
    </w:p>
    <w:p w14:paraId="2482EFB1" w14:textId="77777777" w:rsidR="008C6D0F" w:rsidRPr="009A4FAB" w:rsidRDefault="008C6D0F" w:rsidP="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 xml:space="preserve">There are several caveats to this study. </w:t>
      </w:r>
      <w:r w:rsidRPr="009A4FAB">
        <w:rPr>
          <w:color w:val="000000" w:themeColor="text1"/>
          <w:sz w:val="22"/>
          <w:szCs w:val="22"/>
        </w:rPr>
        <w:t>Firstly,</w:t>
      </w:r>
      <w:r w:rsidRPr="009A4FAB">
        <w:rPr>
          <w:color w:val="000000" w:themeColor="text1"/>
          <w:sz w:val="22"/>
          <w:szCs w:val="22"/>
          <w:lang w:val="en-US"/>
        </w:rPr>
        <w:t xml:space="preserve"> </w:t>
      </w:r>
      <w:r w:rsidRPr="009A4FAB">
        <w:rPr>
          <w:rFonts w:eastAsia="MS Mincho"/>
          <w:color w:val="000000" w:themeColor="text1"/>
          <w:sz w:val="22"/>
          <w:szCs w:val="22"/>
          <w:lang w:val="en-US"/>
        </w:rPr>
        <w:t>we asked participants to recall medical and training history during their Olympic careers and the presence of current LBP. T</w:t>
      </w:r>
      <w:r w:rsidRPr="009A4FAB">
        <w:rPr>
          <w:color w:val="000000" w:themeColor="text1"/>
          <w:sz w:val="22"/>
          <w:szCs w:val="22"/>
          <w:lang w:val="en-US"/>
        </w:rPr>
        <w:t xml:space="preserve">he use of self-report questionnaire data is subject to recall bias. Secondly, those with health problems may have been more likely to respond to the questionnaire compared to those without and despite inviting all participants on the BOA Olympian database to participate in this study – there is a possibility of recruitment bias. </w:t>
      </w:r>
      <w:r w:rsidRPr="009A4FAB">
        <w:rPr>
          <w:color w:val="000000" w:themeColor="text1"/>
          <w:sz w:val="22"/>
          <w:szCs w:val="22"/>
        </w:rPr>
        <w:t xml:space="preserve">Thirdly, </w:t>
      </w:r>
      <w:r w:rsidRPr="009A4FAB">
        <w:rPr>
          <w:color w:val="000000" w:themeColor="text1"/>
          <w:sz w:val="22"/>
          <w:szCs w:val="22"/>
          <w:lang w:val="en-US"/>
        </w:rPr>
        <w:t xml:space="preserve">we have a limited number of participants from some team sports and our results may not reflect sports pursued by retired athletes from other National Olympic Committees. Fourth, </w:t>
      </w:r>
      <w:r w:rsidRPr="009A4FAB">
        <w:rPr>
          <w:rFonts w:eastAsia="MS Mincho"/>
          <w:color w:val="000000" w:themeColor="text1"/>
          <w:sz w:val="22"/>
          <w:szCs w:val="22"/>
          <w:lang w:val="en-US"/>
        </w:rPr>
        <w:t>the</w:t>
      </w:r>
      <w:r w:rsidRPr="009A4FAB">
        <w:rPr>
          <w:color w:val="000000" w:themeColor="text1"/>
          <w:sz w:val="22"/>
          <w:szCs w:val="22"/>
          <w:lang w:val="en-US"/>
        </w:rPr>
        <w:t xml:space="preserve"> cross-sectional study design does not allow for direct causal inferences to be made.</w:t>
      </w:r>
      <w:r w:rsidRPr="009A4FAB">
        <w:rPr>
          <w:rFonts w:eastAsia="MS Mincho"/>
          <w:color w:val="000000" w:themeColor="text1"/>
          <w:sz w:val="22"/>
          <w:szCs w:val="22"/>
          <w:lang w:val="en-US"/>
        </w:rPr>
        <w:t xml:space="preserve"> </w:t>
      </w:r>
      <w:r w:rsidRPr="009A4FAB">
        <w:rPr>
          <w:color w:val="000000" w:themeColor="text1"/>
          <w:sz w:val="22"/>
          <w:szCs w:val="22"/>
          <w:lang w:val="en-US"/>
        </w:rPr>
        <w:t xml:space="preserve">However, our results are in line with published literature in the general population. Nevertheless, a longitudinal prospective follow-up study in current athletes and across their lifespan is required in order to establish causality. </w:t>
      </w:r>
      <w:r w:rsidRPr="009A4FAB">
        <w:rPr>
          <w:rFonts w:eastAsia="Calibri"/>
          <w:color w:val="000000" w:themeColor="text1"/>
          <w:sz w:val="22"/>
          <w:szCs w:val="22"/>
        </w:rPr>
        <w:t xml:space="preserve">Lastly, </w:t>
      </w:r>
      <w:r w:rsidRPr="009A4FAB">
        <w:rPr>
          <w:color w:val="000000" w:themeColor="text1"/>
          <w:sz w:val="22"/>
          <w:szCs w:val="22"/>
        </w:rPr>
        <w:t xml:space="preserve">we cannot account for all confounders.  </w:t>
      </w:r>
    </w:p>
    <w:p w14:paraId="4E322221" w14:textId="77777777" w:rsidR="008C6D0F" w:rsidRPr="009A4FAB" w:rsidRDefault="008C6D0F" w:rsidP="008C6D0F">
      <w:pPr>
        <w:widowControl w:val="0"/>
        <w:autoSpaceDE w:val="0"/>
        <w:autoSpaceDN w:val="0"/>
        <w:adjustRightInd w:val="0"/>
        <w:spacing w:line="360" w:lineRule="auto"/>
        <w:rPr>
          <w:strike/>
          <w:color w:val="000000" w:themeColor="text1"/>
          <w:sz w:val="22"/>
          <w:szCs w:val="22"/>
          <w:lang w:val="en-US"/>
        </w:rPr>
      </w:pPr>
    </w:p>
    <w:p w14:paraId="74543B1B" w14:textId="77777777" w:rsidR="008C6D0F" w:rsidRPr="009A4FAB" w:rsidRDefault="008C6D0F" w:rsidP="008C6D0F">
      <w:pPr>
        <w:pStyle w:val="ListParagraph"/>
        <w:widowControl w:val="0"/>
        <w:numPr>
          <w:ilvl w:val="0"/>
          <w:numId w:val="3"/>
        </w:numPr>
        <w:autoSpaceDE w:val="0"/>
        <w:autoSpaceDN w:val="0"/>
        <w:adjustRightInd w:val="0"/>
        <w:spacing w:line="360" w:lineRule="auto"/>
        <w:rPr>
          <w:color w:val="000000" w:themeColor="text1"/>
          <w:sz w:val="22"/>
          <w:szCs w:val="22"/>
          <w:lang w:val="en-US"/>
        </w:rPr>
      </w:pPr>
      <w:r w:rsidRPr="009A4FAB">
        <w:rPr>
          <w:b/>
          <w:bCs/>
          <w:color w:val="000000" w:themeColor="text1"/>
          <w:sz w:val="22"/>
          <w:szCs w:val="22"/>
          <w:lang w:val="en-US"/>
        </w:rPr>
        <w:t>CONCLUSION</w:t>
      </w:r>
    </w:p>
    <w:p w14:paraId="5E6C62F5" w14:textId="77777777" w:rsidR="008C6D0F" w:rsidRPr="009A4FAB" w:rsidRDefault="008C6D0F" w:rsidP="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 xml:space="preserve">Our study confirmed that LBP is common in retired GB Olympians. Several factors were detected to be associated with LBP including a prior significant low back injury, a high training load and a change from a healthy to high BMI. Prominent factors associated with chronic LBP included high pain intensity, widespread pain, depression and anxiety. </w:t>
      </w:r>
      <w:r w:rsidRPr="009A4FAB">
        <w:rPr>
          <w:color w:val="000000" w:themeColor="text1"/>
          <w:sz w:val="22"/>
          <w:szCs w:val="22"/>
        </w:rPr>
        <w:t xml:space="preserve">A longitudinal study is required to determine if psychological factors predispose the athlete to </w:t>
      </w:r>
      <w:r w:rsidRPr="009A4FAB">
        <w:rPr>
          <w:color w:val="000000" w:themeColor="text1"/>
          <w:sz w:val="22"/>
          <w:szCs w:val="22"/>
        </w:rPr>
        <w:lastRenderedPageBreak/>
        <w:t xml:space="preserve">persistent symptoms. Our findings imply that a more biopsychosocial management approach should be considered in the management of LBP in retired Olympic athletes. </w:t>
      </w:r>
    </w:p>
    <w:p w14:paraId="7F1D3D6C" w14:textId="77777777" w:rsidR="008C6D0F" w:rsidRPr="009A4FAB" w:rsidRDefault="008C6D0F" w:rsidP="008C6D0F">
      <w:pPr>
        <w:widowControl w:val="0"/>
        <w:autoSpaceDE w:val="0"/>
        <w:autoSpaceDN w:val="0"/>
        <w:adjustRightInd w:val="0"/>
        <w:spacing w:line="360" w:lineRule="auto"/>
        <w:rPr>
          <w:color w:val="000000" w:themeColor="text1"/>
          <w:sz w:val="22"/>
          <w:szCs w:val="22"/>
          <w:lang w:val="en-US"/>
        </w:rPr>
      </w:pPr>
    </w:p>
    <w:p w14:paraId="1FCA5212" w14:textId="63780646" w:rsidR="008C6D0F" w:rsidRPr="009A4FAB" w:rsidRDefault="008C6D0F" w:rsidP="00AB057B">
      <w:pPr>
        <w:pStyle w:val="ListParagraph"/>
        <w:widowControl w:val="0"/>
        <w:numPr>
          <w:ilvl w:val="0"/>
          <w:numId w:val="3"/>
        </w:numPr>
        <w:autoSpaceDE w:val="0"/>
        <w:autoSpaceDN w:val="0"/>
        <w:adjustRightInd w:val="0"/>
        <w:spacing w:line="360" w:lineRule="auto"/>
        <w:rPr>
          <w:color w:val="000000" w:themeColor="text1"/>
          <w:sz w:val="22"/>
          <w:szCs w:val="22"/>
          <w:lang w:val="en-US"/>
        </w:rPr>
      </w:pPr>
      <w:r w:rsidRPr="009A4FAB">
        <w:rPr>
          <w:b/>
          <w:bCs/>
          <w:color w:val="000000" w:themeColor="text1"/>
          <w:sz w:val="22"/>
          <w:szCs w:val="22"/>
          <w:lang w:val="en-US"/>
        </w:rPr>
        <w:t>PERSPECTIVES</w:t>
      </w:r>
    </w:p>
    <w:p w14:paraId="6FFBCB9C" w14:textId="7B86C2E1" w:rsidR="008C6D0F" w:rsidRPr="009A4FAB" w:rsidRDefault="008C6D0F" w:rsidP="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 xml:space="preserve">LBP </w:t>
      </w:r>
      <w:r w:rsidR="001D1A23" w:rsidRPr="009A4FAB">
        <w:rPr>
          <w:color w:val="000000" w:themeColor="text1"/>
          <w:sz w:val="22"/>
          <w:szCs w:val="22"/>
          <w:lang w:val="en-US"/>
        </w:rPr>
        <w:t>in</w:t>
      </w:r>
      <w:r w:rsidRPr="009A4FAB">
        <w:rPr>
          <w:color w:val="000000" w:themeColor="text1"/>
          <w:sz w:val="22"/>
          <w:szCs w:val="22"/>
          <w:lang w:val="en-US"/>
        </w:rPr>
        <w:t xml:space="preserve"> retired GB Olympians </w:t>
      </w:r>
      <w:r w:rsidR="001D1A23" w:rsidRPr="009A4FAB">
        <w:rPr>
          <w:color w:val="000000" w:themeColor="text1"/>
          <w:sz w:val="22"/>
          <w:szCs w:val="22"/>
          <w:lang w:val="en-US"/>
        </w:rPr>
        <w:t>was</w:t>
      </w:r>
      <w:r w:rsidRPr="009A4FAB">
        <w:rPr>
          <w:color w:val="000000" w:themeColor="text1"/>
          <w:sz w:val="22"/>
          <w:szCs w:val="22"/>
          <w:lang w:val="en-US"/>
        </w:rPr>
        <w:t xml:space="preserve"> associated with a </w:t>
      </w:r>
      <w:r w:rsidR="001D1A23" w:rsidRPr="009A4FAB">
        <w:rPr>
          <w:color w:val="000000" w:themeColor="text1"/>
          <w:sz w:val="22"/>
          <w:szCs w:val="22"/>
          <w:lang w:val="en-US"/>
        </w:rPr>
        <w:t>history of a</w:t>
      </w:r>
      <w:r w:rsidRPr="009A4FAB">
        <w:rPr>
          <w:color w:val="000000" w:themeColor="text1"/>
          <w:sz w:val="22"/>
          <w:szCs w:val="22"/>
          <w:lang w:val="en-US"/>
        </w:rPr>
        <w:t xml:space="preserve"> significant low back injury, extremes of training volume, and a change from a healthy to a high BMI following retirement from sport. Injury prevention strategies are required to reduce the number of spinal injuries during the athlete’s career and to mitigate the long-term sequelae of LBP. Medical staff, coaches, and policy makers should encourage the </w:t>
      </w:r>
      <w:r w:rsidRPr="009A4FAB">
        <w:rPr>
          <w:color w:val="000000" w:themeColor="text1"/>
          <w:sz w:val="22"/>
          <w:szCs w:val="22"/>
          <w:shd w:val="clear" w:color="auto" w:fill="FFFFFF"/>
        </w:rPr>
        <w:t xml:space="preserve">monitoring of training load during the athlete’s career and educate the athlete of the benefits of maintaining a healthy BMI following retirement from Olympic sport. After stratification, the factors associated with LBP differed – </w:t>
      </w:r>
      <w:r w:rsidRPr="009A4FAB">
        <w:rPr>
          <w:color w:val="000000" w:themeColor="text1"/>
          <w:sz w:val="22"/>
          <w:szCs w:val="22"/>
        </w:rPr>
        <w:t>chronic LBP was associated with features of central sensitization including anxiety, depression, a higher pain severity, and widespread pain - and imply that different pain mechanisms are involved in those with persistent symptoms.</w:t>
      </w:r>
      <w:r w:rsidRPr="009A4FAB">
        <w:rPr>
          <w:color w:val="000000" w:themeColor="text1"/>
          <w:sz w:val="22"/>
          <w:szCs w:val="22"/>
          <w:lang w:val="en-US"/>
        </w:rPr>
        <w:t xml:space="preserve"> Strategies to promote health among retired athletes should consider the importance of psychological factors in the management of low back pain.</w:t>
      </w:r>
    </w:p>
    <w:p w14:paraId="76B2D2E1" w14:textId="77777777" w:rsidR="00141BC1" w:rsidRPr="009A4FAB" w:rsidRDefault="00141BC1" w:rsidP="008C6D0F">
      <w:pPr>
        <w:widowControl w:val="0"/>
        <w:autoSpaceDE w:val="0"/>
        <w:autoSpaceDN w:val="0"/>
        <w:adjustRightInd w:val="0"/>
        <w:spacing w:line="360" w:lineRule="auto"/>
        <w:rPr>
          <w:color w:val="000000" w:themeColor="text1"/>
          <w:sz w:val="22"/>
          <w:szCs w:val="22"/>
          <w:lang w:val="en-US"/>
        </w:rPr>
      </w:pPr>
    </w:p>
    <w:p w14:paraId="29BF0427" w14:textId="77777777" w:rsidR="008C6D0F" w:rsidRPr="009A4FAB" w:rsidRDefault="008C6D0F" w:rsidP="008C6D0F">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ACKNOWLEDGEMENTS</w:t>
      </w:r>
    </w:p>
    <w:p w14:paraId="200F15FA" w14:textId="77777777" w:rsidR="008C6D0F" w:rsidRPr="009A4FAB" w:rsidRDefault="008C6D0F" w:rsidP="008C6D0F">
      <w:pPr>
        <w:spacing w:line="360" w:lineRule="auto"/>
        <w:rPr>
          <w:color w:val="000000" w:themeColor="text1"/>
          <w:sz w:val="22"/>
          <w:szCs w:val="22"/>
          <w:lang w:val="en-US"/>
        </w:rPr>
      </w:pPr>
      <w:r w:rsidRPr="009A4FAB">
        <w:rPr>
          <w:color w:val="000000" w:themeColor="text1"/>
          <w:sz w:val="22"/>
          <w:szCs w:val="22"/>
          <w:lang w:val="en-US"/>
        </w:rPr>
        <w:t>We would like to thank the staff at the Centre for Sport, Exercise and Osteoarthritis Research Versus Arthritis (formerly the Arthritis Research UK Centre for Sport, Exercise and Osteoarthritis), the British Olympic Association (BOA) Athletes’ Commission, and all the participants who contributed to this study. We would like to thank Sarah Winckless and Christine Bower for their invaluable assistance with distributing the survey. This work was supported by Versus Arthritis [grant number 20194], funding gratefully received from the Centre for Sport, Exercise and Osteoarthritis Research Versus Arthritis.</w:t>
      </w:r>
    </w:p>
    <w:p w14:paraId="7DCAC812" w14:textId="77777777" w:rsidR="008C6D0F" w:rsidRPr="009A4FAB" w:rsidRDefault="008C6D0F" w:rsidP="008C6D0F">
      <w:pPr>
        <w:widowControl w:val="0"/>
        <w:autoSpaceDE w:val="0"/>
        <w:autoSpaceDN w:val="0"/>
        <w:adjustRightInd w:val="0"/>
        <w:spacing w:line="360" w:lineRule="auto"/>
        <w:rPr>
          <w:b/>
          <w:bCs/>
          <w:color w:val="000000" w:themeColor="text1"/>
          <w:sz w:val="22"/>
          <w:szCs w:val="22"/>
          <w:lang w:val="en-US"/>
        </w:rPr>
      </w:pPr>
    </w:p>
    <w:p w14:paraId="676A59D7" w14:textId="77777777" w:rsidR="008C6D0F" w:rsidRPr="009A4FAB" w:rsidRDefault="008C6D0F" w:rsidP="008C6D0F">
      <w:pPr>
        <w:widowControl w:val="0"/>
        <w:autoSpaceDE w:val="0"/>
        <w:autoSpaceDN w:val="0"/>
        <w:adjustRightInd w:val="0"/>
        <w:spacing w:line="360" w:lineRule="auto"/>
        <w:rPr>
          <w:color w:val="000000" w:themeColor="text1"/>
          <w:sz w:val="22"/>
          <w:szCs w:val="22"/>
          <w:lang w:val="en-US"/>
        </w:rPr>
      </w:pPr>
      <w:r w:rsidRPr="009A4FAB">
        <w:rPr>
          <w:b/>
          <w:bCs/>
          <w:color w:val="000000" w:themeColor="text1"/>
          <w:sz w:val="22"/>
          <w:szCs w:val="22"/>
          <w:lang w:val="en-US"/>
        </w:rPr>
        <w:t xml:space="preserve">CONFLICT OF INTEREST: </w:t>
      </w:r>
      <w:r w:rsidRPr="009A4FAB">
        <w:rPr>
          <w:color w:val="000000" w:themeColor="text1"/>
          <w:sz w:val="22"/>
          <w:szCs w:val="22"/>
          <w:lang w:val="en-US"/>
        </w:rPr>
        <w:t xml:space="preserve">The authors declare that they have no competing interests. </w:t>
      </w:r>
    </w:p>
    <w:p w14:paraId="76057E52" w14:textId="77777777" w:rsidR="008C6D0F" w:rsidRPr="009A4FAB" w:rsidRDefault="008C6D0F" w:rsidP="008C6D0F">
      <w:pPr>
        <w:widowControl w:val="0"/>
        <w:autoSpaceDE w:val="0"/>
        <w:autoSpaceDN w:val="0"/>
        <w:adjustRightInd w:val="0"/>
        <w:spacing w:line="360" w:lineRule="auto"/>
        <w:rPr>
          <w:b/>
          <w:bCs/>
          <w:color w:val="000000" w:themeColor="text1"/>
          <w:sz w:val="22"/>
          <w:szCs w:val="22"/>
          <w:lang w:val="en-US"/>
        </w:rPr>
      </w:pPr>
    </w:p>
    <w:p w14:paraId="4BCBFB3C" w14:textId="3A18BCA8" w:rsidR="008C6D0F" w:rsidRPr="009A4FAB" w:rsidRDefault="008C6D0F" w:rsidP="008C6D0F">
      <w:pPr>
        <w:spacing w:line="360" w:lineRule="auto"/>
        <w:rPr>
          <w:color w:val="000000" w:themeColor="text1"/>
          <w:sz w:val="22"/>
          <w:szCs w:val="22"/>
        </w:rPr>
      </w:pPr>
      <w:r w:rsidRPr="009A4FAB">
        <w:rPr>
          <w:b/>
          <w:bCs/>
          <w:color w:val="000000" w:themeColor="text1"/>
          <w:sz w:val="22"/>
          <w:szCs w:val="22"/>
        </w:rPr>
        <w:t>AUTHOR’S CONTRIBUTIONS:</w:t>
      </w:r>
      <w:r w:rsidRPr="009A4FAB">
        <w:rPr>
          <w:color w:val="000000" w:themeColor="text1"/>
          <w:sz w:val="22"/>
          <w:szCs w:val="22"/>
        </w:rPr>
        <w:t xml:space="preserve"> DJC conceived and contributed to the design of the study, distributed the survey, collected, analysed and interpreted the data, and drafted the manuscript. MEB assisted with the conception of the study, with accessing the study participants, with the distribution of the survey and with the interpretation of the data. MEB critically revised the manuscript and gave final approval of the version to be published. MO assisted with the analysis and interpretation of the data. MO critically revised the manuscript and gave final approval of the version to be published. DP assisted with the conception of the study, with the distribution of the survey, with the interpretation of the data. DP critically </w:t>
      </w:r>
      <w:r w:rsidRPr="009A4FAB">
        <w:rPr>
          <w:color w:val="000000" w:themeColor="text1"/>
          <w:sz w:val="22"/>
          <w:szCs w:val="22"/>
        </w:rPr>
        <w:lastRenderedPageBreak/>
        <w:t>revised the manuscript and gave final approval of the version to be published. All authors read and approved the final manuscript.</w:t>
      </w:r>
    </w:p>
    <w:p w14:paraId="620A4096" w14:textId="3E5CA63D" w:rsidR="002F2051" w:rsidRPr="009A4FAB" w:rsidRDefault="002F2051" w:rsidP="008C6D0F">
      <w:pPr>
        <w:spacing w:line="360" w:lineRule="auto"/>
        <w:rPr>
          <w:color w:val="000000" w:themeColor="text1"/>
          <w:sz w:val="22"/>
          <w:szCs w:val="22"/>
        </w:rPr>
      </w:pPr>
    </w:p>
    <w:p w14:paraId="1E31635B" w14:textId="2F9953FD" w:rsidR="002F2051" w:rsidRPr="009A4FAB" w:rsidRDefault="002F2051" w:rsidP="002F205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DATA AVAILABILITY STATEMENT</w:t>
      </w:r>
    </w:p>
    <w:p w14:paraId="2C54BD4C" w14:textId="7FFCCA0B" w:rsidR="008C6D0F" w:rsidRPr="009A4FAB" w:rsidRDefault="002F2051" w:rsidP="008C6D0F">
      <w:pPr>
        <w:spacing w:line="360" w:lineRule="auto"/>
        <w:rPr>
          <w:color w:val="000000" w:themeColor="text1"/>
          <w:sz w:val="22"/>
          <w:szCs w:val="22"/>
        </w:rPr>
      </w:pPr>
      <w:r w:rsidRPr="009A4FAB">
        <w:rPr>
          <w:color w:val="000000" w:themeColor="text1"/>
          <w:sz w:val="22"/>
          <w:szCs w:val="22"/>
        </w:rPr>
        <w:t>The data that support the findings of this study may be available on reasonable request from the corresponding author. The data are not publicly available due to privacy or ethical restrictions.</w:t>
      </w:r>
    </w:p>
    <w:p w14:paraId="49EED3B7" w14:textId="77777777" w:rsidR="008C6D0F" w:rsidRPr="009A4FAB" w:rsidRDefault="008C6D0F" w:rsidP="008C6D0F">
      <w:pPr>
        <w:widowControl w:val="0"/>
        <w:autoSpaceDE w:val="0"/>
        <w:autoSpaceDN w:val="0"/>
        <w:adjustRightInd w:val="0"/>
        <w:spacing w:line="360" w:lineRule="auto"/>
        <w:rPr>
          <w:color w:val="000000" w:themeColor="text1"/>
          <w:sz w:val="22"/>
          <w:szCs w:val="22"/>
          <w:lang w:val="en-US"/>
        </w:rPr>
      </w:pPr>
    </w:p>
    <w:bookmarkEnd w:id="0"/>
    <w:bookmarkEnd w:id="1"/>
    <w:bookmarkEnd w:id="2"/>
    <w:bookmarkEnd w:id="3"/>
    <w:bookmarkEnd w:id="4"/>
    <w:p w14:paraId="6A3CFBC7" w14:textId="77777777" w:rsidR="008C6D0F" w:rsidRPr="009A4FAB" w:rsidRDefault="008C6D0F" w:rsidP="008C6D0F">
      <w:pPr>
        <w:widowControl w:val="0"/>
        <w:autoSpaceDE w:val="0"/>
        <w:autoSpaceDN w:val="0"/>
        <w:adjustRightInd w:val="0"/>
        <w:spacing w:line="360" w:lineRule="auto"/>
        <w:ind w:left="640" w:hanging="640"/>
        <w:rPr>
          <w:b/>
          <w:color w:val="000000" w:themeColor="text1"/>
          <w:sz w:val="22"/>
          <w:szCs w:val="22"/>
          <w:lang w:val="en-US"/>
        </w:rPr>
      </w:pPr>
      <w:r w:rsidRPr="009A4FAB">
        <w:rPr>
          <w:b/>
          <w:color w:val="000000" w:themeColor="text1"/>
          <w:sz w:val="22"/>
          <w:szCs w:val="22"/>
          <w:lang w:val="en-US"/>
        </w:rPr>
        <w:t>REFERENCES</w:t>
      </w:r>
    </w:p>
    <w:p w14:paraId="4093FB80"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b/>
          <w:color w:val="000000" w:themeColor="text1"/>
          <w:sz w:val="22"/>
          <w:szCs w:val="22"/>
          <w:lang w:val="en-US"/>
        </w:rPr>
        <w:fldChar w:fldCharType="begin" w:fldLock="1"/>
      </w:r>
      <w:r w:rsidRPr="009A4FAB">
        <w:rPr>
          <w:b/>
          <w:color w:val="000000" w:themeColor="text1"/>
          <w:sz w:val="22"/>
          <w:szCs w:val="22"/>
          <w:lang w:val="en-US"/>
        </w:rPr>
        <w:instrText xml:space="preserve">ADDIN Mendeley Bibliography CSL_BIBLIOGRAPHY </w:instrText>
      </w:r>
      <w:r w:rsidRPr="009A4FAB">
        <w:rPr>
          <w:b/>
          <w:color w:val="000000" w:themeColor="text1"/>
          <w:sz w:val="22"/>
          <w:szCs w:val="22"/>
          <w:lang w:val="en-US"/>
        </w:rPr>
        <w:fldChar w:fldCharType="separate"/>
      </w:r>
      <w:r w:rsidRPr="009A4FAB">
        <w:rPr>
          <w:noProof/>
          <w:color w:val="000000" w:themeColor="text1"/>
          <w:sz w:val="22"/>
          <w:lang w:val="en-US"/>
        </w:rPr>
        <w:t xml:space="preserve">1. </w:t>
      </w:r>
      <w:r w:rsidRPr="009A4FAB">
        <w:rPr>
          <w:noProof/>
          <w:color w:val="000000" w:themeColor="text1"/>
          <w:sz w:val="22"/>
          <w:lang w:val="en-US"/>
        </w:rPr>
        <w:tab/>
        <w:t xml:space="preserve">Vos T, Abajobir AA, Abbafati C, Abbas KM, Abate KH, Abd-Allah F, et al. Global, regional, and national incidence, prevalence, and years lived with disability for 328 diseases and injuries for 195 countries, 1990-2016: A systematic analysis for the Global Burden of Disease Study 2016. Lancet. 2017;390:1211–59. </w:t>
      </w:r>
    </w:p>
    <w:p w14:paraId="08244129"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2. </w:t>
      </w:r>
      <w:r w:rsidRPr="009A4FAB">
        <w:rPr>
          <w:noProof/>
          <w:color w:val="000000" w:themeColor="text1"/>
          <w:sz w:val="22"/>
          <w:lang w:val="en-US"/>
        </w:rPr>
        <w:tab/>
        <w:t xml:space="preserve">Wynne-Jones G, Cowen J, Jordan JL, Uthman O, Main CJ, Glozier N, et al. Absence from work and return to work in people with back pain: A systematic review and meta-analysis. Occup Environ Med. 2014;71(6):448–58. </w:t>
      </w:r>
    </w:p>
    <w:p w14:paraId="71E46555"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3. </w:t>
      </w:r>
      <w:r w:rsidRPr="009A4FAB">
        <w:rPr>
          <w:noProof/>
          <w:color w:val="000000" w:themeColor="text1"/>
          <w:sz w:val="22"/>
          <w:lang w:val="en-US"/>
        </w:rPr>
        <w:tab/>
        <w:t xml:space="preserve">Tetsunaga T, Misawa H, Tanaka M, Sugimoto Y, Tetsunaga T, Takigawa T, et al. The clinical manifestations of lumbar disease are correlated with self-rating depression scale scores. J Orthop Sci. 2013;18(3):374–9. </w:t>
      </w:r>
    </w:p>
    <w:p w14:paraId="62106ADC"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4. </w:t>
      </w:r>
      <w:r w:rsidRPr="009A4FAB">
        <w:rPr>
          <w:noProof/>
          <w:color w:val="000000" w:themeColor="text1"/>
          <w:sz w:val="22"/>
          <w:lang w:val="en-US"/>
        </w:rPr>
        <w:tab/>
        <w:t xml:space="preserve">Fernandez M, Ordoñana JR, Hartvigsen J, Ferreira ML, Refshauge KM, Sánchez-Romera JF, et al. Is chronic low back pain associated with the prevalence of coronary heart disease when genetic susceptibility is considered? A co-twin control study of Spanish twins. PLoS One. 2016;11(5):1–15. </w:t>
      </w:r>
    </w:p>
    <w:p w14:paraId="2AE052DD"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5. </w:t>
      </w:r>
      <w:r w:rsidRPr="009A4FAB">
        <w:rPr>
          <w:noProof/>
          <w:color w:val="000000" w:themeColor="text1"/>
          <w:sz w:val="22"/>
          <w:lang w:val="en-US"/>
        </w:rPr>
        <w:tab/>
        <w:t xml:space="preserve">Zhu K, Devine A, Dick IM, Prince RL. Association of back pain frequency with mortality, coronary heart events, mobility, and quality of life in elderly women. Spine (Phila Pa 1976). 2007;32(18):2012–8. </w:t>
      </w:r>
    </w:p>
    <w:p w14:paraId="7AD7B30F"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6. </w:t>
      </w:r>
      <w:r w:rsidRPr="009A4FAB">
        <w:rPr>
          <w:noProof/>
          <w:color w:val="000000" w:themeColor="text1"/>
          <w:sz w:val="22"/>
          <w:lang w:val="en-US"/>
        </w:rPr>
        <w:tab/>
        <w:t xml:space="preserve">Heneweer H, Staes F, Aufdemkampe G, Van Rijn M, Vanhees L. Physical activity and low back pain: a systematic review of recent literature. Eur Spine J. 2011;20(6):826–45. </w:t>
      </w:r>
    </w:p>
    <w:p w14:paraId="3FFD514B"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7. </w:t>
      </w:r>
      <w:r w:rsidRPr="009A4FAB">
        <w:rPr>
          <w:noProof/>
          <w:color w:val="000000" w:themeColor="text1"/>
          <w:sz w:val="22"/>
          <w:lang w:val="en-US"/>
        </w:rPr>
        <w:tab/>
        <w:t xml:space="preserve">Hoogendoorn WE, Bongers PM, de Vet HCW, Douwes M, Koes BW, Miedema MC, et al. Flexion and rotation of the trunk and lifting at work are risk factors for low back pain. Spine (Phila Pa 1976). 2000;25(23):3087–92. </w:t>
      </w:r>
    </w:p>
    <w:p w14:paraId="7424740C"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8. </w:t>
      </w:r>
      <w:r w:rsidRPr="009A4FAB">
        <w:rPr>
          <w:noProof/>
          <w:color w:val="000000" w:themeColor="text1"/>
          <w:sz w:val="22"/>
          <w:lang w:val="en-US"/>
        </w:rPr>
        <w:tab/>
        <w:t xml:space="preserve">Fett D, Trompeter K, Platen P. Back pain in elite sports: A cross-sectional study on 1114 athletes. PLoS One. 2017;12(6):1–17. </w:t>
      </w:r>
    </w:p>
    <w:p w14:paraId="3584ED57"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9. </w:t>
      </w:r>
      <w:r w:rsidRPr="009A4FAB">
        <w:rPr>
          <w:noProof/>
          <w:color w:val="000000" w:themeColor="text1"/>
          <w:sz w:val="22"/>
          <w:lang w:val="en-US"/>
        </w:rPr>
        <w:tab/>
        <w:t xml:space="preserve">Bahr R, Andersen SO, Loken S, Fossan B, Hansen T, Holme I. Low Back Pain Among Endurance Athletes With and Without Specific Back Loading - A Cross-Sectional Survey of Cross-Country Skiers, Rowers, Orienteerers, and Nonathletic </w:t>
      </w:r>
      <w:r w:rsidRPr="009A4FAB">
        <w:rPr>
          <w:noProof/>
          <w:color w:val="000000" w:themeColor="text1"/>
          <w:sz w:val="22"/>
          <w:lang w:val="en-US"/>
        </w:rPr>
        <w:lastRenderedPageBreak/>
        <w:t xml:space="preserve">Controls. Spine (Phila Pa 1976). 2004;29(4):449–54. </w:t>
      </w:r>
    </w:p>
    <w:p w14:paraId="4791FB8C"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10. </w:t>
      </w:r>
      <w:r w:rsidRPr="009A4FAB">
        <w:rPr>
          <w:noProof/>
          <w:color w:val="000000" w:themeColor="text1"/>
          <w:sz w:val="22"/>
          <w:lang w:val="en-US"/>
        </w:rPr>
        <w:tab/>
        <w:t xml:space="preserve">Wilson F, Ardern CL, Hartvigsen J, Dane K, Trompeter K, Trease L, et al. Prevalence and risk factors for back pain in sports: a systematic review with meta-analysis. Br J Sports Med. 2020;1–9. </w:t>
      </w:r>
    </w:p>
    <w:p w14:paraId="466BF4A3"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11. </w:t>
      </w:r>
      <w:r w:rsidRPr="009A4FAB">
        <w:rPr>
          <w:noProof/>
          <w:color w:val="000000" w:themeColor="text1"/>
          <w:sz w:val="22"/>
          <w:lang w:val="en-US"/>
        </w:rPr>
        <w:tab/>
        <w:t xml:space="preserve">Trompeter K, Fett D, Platen P. Prevalence of Back Pain in Sports: A Systematic Review of the Literature. Sport Med. 2017;47(6):1183–207. </w:t>
      </w:r>
    </w:p>
    <w:p w14:paraId="3694F5B2"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12. </w:t>
      </w:r>
      <w:r w:rsidRPr="009A4FAB">
        <w:rPr>
          <w:noProof/>
          <w:color w:val="000000" w:themeColor="text1"/>
          <w:sz w:val="22"/>
          <w:lang w:val="en-US"/>
        </w:rPr>
        <w:tab/>
        <w:t xml:space="preserve">Moradi V, Memari A-H, ShayestehFar M, Kordi R. Low Back Pain in Athletes Is Associated with General and Sport Specific Risk Factors: A Comprehensive Review of Longitudinal Studies. Rehabil Res Pract. 2015;1–10. </w:t>
      </w:r>
    </w:p>
    <w:p w14:paraId="0BA27766"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13. </w:t>
      </w:r>
      <w:r w:rsidRPr="009A4FAB">
        <w:rPr>
          <w:noProof/>
          <w:color w:val="000000" w:themeColor="text1"/>
          <w:sz w:val="22"/>
          <w:lang w:val="en-US"/>
        </w:rPr>
        <w:tab/>
        <w:t xml:space="preserve">Cooper DJ, Scammell BE, Batt ME, Palmer D. Factors associated with pain and osteoarthritis at the hip and knee in Great Britain’s Olympians: A cross-sectional study. Br J Sports Med. 2018;52(17):1101–8. </w:t>
      </w:r>
    </w:p>
    <w:p w14:paraId="72CB2D56"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14. </w:t>
      </w:r>
      <w:r w:rsidRPr="009A4FAB">
        <w:rPr>
          <w:noProof/>
          <w:color w:val="000000" w:themeColor="text1"/>
          <w:sz w:val="22"/>
          <w:lang w:val="en-US"/>
        </w:rPr>
        <w:tab/>
        <w:t xml:space="preserve">Cooper D, Batt ME, O’Hanlon MS, Palmer D. A cross-sectional study of retired Great British Olympians (Berlin 1936 - Sochi 2014): Olympic career injuries, joint health in later life, and reasons for retirement from Olympic sport. Sport Med Open. 2021;Jul 31;7(1):54. </w:t>
      </w:r>
    </w:p>
    <w:p w14:paraId="77973FAA"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15. </w:t>
      </w:r>
      <w:r w:rsidRPr="009A4FAB">
        <w:rPr>
          <w:noProof/>
          <w:color w:val="000000" w:themeColor="text1"/>
          <w:sz w:val="22"/>
          <w:lang w:val="en-US"/>
        </w:rPr>
        <w:tab/>
        <w:t xml:space="preserve">Soligard T, Steffen K, Palmer-Green D, Aubry M, Grant ME, Meeuwisse W, et al. Sports injuries and illnesses in the Sochi 2014 Olympic Winter Games. Br J Sports Med. 2015;49(7):441–7. </w:t>
      </w:r>
    </w:p>
    <w:p w14:paraId="00724DAE"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16. </w:t>
      </w:r>
      <w:r w:rsidRPr="009A4FAB">
        <w:rPr>
          <w:noProof/>
          <w:color w:val="000000" w:themeColor="text1"/>
          <w:sz w:val="22"/>
          <w:lang w:val="en-US"/>
        </w:rPr>
        <w:tab/>
        <w:t xml:space="preserve">Soligard T, Steffen K, Palmer D, Alonso JM, Bahr R, Lopes AD, et al. Sports injury and illness incidence in the Rio de Janeiro 2016 Olympic Summer Games: A prospective study of 11274 athletes from 207 countries. Br J Sports Med. 2017;51(17):1265–71. </w:t>
      </w:r>
    </w:p>
    <w:p w14:paraId="3C1AB57F"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17. </w:t>
      </w:r>
      <w:r w:rsidRPr="009A4FAB">
        <w:rPr>
          <w:noProof/>
          <w:color w:val="000000" w:themeColor="text1"/>
          <w:sz w:val="22"/>
          <w:lang w:val="en-US"/>
        </w:rPr>
        <w:tab/>
        <w:t xml:space="preserve">Junge A, Engebretsen L, Alonso JM, Renström P, Mountjoy M, Aubry M, et al. Injury surveillance in multi-sport events: the International Olympic Committee approach. Br J Sports Med. 2008;42(6):413–21. </w:t>
      </w:r>
    </w:p>
    <w:p w14:paraId="67B1A632"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18. </w:t>
      </w:r>
      <w:r w:rsidRPr="009A4FAB">
        <w:rPr>
          <w:noProof/>
          <w:color w:val="000000" w:themeColor="text1"/>
          <w:sz w:val="22"/>
          <w:lang w:val="en-US"/>
        </w:rPr>
        <w:tab/>
        <w:t xml:space="preserve">Xu X, Bach E, Ørhede E. Work environment and low back pain: The influence of occupational activities. Occup Environ Med. 1997;54(10):741–5. </w:t>
      </w:r>
    </w:p>
    <w:p w14:paraId="2541C866"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19. </w:t>
      </w:r>
      <w:r w:rsidRPr="009A4FAB">
        <w:rPr>
          <w:noProof/>
          <w:color w:val="000000" w:themeColor="text1"/>
          <w:sz w:val="22"/>
          <w:lang w:val="en-US"/>
        </w:rPr>
        <w:tab/>
        <w:t>Cooper DJ, Scammell BE, Batt ME, Palmer D. Development and validation of self-reported line drawings of the modified Beighton score for the assessment of generalised joint hypermobility. BMC Med Res Methodol [Internet]. 2018;18(1). Available from: doi: 10.1186/s12874-017-0464-8</w:t>
      </w:r>
    </w:p>
    <w:p w14:paraId="67B1AAAC"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20. </w:t>
      </w:r>
      <w:r w:rsidRPr="009A4FAB">
        <w:rPr>
          <w:noProof/>
          <w:color w:val="000000" w:themeColor="text1"/>
          <w:sz w:val="22"/>
          <w:lang w:val="en-US"/>
        </w:rPr>
        <w:tab/>
        <w:t xml:space="preserve">Remvig L, Jensen D V, Ward RC. Are diagnostic criteria for general joint hypermobility and benign joint hypermobility syndrome based on reproducible and valid tests? A review of the literature. J Rheumatol. 2007;34(4):798–803. </w:t>
      </w:r>
    </w:p>
    <w:p w14:paraId="25ED7C7A"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21. </w:t>
      </w:r>
      <w:r w:rsidRPr="009A4FAB">
        <w:rPr>
          <w:noProof/>
          <w:color w:val="000000" w:themeColor="text1"/>
          <w:sz w:val="22"/>
          <w:lang w:val="en-US"/>
        </w:rPr>
        <w:tab/>
        <w:t xml:space="preserve">Wolfe F, Clauw DJ, Fitzcharles M, Goldenberg DL, Katz RS, Mease P, et al. The American College of Rheumatology preliminary diagnostic criteria for fibromyalgia </w:t>
      </w:r>
      <w:r w:rsidRPr="009A4FAB">
        <w:rPr>
          <w:noProof/>
          <w:color w:val="000000" w:themeColor="text1"/>
          <w:sz w:val="22"/>
          <w:lang w:val="en-US"/>
        </w:rPr>
        <w:lastRenderedPageBreak/>
        <w:t xml:space="preserve">and measurement of symptom severity. Arthritis Care Res. 2010;62(5):600–10. </w:t>
      </w:r>
    </w:p>
    <w:p w14:paraId="22CD0EB1"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22. </w:t>
      </w:r>
      <w:r w:rsidRPr="009A4FAB">
        <w:rPr>
          <w:noProof/>
          <w:color w:val="000000" w:themeColor="text1"/>
          <w:sz w:val="22"/>
          <w:lang w:val="en-US"/>
        </w:rPr>
        <w:tab/>
        <w:t>Vilagut G, Forero CG, Pinto-Meza A, Haro JM, De Graaf R, Bruffaerts R, et al. The mental component of the short-form 12 health survey (SF-12) as a measure of depressive disorders in the general population: Results with three alternative scoring methods. Value Heal [Internet]. 2013;16(4):564–73. Available from: http://dx.doi.org/10.1016/j.jval.2013.01.006</w:t>
      </w:r>
    </w:p>
    <w:p w14:paraId="2FB962E2"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23. </w:t>
      </w:r>
      <w:r w:rsidRPr="009A4FAB">
        <w:rPr>
          <w:noProof/>
          <w:color w:val="000000" w:themeColor="text1"/>
          <w:sz w:val="22"/>
          <w:lang w:val="en-US"/>
        </w:rPr>
        <w:tab/>
        <w:t xml:space="preserve">Dionne CE, Dunn KM, Croft PR, Nachemson AL, Buchbinder R, Walker BF, et al. A consensus approach toward the standardization of back pain definitions for use in prevalence studies. Spine (Phila Pa 1976). 2008;33(1):95–103. </w:t>
      </w:r>
    </w:p>
    <w:p w14:paraId="761355FC"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24. </w:t>
      </w:r>
      <w:r w:rsidRPr="009A4FAB">
        <w:rPr>
          <w:noProof/>
          <w:color w:val="000000" w:themeColor="text1"/>
          <w:sz w:val="22"/>
          <w:lang w:val="en-US"/>
        </w:rPr>
        <w:tab/>
        <w:t xml:space="preserve">Lacey RJ, Lewis M, Jordan K, Jinks C, Sim J. Interrater reliability of scoring of pain drawings in a self-report health survey. Spine (Phila Pa 1976). 2005;30(16):E455–8. </w:t>
      </w:r>
    </w:p>
    <w:p w14:paraId="5ED6953D"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25. </w:t>
      </w:r>
      <w:r w:rsidRPr="009A4FAB">
        <w:rPr>
          <w:noProof/>
          <w:color w:val="000000" w:themeColor="text1"/>
          <w:sz w:val="22"/>
          <w:lang w:val="en-US"/>
        </w:rPr>
        <w:tab/>
        <w:t xml:space="preserve">Hoy D, March L, Brooks P, Blyth F, Woolf A, Bain C, et al. The global burden of low back pain: estimates from the Global Burden of Disease 2010 study. Ann Rheum Dis. 2014;73(6):968–74. </w:t>
      </w:r>
    </w:p>
    <w:p w14:paraId="69282631"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26. </w:t>
      </w:r>
      <w:r w:rsidRPr="009A4FAB">
        <w:rPr>
          <w:noProof/>
          <w:color w:val="000000" w:themeColor="text1"/>
          <w:sz w:val="22"/>
          <w:lang w:val="en-US"/>
        </w:rPr>
        <w:tab/>
        <w:t xml:space="preserve">Qaseem A, Wilt TJ, McLean RM, Forciea MA. Noninvasive treatments for acute, subacute, and chronic low back pain: A clinical practice guideline from the American College of Physicians. Ann Intern Med. 2017;166(7):514–30. </w:t>
      </w:r>
    </w:p>
    <w:p w14:paraId="444E0842"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27. </w:t>
      </w:r>
      <w:r w:rsidRPr="009A4FAB">
        <w:rPr>
          <w:noProof/>
          <w:color w:val="000000" w:themeColor="text1"/>
          <w:sz w:val="22"/>
          <w:lang w:val="en-US"/>
        </w:rPr>
        <w:tab/>
        <w:t xml:space="preserve">Hoy D, Bain C, Williams G, March L, Brooks P, Blyth F, et al. A Systematic Review of the Global Prevalence of Low Back Pain. Arthritis Rheum. 2012;64(6):2028–37. </w:t>
      </w:r>
    </w:p>
    <w:p w14:paraId="009F9962"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28. </w:t>
      </w:r>
      <w:r w:rsidRPr="009A4FAB">
        <w:rPr>
          <w:noProof/>
          <w:color w:val="000000" w:themeColor="text1"/>
          <w:sz w:val="22"/>
          <w:lang w:val="en-US"/>
        </w:rPr>
        <w:tab/>
        <w:t xml:space="preserve">Eriksson K, Nemeth G, Eriksson E. Low back pain in elite cross-country skiers. A retrospective epidemiological study. Scand J Med Sci Sport. 1996;6(1):31–5. </w:t>
      </w:r>
    </w:p>
    <w:p w14:paraId="05CBEA12"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29. </w:t>
      </w:r>
      <w:r w:rsidRPr="009A4FAB">
        <w:rPr>
          <w:noProof/>
          <w:color w:val="000000" w:themeColor="text1"/>
          <w:sz w:val="22"/>
          <w:lang w:val="en-US"/>
        </w:rPr>
        <w:tab/>
        <w:t xml:space="preserve">Schulz SS, Lenz K, Büttner-Janz K. Severe back pain in elite athletes: a cross-sectional study on 929 top athletes of Germany. Eur Spine J. 2016;25(4):1204–10. </w:t>
      </w:r>
    </w:p>
    <w:p w14:paraId="7ADF611F"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30. </w:t>
      </w:r>
      <w:r w:rsidRPr="009A4FAB">
        <w:rPr>
          <w:noProof/>
          <w:color w:val="000000" w:themeColor="text1"/>
          <w:sz w:val="22"/>
          <w:lang w:val="en-US"/>
        </w:rPr>
        <w:tab/>
        <w:t xml:space="preserve">Hoy D, Brooks P, Blyth F, Buchbinder R. The Epidemiology of low back pain. Best Pract Res Clin Rheumatol. 2010;24(6):769–81. </w:t>
      </w:r>
    </w:p>
    <w:p w14:paraId="669DCA85"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31. </w:t>
      </w:r>
      <w:r w:rsidRPr="009A4FAB">
        <w:rPr>
          <w:noProof/>
          <w:color w:val="000000" w:themeColor="text1"/>
          <w:sz w:val="22"/>
          <w:lang w:val="en-US"/>
        </w:rPr>
        <w:tab/>
        <w:t xml:space="preserve">Smith BH, Elliott AM, Hannaford PC, Chambers WA, Smith WC. Factors Related to the Onset and Persistence of Chronic Back Pain in the Community: Results from a General Population Follow-up Study. Spine (Phila Pa 1976). 2004;29(9):1032–40. </w:t>
      </w:r>
    </w:p>
    <w:p w14:paraId="4E6F2C41"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32. </w:t>
      </w:r>
      <w:r w:rsidRPr="009A4FAB">
        <w:rPr>
          <w:noProof/>
          <w:color w:val="000000" w:themeColor="text1"/>
          <w:sz w:val="22"/>
          <w:lang w:val="en-US"/>
        </w:rPr>
        <w:tab/>
        <w:t xml:space="preserve">Thomas E, Silman AJ, Croft PR, Papageorgiou AC, Jayson M, Macfarlane GJ. Predicting who develops chronic low back pain in primary care: A prospective study. Br Med J. 1999;318(7199):1662–7. </w:t>
      </w:r>
    </w:p>
    <w:p w14:paraId="1A018E96"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33. </w:t>
      </w:r>
      <w:r w:rsidRPr="009A4FAB">
        <w:rPr>
          <w:noProof/>
          <w:color w:val="000000" w:themeColor="text1"/>
          <w:sz w:val="22"/>
          <w:lang w:val="en-US"/>
        </w:rPr>
        <w:tab/>
        <w:t xml:space="preserve">Close C, Sinclair M, Liddle D, McCullough J, Hughes C. Women’s experience of low back and/or pelvic pain (LBPP) during pregnancy. Midwifery. 2016;37:1–8. </w:t>
      </w:r>
    </w:p>
    <w:p w14:paraId="48C7C338"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34. </w:t>
      </w:r>
      <w:r w:rsidRPr="009A4FAB">
        <w:rPr>
          <w:noProof/>
          <w:color w:val="000000" w:themeColor="text1"/>
          <w:sz w:val="22"/>
          <w:lang w:val="en-US"/>
        </w:rPr>
        <w:tab/>
        <w:t>Wang Y, J. X. Menopause as a potential cause for higher prevalence of low back pain in women than in age-matched men. J Orthop Transl [Internet]. 2017;8:1–4. Available from: http://dx.doi.org/10.1016/j.jot.2016.05.012</w:t>
      </w:r>
    </w:p>
    <w:p w14:paraId="3299140F"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35. </w:t>
      </w:r>
      <w:r w:rsidRPr="009A4FAB">
        <w:rPr>
          <w:noProof/>
          <w:color w:val="000000" w:themeColor="text1"/>
          <w:sz w:val="22"/>
          <w:lang w:val="en-US"/>
        </w:rPr>
        <w:tab/>
        <w:t xml:space="preserve">Newlands C, Reid D, Parmar P. The prevalence, incidence and severity of low back </w:t>
      </w:r>
      <w:r w:rsidRPr="009A4FAB">
        <w:rPr>
          <w:noProof/>
          <w:color w:val="000000" w:themeColor="text1"/>
          <w:sz w:val="22"/>
          <w:lang w:val="en-US"/>
        </w:rPr>
        <w:lastRenderedPageBreak/>
        <w:t xml:space="preserve">pain among international-level rowers. Br J Sports Med. 2015;49(14):951–6. </w:t>
      </w:r>
    </w:p>
    <w:p w14:paraId="35A35FB0"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36. </w:t>
      </w:r>
      <w:r w:rsidRPr="009A4FAB">
        <w:rPr>
          <w:noProof/>
          <w:color w:val="000000" w:themeColor="text1"/>
          <w:sz w:val="22"/>
          <w:lang w:val="en-US"/>
        </w:rPr>
        <w:tab/>
        <w:t xml:space="preserve">Herr KA, Garand L. Assessment and measurement of pain in older adults. Cinical Geriatr Med. 2001;17(3):457–78. </w:t>
      </w:r>
    </w:p>
    <w:p w14:paraId="579AAD6A"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37. </w:t>
      </w:r>
      <w:r w:rsidRPr="009A4FAB">
        <w:rPr>
          <w:noProof/>
          <w:color w:val="000000" w:themeColor="text1"/>
          <w:sz w:val="22"/>
          <w:lang w:val="en-US"/>
        </w:rPr>
        <w:tab/>
        <w:t xml:space="preserve">Webb R, Brammah T, Lunt M, Urwin M, Allison T, Symmons D. Prevalence and predictors of intense, chronic, and disabling neck and back pain in the UK general population. Spine (Phila Pa 1976). 2003;28(11):1195–202. </w:t>
      </w:r>
    </w:p>
    <w:p w14:paraId="63FBAA7A"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38. </w:t>
      </w:r>
      <w:r w:rsidRPr="009A4FAB">
        <w:rPr>
          <w:noProof/>
          <w:color w:val="000000" w:themeColor="text1"/>
          <w:sz w:val="22"/>
          <w:lang w:val="en-US"/>
        </w:rPr>
        <w:tab/>
        <w:t xml:space="preserve">Fett D, Trompeter K, Platen P. Prevalence of back pain in a group of elite athletes exposed to repetitive overhead activity. PLoS One. 2019;14(1):1–17. </w:t>
      </w:r>
    </w:p>
    <w:p w14:paraId="48C7E489"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39. </w:t>
      </w:r>
      <w:r w:rsidRPr="009A4FAB">
        <w:rPr>
          <w:noProof/>
          <w:color w:val="000000" w:themeColor="text1"/>
          <w:sz w:val="22"/>
          <w:lang w:val="en-US"/>
        </w:rPr>
        <w:tab/>
        <w:t xml:space="preserve">Foss IS, Holme I, Bahr R. The prevalence of low back pain among former elite cross-country skiers, rowers, orienteerers, and nonathletes: A 10-year cohort study. Am J Sports Med. 2012;40(11):2610–6. </w:t>
      </w:r>
    </w:p>
    <w:p w14:paraId="379729EC"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40. </w:t>
      </w:r>
      <w:r w:rsidRPr="009A4FAB">
        <w:rPr>
          <w:noProof/>
          <w:color w:val="000000" w:themeColor="text1"/>
          <w:sz w:val="22"/>
          <w:lang w:val="en-US"/>
        </w:rPr>
        <w:tab/>
        <w:t xml:space="preserve">Heneweer H, Vanhees L, Picavet HS. Physical activity and low back pain: A U-shaped relation? Pain. 2009;143(1–2):21–5. </w:t>
      </w:r>
    </w:p>
    <w:p w14:paraId="3D300785"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41. </w:t>
      </w:r>
      <w:r w:rsidRPr="009A4FAB">
        <w:rPr>
          <w:noProof/>
          <w:color w:val="000000" w:themeColor="text1"/>
          <w:sz w:val="22"/>
          <w:lang w:val="en-US"/>
        </w:rPr>
        <w:tab/>
        <w:t xml:space="preserve">Kujala UM, Taimela S, Salminen JJ, Oksanen A. Baseline anthropometry, flexibility and strength characteristics and future low-back pain in adolescent athletes and non-athletes: a prospective one0year follow-up study. Scand J Med Sci Sports. 1994;4(3):200–5. </w:t>
      </w:r>
    </w:p>
    <w:p w14:paraId="769D4969"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42. </w:t>
      </w:r>
      <w:r w:rsidRPr="009A4FAB">
        <w:rPr>
          <w:noProof/>
          <w:color w:val="000000" w:themeColor="text1"/>
          <w:sz w:val="22"/>
          <w:lang w:val="en-US"/>
        </w:rPr>
        <w:tab/>
        <w:t xml:space="preserve">Kujala UM, Taimela S, Oksanen A, J SJ. Lumbar mobility and low back pain during adolescence. A longitudinal three-year follow-up study in athletes and controls. Am J Sports Med. 1997;25(3):363–8. </w:t>
      </w:r>
    </w:p>
    <w:p w14:paraId="0B164805"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lang w:val="en-US"/>
        </w:rPr>
      </w:pPr>
      <w:r w:rsidRPr="009A4FAB">
        <w:rPr>
          <w:noProof/>
          <w:color w:val="000000" w:themeColor="text1"/>
          <w:sz w:val="22"/>
          <w:lang w:val="en-US"/>
        </w:rPr>
        <w:t xml:space="preserve">43. </w:t>
      </w:r>
      <w:r w:rsidRPr="009A4FAB">
        <w:rPr>
          <w:noProof/>
          <w:color w:val="000000" w:themeColor="text1"/>
          <w:sz w:val="22"/>
          <w:lang w:val="en-US"/>
        </w:rPr>
        <w:tab/>
        <w:t xml:space="preserve">Woo AK. Depression and anxiety in pain. Rev Pain. 2010;4(1):8–12. </w:t>
      </w:r>
    </w:p>
    <w:p w14:paraId="70D5997E" w14:textId="77777777" w:rsidR="008C6D0F" w:rsidRPr="009A4FAB" w:rsidRDefault="008C6D0F" w:rsidP="008C6D0F">
      <w:pPr>
        <w:widowControl w:val="0"/>
        <w:autoSpaceDE w:val="0"/>
        <w:autoSpaceDN w:val="0"/>
        <w:adjustRightInd w:val="0"/>
        <w:spacing w:line="360" w:lineRule="auto"/>
        <w:ind w:left="640" w:hanging="640"/>
        <w:rPr>
          <w:noProof/>
          <w:color w:val="000000" w:themeColor="text1"/>
          <w:sz w:val="22"/>
        </w:rPr>
      </w:pPr>
      <w:r w:rsidRPr="009A4FAB">
        <w:rPr>
          <w:noProof/>
          <w:color w:val="000000" w:themeColor="text1"/>
          <w:sz w:val="22"/>
          <w:lang w:val="en-US"/>
        </w:rPr>
        <w:t xml:space="preserve">44. </w:t>
      </w:r>
      <w:r w:rsidRPr="009A4FAB">
        <w:rPr>
          <w:noProof/>
          <w:color w:val="000000" w:themeColor="text1"/>
          <w:sz w:val="22"/>
          <w:lang w:val="en-US"/>
        </w:rPr>
        <w:tab/>
        <w:t xml:space="preserve">Pinheiro MB, Ferreira ML, Refshauge K, Maher CG, Ordoñana JR, Andrade TB, et al. Symptoms of depression as a prognostic factor for low back pain: a systematic review. Spine J. 2016;16(1):105–16. </w:t>
      </w:r>
    </w:p>
    <w:p w14:paraId="4D6E6105" w14:textId="77777777" w:rsidR="008C6D0F" w:rsidRPr="009A4FAB" w:rsidRDefault="008C6D0F" w:rsidP="008C6D0F">
      <w:pPr>
        <w:widowControl w:val="0"/>
        <w:autoSpaceDE w:val="0"/>
        <w:autoSpaceDN w:val="0"/>
        <w:adjustRightInd w:val="0"/>
        <w:spacing w:line="360" w:lineRule="auto"/>
        <w:ind w:left="640" w:hanging="640"/>
        <w:rPr>
          <w:b/>
          <w:color w:val="000000" w:themeColor="text1"/>
          <w:sz w:val="22"/>
          <w:szCs w:val="22"/>
          <w:lang w:val="en-US"/>
        </w:rPr>
      </w:pPr>
      <w:r w:rsidRPr="009A4FAB">
        <w:rPr>
          <w:b/>
          <w:color w:val="000000" w:themeColor="text1"/>
          <w:sz w:val="22"/>
          <w:szCs w:val="22"/>
          <w:lang w:val="en-US"/>
        </w:rPr>
        <w:fldChar w:fldCharType="end"/>
      </w:r>
    </w:p>
    <w:p w14:paraId="1E8CEC89" w14:textId="77777777" w:rsidR="008C6D0F" w:rsidRPr="009A4FAB" w:rsidRDefault="008C6D0F" w:rsidP="008C6D0F">
      <w:pPr>
        <w:spacing w:line="360" w:lineRule="auto"/>
        <w:rPr>
          <w:b/>
          <w:color w:val="000000" w:themeColor="text1"/>
          <w:sz w:val="22"/>
          <w:szCs w:val="22"/>
          <w:lang w:val="en-US"/>
        </w:rPr>
        <w:sectPr w:rsidR="008C6D0F" w:rsidRPr="009A4FAB">
          <w:pgSz w:w="11900" w:h="16840"/>
          <w:pgMar w:top="1440" w:right="1800" w:bottom="1440" w:left="1800" w:header="708" w:footer="708" w:gutter="0"/>
          <w:pgNumType w:start="1"/>
          <w:cols w:space="720"/>
        </w:sectPr>
      </w:pPr>
    </w:p>
    <w:tbl>
      <w:tblPr>
        <w:tblStyle w:val="TableGrid"/>
        <w:tblW w:w="13411" w:type="dxa"/>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4"/>
        <w:gridCol w:w="1255"/>
        <w:gridCol w:w="1431"/>
        <w:gridCol w:w="1429"/>
        <w:gridCol w:w="1430"/>
        <w:gridCol w:w="1429"/>
        <w:gridCol w:w="1430"/>
        <w:gridCol w:w="1169"/>
        <w:gridCol w:w="14"/>
      </w:tblGrid>
      <w:tr w:rsidR="009A4FAB" w:rsidRPr="009A4FAB" w14:paraId="52953F71" w14:textId="77777777" w:rsidTr="00AB5AB5">
        <w:trPr>
          <w:trHeight w:val="364"/>
        </w:trPr>
        <w:tc>
          <w:tcPr>
            <w:tcW w:w="13411" w:type="dxa"/>
            <w:gridSpan w:val="9"/>
            <w:tcBorders>
              <w:top w:val="nil"/>
              <w:left w:val="nil"/>
              <w:bottom w:val="single" w:sz="4" w:space="0" w:color="auto"/>
              <w:right w:val="nil"/>
            </w:tcBorders>
            <w:hideMark/>
          </w:tcPr>
          <w:p w14:paraId="4F3C2CF3" w14:textId="77777777" w:rsidR="0012427D" w:rsidRPr="009A4FAB" w:rsidRDefault="0012427D" w:rsidP="0012427D">
            <w:pPr>
              <w:widowControl w:val="0"/>
              <w:autoSpaceDE w:val="0"/>
              <w:autoSpaceDN w:val="0"/>
              <w:adjustRightInd w:val="0"/>
              <w:spacing w:line="360" w:lineRule="auto"/>
              <w:rPr>
                <w:rFonts w:ascii="Times New Roman" w:hAnsi="Times New Roman"/>
                <w:i/>
                <w:iCs/>
                <w:color w:val="000000" w:themeColor="text1"/>
                <w:sz w:val="22"/>
                <w:szCs w:val="22"/>
              </w:rPr>
            </w:pPr>
            <w:r w:rsidRPr="009A4FAB">
              <w:rPr>
                <w:rFonts w:ascii="Times New Roman" w:hAnsi="Times New Roman"/>
                <w:b/>
                <w:color w:val="000000" w:themeColor="text1"/>
                <w:sz w:val="22"/>
                <w:szCs w:val="22"/>
              </w:rPr>
              <w:lastRenderedPageBreak/>
              <w:t>Table 1</w:t>
            </w:r>
            <w:r w:rsidRPr="009A4FAB">
              <w:rPr>
                <w:rFonts w:ascii="Times New Roman" w:hAnsi="Times New Roman"/>
                <w:color w:val="000000" w:themeColor="text1"/>
                <w:sz w:val="22"/>
                <w:szCs w:val="22"/>
              </w:rPr>
              <w:t>: Comparison of characteristics of male and female retired Great Britain’s Olympic athletes (n=613)</w:t>
            </w:r>
          </w:p>
        </w:tc>
      </w:tr>
      <w:tr w:rsidR="009A4FAB" w:rsidRPr="009A4FAB" w14:paraId="6220430B" w14:textId="77777777" w:rsidTr="00AB5AB5">
        <w:trPr>
          <w:gridAfter w:val="1"/>
          <w:wAfter w:w="12" w:type="dxa"/>
          <w:trHeight w:val="100"/>
        </w:trPr>
        <w:tc>
          <w:tcPr>
            <w:tcW w:w="3826" w:type="dxa"/>
            <w:tcBorders>
              <w:top w:val="single" w:sz="4" w:space="0" w:color="auto"/>
              <w:left w:val="nil"/>
              <w:bottom w:val="nil"/>
              <w:right w:val="nil"/>
            </w:tcBorders>
          </w:tcPr>
          <w:p w14:paraId="42AFB1BC"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u w:val="single"/>
              </w:rPr>
            </w:pPr>
          </w:p>
        </w:tc>
        <w:tc>
          <w:tcPr>
            <w:tcW w:w="2686" w:type="dxa"/>
            <w:gridSpan w:val="2"/>
            <w:tcBorders>
              <w:top w:val="single" w:sz="4" w:space="0" w:color="auto"/>
              <w:left w:val="nil"/>
              <w:bottom w:val="single" w:sz="4" w:space="0" w:color="auto"/>
              <w:right w:val="nil"/>
            </w:tcBorders>
            <w:hideMark/>
          </w:tcPr>
          <w:p w14:paraId="69425169"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 xml:space="preserve">All </w:t>
            </w:r>
          </w:p>
          <w:p w14:paraId="303A1A5D"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(n=613)</w:t>
            </w:r>
          </w:p>
        </w:tc>
        <w:tc>
          <w:tcPr>
            <w:tcW w:w="2859" w:type="dxa"/>
            <w:gridSpan w:val="2"/>
            <w:tcBorders>
              <w:top w:val="single" w:sz="4" w:space="0" w:color="auto"/>
              <w:left w:val="nil"/>
              <w:bottom w:val="single" w:sz="4" w:space="0" w:color="auto"/>
              <w:right w:val="nil"/>
            </w:tcBorders>
            <w:hideMark/>
          </w:tcPr>
          <w:p w14:paraId="401226DF"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 xml:space="preserve">Female </w:t>
            </w:r>
          </w:p>
          <w:p w14:paraId="1369FEA0"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(n=251)</w:t>
            </w:r>
          </w:p>
        </w:tc>
        <w:tc>
          <w:tcPr>
            <w:tcW w:w="2859" w:type="dxa"/>
            <w:gridSpan w:val="2"/>
            <w:tcBorders>
              <w:top w:val="single" w:sz="4" w:space="0" w:color="auto"/>
              <w:left w:val="nil"/>
              <w:bottom w:val="single" w:sz="4" w:space="0" w:color="auto"/>
              <w:right w:val="nil"/>
            </w:tcBorders>
            <w:hideMark/>
          </w:tcPr>
          <w:p w14:paraId="6459E9C9"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 xml:space="preserve">Male </w:t>
            </w:r>
          </w:p>
          <w:p w14:paraId="686A9D8F"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(n=362)</w:t>
            </w:r>
          </w:p>
        </w:tc>
        <w:tc>
          <w:tcPr>
            <w:tcW w:w="1169" w:type="dxa"/>
            <w:tcBorders>
              <w:top w:val="single" w:sz="4" w:space="0" w:color="auto"/>
              <w:left w:val="nil"/>
              <w:bottom w:val="nil"/>
              <w:right w:val="nil"/>
            </w:tcBorders>
          </w:tcPr>
          <w:p w14:paraId="5D2B531C" w14:textId="486A19A5" w:rsidR="0012427D" w:rsidRPr="009A4FAB" w:rsidRDefault="00AB5AB5"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P Values</w:t>
            </w:r>
          </w:p>
        </w:tc>
      </w:tr>
      <w:tr w:rsidR="009A4FAB" w:rsidRPr="009A4FAB" w14:paraId="5F0B78B1" w14:textId="77777777" w:rsidTr="00AB5AB5">
        <w:trPr>
          <w:gridAfter w:val="1"/>
          <w:wAfter w:w="14" w:type="dxa"/>
          <w:trHeight w:val="100"/>
        </w:trPr>
        <w:tc>
          <w:tcPr>
            <w:tcW w:w="3826" w:type="dxa"/>
            <w:tcBorders>
              <w:top w:val="single" w:sz="4" w:space="0" w:color="auto"/>
              <w:left w:val="nil"/>
              <w:bottom w:val="nil"/>
              <w:right w:val="nil"/>
            </w:tcBorders>
            <w:hideMark/>
          </w:tcPr>
          <w:p w14:paraId="0AB8F017"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Anthropometrics:</w:t>
            </w:r>
          </w:p>
        </w:tc>
        <w:tc>
          <w:tcPr>
            <w:tcW w:w="1255" w:type="dxa"/>
            <w:tcBorders>
              <w:top w:val="single" w:sz="4" w:space="0" w:color="auto"/>
              <w:left w:val="nil"/>
              <w:bottom w:val="nil"/>
              <w:right w:val="nil"/>
            </w:tcBorders>
          </w:tcPr>
          <w:p w14:paraId="73DF55D4"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31" w:type="dxa"/>
            <w:tcBorders>
              <w:top w:val="single" w:sz="4" w:space="0" w:color="auto"/>
              <w:left w:val="nil"/>
              <w:bottom w:val="nil"/>
              <w:right w:val="nil"/>
            </w:tcBorders>
          </w:tcPr>
          <w:p w14:paraId="59EC9E0D"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29" w:type="dxa"/>
            <w:tcBorders>
              <w:top w:val="single" w:sz="4" w:space="0" w:color="auto"/>
              <w:left w:val="nil"/>
              <w:bottom w:val="nil"/>
              <w:right w:val="nil"/>
            </w:tcBorders>
          </w:tcPr>
          <w:p w14:paraId="65783243"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29" w:type="dxa"/>
            <w:tcBorders>
              <w:top w:val="single" w:sz="4" w:space="0" w:color="auto"/>
              <w:left w:val="nil"/>
              <w:bottom w:val="nil"/>
              <w:right w:val="nil"/>
            </w:tcBorders>
          </w:tcPr>
          <w:p w14:paraId="4F2D1080"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29" w:type="dxa"/>
            <w:tcBorders>
              <w:top w:val="single" w:sz="4" w:space="0" w:color="auto"/>
              <w:left w:val="nil"/>
              <w:bottom w:val="nil"/>
              <w:right w:val="nil"/>
            </w:tcBorders>
          </w:tcPr>
          <w:p w14:paraId="0EDEE861"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29" w:type="dxa"/>
            <w:tcBorders>
              <w:top w:val="single" w:sz="4" w:space="0" w:color="auto"/>
              <w:left w:val="nil"/>
              <w:bottom w:val="nil"/>
              <w:right w:val="nil"/>
            </w:tcBorders>
          </w:tcPr>
          <w:p w14:paraId="1885779B"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169" w:type="dxa"/>
            <w:tcBorders>
              <w:top w:val="single" w:sz="4" w:space="0" w:color="auto"/>
              <w:left w:val="nil"/>
              <w:bottom w:val="nil"/>
              <w:right w:val="nil"/>
            </w:tcBorders>
          </w:tcPr>
          <w:p w14:paraId="534A28C9"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r>
      <w:tr w:rsidR="009A4FAB" w:rsidRPr="009A4FAB" w14:paraId="07C97D14" w14:textId="77777777" w:rsidTr="00AB5AB5">
        <w:trPr>
          <w:gridAfter w:val="1"/>
          <w:wAfter w:w="14" w:type="dxa"/>
          <w:trHeight w:val="100"/>
        </w:trPr>
        <w:tc>
          <w:tcPr>
            <w:tcW w:w="3826" w:type="dxa"/>
            <w:tcBorders>
              <w:top w:val="nil"/>
              <w:left w:val="nil"/>
              <w:bottom w:val="nil"/>
              <w:right w:val="nil"/>
            </w:tcBorders>
            <w:hideMark/>
          </w:tcPr>
          <w:p w14:paraId="5621F7B0"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Age (years), median (range)</w:t>
            </w:r>
          </w:p>
        </w:tc>
        <w:tc>
          <w:tcPr>
            <w:tcW w:w="1255" w:type="dxa"/>
            <w:tcBorders>
              <w:top w:val="nil"/>
              <w:left w:val="nil"/>
              <w:bottom w:val="nil"/>
              <w:right w:val="nil"/>
            </w:tcBorders>
            <w:hideMark/>
          </w:tcPr>
          <w:p w14:paraId="70280F86"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62</w:t>
            </w:r>
          </w:p>
        </w:tc>
        <w:tc>
          <w:tcPr>
            <w:tcW w:w="1431" w:type="dxa"/>
            <w:tcBorders>
              <w:top w:val="nil"/>
              <w:left w:val="nil"/>
              <w:bottom w:val="nil"/>
              <w:right w:val="nil"/>
            </w:tcBorders>
            <w:hideMark/>
          </w:tcPr>
          <w:p w14:paraId="4BE879CC"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30-97</w:t>
            </w:r>
          </w:p>
        </w:tc>
        <w:tc>
          <w:tcPr>
            <w:tcW w:w="1429" w:type="dxa"/>
            <w:tcBorders>
              <w:top w:val="nil"/>
              <w:left w:val="nil"/>
              <w:bottom w:val="nil"/>
              <w:right w:val="nil"/>
            </w:tcBorders>
            <w:hideMark/>
          </w:tcPr>
          <w:p w14:paraId="3095532A"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54</w:t>
            </w:r>
          </w:p>
        </w:tc>
        <w:tc>
          <w:tcPr>
            <w:tcW w:w="1429" w:type="dxa"/>
            <w:tcBorders>
              <w:top w:val="nil"/>
              <w:left w:val="nil"/>
              <w:bottom w:val="nil"/>
              <w:right w:val="nil"/>
            </w:tcBorders>
            <w:hideMark/>
          </w:tcPr>
          <w:p w14:paraId="6BA433BE"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 xml:space="preserve"> 30-93</w:t>
            </w:r>
          </w:p>
        </w:tc>
        <w:tc>
          <w:tcPr>
            <w:tcW w:w="1429" w:type="dxa"/>
            <w:tcBorders>
              <w:top w:val="nil"/>
              <w:left w:val="nil"/>
              <w:bottom w:val="nil"/>
              <w:right w:val="nil"/>
            </w:tcBorders>
            <w:hideMark/>
          </w:tcPr>
          <w:p w14:paraId="1561F6CA"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66.5</w:t>
            </w:r>
          </w:p>
        </w:tc>
        <w:tc>
          <w:tcPr>
            <w:tcW w:w="1429" w:type="dxa"/>
            <w:tcBorders>
              <w:top w:val="nil"/>
              <w:left w:val="nil"/>
              <w:bottom w:val="nil"/>
              <w:right w:val="nil"/>
            </w:tcBorders>
            <w:hideMark/>
          </w:tcPr>
          <w:p w14:paraId="6A45531C"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 xml:space="preserve"> 30-97</w:t>
            </w:r>
          </w:p>
        </w:tc>
        <w:tc>
          <w:tcPr>
            <w:tcW w:w="1169" w:type="dxa"/>
            <w:tcBorders>
              <w:top w:val="nil"/>
              <w:left w:val="nil"/>
              <w:bottom w:val="nil"/>
              <w:right w:val="nil"/>
            </w:tcBorders>
            <w:hideMark/>
          </w:tcPr>
          <w:p w14:paraId="00924E10" w14:textId="77777777" w:rsidR="0012427D" w:rsidRPr="009A4FAB" w:rsidRDefault="0012427D" w:rsidP="0012427D">
            <w:pPr>
              <w:widowControl w:val="0"/>
              <w:autoSpaceDE w:val="0"/>
              <w:autoSpaceDN w:val="0"/>
              <w:adjustRightInd w:val="0"/>
              <w:spacing w:line="360" w:lineRule="auto"/>
              <w:rPr>
                <w:rFonts w:ascii="Times New Roman" w:hAnsi="Times New Roman"/>
                <w:b/>
                <w:bCs/>
                <w:color w:val="000000" w:themeColor="text1"/>
                <w:sz w:val="22"/>
                <w:szCs w:val="22"/>
              </w:rPr>
            </w:pPr>
            <w:r w:rsidRPr="009A4FAB">
              <w:rPr>
                <w:rFonts w:ascii="Times New Roman" w:hAnsi="Times New Roman"/>
                <w:b/>
                <w:bCs/>
                <w:color w:val="000000" w:themeColor="text1"/>
                <w:sz w:val="22"/>
                <w:szCs w:val="22"/>
              </w:rPr>
              <w:t>&lt;0.001</w:t>
            </w:r>
          </w:p>
        </w:tc>
      </w:tr>
      <w:tr w:rsidR="009A4FAB" w:rsidRPr="009A4FAB" w14:paraId="1B47FA6E" w14:textId="77777777" w:rsidTr="00AB5AB5">
        <w:trPr>
          <w:gridAfter w:val="1"/>
          <w:wAfter w:w="14" w:type="dxa"/>
          <w:trHeight w:val="100"/>
        </w:trPr>
        <w:tc>
          <w:tcPr>
            <w:tcW w:w="3826" w:type="dxa"/>
            <w:tcBorders>
              <w:top w:val="nil"/>
              <w:left w:val="nil"/>
              <w:bottom w:val="nil"/>
              <w:right w:val="nil"/>
            </w:tcBorders>
            <w:hideMark/>
          </w:tcPr>
          <w:p w14:paraId="57D023C2"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Height (cm), median (range)</w:t>
            </w:r>
          </w:p>
        </w:tc>
        <w:tc>
          <w:tcPr>
            <w:tcW w:w="1255" w:type="dxa"/>
            <w:tcBorders>
              <w:top w:val="nil"/>
              <w:left w:val="nil"/>
              <w:bottom w:val="nil"/>
              <w:right w:val="nil"/>
            </w:tcBorders>
            <w:hideMark/>
          </w:tcPr>
          <w:p w14:paraId="66F8B75B"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175.3</w:t>
            </w:r>
          </w:p>
        </w:tc>
        <w:tc>
          <w:tcPr>
            <w:tcW w:w="1431" w:type="dxa"/>
            <w:tcBorders>
              <w:top w:val="nil"/>
              <w:left w:val="nil"/>
              <w:bottom w:val="nil"/>
              <w:right w:val="nil"/>
            </w:tcBorders>
            <w:hideMark/>
          </w:tcPr>
          <w:p w14:paraId="6E9F198A"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144.8-205.0</w:t>
            </w:r>
          </w:p>
        </w:tc>
        <w:tc>
          <w:tcPr>
            <w:tcW w:w="1429" w:type="dxa"/>
            <w:tcBorders>
              <w:top w:val="nil"/>
              <w:left w:val="nil"/>
              <w:bottom w:val="nil"/>
              <w:right w:val="nil"/>
            </w:tcBorders>
            <w:hideMark/>
          </w:tcPr>
          <w:p w14:paraId="68A3AA28"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168.5</w:t>
            </w:r>
          </w:p>
        </w:tc>
        <w:tc>
          <w:tcPr>
            <w:tcW w:w="1429" w:type="dxa"/>
            <w:tcBorders>
              <w:top w:val="nil"/>
              <w:left w:val="nil"/>
              <w:bottom w:val="nil"/>
              <w:right w:val="nil"/>
            </w:tcBorders>
            <w:hideMark/>
          </w:tcPr>
          <w:p w14:paraId="69C3B771"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144.8-198.1</w:t>
            </w:r>
          </w:p>
        </w:tc>
        <w:tc>
          <w:tcPr>
            <w:tcW w:w="1429" w:type="dxa"/>
            <w:tcBorders>
              <w:top w:val="nil"/>
              <w:left w:val="nil"/>
              <w:bottom w:val="nil"/>
              <w:right w:val="nil"/>
            </w:tcBorders>
            <w:hideMark/>
          </w:tcPr>
          <w:p w14:paraId="14614E02"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180.3</w:t>
            </w:r>
          </w:p>
        </w:tc>
        <w:tc>
          <w:tcPr>
            <w:tcW w:w="1429" w:type="dxa"/>
            <w:tcBorders>
              <w:top w:val="nil"/>
              <w:left w:val="nil"/>
              <w:bottom w:val="nil"/>
              <w:right w:val="nil"/>
            </w:tcBorders>
            <w:hideMark/>
          </w:tcPr>
          <w:p w14:paraId="73FA620A"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147.3-205.0</w:t>
            </w:r>
          </w:p>
        </w:tc>
        <w:tc>
          <w:tcPr>
            <w:tcW w:w="1169" w:type="dxa"/>
            <w:tcBorders>
              <w:top w:val="nil"/>
              <w:left w:val="nil"/>
              <w:bottom w:val="nil"/>
              <w:right w:val="nil"/>
            </w:tcBorders>
            <w:hideMark/>
          </w:tcPr>
          <w:p w14:paraId="67900620" w14:textId="77777777" w:rsidR="0012427D" w:rsidRPr="009A4FAB" w:rsidRDefault="0012427D" w:rsidP="0012427D">
            <w:pPr>
              <w:widowControl w:val="0"/>
              <w:autoSpaceDE w:val="0"/>
              <w:autoSpaceDN w:val="0"/>
              <w:adjustRightInd w:val="0"/>
              <w:spacing w:line="360" w:lineRule="auto"/>
              <w:rPr>
                <w:rFonts w:ascii="Times New Roman" w:hAnsi="Times New Roman"/>
                <w:b/>
                <w:bCs/>
                <w:color w:val="000000" w:themeColor="text1"/>
                <w:sz w:val="22"/>
                <w:szCs w:val="22"/>
              </w:rPr>
            </w:pPr>
            <w:r w:rsidRPr="009A4FAB">
              <w:rPr>
                <w:rFonts w:ascii="Times New Roman" w:hAnsi="Times New Roman"/>
                <w:b/>
                <w:bCs/>
                <w:color w:val="000000" w:themeColor="text1"/>
                <w:sz w:val="22"/>
                <w:szCs w:val="22"/>
              </w:rPr>
              <w:t>&lt;0.001</w:t>
            </w:r>
          </w:p>
        </w:tc>
      </w:tr>
      <w:tr w:rsidR="009A4FAB" w:rsidRPr="009A4FAB" w14:paraId="2A9394FF" w14:textId="77777777" w:rsidTr="00AB5AB5">
        <w:trPr>
          <w:gridAfter w:val="1"/>
          <w:wAfter w:w="14" w:type="dxa"/>
          <w:trHeight w:val="100"/>
        </w:trPr>
        <w:tc>
          <w:tcPr>
            <w:tcW w:w="3826" w:type="dxa"/>
            <w:tcBorders>
              <w:top w:val="nil"/>
              <w:left w:val="nil"/>
              <w:bottom w:val="nil"/>
              <w:right w:val="nil"/>
            </w:tcBorders>
            <w:hideMark/>
          </w:tcPr>
          <w:p w14:paraId="335F0AA7"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Weight (kg), median (range)</w:t>
            </w:r>
          </w:p>
        </w:tc>
        <w:tc>
          <w:tcPr>
            <w:tcW w:w="1255" w:type="dxa"/>
            <w:tcBorders>
              <w:top w:val="nil"/>
              <w:left w:val="nil"/>
              <w:bottom w:val="nil"/>
              <w:right w:val="nil"/>
            </w:tcBorders>
            <w:hideMark/>
          </w:tcPr>
          <w:p w14:paraId="60288773"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75.0</w:t>
            </w:r>
          </w:p>
        </w:tc>
        <w:tc>
          <w:tcPr>
            <w:tcW w:w="1431" w:type="dxa"/>
            <w:tcBorders>
              <w:top w:val="nil"/>
              <w:left w:val="nil"/>
              <w:bottom w:val="nil"/>
              <w:right w:val="nil"/>
            </w:tcBorders>
            <w:hideMark/>
          </w:tcPr>
          <w:p w14:paraId="0DE13E5E"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45.0-133.0</w:t>
            </w:r>
          </w:p>
        </w:tc>
        <w:tc>
          <w:tcPr>
            <w:tcW w:w="1429" w:type="dxa"/>
            <w:tcBorders>
              <w:top w:val="nil"/>
              <w:left w:val="nil"/>
              <w:bottom w:val="nil"/>
              <w:right w:val="nil"/>
            </w:tcBorders>
            <w:hideMark/>
          </w:tcPr>
          <w:p w14:paraId="15224BBB"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65.3</w:t>
            </w:r>
          </w:p>
        </w:tc>
        <w:tc>
          <w:tcPr>
            <w:tcW w:w="1429" w:type="dxa"/>
            <w:tcBorders>
              <w:top w:val="nil"/>
              <w:left w:val="nil"/>
              <w:bottom w:val="nil"/>
              <w:right w:val="nil"/>
            </w:tcBorders>
            <w:hideMark/>
          </w:tcPr>
          <w:p w14:paraId="5FC00585"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45.0-123.8</w:t>
            </w:r>
          </w:p>
        </w:tc>
        <w:tc>
          <w:tcPr>
            <w:tcW w:w="1429" w:type="dxa"/>
            <w:tcBorders>
              <w:top w:val="nil"/>
              <w:left w:val="nil"/>
              <w:bottom w:val="nil"/>
              <w:right w:val="nil"/>
            </w:tcBorders>
            <w:hideMark/>
          </w:tcPr>
          <w:p w14:paraId="64A0AF2F"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82.0</w:t>
            </w:r>
          </w:p>
        </w:tc>
        <w:tc>
          <w:tcPr>
            <w:tcW w:w="1429" w:type="dxa"/>
            <w:tcBorders>
              <w:top w:val="nil"/>
              <w:left w:val="nil"/>
              <w:bottom w:val="nil"/>
              <w:right w:val="nil"/>
            </w:tcBorders>
            <w:hideMark/>
          </w:tcPr>
          <w:p w14:paraId="036D7F2F"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51.7-133.0</w:t>
            </w:r>
          </w:p>
        </w:tc>
        <w:tc>
          <w:tcPr>
            <w:tcW w:w="1169" w:type="dxa"/>
            <w:tcBorders>
              <w:top w:val="nil"/>
              <w:left w:val="nil"/>
              <w:bottom w:val="nil"/>
              <w:right w:val="nil"/>
            </w:tcBorders>
            <w:hideMark/>
          </w:tcPr>
          <w:p w14:paraId="1AB4F123" w14:textId="77777777" w:rsidR="0012427D" w:rsidRPr="009A4FAB" w:rsidRDefault="0012427D" w:rsidP="0012427D">
            <w:pPr>
              <w:widowControl w:val="0"/>
              <w:autoSpaceDE w:val="0"/>
              <w:autoSpaceDN w:val="0"/>
              <w:adjustRightInd w:val="0"/>
              <w:spacing w:line="360" w:lineRule="auto"/>
              <w:rPr>
                <w:rFonts w:ascii="Times New Roman" w:hAnsi="Times New Roman"/>
                <w:b/>
                <w:bCs/>
                <w:color w:val="000000" w:themeColor="text1"/>
                <w:sz w:val="22"/>
                <w:szCs w:val="22"/>
              </w:rPr>
            </w:pPr>
            <w:r w:rsidRPr="009A4FAB">
              <w:rPr>
                <w:rFonts w:ascii="Times New Roman" w:hAnsi="Times New Roman"/>
                <w:b/>
                <w:bCs/>
                <w:color w:val="000000" w:themeColor="text1"/>
                <w:sz w:val="22"/>
                <w:szCs w:val="22"/>
              </w:rPr>
              <w:t>&lt;0.001</w:t>
            </w:r>
          </w:p>
        </w:tc>
      </w:tr>
      <w:tr w:rsidR="009A4FAB" w:rsidRPr="009A4FAB" w14:paraId="135CF5F3" w14:textId="77777777" w:rsidTr="00AB5AB5">
        <w:trPr>
          <w:gridAfter w:val="1"/>
          <w:wAfter w:w="14" w:type="dxa"/>
          <w:trHeight w:val="100"/>
        </w:trPr>
        <w:tc>
          <w:tcPr>
            <w:tcW w:w="3826" w:type="dxa"/>
            <w:tcBorders>
              <w:top w:val="nil"/>
              <w:left w:val="nil"/>
              <w:bottom w:val="nil"/>
              <w:right w:val="nil"/>
            </w:tcBorders>
            <w:hideMark/>
          </w:tcPr>
          <w:p w14:paraId="7AC7C6D6"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BMI (kg/m</w:t>
            </w:r>
            <w:r w:rsidRPr="009A4FAB">
              <w:rPr>
                <w:rFonts w:ascii="Times New Roman" w:hAnsi="Times New Roman"/>
                <w:color w:val="000000" w:themeColor="text1"/>
                <w:sz w:val="22"/>
                <w:szCs w:val="22"/>
                <w:vertAlign w:val="superscript"/>
              </w:rPr>
              <w:t>2</w:t>
            </w:r>
            <w:r w:rsidRPr="009A4FAB">
              <w:rPr>
                <w:rFonts w:ascii="Times New Roman" w:hAnsi="Times New Roman"/>
                <w:color w:val="000000" w:themeColor="text1"/>
                <w:sz w:val="22"/>
                <w:szCs w:val="22"/>
              </w:rPr>
              <w:t>), median (range)</w:t>
            </w:r>
          </w:p>
        </w:tc>
        <w:tc>
          <w:tcPr>
            <w:tcW w:w="1255" w:type="dxa"/>
            <w:tcBorders>
              <w:top w:val="nil"/>
              <w:left w:val="nil"/>
              <w:bottom w:val="nil"/>
              <w:right w:val="nil"/>
            </w:tcBorders>
            <w:hideMark/>
          </w:tcPr>
          <w:p w14:paraId="5D23F587"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24.3</w:t>
            </w:r>
          </w:p>
        </w:tc>
        <w:tc>
          <w:tcPr>
            <w:tcW w:w="1431" w:type="dxa"/>
            <w:tcBorders>
              <w:top w:val="nil"/>
              <w:left w:val="nil"/>
              <w:bottom w:val="nil"/>
              <w:right w:val="nil"/>
            </w:tcBorders>
            <w:hideMark/>
          </w:tcPr>
          <w:p w14:paraId="478F2A90"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18.0-43.9</w:t>
            </w:r>
          </w:p>
        </w:tc>
        <w:tc>
          <w:tcPr>
            <w:tcW w:w="1429" w:type="dxa"/>
            <w:tcBorders>
              <w:top w:val="nil"/>
              <w:left w:val="nil"/>
              <w:bottom w:val="nil"/>
              <w:right w:val="nil"/>
            </w:tcBorders>
            <w:hideMark/>
          </w:tcPr>
          <w:p w14:paraId="5A60AD14"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22.8</w:t>
            </w:r>
          </w:p>
        </w:tc>
        <w:tc>
          <w:tcPr>
            <w:tcW w:w="1429" w:type="dxa"/>
            <w:tcBorders>
              <w:top w:val="nil"/>
              <w:left w:val="nil"/>
              <w:bottom w:val="nil"/>
              <w:right w:val="nil"/>
            </w:tcBorders>
            <w:hideMark/>
          </w:tcPr>
          <w:p w14:paraId="49DCBF24"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18.0-43.9</w:t>
            </w:r>
          </w:p>
        </w:tc>
        <w:tc>
          <w:tcPr>
            <w:tcW w:w="1429" w:type="dxa"/>
            <w:tcBorders>
              <w:top w:val="nil"/>
              <w:left w:val="nil"/>
              <w:bottom w:val="nil"/>
              <w:right w:val="nil"/>
            </w:tcBorders>
            <w:hideMark/>
          </w:tcPr>
          <w:p w14:paraId="349DB0FB"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24.9</w:t>
            </w:r>
          </w:p>
        </w:tc>
        <w:tc>
          <w:tcPr>
            <w:tcW w:w="1429" w:type="dxa"/>
            <w:tcBorders>
              <w:top w:val="nil"/>
              <w:left w:val="nil"/>
              <w:bottom w:val="nil"/>
              <w:right w:val="nil"/>
            </w:tcBorders>
            <w:hideMark/>
          </w:tcPr>
          <w:p w14:paraId="209B4C0D"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 xml:space="preserve"> 18.0-38.4</w:t>
            </w:r>
          </w:p>
        </w:tc>
        <w:tc>
          <w:tcPr>
            <w:tcW w:w="1169" w:type="dxa"/>
            <w:tcBorders>
              <w:top w:val="nil"/>
              <w:left w:val="nil"/>
              <w:bottom w:val="nil"/>
              <w:right w:val="nil"/>
            </w:tcBorders>
            <w:hideMark/>
          </w:tcPr>
          <w:p w14:paraId="00C1516A" w14:textId="77777777" w:rsidR="0012427D" w:rsidRPr="009A4FAB" w:rsidRDefault="0012427D" w:rsidP="0012427D">
            <w:pPr>
              <w:widowControl w:val="0"/>
              <w:autoSpaceDE w:val="0"/>
              <w:autoSpaceDN w:val="0"/>
              <w:adjustRightInd w:val="0"/>
              <w:spacing w:line="360" w:lineRule="auto"/>
              <w:rPr>
                <w:rFonts w:ascii="Times New Roman" w:hAnsi="Times New Roman"/>
                <w:b/>
                <w:bCs/>
                <w:color w:val="000000" w:themeColor="text1"/>
                <w:sz w:val="22"/>
                <w:szCs w:val="22"/>
              </w:rPr>
            </w:pPr>
            <w:r w:rsidRPr="009A4FAB">
              <w:rPr>
                <w:rFonts w:ascii="Times New Roman" w:hAnsi="Times New Roman"/>
                <w:b/>
                <w:bCs/>
                <w:color w:val="000000" w:themeColor="text1"/>
                <w:sz w:val="22"/>
                <w:szCs w:val="22"/>
              </w:rPr>
              <w:t>&lt;0.001</w:t>
            </w:r>
          </w:p>
        </w:tc>
      </w:tr>
      <w:tr w:rsidR="009A4FAB" w:rsidRPr="009A4FAB" w14:paraId="01D0BDE0" w14:textId="77777777" w:rsidTr="00AB5AB5">
        <w:trPr>
          <w:gridAfter w:val="1"/>
          <w:wAfter w:w="14" w:type="dxa"/>
          <w:trHeight w:val="100"/>
        </w:trPr>
        <w:tc>
          <w:tcPr>
            <w:tcW w:w="3826" w:type="dxa"/>
            <w:tcBorders>
              <w:top w:val="nil"/>
              <w:left w:val="nil"/>
              <w:bottom w:val="nil"/>
              <w:right w:val="nil"/>
            </w:tcBorders>
            <w:hideMark/>
          </w:tcPr>
          <w:p w14:paraId="705425B8"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BMI during career (kg/m</w:t>
            </w:r>
            <w:r w:rsidRPr="009A4FAB">
              <w:rPr>
                <w:rFonts w:ascii="Times New Roman" w:hAnsi="Times New Roman"/>
                <w:color w:val="000000" w:themeColor="text1"/>
                <w:sz w:val="22"/>
                <w:szCs w:val="22"/>
                <w:vertAlign w:val="superscript"/>
              </w:rPr>
              <w:t>2</w:t>
            </w:r>
            <w:r w:rsidRPr="009A4FAB">
              <w:rPr>
                <w:rFonts w:ascii="Times New Roman" w:hAnsi="Times New Roman"/>
                <w:color w:val="000000" w:themeColor="text1"/>
                <w:sz w:val="22"/>
                <w:szCs w:val="22"/>
              </w:rPr>
              <w:t>), median (range)</w:t>
            </w:r>
          </w:p>
        </w:tc>
        <w:tc>
          <w:tcPr>
            <w:tcW w:w="1255" w:type="dxa"/>
            <w:tcBorders>
              <w:top w:val="nil"/>
              <w:left w:val="nil"/>
              <w:bottom w:val="nil"/>
              <w:right w:val="nil"/>
            </w:tcBorders>
            <w:hideMark/>
          </w:tcPr>
          <w:p w14:paraId="67380342"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22.7</w:t>
            </w:r>
          </w:p>
        </w:tc>
        <w:tc>
          <w:tcPr>
            <w:tcW w:w="1431" w:type="dxa"/>
            <w:tcBorders>
              <w:top w:val="nil"/>
              <w:left w:val="nil"/>
              <w:bottom w:val="nil"/>
              <w:right w:val="nil"/>
            </w:tcBorders>
            <w:hideMark/>
          </w:tcPr>
          <w:p w14:paraId="6AE1E380"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16.0-34.9</w:t>
            </w:r>
          </w:p>
        </w:tc>
        <w:tc>
          <w:tcPr>
            <w:tcW w:w="1429" w:type="dxa"/>
            <w:tcBorders>
              <w:top w:val="nil"/>
              <w:left w:val="nil"/>
              <w:bottom w:val="nil"/>
              <w:right w:val="nil"/>
            </w:tcBorders>
            <w:hideMark/>
          </w:tcPr>
          <w:p w14:paraId="76E18E3F"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21.3</w:t>
            </w:r>
          </w:p>
        </w:tc>
        <w:tc>
          <w:tcPr>
            <w:tcW w:w="1429" w:type="dxa"/>
            <w:tcBorders>
              <w:top w:val="nil"/>
              <w:left w:val="nil"/>
              <w:bottom w:val="nil"/>
              <w:right w:val="nil"/>
            </w:tcBorders>
            <w:hideMark/>
          </w:tcPr>
          <w:p w14:paraId="461B04B1"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16.0-32.9</w:t>
            </w:r>
          </w:p>
        </w:tc>
        <w:tc>
          <w:tcPr>
            <w:tcW w:w="1429" w:type="dxa"/>
            <w:tcBorders>
              <w:top w:val="nil"/>
              <w:left w:val="nil"/>
              <w:bottom w:val="nil"/>
              <w:right w:val="nil"/>
            </w:tcBorders>
            <w:hideMark/>
          </w:tcPr>
          <w:p w14:paraId="158FD33E"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23.4</w:t>
            </w:r>
          </w:p>
        </w:tc>
        <w:tc>
          <w:tcPr>
            <w:tcW w:w="1429" w:type="dxa"/>
            <w:tcBorders>
              <w:top w:val="nil"/>
              <w:left w:val="nil"/>
              <w:bottom w:val="nil"/>
              <w:right w:val="nil"/>
            </w:tcBorders>
            <w:hideMark/>
          </w:tcPr>
          <w:p w14:paraId="49A7BC4D"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16.8-34.9</w:t>
            </w:r>
          </w:p>
        </w:tc>
        <w:tc>
          <w:tcPr>
            <w:tcW w:w="1169" w:type="dxa"/>
            <w:tcBorders>
              <w:top w:val="nil"/>
              <w:left w:val="nil"/>
              <w:bottom w:val="nil"/>
              <w:right w:val="nil"/>
            </w:tcBorders>
            <w:hideMark/>
          </w:tcPr>
          <w:p w14:paraId="42EFBA74" w14:textId="77777777" w:rsidR="0012427D" w:rsidRPr="009A4FAB" w:rsidRDefault="0012427D" w:rsidP="0012427D">
            <w:pPr>
              <w:widowControl w:val="0"/>
              <w:autoSpaceDE w:val="0"/>
              <w:autoSpaceDN w:val="0"/>
              <w:adjustRightInd w:val="0"/>
              <w:spacing w:line="360" w:lineRule="auto"/>
              <w:rPr>
                <w:rFonts w:ascii="Times New Roman" w:hAnsi="Times New Roman"/>
                <w:b/>
                <w:bCs/>
                <w:color w:val="000000" w:themeColor="text1"/>
                <w:sz w:val="22"/>
                <w:szCs w:val="22"/>
              </w:rPr>
            </w:pPr>
            <w:r w:rsidRPr="009A4FAB">
              <w:rPr>
                <w:rFonts w:ascii="Times New Roman" w:hAnsi="Times New Roman"/>
                <w:b/>
                <w:bCs/>
                <w:color w:val="000000" w:themeColor="text1"/>
                <w:sz w:val="22"/>
                <w:szCs w:val="22"/>
              </w:rPr>
              <w:t>&lt;0.001</w:t>
            </w:r>
          </w:p>
        </w:tc>
      </w:tr>
      <w:tr w:rsidR="009A4FAB" w:rsidRPr="009A4FAB" w14:paraId="40B2A571" w14:textId="77777777" w:rsidTr="00AB5AB5">
        <w:trPr>
          <w:gridAfter w:val="1"/>
          <w:wAfter w:w="14" w:type="dxa"/>
          <w:trHeight w:val="100"/>
        </w:trPr>
        <w:tc>
          <w:tcPr>
            <w:tcW w:w="3826" w:type="dxa"/>
            <w:tcBorders>
              <w:top w:val="nil"/>
              <w:left w:val="nil"/>
              <w:bottom w:val="nil"/>
              <w:right w:val="nil"/>
            </w:tcBorders>
          </w:tcPr>
          <w:p w14:paraId="4010E3A9" w14:textId="77777777" w:rsidR="0012427D" w:rsidRPr="009A4FAB" w:rsidRDefault="0012427D" w:rsidP="0012427D">
            <w:pPr>
              <w:widowControl w:val="0"/>
              <w:autoSpaceDE w:val="0"/>
              <w:autoSpaceDN w:val="0"/>
              <w:adjustRightInd w:val="0"/>
              <w:spacing w:line="360" w:lineRule="auto"/>
              <w:rPr>
                <w:rFonts w:ascii="Times New Roman" w:hAnsi="Times New Roman"/>
                <w:strike/>
                <w:color w:val="000000" w:themeColor="text1"/>
                <w:sz w:val="22"/>
                <w:szCs w:val="22"/>
              </w:rPr>
            </w:pPr>
          </w:p>
        </w:tc>
        <w:tc>
          <w:tcPr>
            <w:tcW w:w="1255" w:type="dxa"/>
            <w:tcBorders>
              <w:top w:val="nil"/>
              <w:left w:val="nil"/>
              <w:bottom w:val="nil"/>
              <w:right w:val="nil"/>
            </w:tcBorders>
          </w:tcPr>
          <w:p w14:paraId="62FAA775" w14:textId="77777777" w:rsidR="0012427D" w:rsidRPr="009A4FAB" w:rsidRDefault="0012427D" w:rsidP="0012427D">
            <w:pPr>
              <w:widowControl w:val="0"/>
              <w:autoSpaceDE w:val="0"/>
              <w:autoSpaceDN w:val="0"/>
              <w:adjustRightInd w:val="0"/>
              <w:spacing w:line="360" w:lineRule="auto"/>
              <w:rPr>
                <w:rFonts w:ascii="Times New Roman" w:hAnsi="Times New Roman"/>
                <w:strike/>
                <w:color w:val="000000" w:themeColor="text1"/>
                <w:sz w:val="22"/>
                <w:szCs w:val="22"/>
              </w:rPr>
            </w:pPr>
          </w:p>
        </w:tc>
        <w:tc>
          <w:tcPr>
            <w:tcW w:w="1431" w:type="dxa"/>
            <w:tcBorders>
              <w:top w:val="nil"/>
              <w:left w:val="nil"/>
              <w:bottom w:val="nil"/>
              <w:right w:val="nil"/>
            </w:tcBorders>
          </w:tcPr>
          <w:p w14:paraId="44F714E9" w14:textId="77777777" w:rsidR="0012427D" w:rsidRPr="009A4FAB" w:rsidRDefault="0012427D" w:rsidP="0012427D">
            <w:pPr>
              <w:widowControl w:val="0"/>
              <w:autoSpaceDE w:val="0"/>
              <w:autoSpaceDN w:val="0"/>
              <w:adjustRightInd w:val="0"/>
              <w:spacing w:line="360" w:lineRule="auto"/>
              <w:rPr>
                <w:rFonts w:ascii="Times New Roman" w:hAnsi="Times New Roman"/>
                <w:strike/>
                <w:color w:val="000000" w:themeColor="text1"/>
                <w:sz w:val="22"/>
                <w:szCs w:val="22"/>
              </w:rPr>
            </w:pPr>
          </w:p>
        </w:tc>
        <w:tc>
          <w:tcPr>
            <w:tcW w:w="1429" w:type="dxa"/>
            <w:tcBorders>
              <w:top w:val="nil"/>
              <w:left w:val="nil"/>
              <w:bottom w:val="nil"/>
              <w:right w:val="nil"/>
            </w:tcBorders>
          </w:tcPr>
          <w:p w14:paraId="55EA0D94" w14:textId="77777777" w:rsidR="0012427D" w:rsidRPr="009A4FAB" w:rsidRDefault="0012427D" w:rsidP="0012427D">
            <w:pPr>
              <w:widowControl w:val="0"/>
              <w:autoSpaceDE w:val="0"/>
              <w:autoSpaceDN w:val="0"/>
              <w:adjustRightInd w:val="0"/>
              <w:spacing w:line="360" w:lineRule="auto"/>
              <w:rPr>
                <w:rFonts w:ascii="Times New Roman" w:hAnsi="Times New Roman"/>
                <w:strike/>
                <w:color w:val="000000" w:themeColor="text1"/>
                <w:sz w:val="22"/>
                <w:szCs w:val="22"/>
              </w:rPr>
            </w:pPr>
          </w:p>
        </w:tc>
        <w:tc>
          <w:tcPr>
            <w:tcW w:w="1429" w:type="dxa"/>
            <w:tcBorders>
              <w:top w:val="nil"/>
              <w:left w:val="nil"/>
              <w:bottom w:val="nil"/>
              <w:right w:val="nil"/>
            </w:tcBorders>
          </w:tcPr>
          <w:p w14:paraId="0F17C5EE" w14:textId="77777777" w:rsidR="0012427D" w:rsidRPr="009A4FAB" w:rsidRDefault="0012427D" w:rsidP="0012427D">
            <w:pPr>
              <w:widowControl w:val="0"/>
              <w:autoSpaceDE w:val="0"/>
              <w:autoSpaceDN w:val="0"/>
              <w:adjustRightInd w:val="0"/>
              <w:spacing w:line="360" w:lineRule="auto"/>
              <w:rPr>
                <w:rFonts w:ascii="Times New Roman" w:hAnsi="Times New Roman"/>
                <w:strike/>
                <w:color w:val="000000" w:themeColor="text1"/>
                <w:sz w:val="22"/>
                <w:szCs w:val="22"/>
              </w:rPr>
            </w:pPr>
          </w:p>
        </w:tc>
        <w:tc>
          <w:tcPr>
            <w:tcW w:w="1429" w:type="dxa"/>
            <w:tcBorders>
              <w:top w:val="nil"/>
              <w:left w:val="nil"/>
              <w:bottom w:val="nil"/>
              <w:right w:val="nil"/>
            </w:tcBorders>
          </w:tcPr>
          <w:p w14:paraId="1E10E2CD" w14:textId="77777777" w:rsidR="0012427D" w:rsidRPr="009A4FAB" w:rsidRDefault="0012427D" w:rsidP="0012427D">
            <w:pPr>
              <w:widowControl w:val="0"/>
              <w:autoSpaceDE w:val="0"/>
              <w:autoSpaceDN w:val="0"/>
              <w:adjustRightInd w:val="0"/>
              <w:spacing w:line="360" w:lineRule="auto"/>
              <w:rPr>
                <w:rFonts w:ascii="Times New Roman" w:hAnsi="Times New Roman"/>
                <w:strike/>
                <w:color w:val="000000" w:themeColor="text1"/>
                <w:sz w:val="22"/>
                <w:szCs w:val="22"/>
              </w:rPr>
            </w:pPr>
          </w:p>
        </w:tc>
        <w:tc>
          <w:tcPr>
            <w:tcW w:w="1429" w:type="dxa"/>
            <w:tcBorders>
              <w:top w:val="nil"/>
              <w:left w:val="nil"/>
              <w:bottom w:val="nil"/>
              <w:right w:val="nil"/>
            </w:tcBorders>
          </w:tcPr>
          <w:p w14:paraId="08D993D0" w14:textId="77777777" w:rsidR="0012427D" w:rsidRPr="009A4FAB" w:rsidRDefault="0012427D" w:rsidP="0012427D">
            <w:pPr>
              <w:widowControl w:val="0"/>
              <w:autoSpaceDE w:val="0"/>
              <w:autoSpaceDN w:val="0"/>
              <w:adjustRightInd w:val="0"/>
              <w:spacing w:line="360" w:lineRule="auto"/>
              <w:rPr>
                <w:rFonts w:ascii="Times New Roman" w:hAnsi="Times New Roman"/>
                <w:strike/>
                <w:color w:val="000000" w:themeColor="text1"/>
                <w:sz w:val="22"/>
                <w:szCs w:val="22"/>
              </w:rPr>
            </w:pPr>
          </w:p>
        </w:tc>
        <w:tc>
          <w:tcPr>
            <w:tcW w:w="1169" w:type="dxa"/>
            <w:tcBorders>
              <w:top w:val="nil"/>
              <w:left w:val="nil"/>
              <w:bottom w:val="nil"/>
              <w:right w:val="nil"/>
            </w:tcBorders>
          </w:tcPr>
          <w:p w14:paraId="1E085507" w14:textId="77777777" w:rsidR="0012427D" w:rsidRPr="009A4FAB" w:rsidRDefault="0012427D" w:rsidP="0012427D">
            <w:pPr>
              <w:widowControl w:val="0"/>
              <w:autoSpaceDE w:val="0"/>
              <w:autoSpaceDN w:val="0"/>
              <w:adjustRightInd w:val="0"/>
              <w:spacing w:line="360" w:lineRule="auto"/>
              <w:rPr>
                <w:rFonts w:ascii="Times New Roman" w:hAnsi="Times New Roman"/>
                <w:b/>
                <w:bCs/>
                <w:strike/>
                <w:color w:val="000000" w:themeColor="text1"/>
                <w:sz w:val="22"/>
                <w:szCs w:val="22"/>
              </w:rPr>
            </w:pPr>
          </w:p>
        </w:tc>
      </w:tr>
      <w:tr w:rsidR="009A4FAB" w:rsidRPr="009A4FAB" w14:paraId="67DD5C5E" w14:textId="77777777" w:rsidTr="00AB5AB5">
        <w:trPr>
          <w:gridAfter w:val="1"/>
          <w:wAfter w:w="14" w:type="dxa"/>
          <w:trHeight w:val="100"/>
        </w:trPr>
        <w:tc>
          <w:tcPr>
            <w:tcW w:w="3826" w:type="dxa"/>
            <w:tcBorders>
              <w:top w:val="nil"/>
              <w:left w:val="nil"/>
              <w:bottom w:val="nil"/>
              <w:right w:val="nil"/>
            </w:tcBorders>
            <w:hideMark/>
          </w:tcPr>
          <w:p w14:paraId="2081A6DC"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Ethnicity (White British), n (%)</w:t>
            </w:r>
          </w:p>
        </w:tc>
        <w:tc>
          <w:tcPr>
            <w:tcW w:w="1255" w:type="dxa"/>
            <w:tcBorders>
              <w:top w:val="nil"/>
              <w:left w:val="nil"/>
              <w:bottom w:val="nil"/>
              <w:right w:val="nil"/>
            </w:tcBorders>
            <w:hideMark/>
          </w:tcPr>
          <w:p w14:paraId="28EB125A"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588</w:t>
            </w:r>
          </w:p>
        </w:tc>
        <w:tc>
          <w:tcPr>
            <w:tcW w:w="1431" w:type="dxa"/>
            <w:tcBorders>
              <w:top w:val="nil"/>
              <w:left w:val="nil"/>
              <w:bottom w:val="nil"/>
              <w:right w:val="nil"/>
            </w:tcBorders>
            <w:hideMark/>
          </w:tcPr>
          <w:p w14:paraId="5D2BC4A9"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95.9</w:t>
            </w:r>
          </w:p>
        </w:tc>
        <w:tc>
          <w:tcPr>
            <w:tcW w:w="1429" w:type="dxa"/>
            <w:tcBorders>
              <w:top w:val="nil"/>
              <w:left w:val="nil"/>
              <w:bottom w:val="nil"/>
              <w:right w:val="nil"/>
            </w:tcBorders>
          </w:tcPr>
          <w:p w14:paraId="7324698C"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240</w:t>
            </w:r>
          </w:p>
        </w:tc>
        <w:tc>
          <w:tcPr>
            <w:tcW w:w="1429" w:type="dxa"/>
            <w:tcBorders>
              <w:top w:val="nil"/>
              <w:left w:val="nil"/>
              <w:bottom w:val="nil"/>
              <w:right w:val="nil"/>
            </w:tcBorders>
            <w:hideMark/>
          </w:tcPr>
          <w:p w14:paraId="56F21E1D"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95.6</w:t>
            </w:r>
          </w:p>
        </w:tc>
        <w:tc>
          <w:tcPr>
            <w:tcW w:w="1429" w:type="dxa"/>
            <w:tcBorders>
              <w:top w:val="nil"/>
              <w:left w:val="nil"/>
              <w:bottom w:val="nil"/>
              <w:right w:val="nil"/>
            </w:tcBorders>
          </w:tcPr>
          <w:p w14:paraId="217A1AED"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348</w:t>
            </w:r>
          </w:p>
        </w:tc>
        <w:tc>
          <w:tcPr>
            <w:tcW w:w="1429" w:type="dxa"/>
            <w:tcBorders>
              <w:top w:val="nil"/>
              <w:left w:val="nil"/>
              <w:bottom w:val="nil"/>
              <w:right w:val="nil"/>
            </w:tcBorders>
            <w:hideMark/>
          </w:tcPr>
          <w:p w14:paraId="6467A826"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96.1</w:t>
            </w:r>
          </w:p>
        </w:tc>
        <w:tc>
          <w:tcPr>
            <w:tcW w:w="1169" w:type="dxa"/>
            <w:tcBorders>
              <w:top w:val="nil"/>
              <w:left w:val="nil"/>
              <w:bottom w:val="nil"/>
              <w:right w:val="nil"/>
            </w:tcBorders>
            <w:hideMark/>
          </w:tcPr>
          <w:p w14:paraId="77AAA087" w14:textId="0D145933"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0.</w:t>
            </w:r>
            <w:r w:rsidR="00603824" w:rsidRPr="009A4FAB">
              <w:rPr>
                <w:rFonts w:ascii="Times New Roman" w:hAnsi="Times New Roman"/>
                <w:color w:val="000000" w:themeColor="text1"/>
                <w:sz w:val="22"/>
                <w:szCs w:val="22"/>
              </w:rPr>
              <w:t>751</w:t>
            </w:r>
          </w:p>
        </w:tc>
      </w:tr>
      <w:tr w:rsidR="009A4FAB" w:rsidRPr="009A4FAB" w14:paraId="7FF11129" w14:textId="77777777" w:rsidTr="00AB5AB5">
        <w:trPr>
          <w:gridAfter w:val="1"/>
          <w:wAfter w:w="14" w:type="dxa"/>
          <w:trHeight w:val="98"/>
        </w:trPr>
        <w:tc>
          <w:tcPr>
            <w:tcW w:w="3826" w:type="dxa"/>
            <w:tcBorders>
              <w:top w:val="nil"/>
              <w:left w:val="nil"/>
              <w:bottom w:val="nil"/>
              <w:right w:val="nil"/>
            </w:tcBorders>
            <w:hideMark/>
          </w:tcPr>
          <w:p w14:paraId="322D6FC5"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Sport exposure:</w:t>
            </w:r>
          </w:p>
        </w:tc>
        <w:tc>
          <w:tcPr>
            <w:tcW w:w="1255" w:type="dxa"/>
            <w:tcBorders>
              <w:top w:val="nil"/>
              <w:left w:val="nil"/>
              <w:bottom w:val="nil"/>
              <w:right w:val="nil"/>
            </w:tcBorders>
          </w:tcPr>
          <w:p w14:paraId="1425A871"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31" w:type="dxa"/>
            <w:tcBorders>
              <w:top w:val="nil"/>
              <w:left w:val="nil"/>
              <w:bottom w:val="nil"/>
              <w:right w:val="nil"/>
            </w:tcBorders>
          </w:tcPr>
          <w:p w14:paraId="03BBC2A8" w14:textId="77777777" w:rsidR="0012427D" w:rsidRPr="009A4FAB" w:rsidRDefault="0012427D" w:rsidP="0012427D">
            <w:pPr>
              <w:widowControl w:val="0"/>
              <w:autoSpaceDE w:val="0"/>
              <w:autoSpaceDN w:val="0"/>
              <w:adjustRightInd w:val="0"/>
              <w:spacing w:line="360" w:lineRule="auto"/>
              <w:jc w:val="center"/>
              <w:rPr>
                <w:rFonts w:ascii="Times New Roman" w:hAnsi="Times New Roman"/>
                <w:color w:val="000000" w:themeColor="text1"/>
                <w:sz w:val="22"/>
                <w:szCs w:val="22"/>
              </w:rPr>
            </w:pPr>
          </w:p>
        </w:tc>
        <w:tc>
          <w:tcPr>
            <w:tcW w:w="1429" w:type="dxa"/>
            <w:tcBorders>
              <w:top w:val="nil"/>
              <w:left w:val="nil"/>
              <w:bottom w:val="nil"/>
              <w:right w:val="nil"/>
            </w:tcBorders>
          </w:tcPr>
          <w:p w14:paraId="55276512"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29" w:type="dxa"/>
            <w:tcBorders>
              <w:top w:val="nil"/>
              <w:left w:val="nil"/>
              <w:bottom w:val="nil"/>
              <w:right w:val="nil"/>
            </w:tcBorders>
          </w:tcPr>
          <w:p w14:paraId="635D4CA9"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29" w:type="dxa"/>
            <w:tcBorders>
              <w:top w:val="nil"/>
              <w:left w:val="nil"/>
              <w:bottom w:val="nil"/>
              <w:right w:val="nil"/>
            </w:tcBorders>
          </w:tcPr>
          <w:p w14:paraId="0D52E988"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29" w:type="dxa"/>
            <w:tcBorders>
              <w:top w:val="nil"/>
              <w:left w:val="nil"/>
              <w:bottom w:val="nil"/>
              <w:right w:val="nil"/>
            </w:tcBorders>
          </w:tcPr>
          <w:p w14:paraId="40D5BCBB"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169" w:type="dxa"/>
            <w:tcBorders>
              <w:top w:val="nil"/>
              <w:left w:val="nil"/>
              <w:bottom w:val="nil"/>
              <w:right w:val="nil"/>
            </w:tcBorders>
          </w:tcPr>
          <w:p w14:paraId="62B61FDB"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r>
      <w:tr w:rsidR="009A4FAB" w:rsidRPr="009A4FAB" w14:paraId="77F9ACCE" w14:textId="77777777" w:rsidTr="00AB5AB5">
        <w:trPr>
          <w:gridAfter w:val="1"/>
          <w:wAfter w:w="14" w:type="dxa"/>
          <w:trHeight w:val="100"/>
        </w:trPr>
        <w:tc>
          <w:tcPr>
            <w:tcW w:w="3826" w:type="dxa"/>
            <w:tcBorders>
              <w:top w:val="nil"/>
              <w:left w:val="nil"/>
              <w:bottom w:val="nil"/>
              <w:right w:val="nil"/>
            </w:tcBorders>
            <w:hideMark/>
          </w:tcPr>
          <w:p w14:paraId="5E2C54B8"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Athletes by summer Olympic sport, n (%)</w:t>
            </w:r>
          </w:p>
        </w:tc>
        <w:tc>
          <w:tcPr>
            <w:tcW w:w="1255" w:type="dxa"/>
            <w:tcBorders>
              <w:top w:val="nil"/>
              <w:left w:val="nil"/>
              <w:bottom w:val="nil"/>
              <w:right w:val="nil"/>
            </w:tcBorders>
            <w:hideMark/>
          </w:tcPr>
          <w:p w14:paraId="65BAF660"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548</w:t>
            </w:r>
          </w:p>
        </w:tc>
        <w:tc>
          <w:tcPr>
            <w:tcW w:w="1431" w:type="dxa"/>
            <w:tcBorders>
              <w:top w:val="nil"/>
              <w:left w:val="nil"/>
              <w:bottom w:val="nil"/>
              <w:right w:val="nil"/>
            </w:tcBorders>
            <w:hideMark/>
          </w:tcPr>
          <w:p w14:paraId="508AB16B"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89.4</w:t>
            </w:r>
          </w:p>
        </w:tc>
        <w:tc>
          <w:tcPr>
            <w:tcW w:w="1429" w:type="dxa"/>
            <w:tcBorders>
              <w:top w:val="nil"/>
              <w:left w:val="nil"/>
              <w:bottom w:val="nil"/>
              <w:right w:val="nil"/>
            </w:tcBorders>
          </w:tcPr>
          <w:p w14:paraId="73C528F7"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228</w:t>
            </w:r>
          </w:p>
        </w:tc>
        <w:tc>
          <w:tcPr>
            <w:tcW w:w="1429" w:type="dxa"/>
            <w:tcBorders>
              <w:top w:val="nil"/>
              <w:left w:val="nil"/>
              <w:bottom w:val="nil"/>
              <w:right w:val="nil"/>
            </w:tcBorders>
            <w:hideMark/>
          </w:tcPr>
          <w:p w14:paraId="6DC1766D"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90.8</w:t>
            </w:r>
          </w:p>
        </w:tc>
        <w:tc>
          <w:tcPr>
            <w:tcW w:w="1429" w:type="dxa"/>
            <w:tcBorders>
              <w:top w:val="nil"/>
              <w:left w:val="nil"/>
              <w:bottom w:val="nil"/>
              <w:right w:val="nil"/>
            </w:tcBorders>
          </w:tcPr>
          <w:p w14:paraId="31E9269D"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320</w:t>
            </w:r>
          </w:p>
        </w:tc>
        <w:tc>
          <w:tcPr>
            <w:tcW w:w="1429" w:type="dxa"/>
            <w:tcBorders>
              <w:top w:val="nil"/>
              <w:left w:val="nil"/>
              <w:bottom w:val="nil"/>
              <w:right w:val="nil"/>
            </w:tcBorders>
            <w:hideMark/>
          </w:tcPr>
          <w:p w14:paraId="587B27FB"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88.4</w:t>
            </w:r>
          </w:p>
        </w:tc>
        <w:tc>
          <w:tcPr>
            <w:tcW w:w="1169" w:type="dxa"/>
            <w:tcBorders>
              <w:top w:val="nil"/>
              <w:left w:val="nil"/>
              <w:bottom w:val="nil"/>
              <w:right w:val="nil"/>
            </w:tcBorders>
            <w:hideMark/>
          </w:tcPr>
          <w:p w14:paraId="07B9A4F3" w14:textId="7E40FB30"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0.</w:t>
            </w:r>
            <w:r w:rsidR="00603824" w:rsidRPr="009A4FAB">
              <w:rPr>
                <w:rFonts w:ascii="Times New Roman" w:hAnsi="Times New Roman"/>
                <w:color w:val="000000" w:themeColor="text1"/>
                <w:sz w:val="22"/>
                <w:szCs w:val="22"/>
              </w:rPr>
              <w:t>335</w:t>
            </w:r>
          </w:p>
        </w:tc>
      </w:tr>
      <w:tr w:rsidR="009A4FAB" w:rsidRPr="009A4FAB" w14:paraId="3995D7E8" w14:textId="77777777" w:rsidTr="00AB5AB5">
        <w:trPr>
          <w:gridAfter w:val="1"/>
          <w:wAfter w:w="14" w:type="dxa"/>
          <w:trHeight w:val="100"/>
        </w:trPr>
        <w:tc>
          <w:tcPr>
            <w:tcW w:w="3826" w:type="dxa"/>
            <w:tcBorders>
              <w:top w:val="nil"/>
              <w:left w:val="nil"/>
              <w:bottom w:val="nil"/>
              <w:right w:val="nil"/>
            </w:tcBorders>
            <w:hideMark/>
          </w:tcPr>
          <w:p w14:paraId="40675352"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Number of national / international years doing Olympic sport, median (range)</w:t>
            </w:r>
          </w:p>
        </w:tc>
        <w:tc>
          <w:tcPr>
            <w:tcW w:w="1255" w:type="dxa"/>
            <w:tcBorders>
              <w:top w:val="nil"/>
              <w:left w:val="nil"/>
              <w:bottom w:val="nil"/>
              <w:right w:val="nil"/>
            </w:tcBorders>
            <w:hideMark/>
          </w:tcPr>
          <w:p w14:paraId="56F44DA0"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9</w:t>
            </w:r>
          </w:p>
        </w:tc>
        <w:tc>
          <w:tcPr>
            <w:tcW w:w="1431" w:type="dxa"/>
            <w:tcBorders>
              <w:top w:val="nil"/>
              <w:left w:val="nil"/>
              <w:bottom w:val="nil"/>
              <w:right w:val="nil"/>
            </w:tcBorders>
            <w:hideMark/>
          </w:tcPr>
          <w:p w14:paraId="7552CEFC"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1-38</w:t>
            </w:r>
          </w:p>
        </w:tc>
        <w:tc>
          <w:tcPr>
            <w:tcW w:w="1429" w:type="dxa"/>
            <w:tcBorders>
              <w:top w:val="nil"/>
              <w:left w:val="nil"/>
              <w:bottom w:val="nil"/>
              <w:right w:val="nil"/>
            </w:tcBorders>
            <w:hideMark/>
          </w:tcPr>
          <w:p w14:paraId="04DB8DEA"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9</w:t>
            </w:r>
          </w:p>
        </w:tc>
        <w:tc>
          <w:tcPr>
            <w:tcW w:w="1429" w:type="dxa"/>
            <w:tcBorders>
              <w:top w:val="nil"/>
              <w:left w:val="nil"/>
              <w:bottom w:val="nil"/>
              <w:right w:val="nil"/>
            </w:tcBorders>
            <w:hideMark/>
          </w:tcPr>
          <w:p w14:paraId="75E000ED"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1-38</w:t>
            </w:r>
          </w:p>
        </w:tc>
        <w:tc>
          <w:tcPr>
            <w:tcW w:w="1429" w:type="dxa"/>
            <w:tcBorders>
              <w:top w:val="nil"/>
              <w:left w:val="nil"/>
              <w:bottom w:val="nil"/>
              <w:right w:val="nil"/>
            </w:tcBorders>
            <w:hideMark/>
          </w:tcPr>
          <w:p w14:paraId="2D9089C5"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8</w:t>
            </w:r>
          </w:p>
        </w:tc>
        <w:tc>
          <w:tcPr>
            <w:tcW w:w="1429" w:type="dxa"/>
            <w:tcBorders>
              <w:top w:val="nil"/>
              <w:left w:val="nil"/>
              <w:bottom w:val="nil"/>
              <w:right w:val="nil"/>
            </w:tcBorders>
            <w:hideMark/>
          </w:tcPr>
          <w:p w14:paraId="1D022635"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1-37</w:t>
            </w:r>
          </w:p>
        </w:tc>
        <w:tc>
          <w:tcPr>
            <w:tcW w:w="1169" w:type="dxa"/>
            <w:tcBorders>
              <w:top w:val="nil"/>
              <w:left w:val="nil"/>
              <w:bottom w:val="nil"/>
              <w:right w:val="nil"/>
            </w:tcBorders>
            <w:hideMark/>
          </w:tcPr>
          <w:p w14:paraId="76807859" w14:textId="77777777" w:rsidR="0012427D" w:rsidRPr="009A4FAB" w:rsidRDefault="0012427D" w:rsidP="0012427D">
            <w:pPr>
              <w:widowControl w:val="0"/>
              <w:autoSpaceDE w:val="0"/>
              <w:autoSpaceDN w:val="0"/>
              <w:adjustRightInd w:val="0"/>
              <w:spacing w:line="360" w:lineRule="auto"/>
              <w:rPr>
                <w:rFonts w:ascii="Times New Roman" w:hAnsi="Times New Roman"/>
                <w:b/>
                <w:bCs/>
                <w:color w:val="000000" w:themeColor="text1"/>
                <w:sz w:val="22"/>
                <w:szCs w:val="22"/>
              </w:rPr>
            </w:pPr>
            <w:r w:rsidRPr="009A4FAB">
              <w:rPr>
                <w:rFonts w:ascii="Times New Roman" w:hAnsi="Times New Roman"/>
                <w:b/>
                <w:bCs/>
                <w:color w:val="000000" w:themeColor="text1"/>
                <w:sz w:val="22"/>
                <w:szCs w:val="22"/>
              </w:rPr>
              <w:t>0.029</w:t>
            </w:r>
          </w:p>
        </w:tc>
      </w:tr>
      <w:tr w:rsidR="009A4FAB" w:rsidRPr="009A4FAB" w14:paraId="44A9D3F2" w14:textId="77777777" w:rsidTr="00AB5AB5">
        <w:trPr>
          <w:gridAfter w:val="1"/>
          <w:wAfter w:w="14" w:type="dxa"/>
          <w:trHeight w:val="100"/>
        </w:trPr>
        <w:tc>
          <w:tcPr>
            <w:tcW w:w="3826" w:type="dxa"/>
            <w:tcBorders>
              <w:top w:val="nil"/>
              <w:left w:val="nil"/>
              <w:bottom w:val="nil"/>
              <w:right w:val="nil"/>
            </w:tcBorders>
            <w:hideMark/>
          </w:tcPr>
          <w:p w14:paraId="4488B693"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Number of years retired from Olympic participation, median (range)</w:t>
            </w:r>
          </w:p>
        </w:tc>
        <w:tc>
          <w:tcPr>
            <w:tcW w:w="1255" w:type="dxa"/>
            <w:tcBorders>
              <w:top w:val="nil"/>
              <w:left w:val="nil"/>
              <w:bottom w:val="nil"/>
              <w:right w:val="nil"/>
            </w:tcBorders>
            <w:hideMark/>
          </w:tcPr>
          <w:p w14:paraId="4BD0F055"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34</w:t>
            </w:r>
          </w:p>
        </w:tc>
        <w:tc>
          <w:tcPr>
            <w:tcW w:w="1431" w:type="dxa"/>
            <w:tcBorders>
              <w:top w:val="nil"/>
              <w:left w:val="nil"/>
              <w:bottom w:val="nil"/>
              <w:right w:val="nil"/>
            </w:tcBorders>
            <w:hideMark/>
          </w:tcPr>
          <w:p w14:paraId="29A0B8EF"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1-75</w:t>
            </w:r>
          </w:p>
        </w:tc>
        <w:tc>
          <w:tcPr>
            <w:tcW w:w="1429" w:type="dxa"/>
            <w:tcBorders>
              <w:top w:val="nil"/>
              <w:left w:val="nil"/>
              <w:bottom w:val="nil"/>
              <w:right w:val="nil"/>
            </w:tcBorders>
            <w:hideMark/>
          </w:tcPr>
          <w:p w14:paraId="15E36A50"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27</w:t>
            </w:r>
          </w:p>
        </w:tc>
        <w:tc>
          <w:tcPr>
            <w:tcW w:w="1429" w:type="dxa"/>
            <w:tcBorders>
              <w:top w:val="nil"/>
              <w:left w:val="nil"/>
              <w:bottom w:val="nil"/>
              <w:right w:val="nil"/>
            </w:tcBorders>
            <w:hideMark/>
          </w:tcPr>
          <w:p w14:paraId="50724F76"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1-75</w:t>
            </w:r>
          </w:p>
        </w:tc>
        <w:tc>
          <w:tcPr>
            <w:tcW w:w="1429" w:type="dxa"/>
            <w:tcBorders>
              <w:top w:val="nil"/>
              <w:left w:val="nil"/>
              <w:bottom w:val="nil"/>
              <w:right w:val="nil"/>
            </w:tcBorders>
            <w:hideMark/>
          </w:tcPr>
          <w:p w14:paraId="4C5F37E2"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37</w:t>
            </w:r>
          </w:p>
        </w:tc>
        <w:tc>
          <w:tcPr>
            <w:tcW w:w="1429" w:type="dxa"/>
            <w:tcBorders>
              <w:top w:val="nil"/>
              <w:left w:val="nil"/>
              <w:bottom w:val="nil"/>
              <w:right w:val="nil"/>
            </w:tcBorders>
            <w:hideMark/>
          </w:tcPr>
          <w:p w14:paraId="7BEFC705"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1-66</w:t>
            </w:r>
          </w:p>
        </w:tc>
        <w:tc>
          <w:tcPr>
            <w:tcW w:w="1169" w:type="dxa"/>
            <w:tcBorders>
              <w:top w:val="nil"/>
              <w:left w:val="nil"/>
              <w:bottom w:val="nil"/>
              <w:right w:val="nil"/>
            </w:tcBorders>
            <w:hideMark/>
          </w:tcPr>
          <w:p w14:paraId="38B2F690"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 xml:space="preserve">0.103 </w:t>
            </w:r>
          </w:p>
        </w:tc>
      </w:tr>
      <w:tr w:rsidR="009A4FAB" w:rsidRPr="009A4FAB" w14:paraId="30149D4F" w14:textId="77777777" w:rsidTr="00AB5AB5">
        <w:trPr>
          <w:gridAfter w:val="1"/>
          <w:wAfter w:w="14" w:type="dxa"/>
          <w:trHeight w:val="100"/>
        </w:trPr>
        <w:tc>
          <w:tcPr>
            <w:tcW w:w="3826" w:type="dxa"/>
            <w:tcBorders>
              <w:top w:val="nil"/>
              <w:left w:val="nil"/>
              <w:bottom w:val="nil"/>
              <w:right w:val="nil"/>
            </w:tcBorders>
            <w:hideMark/>
          </w:tcPr>
          <w:p w14:paraId="4234B864"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Health factors:</w:t>
            </w:r>
          </w:p>
        </w:tc>
        <w:tc>
          <w:tcPr>
            <w:tcW w:w="1255" w:type="dxa"/>
            <w:tcBorders>
              <w:top w:val="nil"/>
              <w:left w:val="nil"/>
              <w:bottom w:val="nil"/>
              <w:right w:val="nil"/>
            </w:tcBorders>
          </w:tcPr>
          <w:p w14:paraId="7B92A71F"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31" w:type="dxa"/>
            <w:tcBorders>
              <w:top w:val="nil"/>
              <w:left w:val="nil"/>
              <w:bottom w:val="nil"/>
              <w:right w:val="nil"/>
            </w:tcBorders>
          </w:tcPr>
          <w:p w14:paraId="44224573"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29" w:type="dxa"/>
            <w:tcBorders>
              <w:top w:val="nil"/>
              <w:left w:val="nil"/>
              <w:bottom w:val="nil"/>
              <w:right w:val="nil"/>
            </w:tcBorders>
          </w:tcPr>
          <w:p w14:paraId="71CF29E9"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29" w:type="dxa"/>
            <w:tcBorders>
              <w:top w:val="nil"/>
              <w:left w:val="nil"/>
              <w:bottom w:val="nil"/>
              <w:right w:val="nil"/>
            </w:tcBorders>
          </w:tcPr>
          <w:p w14:paraId="3387C762"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29" w:type="dxa"/>
            <w:tcBorders>
              <w:top w:val="nil"/>
              <w:left w:val="nil"/>
              <w:bottom w:val="nil"/>
              <w:right w:val="nil"/>
            </w:tcBorders>
          </w:tcPr>
          <w:p w14:paraId="7AF8B844"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429" w:type="dxa"/>
            <w:tcBorders>
              <w:top w:val="nil"/>
              <w:left w:val="nil"/>
              <w:bottom w:val="nil"/>
              <w:right w:val="nil"/>
            </w:tcBorders>
          </w:tcPr>
          <w:p w14:paraId="32C1F55A"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c>
          <w:tcPr>
            <w:tcW w:w="1169" w:type="dxa"/>
            <w:tcBorders>
              <w:top w:val="nil"/>
              <w:left w:val="nil"/>
              <w:bottom w:val="nil"/>
              <w:right w:val="nil"/>
            </w:tcBorders>
          </w:tcPr>
          <w:p w14:paraId="55EE3FDB"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p>
        </w:tc>
      </w:tr>
      <w:tr w:rsidR="009A4FAB" w:rsidRPr="009A4FAB" w14:paraId="5D726A95" w14:textId="77777777" w:rsidTr="00AB5AB5">
        <w:trPr>
          <w:gridAfter w:val="1"/>
          <w:wAfter w:w="14" w:type="dxa"/>
          <w:trHeight w:val="100"/>
        </w:trPr>
        <w:tc>
          <w:tcPr>
            <w:tcW w:w="3826" w:type="dxa"/>
            <w:tcBorders>
              <w:top w:val="nil"/>
              <w:left w:val="nil"/>
              <w:bottom w:val="nil"/>
              <w:right w:val="nil"/>
            </w:tcBorders>
            <w:hideMark/>
          </w:tcPr>
          <w:p w14:paraId="21E3B6FE"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 xml:space="preserve">Physician-diagnosed low back OA, n </w:t>
            </w:r>
            <w:r w:rsidRPr="009A4FAB">
              <w:rPr>
                <w:rFonts w:ascii="Times New Roman" w:hAnsi="Times New Roman"/>
                <w:color w:val="000000" w:themeColor="text1"/>
                <w:sz w:val="22"/>
                <w:szCs w:val="22"/>
              </w:rPr>
              <w:lastRenderedPageBreak/>
              <w:t>(%)</w:t>
            </w:r>
          </w:p>
        </w:tc>
        <w:tc>
          <w:tcPr>
            <w:tcW w:w="1255" w:type="dxa"/>
            <w:tcBorders>
              <w:top w:val="nil"/>
              <w:left w:val="nil"/>
              <w:bottom w:val="nil"/>
              <w:right w:val="nil"/>
            </w:tcBorders>
            <w:hideMark/>
          </w:tcPr>
          <w:p w14:paraId="37EFF934"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lastRenderedPageBreak/>
              <w:t>29</w:t>
            </w:r>
          </w:p>
        </w:tc>
        <w:tc>
          <w:tcPr>
            <w:tcW w:w="1431" w:type="dxa"/>
            <w:tcBorders>
              <w:top w:val="nil"/>
              <w:left w:val="nil"/>
              <w:bottom w:val="nil"/>
              <w:right w:val="nil"/>
            </w:tcBorders>
            <w:hideMark/>
          </w:tcPr>
          <w:p w14:paraId="0C380BF2"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4.7</w:t>
            </w:r>
          </w:p>
        </w:tc>
        <w:tc>
          <w:tcPr>
            <w:tcW w:w="1429" w:type="dxa"/>
            <w:tcBorders>
              <w:top w:val="nil"/>
              <w:left w:val="nil"/>
              <w:bottom w:val="nil"/>
              <w:right w:val="nil"/>
            </w:tcBorders>
          </w:tcPr>
          <w:p w14:paraId="5D2F0466"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20</w:t>
            </w:r>
          </w:p>
        </w:tc>
        <w:tc>
          <w:tcPr>
            <w:tcW w:w="1429" w:type="dxa"/>
            <w:tcBorders>
              <w:top w:val="nil"/>
              <w:left w:val="nil"/>
              <w:bottom w:val="nil"/>
              <w:right w:val="nil"/>
            </w:tcBorders>
            <w:hideMark/>
          </w:tcPr>
          <w:p w14:paraId="6FC8B3D0"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8.0</w:t>
            </w:r>
          </w:p>
        </w:tc>
        <w:tc>
          <w:tcPr>
            <w:tcW w:w="1429" w:type="dxa"/>
            <w:tcBorders>
              <w:top w:val="nil"/>
              <w:left w:val="nil"/>
              <w:bottom w:val="nil"/>
              <w:right w:val="nil"/>
            </w:tcBorders>
          </w:tcPr>
          <w:p w14:paraId="01A72EF3"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9</w:t>
            </w:r>
          </w:p>
        </w:tc>
        <w:tc>
          <w:tcPr>
            <w:tcW w:w="1429" w:type="dxa"/>
            <w:tcBorders>
              <w:top w:val="nil"/>
              <w:left w:val="nil"/>
              <w:bottom w:val="nil"/>
              <w:right w:val="nil"/>
            </w:tcBorders>
            <w:hideMark/>
          </w:tcPr>
          <w:p w14:paraId="05C0C179"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2.5</w:t>
            </w:r>
          </w:p>
        </w:tc>
        <w:tc>
          <w:tcPr>
            <w:tcW w:w="1169" w:type="dxa"/>
            <w:tcBorders>
              <w:top w:val="nil"/>
              <w:left w:val="nil"/>
              <w:bottom w:val="nil"/>
              <w:right w:val="nil"/>
            </w:tcBorders>
            <w:hideMark/>
          </w:tcPr>
          <w:p w14:paraId="4ECB0457" w14:textId="77777777" w:rsidR="0012427D" w:rsidRPr="009A4FAB" w:rsidRDefault="0012427D" w:rsidP="0012427D">
            <w:pPr>
              <w:widowControl w:val="0"/>
              <w:autoSpaceDE w:val="0"/>
              <w:autoSpaceDN w:val="0"/>
              <w:adjustRightInd w:val="0"/>
              <w:spacing w:line="360" w:lineRule="auto"/>
              <w:rPr>
                <w:rFonts w:ascii="Times New Roman" w:hAnsi="Times New Roman"/>
                <w:b/>
                <w:bCs/>
                <w:color w:val="000000" w:themeColor="text1"/>
                <w:sz w:val="22"/>
                <w:szCs w:val="22"/>
              </w:rPr>
            </w:pPr>
            <w:r w:rsidRPr="009A4FAB">
              <w:rPr>
                <w:rFonts w:ascii="Times New Roman" w:hAnsi="Times New Roman"/>
                <w:b/>
                <w:bCs/>
                <w:color w:val="000000" w:themeColor="text1"/>
                <w:sz w:val="22"/>
                <w:szCs w:val="22"/>
              </w:rPr>
              <w:t>0.002</w:t>
            </w:r>
          </w:p>
        </w:tc>
      </w:tr>
      <w:tr w:rsidR="009A4FAB" w:rsidRPr="009A4FAB" w14:paraId="138295EB" w14:textId="77777777" w:rsidTr="00AB5AB5">
        <w:trPr>
          <w:gridAfter w:val="1"/>
          <w:wAfter w:w="14" w:type="dxa"/>
          <w:trHeight w:val="100"/>
        </w:trPr>
        <w:tc>
          <w:tcPr>
            <w:tcW w:w="3826" w:type="dxa"/>
            <w:tcBorders>
              <w:top w:val="nil"/>
              <w:left w:val="nil"/>
              <w:bottom w:val="nil"/>
              <w:right w:val="nil"/>
            </w:tcBorders>
            <w:hideMark/>
          </w:tcPr>
          <w:p w14:paraId="096FC314" w14:textId="39F951E4"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 xml:space="preserve">Neck pain (most days of the </w:t>
            </w:r>
            <w:r w:rsidR="006C38B1" w:rsidRPr="009A4FAB">
              <w:rPr>
                <w:rFonts w:ascii="Times New Roman" w:hAnsi="Times New Roman"/>
                <w:color w:val="000000" w:themeColor="text1"/>
                <w:sz w:val="22"/>
                <w:szCs w:val="22"/>
              </w:rPr>
              <w:t>past 4-weeks</w:t>
            </w:r>
            <w:r w:rsidRPr="009A4FAB">
              <w:rPr>
                <w:rFonts w:ascii="Times New Roman" w:hAnsi="Times New Roman"/>
                <w:color w:val="000000" w:themeColor="text1"/>
                <w:sz w:val="22"/>
                <w:szCs w:val="22"/>
              </w:rPr>
              <w:t>), n (%)</w:t>
            </w:r>
          </w:p>
        </w:tc>
        <w:tc>
          <w:tcPr>
            <w:tcW w:w="1255" w:type="dxa"/>
            <w:tcBorders>
              <w:top w:val="nil"/>
              <w:left w:val="nil"/>
              <w:bottom w:val="nil"/>
              <w:right w:val="nil"/>
            </w:tcBorders>
            <w:hideMark/>
          </w:tcPr>
          <w:p w14:paraId="1F9B8DCA"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57</w:t>
            </w:r>
          </w:p>
        </w:tc>
        <w:tc>
          <w:tcPr>
            <w:tcW w:w="1431" w:type="dxa"/>
            <w:tcBorders>
              <w:top w:val="nil"/>
              <w:left w:val="nil"/>
              <w:bottom w:val="nil"/>
              <w:right w:val="nil"/>
            </w:tcBorders>
            <w:hideMark/>
          </w:tcPr>
          <w:p w14:paraId="2D9B48B7"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9.3</w:t>
            </w:r>
          </w:p>
        </w:tc>
        <w:tc>
          <w:tcPr>
            <w:tcW w:w="1429" w:type="dxa"/>
            <w:tcBorders>
              <w:top w:val="nil"/>
              <w:left w:val="nil"/>
              <w:bottom w:val="nil"/>
              <w:right w:val="nil"/>
            </w:tcBorders>
          </w:tcPr>
          <w:p w14:paraId="39414F26"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25</w:t>
            </w:r>
          </w:p>
        </w:tc>
        <w:tc>
          <w:tcPr>
            <w:tcW w:w="1429" w:type="dxa"/>
            <w:tcBorders>
              <w:top w:val="nil"/>
              <w:left w:val="nil"/>
              <w:bottom w:val="nil"/>
              <w:right w:val="nil"/>
            </w:tcBorders>
            <w:hideMark/>
          </w:tcPr>
          <w:p w14:paraId="19864743"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10.0</w:t>
            </w:r>
          </w:p>
        </w:tc>
        <w:tc>
          <w:tcPr>
            <w:tcW w:w="1429" w:type="dxa"/>
            <w:tcBorders>
              <w:top w:val="nil"/>
              <w:left w:val="nil"/>
              <w:bottom w:val="nil"/>
              <w:right w:val="nil"/>
            </w:tcBorders>
          </w:tcPr>
          <w:p w14:paraId="4F68A2BD"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32</w:t>
            </w:r>
          </w:p>
        </w:tc>
        <w:tc>
          <w:tcPr>
            <w:tcW w:w="1429" w:type="dxa"/>
            <w:tcBorders>
              <w:top w:val="nil"/>
              <w:left w:val="nil"/>
              <w:bottom w:val="nil"/>
              <w:right w:val="nil"/>
            </w:tcBorders>
            <w:hideMark/>
          </w:tcPr>
          <w:p w14:paraId="7C381ED9"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8.8</w:t>
            </w:r>
          </w:p>
        </w:tc>
        <w:tc>
          <w:tcPr>
            <w:tcW w:w="1169" w:type="dxa"/>
            <w:tcBorders>
              <w:top w:val="nil"/>
              <w:left w:val="nil"/>
              <w:bottom w:val="nil"/>
              <w:right w:val="nil"/>
            </w:tcBorders>
            <w:hideMark/>
          </w:tcPr>
          <w:p w14:paraId="10046425" w14:textId="1ACABF5D"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0.</w:t>
            </w:r>
            <w:r w:rsidR="00603824" w:rsidRPr="009A4FAB">
              <w:rPr>
                <w:rFonts w:ascii="Times New Roman" w:hAnsi="Times New Roman"/>
                <w:color w:val="000000" w:themeColor="text1"/>
                <w:sz w:val="22"/>
                <w:szCs w:val="22"/>
              </w:rPr>
              <w:t>639</w:t>
            </w:r>
          </w:p>
        </w:tc>
      </w:tr>
      <w:tr w:rsidR="009A4FAB" w:rsidRPr="009A4FAB" w14:paraId="306AEC96" w14:textId="77777777" w:rsidTr="00AB5AB5">
        <w:trPr>
          <w:gridAfter w:val="1"/>
          <w:wAfter w:w="14" w:type="dxa"/>
          <w:trHeight w:val="100"/>
        </w:trPr>
        <w:tc>
          <w:tcPr>
            <w:tcW w:w="3826" w:type="dxa"/>
            <w:tcBorders>
              <w:top w:val="nil"/>
              <w:left w:val="nil"/>
              <w:bottom w:val="nil"/>
              <w:right w:val="nil"/>
            </w:tcBorders>
            <w:hideMark/>
          </w:tcPr>
          <w:p w14:paraId="13BE0DDF"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Spinal injection to compete / train, n (%)</w:t>
            </w:r>
          </w:p>
        </w:tc>
        <w:tc>
          <w:tcPr>
            <w:tcW w:w="1255" w:type="dxa"/>
            <w:tcBorders>
              <w:top w:val="nil"/>
              <w:left w:val="nil"/>
              <w:bottom w:val="nil"/>
              <w:right w:val="nil"/>
            </w:tcBorders>
            <w:hideMark/>
          </w:tcPr>
          <w:p w14:paraId="7D26F202"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25</w:t>
            </w:r>
          </w:p>
        </w:tc>
        <w:tc>
          <w:tcPr>
            <w:tcW w:w="1431" w:type="dxa"/>
            <w:tcBorders>
              <w:top w:val="nil"/>
              <w:left w:val="nil"/>
              <w:bottom w:val="nil"/>
              <w:right w:val="nil"/>
            </w:tcBorders>
            <w:hideMark/>
          </w:tcPr>
          <w:p w14:paraId="5A1F3A4D"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4.1</w:t>
            </w:r>
          </w:p>
        </w:tc>
        <w:tc>
          <w:tcPr>
            <w:tcW w:w="1429" w:type="dxa"/>
            <w:tcBorders>
              <w:top w:val="nil"/>
              <w:left w:val="nil"/>
              <w:bottom w:val="nil"/>
              <w:right w:val="nil"/>
            </w:tcBorders>
          </w:tcPr>
          <w:p w14:paraId="7B0C744F"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9</w:t>
            </w:r>
          </w:p>
        </w:tc>
        <w:tc>
          <w:tcPr>
            <w:tcW w:w="1429" w:type="dxa"/>
            <w:tcBorders>
              <w:top w:val="nil"/>
              <w:left w:val="nil"/>
              <w:bottom w:val="nil"/>
              <w:right w:val="nil"/>
            </w:tcBorders>
            <w:hideMark/>
          </w:tcPr>
          <w:p w14:paraId="27D700D3"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3.6</w:t>
            </w:r>
          </w:p>
        </w:tc>
        <w:tc>
          <w:tcPr>
            <w:tcW w:w="1429" w:type="dxa"/>
            <w:tcBorders>
              <w:top w:val="nil"/>
              <w:left w:val="nil"/>
              <w:bottom w:val="nil"/>
              <w:right w:val="nil"/>
            </w:tcBorders>
          </w:tcPr>
          <w:p w14:paraId="7E475785"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16</w:t>
            </w:r>
          </w:p>
        </w:tc>
        <w:tc>
          <w:tcPr>
            <w:tcW w:w="1429" w:type="dxa"/>
            <w:tcBorders>
              <w:top w:val="nil"/>
              <w:left w:val="nil"/>
              <w:bottom w:val="nil"/>
              <w:right w:val="nil"/>
            </w:tcBorders>
            <w:hideMark/>
          </w:tcPr>
          <w:p w14:paraId="11F5845A"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4.4</w:t>
            </w:r>
          </w:p>
        </w:tc>
        <w:tc>
          <w:tcPr>
            <w:tcW w:w="1169" w:type="dxa"/>
            <w:tcBorders>
              <w:top w:val="nil"/>
              <w:left w:val="nil"/>
              <w:bottom w:val="nil"/>
              <w:right w:val="nil"/>
            </w:tcBorders>
            <w:hideMark/>
          </w:tcPr>
          <w:p w14:paraId="12E32E11"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0.837</w:t>
            </w:r>
          </w:p>
        </w:tc>
      </w:tr>
      <w:tr w:rsidR="009A4FAB" w:rsidRPr="009A4FAB" w14:paraId="5BBCC9D8" w14:textId="77777777" w:rsidTr="00AB5AB5">
        <w:trPr>
          <w:gridAfter w:val="1"/>
          <w:wAfter w:w="14" w:type="dxa"/>
          <w:trHeight w:val="100"/>
        </w:trPr>
        <w:tc>
          <w:tcPr>
            <w:tcW w:w="3826" w:type="dxa"/>
            <w:tcBorders>
              <w:top w:val="nil"/>
              <w:left w:val="nil"/>
              <w:bottom w:val="nil"/>
              <w:right w:val="nil"/>
            </w:tcBorders>
          </w:tcPr>
          <w:p w14:paraId="110308FE"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Spinal surgery, n (%)</w:t>
            </w:r>
          </w:p>
        </w:tc>
        <w:tc>
          <w:tcPr>
            <w:tcW w:w="1255" w:type="dxa"/>
            <w:tcBorders>
              <w:top w:val="nil"/>
              <w:left w:val="nil"/>
              <w:bottom w:val="nil"/>
              <w:right w:val="nil"/>
            </w:tcBorders>
          </w:tcPr>
          <w:p w14:paraId="3C7CAB3A"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57</w:t>
            </w:r>
          </w:p>
        </w:tc>
        <w:tc>
          <w:tcPr>
            <w:tcW w:w="1431" w:type="dxa"/>
            <w:tcBorders>
              <w:top w:val="nil"/>
              <w:left w:val="nil"/>
              <w:bottom w:val="nil"/>
              <w:right w:val="nil"/>
            </w:tcBorders>
          </w:tcPr>
          <w:p w14:paraId="15C19754"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9.3</w:t>
            </w:r>
          </w:p>
        </w:tc>
        <w:tc>
          <w:tcPr>
            <w:tcW w:w="1429" w:type="dxa"/>
            <w:tcBorders>
              <w:top w:val="nil"/>
              <w:left w:val="nil"/>
              <w:bottom w:val="nil"/>
              <w:right w:val="nil"/>
            </w:tcBorders>
          </w:tcPr>
          <w:p w14:paraId="3ED74164"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24</w:t>
            </w:r>
          </w:p>
        </w:tc>
        <w:tc>
          <w:tcPr>
            <w:tcW w:w="1429" w:type="dxa"/>
            <w:tcBorders>
              <w:top w:val="nil"/>
              <w:left w:val="nil"/>
              <w:bottom w:val="nil"/>
              <w:right w:val="nil"/>
            </w:tcBorders>
          </w:tcPr>
          <w:p w14:paraId="62F464EE"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9.6</w:t>
            </w:r>
          </w:p>
        </w:tc>
        <w:tc>
          <w:tcPr>
            <w:tcW w:w="1429" w:type="dxa"/>
            <w:tcBorders>
              <w:top w:val="nil"/>
              <w:left w:val="nil"/>
              <w:bottom w:val="nil"/>
              <w:right w:val="nil"/>
            </w:tcBorders>
          </w:tcPr>
          <w:p w14:paraId="54D0E2DD"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33</w:t>
            </w:r>
          </w:p>
        </w:tc>
        <w:tc>
          <w:tcPr>
            <w:tcW w:w="1429" w:type="dxa"/>
            <w:tcBorders>
              <w:top w:val="nil"/>
              <w:left w:val="nil"/>
              <w:bottom w:val="nil"/>
              <w:right w:val="nil"/>
            </w:tcBorders>
          </w:tcPr>
          <w:p w14:paraId="6C9C2168"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9.1</w:t>
            </w:r>
          </w:p>
        </w:tc>
        <w:tc>
          <w:tcPr>
            <w:tcW w:w="1169" w:type="dxa"/>
            <w:tcBorders>
              <w:top w:val="nil"/>
              <w:left w:val="nil"/>
              <w:bottom w:val="nil"/>
              <w:right w:val="nil"/>
            </w:tcBorders>
          </w:tcPr>
          <w:p w14:paraId="3CBA8CEA"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0.853</w:t>
            </w:r>
          </w:p>
        </w:tc>
      </w:tr>
      <w:tr w:rsidR="009A4FAB" w:rsidRPr="009A4FAB" w14:paraId="006BAB76" w14:textId="77777777" w:rsidTr="00AB5AB5">
        <w:trPr>
          <w:gridAfter w:val="1"/>
          <w:wAfter w:w="14" w:type="dxa"/>
          <w:trHeight w:val="100"/>
        </w:trPr>
        <w:tc>
          <w:tcPr>
            <w:tcW w:w="3826" w:type="dxa"/>
            <w:tcBorders>
              <w:top w:val="nil"/>
              <w:left w:val="nil"/>
              <w:bottom w:val="nil"/>
              <w:right w:val="nil"/>
            </w:tcBorders>
          </w:tcPr>
          <w:p w14:paraId="74983F54"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Current NSAIDs, n (%)</w:t>
            </w:r>
          </w:p>
        </w:tc>
        <w:tc>
          <w:tcPr>
            <w:tcW w:w="1255" w:type="dxa"/>
            <w:tcBorders>
              <w:top w:val="nil"/>
              <w:left w:val="nil"/>
              <w:bottom w:val="nil"/>
              <w:right w:val="nil"/>
            </w:tcBorders>
          </w:tcPr>
          <w:p w14:paraId="0FC26DE2"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21</w:t>
            </w:r>
          </w:p>
        </w:tc>
        <w:tc>
          <w:tcPr>
            <w:tcW w:w="1431" w:type="dxa"/>
            <w:tcBorders>
              <w:top w:val="nil"/>
              <w:left w:val="nil"/>
              <w:bottom w:val="nil"/>
              <w:right w:val="nil"/>
            </w:tcBorders>
          </w:tcPr>
          <w:p w14:paraId="30FE2E06"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3.4</w:t>
            </w:r>
          </w:p>
        </w:tc>
        <w:tc>
          <w:tcPr>
            <w:tcW w:w="1429" w:type="dxa"/>
            <w:tcBorders>
              <w:top w:val="nil"/>
              <w:left w:val="nil"/>
              <w:bottom w:val="nil"/>
              <w:right w:val="nil"/>
            </w:tcBorders>
          </w:tcPr>
          <w:p w14:paraId="22387B7E"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10</w:t>
            </w:r>
          </w:p>
        </w:tc>
        <w:tc>
          <w:tcPr>
            <w:tcW w:w="1429" w:type="dxa"/>
            <w:tcBorders>
              <w:top w:val="nil"/>
              <w:left w:val="nil"/>
              <w:bottom w:val="nil"/>
              <w:right w:val="nil"/>
            </w:tcBorders>
          </w:tcPr>
          <w:p w14:paraId="6BE6460C"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4.0</w:t>
            </w:r>
          </w:p>
        </w:tc>
        <w:tc>
          <w:tcPr>
            <w:tcW w:w="1429" w:type="dxa"/>
            <w:tcBorders>
              <w:top w:val="nil"/>
              <w:left w:val="nil"/>
              <w:bottom w:val="nil"/>
              <w:right w:val="nil"/>
            </w:tcBorders>
          </w:tcPr>
          <w:p w14:paraId="7C1A19D1"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11</w:t>
            </w:r>
          </w:p>
        </w:tc>
        <w:tc>
          <w:tcPr>
            <w:tcW w:w="1429" w:type="dxa"/>
            <w:tcBorders>
              <w:top w:val="nil"/>
              <w:left w:val="nil"/>
              <w:bottom w:val="nil"/>
              <w:right w:val="nil"/>
            </w:tcBorders>
          </w:tcPr>
          <w:p w14:paraId="105D50A7"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3.0</w:t>
            </w:r>
          </w:p>
        </w:tc>
        <w:tc>
          <w:tcPr>
            <w:tcW w:w="1169" w:type="dxa"/>
            <w:tcBorders>
              <w:top w:val="nil"/>
              <w:left w:val="nil"/>
              <w:bottom w:val="nil"/>
              <w:right w:val="nil"/>
            </w:tcBorders>
          </w:tcPr>
          <w:p w14:paraId="66EBD588"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0.527</w:t>
            </w:r>
          </w:p>
        </w:tc>
      </w:tr>
      <w:tr w:rsidR="009A4FAB" w:rsidRPr="009A4FAB" w14:paraId="33160394" w14:textId="77777777" w:rsidTr="00AB5AB5">
        <w:trPr>
          <w:gridAfter w:val="1"/>
          <w:wAfter w:w="14" w:type="dxa"/>
          <w:trHeight w:val="100"/>
        </w:trPr>
        <w:tc>
          <w:tcPr>
            <w:tcW w:w="3826" w:type="dxa"/>
            <w:tcBorders>
              <w:top w:val="nil"/>
              <w:left w:val="nil"/>
              <w:bottom w:val="nil"/>
              <w:right w:val="nil"/>
            </w:tcBorders>
          </w:tcPr>
          <w:p w14:paraId="3D9D744E"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Current OTC Painkillers, n (%)</w:t>
            </w:r>
          </w:p>
        </w:tc>
        <w:tc>
          <w:tcPr>
            <w:tcW w:w="1255" w:type="dxa"/>
            <w:tcBorders>
              <w:top w:val="nil"/>
              <w:left w:val="nil"/>
              <w:bottom w:val="nil"/>
              <w:right w:val="nil"/>
            </w:tcBorders>
          </w:tcPr>
          <w:p w14:paraId="5C83B525"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27</w:t>
            </w:r>
          </w:p>
        </w:tc>
        <w:tc>
          <w:tcPr>
            <w:tcW w:w="1431" w:type="dxa"/>
            <w:tcBorders>
              <w:top w:val="nil"/>
              <w:left w:val="nil"/>
              <w:bottom w:val="nil"/>
              <w:right w:val="nil"/>
            </w:tcBorders>
          </w:tcPr>
          <w:p w14:paraId="43C92575"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4.4</w:t>
            </w:r>
          </w:p>
        </w:tc>
        <w:tc>
          <w:tcPr>
            <w:tcW w:w="1429" w:type="dxa"/>
            <w:tcBorders>
              <w:top w:val="nil"/>
              <w:left w:val="nil"/>
              <w:bottom w:val="nil"/>
              <w:right w:val="nil"/>
            </w:tcBorders>
          </w:tcPr>
          <w:p w14:paraId="16AECB41"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11</w:t>
            </w:r>
          </w:p>
        </w:tc>
        <w:tc>
          <w:tcPr>
            <w:tcW w:w="1429" w:type="dxa"/>
            <w:tcBorders>
              <w:top w:val="nil"/>
              <w:left w:val="nil"/>
              <w:bottom w:val="nil"/>
              <w:right w:val="nil"/>
            </w:tcBorders>
          </w:tcPr>
          <w:p w14:paraId="4AB8369C"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4.4</w:t>
            </w:r>
          </w:p>
        </w:tc>
        <w:tc>
          <w:tcPr>
            <w:tcW w:w="1429" w:type="dxa"/>
            <w:tcBorders>
              <w:top w:val="nil"/>
              <w:left w:val="nil"/>
              <w:bottom w:val="nil"/>
              <w:right w:val="nil"/>
            </w:tcBorders>
          </w:tcPr>
          <w:p w14:paraId="1813C8C7"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16</w:t>
            </w:r>
          </w:p>
        </w:tc>
        <w:tc>
          <w:tcPr>
            <w:tcW w:w="1429" w:type="dxa"/>
            <w:tcBorders>
              <w:top w:val="nil"/>
              <w:left w:val="nil"/>
              <w:bottom w:val="nil"/>
              <w:right w:val="nil"/>
            </w:tcBorders>
          </w:tcPr>
          <w:p w14:paraId="4A0A466B"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4.4</w:t>
            </w:r>
          </w:p>
        </w:tc>
        <w:tc>
          <w:tcPr>
            <w:tcW w:w="1169" w:type="dxa"/>
            <w:tcBorders>
              <w:top w:val="nil"/>
              <w:left w:val="nil"/>
              <w:bottom w:val="nil"/>
              <w:right w:val="nil"/>
            </w:tcBorders>
          </w:tcPr>
          <w:p w14:paraId="073C65B2"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0.979</w:t>
            </w:r>
          </w:p>
        </w:tc>
      </w:tr>
      <w:tr w:rsidR="009A4FAB" w:rsidRPr="009A4FAB" w14:paraId="7B368134" w14:textId="77777777" w:rsidTr="00AB5AB5">
        <w:trPr>
          <w:gridAfter w:val="1"/>
          <w:wAfter w:w="14" w:type="dxa"/>
          <w:trHeight w:val="100"/>
        </w:trPr>
        <w:tc>
          <w:tcPr>
            <w:tcW w:w="3826" w:type="dxa"/>
            <w:tcBorders>
              <w:top w:val="nil"/>
              <w:left w:val="nil"/>
              <w:bottom w:val="single" w:sz="4" w:space="0" w:color="auto"/>
              <w:right w:val="nil"/>
            </w:tcBorders>
            <w:hideMark/>
          </w:tcPr>
          <w:p w14:paraId="6E941B28"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Current LBP, n (%)</w:t>
            </w:r>
          </w:p>
        </w:tc>
        <w:tc>
          <w:tcPr>
            <w:tcW w:w="1255" w:type="dxa"/>
            <w:tcBorders>
              <w:top w:val="nil"/>
              <w:left w:val="nil"/>
              <w:bottom w:val="single" w:sz="4" w:space="0" w:color="auto"/>
              <w:right w:val="nil"/>
            </w:tcBorders>
            <w:hideMark/>
          </w:tcPr>
          <w:p w14:paraId="42E2B7EE"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197</w:t>
            </w:r>
          </w:p>
        </w:tc>
        <w:tc>
          <w:tcPr>
            <w:tcW w:w="1431" w:type="dxa"/>
            <w:tcBorders>
              <w:top w:val="nil"/>
              <w:left w:val="nil"/>
              <w:bottom w:val="single" w:sz="4" w:space="0" w:color="auto"/>
              <w:right w:val="nil"/>
            </w:tcBorders>
            <w:hideMark/>
          </w:tcPr>
          <w:p w14:paraId="0EB6FC9B"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32.1</w:t>
            </w:r>
          </w:p>
        </w:tc>
        <w:tc>
          <w:tcPr>
            <w:tcW w:w="1429" w:type="dxa"/>
            <w:tcBorders>
              <w:top w:val="nil"/>
              <w:left w:val="nil"/>
              <w:bottom w:val="single" w:sz="4" w:space="0" w:color="auto"/>
              <w:right w:val="nil"/>
            </w:tcBorders>
          </w:tcPr>
          <w:p w14:paraId="1D05834D"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83</w:t>
            </w:r>
          </w:p>
        </w:tc>
        <w:tc>
          <w:tcPr>
            <w:tcW w:w="1429" w:type="dxa"/>
            <w:tcBorders>
              <w:top w:val="nil"/>
              <w:left w:val="nil"/>
              <w:bottom w:val="single" w:sz="4" w:space="0" w:color="auto"/>
              <w:right w:val="nil"/>
            </w:tcBorders>
            <w:hideMark/>
          </w:tcPr>
          <w:p w14:paraId="778AF544"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33.1</w:t>
            </w:r>
          </w:p>
        </w:tc>
        <w:tc>
          <w:tcPr>
            <w:tcW w:w="1429" w:type="dxa"/>
            <w:tcBorders>
              <w:top w:val="nil"/>
              <w:left w:val="nil"/>
              <w:bottom w:val="single" w:sz="4" w:space="0" w:color="auto"/>
              <w:right w:val="nil"/>
            </w:tcBorders>
          </w:tcPr>
          <w:p w14:paraId="28F018CE"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114</w:t>
            </w:r>
          </w:p>
        </w:tc>
        <w:tc>
          <w:tcPr>
            <w:tcW w:w="1429" w:type="dxa"/>
            <w:tcBorders>
              <w:top w:val="nil"/>
              <w:left w:val="nil"/>
              <w:bottom w:val="single" w:sz="4" w:space="0" w:color="auto"/>
              <w:right w:val="nil"/>
            </w:tcBorders>
            <w:hideMark/>
          </w:tcPr>
          <w:p w14:paraId="1DF46E48"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31.5</w:t>
            </w:r>
          </w:p>
        </w:tc>
        <w:tc>
          <w:tcPr>
            <w:tcW w:w="1169" w:type="dxa"/>
            <w:tcBorders>
              <w:top w:val="nil"/>
              <w:left w:val="nil"/>
              <w:bottom w:val="single" w:sz="4" w:space="0" w:color="auto"/>
              <w:right w:val="nil"/>
            </w:tcBorders>
            <w:hideMark/>
          </w:tcPr>
          <w:p w14:paraId="453772A8" w14:textId="77777777" w:rsidR="0012427D" w:rsidRPr="009A4FAB" w:rsidRDefault="0012427D" w:rsidP="0012427D">
            <w:pPr>
              <w:widowControl w:val="0"/>
              <w:autoSpaceDE w:val="0"/>
              <w:autoSpaceDN w:val="0"/>
              <w:adjustRightInd w:val="0"/>
              <w:spacing w:line="360" w:lineRule="auto"/>
              <w:rPr>
                <w:rFonts w:ascii="Times New Roman" w:hAnsi="Times New Roman"/>
                <w:color w:val="000000" w:themeColor="text1"/>
                <w:sz w:val="22"/>
                <w:szCs w:val="22"/>
              </w:rPr>
            </w:pPr>
            <w:r w:rsidRPr="009A4FAB">
              <w:rPr>
                <w:rFonts w:ascii="Times New Roman" w:hAnsi="Times New Roman"/>
                <w:color w:val="000000" w:themeColor="text1"/>
                <w:sz w:val="22"/>
                <w:szCs w:val="22"/>
              </w:rPr>
              <w:t>0.681</w:t>
            </w:r>
          </w:p>
        </w:tc>
      </w:tr>
    </w:tbl>
    <w:p w14:paraId="5364B356" w14:textId="71C9A0E4" w:rsidR="00933CA5" w:rsidRDefault="0012427D" w:rsidP="008C6D0F">
      <w:pPr>
        <w:spacing w:line="360" w:lineRule="auto"/>
        <w:rPr>
          <w:color w:val="000000" w:themeColor="text1"/>
          <w:sz w:val="22"/>
          <w:szCs w:val="22"/>
        </w:rPr>
      </w:pPr>
      <w:r w:rsidRPr="009A4FAB">
        <w:rPr>
          <w:color w:val="000000" w:themeColor="text1"/>
          <w:sz w:val="22"/>
          <w:szCs w:val="22"/>
        </w:rPr>
        <w:t>The p values represent comparison between male and female retired athletes, using unpaired t-test for continuous variables, or Mann-Whitney where appropriate, and categorical variables were analysed using X</w:t>
      </w:r>
      <w:r w:rsidRPr="009A4FAB">
        <w:rPr>
          <w:color w:val="000000" w:themeColor="text1"/>
          <w:sz w:val="22"/>
          <w:szCs w:val="22"/>
          <w:vertAlign w:val="superscript"/>
        </w:rPr>
        <w:t>2</w:t>
      </w:r>
      <w:r w:rsidRPr="009A4FAB">
        <w:rPr>
          <w:color w:val="000000" w:themeColor="text1"/>
          <w:sz w:val="22"/>
          <w:szCs w:val="22"/>
        </w:rPr>
        <w:t xml:space="preserve">. Statistically significant differences are highlighted in bold. </w:t>
      </w:r>
    </w:p>
    <w:p w14:paraId="574BDDAA" w14:textId="0CE60CF9" w:rsidR="009868DF" w:rsidRPr="009A4FAB" w:rsidRDefault="00933CA5">
      <w:pPr>
        <w:rPr>
          <w:color w:val="000000" w:themeColor="text1"/>
          <w:sz w:val="22"/>
          <w:szCs w:val="22"/>
        </w:rPr>
      </w:pPr>
      <w:r>
        <w:rPr>
          <w:color w:val="000000" w:themeColor="text1"/>
          <w:sz w:val="22"/>
          <w:szCs w:val="22"/>
        </w:rPr>
        <w:br w:type="page"/>
      </w:r>
    </w:p>
    <w:tbl>
      <w:tblPr>
        <w:tblW w:w="14128" w:type="dxa"/>
        <w:tblLook w:val="04A0" w:firstRow="1" w:lastRow="0" w:firstColumn="1" w:lastColumn="0" w:noHBand="0" w:noVBand="1"/>
      </w:tblPr>
      <w:tblGrid>
        <w:gridCol w:w="320"/>
        <w:gridCol w:w="410"/>
        <w:gridCol w:w="2107"/>
        <w:gridCol w:w="2255"/>
        <w:gridCol w:w="2255"/>
        <w:gridCol w:w="2266"/>
        <w:gridCol w:w="2268"/>
        <w:gridCol w:w="2247"/>
      </w:tblGrid>
      <w:tr w:rsidR="009A4FAB" w:rsidRPr="009A4FAB" w14:paraId="7F1C51DE" w14:textId="77777777" w:rsidTr="006C38B1">
        <w:trPr>
          <w:trHeight w:val="276"/>
        </w:trPr>
        <w:tc>
          <w:tcPr>
            <w:tcW w:w="14128" w:type="dxa"/>
            <w:gridSpan w:val="8"/>
            <w:hideMark/>
          </w:tcPr>
          <w:p w14:paraId="262BF32A"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b/>
                <w:bCs/>
                <w:color w:val="000000" w:themeColor="text1"/>
                <w:sz w:val="22"/>
                <w:szCs w:val="22"/>
                <w:lang w:val="en-US"/>
              </w:rPr>
              <w:lastRenderedPageBreak/>
              <w:t>Table 2:</w:t>
            </w:r>
            <w:r w:rsidRPr="009A4FAB">
              <w:rPr>
                <w:color w:val="000000" w:themeColor="text1"/>
                <w:sz w:val="22"/>
                <w:szCs w:val="22"/>
                <w:lang w:val="en-US"/>
              </w:rPr>
              <w:t xml:space="preserve"> Factors for and the point prevalence of low back pain (n=613)</w:t>
            </w:r>
          </w:p>
        </w:tc>
      </w:tr>
      <w:tr w:rsidR="009A4FAB" w:rsidRPr="009A4FAB" w14:paraId="2DC30AE8" w14:textId="77777777" w:rsidTr="006C38B1">
        <w:trPr>
          <w:trHeight w:val="93"/>
        </w:trPr>
        <w:tc>
          <w:tcPr>
            <w:tcW w:w="2837" w:type="dxa"/>
            <w:gridSpan w:val="3"/>
            <w:tcBorders>
              <w:top w:val="single" w:sz="4" w:space="0" w:color="auto"/>
              <w:left w:val="nil"/>
              <w:bottom w:val="nil"/>
              <w:right w:val="nil"/>
            </w:tcBorders>
          </w:tcPr>
          <w:p w14:paraId="7C7DBA04"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255" w:type="dxa"/>
            <w:tcBorders>
              <w:top w:val="single" w:sz="4" w:space="0" w:color="auto"/>
              <w:left w:val="nil"/>
              <w:bottom w:val="nil"/>
              <w:right w:val="nil"/>
            </w:tcBorders>
          </w:tcPr>
          <w:p w14:paraId="7E561BC4"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p>
        </w:tc>
        <w:tc>
          <w:tcPr>
            <w:tcW w:w="9036" w:type="dxa"/>
            <w:gridSpan w:val="4"/>
            <w:tcBorders>
              <w:top w:val="single" w:sz="4" w:space="0" w:color="auto"/>
              <w:left w:val="nil"/>
              <w:bottom w:val="single" w:sz="4" w:space="0" w:color="auto"/>
              <w:right w:val="nil"/>
            </w:tcBorders>
            <w:hideMark/>
          </w:tcPr>
          <w:p w14:paraId="48743932"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Odds Ratio (95% Confidence Interval)</w:t>
            </w:r>
          </w:p>
        </w:tc>
      </w:tr>
      <w:tr w:rsidR="009A4FAB" w:rsidRPr="009A4FAB" w14:paraId="3FC26362" w14:textId="77777777" w:rsidTr="006C38B1">
        <w:trPr>
          <w:trHeight w:val="101"/>
        </w:trPr>
        <w:tc>
          <w:tcPr>
            <w:tcW w:w="2837" w:type="dxa"/>
            <w:gridSpan w:val="3"/>
            <w:tcBorders>
              <w:top w:val="nil"/>
              <w:left w:val="nil"/>
              <w:bottom w:val="single" w:sz="4" w:space="0" w:color="auto"/>
              <w:right w:val="nil"/>
            </w:tcBorders>
            <w:hideMark/>
          </w:tcPr>
          <w:p w14:paraId="2E8634A8" w14:textId="1B5A42FD"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Factors</w:t>
            </w:r>
          </w:p>
        </w:tc>
        <w:tc>
          <w:tcPr>
            <w:tcW w:w="2255" w:type="dxa"/>
            <w:tcBorders>
              <w:top w:val="nil"/>
              <w:left w:val="nil"/>
              <w:bottom w:val="single" w:sz="4" w:space="0" w:color="auto"/>
              <w:right w:val="nil"/>
            </w:tcBorders>
            <w:hideMark/>
          </w:tcPr>
          <w:p w14:paraId="6D9EEAB8"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Prevalence (%)</w:t>
            </w:r>
          </w:p>
        </w:tc>
        <w:tc>
          <w:tcPr>
            <w:tcW w:w="2255" w:type="dxa"/>
            <w:tcBorders>
              <w:top w:val="single" w:sz="4" w:space="0" w:color="auto"/>
              <w:left w:val="nil"/>
              <w:bottom w:val="single" w:sz="4" w:space="0" w:color="auto"/>
              <w:right w:val="nil"/>
            </w:tcBorders>
            <w:hideMark/>
          </w:tcPr>
          <w:p w14:paraId="049F7EF2"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Crude</w:t>
            </w:r>
          </w:p>
        </w:tc>
        <w:tc>
          <w:tcPr>
            <w:tcW w:w="2266" w:type="dxa"/>
            <w:tcBorders>
              <w:top w:val="single" w:sz="4" w:space="0" w:color="auto"/>
              <w:left w:val="nil"/>
              <w:bottom w:val="single" w:sz="4" w:space="0" w:color="auto"/>
              <w:right w:val="nil"/>
            </w:tcBorders>
            <w:hideMark/>
          </w:tcPr>
          <w:p w14:paraId="75D5C52E"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Adjusted 1</w:t>
            </w:r>
          </w:p>
        </w:tc>
        <w:tc>
          <w:tcPr>
            <w:tcW w:w="2268" w:type="dxa"/>
            <w:tcBorders>
              <w:top w:val="single" w:sz="4" w:space="0" w:color="auto"/>
              <w:left w:val="nil"/>
              <w:bottom w:val="single" w:sz="4" w:space="0" w:color="auto"/>
              <w:right w:val="nil"/>
            </w:tcBorders>
            <w:hideMark/>
          </w:tcPr>
          <w:p w14:paraId="24FA698D"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Adjusted 2</w:t>
            </w:r>
          </w:p>
        </w:tc>
        <w:tc>
          <w:tcPr>
            <w:tcW w:w="2247" w:type="dxa"/>
            <w:tcBorders>
              <w:top w:val="single" w:sz="4" w:space="0" w:color="auto"/>
              <w:left w:val="nil"/>
              <w:bottom w:val="single" w:sz="4" w:space="0" w:color="auto"/>
              <w:right w:val="nil"/>
            </w:tcBorders>
            <w:hideMark/>
          </w:tcPr>
          <w:p w14:paraId="35B0192B"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Adjusted 3</w:t>
            </w:r>
          </w:p>
        </w:tc>
      </w:tr>
      <w:tr w:rsidR="009A4FAB" w:rsidRPr="009A4FAB" w14:paraId="1BC72853" w14:textId="77777777" w:rsidTr="006C38B1">
        <w:trPr>
          <w:trHeight w:val="198"/>
        </w:trPr>
        <w:tc>
          <w:tcPr>
            <w:tcW w:w="320" w:type="dxa"/>
          </w:tcPr>
          <w:p w14:paraId="1F6B7B7F"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hideMark/>
          </w:tcPr>
          <w:p w14:paraId="796D8941"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Age (Years)</w:t>
            </w:r>
          </w:p>
        </w:tc>
        <w:tc>
          <w:tcPr>
            <w:tcW w:w="2255" w:type="dxa"/>
          </w:tcPr>
          <w:p w14:paraId="7A3785CF"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255" w:type="dxa"/>
            <w:vAlign w:val="center"/>
          </w:tcPr>
          <w:p w14:paraId="3F155880"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266" w:type="dxa"/>
            <w:vAlign w:val="center"/>
          </w:tcPr>
          <w:p w14:paraId="30F0FB8B" w14:textId="77777777" w:rsidR="009868DF" w:rsidRPr="009A4FAB" w:rsidRDefault="009868DF" w:rsidP="006C38B1">
            <w:pPr>
              <w:widowControl w:val="0"/>
              <w:autoSpaceDE w:val="0"/>
              <w:autoSpaceDN w:val="0"/>
              <w:adjustRightInd w:val="0"/>
              <w:spacing w:line="360" w:lineRule="auto"/>
              <w:jc w:val="center"/>
              <w:rPr>
                <w:b/>
                <w:bCs/>
                <w:color w:val="000000" w:themeColor="text1"/>
                <w:sz w:val="22"/>
                <w:szCs w:val="22"/>
                <w:lang w:val="en-US"/>
              </w:rPr>
            </w:pPr>
          </w:p>
        </w:tc>
        <w:tc>
          <w:tcPr>
            <w:tcW w:w="2268" w:type="dxa"/>
            <w:vAlign w:val="center"/>
          </w:tcPr>
          <w:p w14:paraId="27EEE38E"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247" w:type="dxa"/>
            <w:vAlign w:val="center"/>
          </w:tcPr>
          <w:p w14:paraId="129C932F"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r>
      <w:tr w:rsidR="009A4FAB" w:rsidRPr="009A4FAB" w14:paraId="573AF01D" w14:textId="77777777" w:rsidTr="006C38B1">
        <w:trPr>
          <w:trHeight w:val="98"/>
        </w:trPr>
        <w:tc>
          <w:tcPr>
            <w:tcW w:w="320" w:type="dxa"/>
          </w:tcPr>
          <w:p w14:paraId="4262BF1C"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tcPr>
          <w:p w14:paraId="614A6F89"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107" w:type="dxa"/>
            <w:hideMark/>
          </w:tcPr>
          <w:p w14:paraId="7FA5B6DA"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30-44</w:t>
            </w:r>
          </w:p>
        </w:tc>
        <w:tc>
          <w:tcPr>
            <w:tcW w:w="2255" w:type="dxa"/>
            <w:hideMark/>
          </w:tcPr>
          <w:p w14:paraId="1364D278"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38/94 (40.4)</w:t>
            </w:r>
          </w:p>
        </w:tc>
        <w:tc>
          <w:tcPr>
            <w:tcW w:w="2255" w:type="dxa"/>
            <w:vAlign w:val="center"/>
            <w:hideMark/>
          </w:tcPr>
          <w:p w14:paraId="1DEAF015"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c>
          <w:tcPr>
            <w:tcW w:w="2266" w:type="dxa"/>
            <w:vAlign w:val="center"/>
            <w:hideMark/>
          </w:tcPr>
          <w:p w14:paraId="590908BB" w14:textId="77777777" w:rsidR="009868DF" w:rsidRPr="009A4FAB" w:rsidRDefault="009868DF" w:rsidP="006C38B1">
            <w:pPr>
              <w:widowControl w:val="0"/>
              <w:autoSpaceDE w:val="0"/>
              <w:autoSpaceDN w:val="0"/>
              <w:adjustRightInd w:val="0"/>
              <w:spacing w:line="360" w:lineRule="auto"/>
              <w:jc w:val="center"/>
              <w:rPr>
                <w:b/>
                <w:bCs/>
                <w:color w:val="000000" w:themeColor="text1"/>
                <w:sz w:val="22"/>
                <w:szCs w:val="22"/>
                <w:lang w:val="en-US"/>
              </w:rPr>
            </w:pPr>
            <w:r w:rsidRPr="009A4FAB">
              <w:rPr>
                <w:b/>
                <w:bCs/>
                <w:color w:val="000000" w:themeColor="text1"/>
                <w:sz w:val="22"/>
                <w:szCs w:val="22"/>
                <w:lang w:val="en-US"/>
              </w:rPr>
              <w:t>-</w:t>
            </w:r>
          </w:p>
        </w:tc>
        <w:tc>
          <w:tcPr>
            <w:tcW w:w="2268" w:type="dxa"/>
            <w:vAlign w:val="center"/>
            <w:hideMark/>
          </w:tcPr>
          <w:p w14:paraId="4AA0C320"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c>
          <w:tcPr>
            <w:tcW w:w="2247" w:type="dxa"/>
            <w:vAlign w:val="center"/>
            <w:hideMark/>
          </w:tcPr>
          <w:p w14:paraId="146A909F"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r>
      <w:tr w:rsidR="009A4FAB" w:rsidRPr="009A4FAB" w14:paraId="7C83EF94" w14:textId="77777777" w:rsidTr="006C38B1">
        <w:trPr>
          <w:trHeight w:val="98"/>
        </w:trPr>
        <w:tc>
          <w:tcPr>
            <w:tcW w:w="320" w:type="dxa"/>
          </w:tcPr>
          <w:p w14:paraId="0B1A65E6"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0EC3E879" w14:textId="77777777" w:rsidR="009868DF" w:rsidRPr="009A4FAB" w:rsidRDefault="009868DF" w:rsidP="006C38B1">
            <w:pPr>
              <w:widowControl w:val="0"/>
              <w:autoSpaceDE w:val="0"/>
              <w:autoSpaceDN w:val="0"/>
              <w:adjustRightInd w:val="0"/>
              <w:spacing w:line="360" w:lineRule="auto"/>
              <w:rPr>
                <w:color w:val="000000" w:themeColor="text1"/>
                <w:sz w:val="22"/>
                <w:szCs w:val="22"/>
                <w:u w:val="single"/>
                <w:lang w:val="en-US"/>
              </w:rPr>
            </w:pPr>
          </w:p>
        </w:tc>
        <w:tc>
          <w:tcPr>
            <w:tcW w:w="2107" w:type="dxa"/>
            <w:hideMark/>
          </w:tcPr>
          <w:p w14:paraId="0CBA1B1D"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45-59</w:t>
            </w:r>
          </w:p>
        </w:tc>
        <w:tc>
          <w:tcPr>
            <w:tcW w:w="2255" w:type="dxa"/>
            <w:hideMark/>
          </w:tcPr>
          <w:p w14:paraId="5AAEE101"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62/192 (32.3)</w:t>
            </w:r>
          </w:p>
        </w:tc>
        <w:tc>
          <w:tcPr>
            <w:tcW w:w="2255" w:type="dxa"/>
            <w:vAlign w:val="center"/>
            <w:hideMark/>
          </w:tcPr>
          <w:p w14:paraId="01FAC96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0.70 (0.42, 1.17)</w:t>
            </w:r>
          </w:p>
        </w:tc>
        <w:tc>
          <w:tcPr>
            <w:tcW w:w="2266" w:type="dxa"/>
            <w:vAlign w:val="center"/>
            <w:hideMark/>
          </w:tcPr>
          <w:p w14:paraId="0D0DD07C" w14:textId="77777777" w:rsidR="009868DF" w:rsidRPr="009A4FAB" w:rsidRDefault="009868DF" w:rsidP="006C38B1">
            <w:pPr>
              <w:widowControl w:val="0"/>
              <w:autoSpaceDE w:val="0"/>
              <w:autoSpaceDN w:val="0"/>
              <w:adjustRightInd w:val="0"/>
              <w:spacing w:line="360" w:lineRule="auto"/>
              <w:jc w:val="center"/>
              <w:rPr>
                <w:b/>
                <w:bCs/>
                <w:color w:val="000000" w:themeColor="text1"/>
                <w:sz w:val="22"/>
                <w:szCs w:val="22"/>
                <w:lang w:val="en-US"/>
              </w:rPr>
            </w:pPr>
            <w:r w:rsidRPr="009A4FAB">
              <w:rPr>
                <w:b/>
                <w:bCs/>
                <w:color w:val="000000" w:themeColor="text1"/>
                <w:sz w:val="22"/>
                <w:szCs w:val="22"/>
                <w:lang w:val="en-US"/>
              </w:rPr>
              <w:t>-</w:t>
            </w:r>
          </w:p>
        </w:tc>
        <w:tc>
          <w:tcPr>
            <w:tcW w:w="2268" w:type="dxa"/>
            <w:vAlign w:val="center"/>
            <w:hideMark/>
          </w:tcPr>
          <w:p w14:paraId="6603EAE1"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0.68 (0.40, 1.13)</w:t>
            </w:r>
          </w:p>
        </w:tc>
        <w:tc>
          <w:tcPr>
            <w:tcW w:w="2247" w:type="dxa"/>
            <w:vAlign w:val="center"/>
            <w:hideMark/>
          </w:tcPr>
          <w:p w14:paraId="3F56B5A9"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0.68 (0.40, 1.14)</w:t>
            </w:r>
          </w:p>
        </w:tc>
      </w:tr>
      <w:tr w:rsidR="009A4FAB" w:rsidRPr="009A4FAB" w14:paraId="161A68B0" w14:textId="77777777" w:rsidTr="006C38B1">
        <w:trPr>
          <w:trHeight w:val="98"/>
        </w:trPr>
        <w:tc>
          <w:tcPr>
            <w:tcW w:w="320" w:type="dxa"/>
          </w:tcPr>
          <w:p w14:paraId="6C8B0323"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2C045804" w14:textId="77777777" w:rsidR="009868DF" w:rsidRPr="009A4FAB" w:rsidRDefault="009868DF" w:rsidP="006C38B1">
            <w:pPr>
              <w:widowControl w:val="0"/>
              <w:autoSpaceDE w:val="0"/>
              <w:autoSpaceDN w:val="0"/>
              <w:adjustRightInd w:val="0"/>
              <w:spacing w:line="360" w:lineRule="auto"/>
              <w:rPr>
                <w:color w:val="000000" w:themeColor="text1"/>
                <w:sz w:val="22"/>
                <w:szCs w:val="22"/>
                <w:u w:val="single"/>
                <w:lang w:val="en-US"/>
              </w:rPr>
            </w:pPr>
          </w:p>
        </w:tc>
        <w:tc>
          <w:tcPr>
            <w:tcW w:w="2107" w:type="dxa"/>
            <w:hideMark/>
          </w:tcPr>
          <w:p w14:paraId="3DB1667F"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60-74</w:t>
            </w:r>
          </w:p>
        </w:tc>
        <w:tc>
          <w:tcPr>
            <w:tcW w:w="2255" w:type="dxa"/>
            <w:hideMark/>
          </w:tcPr>
          <w:p w14:paraId="59B5F632"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59/184 (32.1)</w:t>
            </w:r>
          </w:p>
        </w:tc>
        <w:tc>
          <w:tcPr>
            <w:tcW w:w="2255" w:type="dxa"/>
            <w:vAlign w:val="center"/>
            <w:hideMark/>
          </w:tcPr>
          <w:p w14:paraId="34B2B0C2"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0.70 (0.42, 1.16)</w:t>
            </w:r>
          </w:p>
        </w:tc>
        <w:tc>
          <w:tcPr>
            <w:tcW w:w="2266" w:type="dxa"/>
            <w:vAlign w:val="center"/>
            <w:hideMark/>
          </w:tcPr>
          <w:p w14:paraId="4633DF16" w14:textId="77777777" w:rsidR="009868DF" w:rsidRPr="009A4FAB" w:rsidRDefault="009868DF" w:rsidP="006C38B1">
            <w:pPr>
              <w:widowControl w:val="0"/>
              <w:autoSpaceDE w:val="0"/>
              <w:autoSpaceDN w:val="0"/>
              <w:adjustRightInd w:val="0"/>
              <w:spacing w:line="360" w:lineRule="auto"/>
              <w:jc w:val="center"/>
              <w:rPr>
                <w:b/>
                <w:bCs/>
                <w:color w:val="000000" w:themeColor="text1"/>
                <w:sz w:val="22"/>
                <w:szCs w:val="22"/>
                <w:lang w:val="en-US"/>
              </w:rPr>
            </w:pPr>
            <w:r w:rsidRPr="009A4FAB">
              <w:rPr>
                <w:b/>
                <w:bCs/>
                <w:color w:val="000000" w:themeColor="text1"/>
                <w:sz w:val="22"/>
                <w:szCs w:val="22"/>
                <w:lang w:val="en-US"/>
              </w:rPr>
              <w:t>-</w:t>
            </w:r>
          </w:p>
        </w:tc>
        <w:tc>
          <w:tcPr>
            <w:tcW w:w="2268" w:type="dxa"/>
            <w:vAlign w:val="center"/>
            <w:hideMark/>
          </w:tcPr>
          <w:p w14:paraId="4F023C50"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0.66 (0.39, 1.12)</w:t>
            </w:r>
          </w:p>
        </w:tc>
        <w:tc>
          <w:tcPr>
            <w:tcW w:w="2247" w:type="dxa"/>
            <w:vAlign w:val="center"/>
            <w:hideMark/>
          </w:tcPr>
          <w:p w14:paraId="23D0A36E"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0.68 (0.40, 1.15)</w:t>
            </w:r>
          </w:p>
        </w:tc>
      </w:tr>
      <w:tr w:rsidR="009A4FAB" w:rsidRPr="009A4FAB" w14:paraId="0B07A700" w14:textId="77777777" w:rsidTr="006C38B1">
        <w:trPr>
          <w:trHeight w:val="98"/>
        </w:trPr>
        <w:tc>
          <w:tcPr>
            <w:tcW w:w="320" w:type="dxa"/>
          </w:tcPr>
          <w:p w14:paraId="0E2EE47C"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38001388" w14:textId="77777777" w:rsidR="009868DF" w:rsidRPr="009A4FAB" w:rsidRDefault="009868DF" w:rsidP="006C38B1">
            <w:pPr>
              <w:widowControl w:val="0"/>
              <w:autoSpaceDE w:val="0"/>
              <w:autoSpaceDN w:val="0"/>
              <w:adjustRightInd w:val="0"/>
              <w:spacing w:line="360" w:lineRule="auto"/>
              <w:rPr>
                <w:color w:val="000000" w:themeColor="text1"/>
                <w:sz w:val="22"/>
                <w:szCs w:val="22"/>
                <w:u w:val="single"/>
                <w:lang w:val="en-US"/>
              </w:rPr>
            </w:pPr>
          </w:p>
        </w:tc>
        <w:tc>
          <w:tcPr>
            <w:tcW w:w="2107" w:type="dxa"/>
            <w:hideMark/>
          </w:tcPr>
          <w:p w14:paraId="75FA21DE"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u w:val="single"/>
                <w:lang w:val="en-US"/>
              </w:rPr>
              <w:t>≥</w:t>
            </w:r>
            <w:r w:rsidRPr="009A4FAB">
              <w:rPr>
                <w:color w:val="000000" w:themeColor="text1"/>
                <w:sz w:val="22"/>
                <w:szCs w:val="22"/>
                <w:lang w:val="en-US"/>
              </w:rPr>
              <w:t xml:space="preserve"> 75</w:t>
            </w:r>
          </w:p>
        </w:tc>
        <w:tc>
          <w:tcPr>
            <w:tcW w:w="2255" w:type="dxa"/>
            <w:hideMark/>
          </w:tcPr>
          <w:p w14:paraId="17F23D35"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38/143 (26.6)</w:t>
            </w:r>
          </w:p>
        </w:tc>
        <w:tc>
          <w:tcPr>
            <w:tcW w:w="2255" w:type="dxa"/>
            <w:vAlign w:val="center"/>
            <w:hideMark/>
          </w:tcPr>
          <w:p w14:paraId="4322E1F6"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0.53 (0.31, 0.93) *</w:t>
            </w:r>
          </w:p>
        </w:tc>
        <w:tc>
          <w:tcPr>
            <w:tcW w:w="2266" w:type="dxa"/>
            <w:vAlign w:val="center"/>
            <w:hideMark/>
          </w:tcPr>
          <w:p w14:paraId="2C436DB0" w14:textId="77777777" w:rsidR="009868DF" w:rsidRPr="009A4FAB" w:rsidRDefault="009868DF" w:rsidP="006C38B1">
            <w:pPr>
              <w:widowControl w:val="0"/>
              <w:autoSpaceDE w:val="0"/>
              <w:autoSpaceDN w:val="0"/>
              <w:adjustRightInd w:val="0"/>
              <w:spacing w:line="360" w:lineRule="auto"/>
              <w:jc w:val="center"/>
              <w:rPr>
                <w:b/>
                <w:bCs/>
                <w:color w:val="000000" w:themeColor="text1"/>
                <w:sz w:val="22"/>
                <w:szCs w:val="22"/>
                <w:lang w:val="en-US"/>
              </w:rPr>
            </w:pPr>
            <w:r w:rsidRPr="009A4FAB">
              <w:rPr>
                <w:b/>
                <w:bCs/>
                <w:color w:val="000000" w:themeColor="text1"/>
                <w:sz w:val="22"/>
                <w:szCs w:val="22"/>
                <w:lang w:val="en-US"/>
              </w:rPr>
              <w:t>-</w:t>
            </w:r>
          </w:p>
        </w:tc>
        <w:tc>
          <w:tcPr>
            <w:tcW w:w="2268" w:type="dxa"/>
            <w:vAlign w:val="center"/>
            <w:hideMark/>
          </w:tcPr>
          <w:p w14:paraId="31D3D22E"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0.50 (0.28, 0.87) *</w:t>
            </w:r>
          </w:p>
        </w:tc>
        <w:tc>
          <w:tcPr>
            <w:tcW w:w="2247" w:type="dxa"/>
            <w:vAlign w:val="center"/>
            <w:hideMark/>
          </w:tcPr>
          <w:p w14:paraId="2632EF00"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0.51 (0.29, 0.91) *</w:t>
            </w:r>
          </w:p>
        </w:tc>
      </w:tr>
      <w:tr w:rsidR="009A4FAB" w:rsidRPr="009A4FAB" w14:paraId="0B24DB69" w14:textId="77777777" w:rsidTr="006C38B1">
        <w:trPr>
          <w:trHeight w:val="98"/>
        </w:trPr>
        <w:tc>
          <w:tcPr>
            <w:tcW w:w="320" w:type="dxa"/>
          </w:tcPr>
          <w:p w14:paraId="3F9E4FDD"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vAlign w:val="center"/>
            <w:hideMark/>
          </w:tcPr>
          <w:p w14:paraId="376AB936" w14:textId="77777777" w:rsidR="009868DF" w:rsidRPr="009A4FAB" w:rsidRDefault="009868DF" w:rsidP="006C38B1">
            <w:pPr>
              <w:widowControl w:val="0"/>
              <w:autoSpaceDE w:val="0"/>
              <w:autoSpaceDN w:val="0"/>
              <w:adjustRightInd w:val="0"/>
              <w:spacing w:line="360" w:lineRule="auto"/>
              <w:rPr>
                <w:color w:val="000000" w:themeColor="text1"/>
                <w:sz w:val="22"/>
                <w:szCs w:val="22"/>
                <w:u w:val="single"/>
                <w:lang w:val="en-US"/>
              </w:rPr>
            </w:pPr>
            <w:r w:rsidRPr="009A4FAB">
              <w:rPr>
                <w:color w:val="000000" w:themeColor="text1"/>
                <w:sz w:val="22"/>
                <w:szCs w:val="22"/>
                <w:lang w:val="en-US"/>
              </w:rPr>
              <w:t>Change in BMI Kg/m</w:t>
            </w:r>
            <w:r w:rsidRPr="009A4FAB">
              <w:rPr>
                <w:color w:val="000000" w:themeColor="text1"/>
                <w:sz w:val="22"/>
                <w:szCs w:val="22"/>
                <w:vertAlign w:val="superscript"/>
                <w:lang w:val="en-US"/>
              </w:rPr>
              <w:t>2</w:t>
            </w:r>
          </w:p>
        </w:tc>
        <w:tc>
          <w:tcPr>
            <w:tcW w:w="2255" w:type="dxa"/>
          </w:tcPr>
          <w:p w14:paraId="145023FD"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p>
        </w:tc>
        <w:tc>
          <w:tcPr>
            <w:tcW w:w="2255" w:type="dxa"/>
            <w:vAlign w:val="center"/>
          </w:tcPr>
          <w:p w14:paraId="61814C71"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p>
        </w:tc>
        <w:tc>
          <w:tcPr>
            <w:tcW w:w="2266" w:type="dxa"/>
            <w:vAlign w:val="center"/>
          </w:tcPr>
          <w:p w14:paraId="385E7959" w14:textId="77777777" w:rsidR="009868DF" w:rsidRPr="009A4FAB" w:rsidRDefault="009868DF" w:rsidP="006C38B1">
            <w:pPr>
              <w:widowControl w:val="0"/>
              <w:autoSpaceDE w:val="0"/>
              <w:autoSpaceDN w:val="0"/>
              <w:adjustRightInd w:val="0"/>
              <w:spacing w:line="360" w:lineRule="auto"/>
              <w:jc w:val="center"/>
              <w:rPr>
                <w:b/>
                <w:bCs/>
                <w:color w:val="000000" w:themeColor="text1"/>
                <w:sz w:val="22"/>
                <w:szCs w:val="22"/>
                <w:lang w:val="en-US"/>
              </w:rPr>
            </w:pPr>
          </w:p>
        </w:tc>
        <w:tc>
          <w:tcPr>
            <w:tcW w:w="2268" w:type="dxa"/>
            <w:vAlign w:val="center"/>
          </w:tcPr>
          <w:p w14:paraId="1B620D32"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p>
        </w:tc>
        <w:tc>
          <w:tcPr>
            <w:tcW w:w="2247" w:type="dxa"/>
            <w:vAlign w:val="center"/>
          </w:tcPr>
          <w:p w14:paraId="1BA1040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r>
      <w:tr w:rsidR="009A4FAB" w:rsidRPr="009A4FAB" w14:paraId="66BC112F" w14:textId="77777777" w:rsidTr="006C38B1">
        <w:trPr>
          <w:trHeight w:val="98"/>
        </w:trPr>
        <w:tc>
          <w:tcPr>
            <w:tcW w:w="320" w:type="dxa"/>
          </w:tcPr>
          <w:p w14:paraId="20021494"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0ADC258B" w14:textId="77777777" w:rsidR="009868DF" w:rsidRPr="009A4FAB" w:rsidRDefault="009868DF" w:rsidP="006C38B1">
            <w:pPr>
              <w:widowControl w:val="0"/>
              <w:autoSpaceDE w:val="0"/>
              <w:autoSpaceDN w:val="0"/>
              <w:adjustRightInd w:val="0"/>
              <w:spacing w:line="360" w:lineRule="auto"/>
              <w:rPr>
                <w:color w:val="000000" w:themeColor="text1"/>
                <w:sz w:val="22"/>
                <w:szCs w:val="22"/>
                <w:u w:val="single"/>
                <w:lang w:val="en-US"/>
              </w:rPr>
            </w:pPr>
          </w:p>
        </w:tc>
        <w:tc>
          <w:tcPr>
            <w:tcW w:w="2107" w:type="dxa"/>
            <w:hideMark/>
          </w:tcPr>
          <w:p w14:paraId="3A990CAE"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 xml:space="preserve">Normal </w:t>
            </w:r>
            <w:r w:rsidRPr="009A4FAB">
              <w:rPr>
                <w:color w:val="000000" w:themeColor="text1"/>
                <w:sz w:val="22"/>
                <w:szCs w:val="22"/>
                <w:u w:val="single"/>
                <w:lang w:val="en-US"/>
              </w:rPr>
              <w:t>&lt;</w:t>
            </w:r>
            <w:r w:rsidRPr="009A4FAB">
              <w:rPr>
                <w:color w:val="000000" w:themeColor="text1"/>
                <w:sz w:val="22"/>
                <w:szCs w:val="22"/>
                <w:lang w:val="en-US"/>
              </w:rPr>
              <w:t xml:space="preserve"> 24.9</w:t>
            </w:r>
          </w:p>
        </w:tc>
        <w:tc>
          <w:tcPr>
            <w:tcW w:w="2255" w:type="dxa"/>
            <w:hideMark/>
          </w:tcPr>
          <w:p w14:paraId="1C88381E"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108/388 (27.8)</w:t>
            </w:r>
          </w:p>
        </w:tc>
        <w:tc>
          <w:tcPr>
            <w:tcW w:w="2255" w:type="dxa"/>
            <w:vAlign w:val="center"/>
            <w:hideMark/>
          </w:tcPr>
          <w:p w14:paraId="30DDA6A0"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c>
          <w:tcPr>
            <w:tcW w:w="2266" w:type="dxa"/>
            <w:hideMark/>
          </w:tcPr>
          <w:p w14:paraId="424E05CB" w14:textId="77777777" w:rsidR="009868DF" w:rsidRPr="009A4FAB" w:rsidRDefault="009868DF" w:rsidP="006C38B1">
            <w:pPr>
              <w:widowControl w:val="0"/>
              <w:autoSpaceDE w:val="0"/>
              <w:autoSpaceDN w:val="0"/>
              <w:adjustRightInd w:val="0"/>
              <w:spacing w:line="360" w:lineRule="auto"/>
              <w:jc w:val="center"/>
              <w:rPr>
                <w:b/>
                <w:bCs/>
                <w:color w:val="000000" w:themeColor="text1"/>
                <w:sz w:val="22"/>
                <w:szCs w:val="22"/>
                <w:lang w:val="en-US"/>
              </w:rPr>
            </w:pPr>
            <w:r w:rsidRPr="009A4FAB">
              <w:rPr>
                <w:color w:val="000000" w:themeColor="text1"/>
                <w:sz w:val="22"/>
                <w:szCs w:val="22"/>
                <w:lang w:val="en-US"/>
              </w:rPr>
              <w:t>1</w:t>
            </w:r>
          </w:p>
        </w:tc>
        <w:tc>
          <w:tcPr>
            <w:tcW w:w="2268" w:type="dxa"/>
            <w:hideMark/>
          </w:tcPr>
          <w:p w14:paraId="46410307" w14:textId="77777777" w:rsidR="009868DF" w:rsidRPr="009A4FAB" w:rsidRDefault="009868DF" w:rsidP="006C38B1">
            <w:pPr>
              <w:widowControl w:val="0"/>
              <w:autoSpaceDE w:val="0"/>
              <w:autoSpaceDN w:val="0"/>
              <w:adjustRightInd w:val="0"/>
              <w:spacing w:line="360" w:lineRule="auto"/>
              <w:jc w:val="center"/>
              <w:rPr>
                <w:b/>
                <w:bCs/>
                <w:color w:val="000000" w:themeColor="text1"/>
                <w:sz w:val="22"/>
                <w:szCs w:val="22"/>
                <w:lang w:val="en-US"/>
              </w:rPr>
            </w:pPr>
            <w:r w:rsidRPr="009A4FAB">
              <w:rPr>
                <w:color w:val="000000" w:themeColor="text1"/>
                <w:sz w:val="22"/>
                <w:szCs w:val="22"/>
                <w:lang w:val="en-US"/>
              </w:rPr>
              <w:t>1</w:t>
            </w:r>
          </w:p>
        </w:tc>
        <w:tc>
          <w:tcPr>
            <w:tcW w:w="2247" w:type="dxa"/>
            <w:hideMark/>
          </w:tcPr>
          <w:p w14:paraId="471E0BEB"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r>
      <w:tr w:rsidR="009A4FAB" w:rsidRPr="009A4FAB" w14:paraId="111A8502" w14:textId="77777777" w:rsidTr="006C38B1">
        <w:trPr>
          <w:trHeight w:val="98"/>
        </w:trPr>
        <w:tc>
          <w:tcPr>
            <w:tcW w:w="320" w:type="dxa"/>
          </w:tcPr>
          <w:p w14:paraId="57EC179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175285DB" w14:textId="77777777" w:rsidR="009868DF" w:rsidRPr="009A4FAB" w:rsidRDefault="009868DF" w:rsidP="006C38B1">
            <w:pPr>
              <w:widowControl w:val="0"/>
              <w:autoSpaceDE w:val="0"/>
              <w:autoSpaceDN w:val="0"/>
              <w:adjustRightInd w:val="0"/>
              <w:spacing w:line="360" w:lineRule="auto"/>
              <w:rPr>
                <w:color w:val="000000" w:themeColor="text1"/>
                <w:sz w:val="22"/>
                <w:szCs w:val="22"/>
                <w:u w:val="single"/>
                <w:lang w:val="en-US"/>
              </w:rPr>
            </w:pPr>
          </w:p>
        </w:tc>
        <w:tc>
          <w:tcPr>
            <w:tcW w:w="2107" w:type="dxa"/>
            <w:hideMark/>
          </w:tcPr>
          <w:p w14:paraId="53E5CF4A"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Increased</w:t>
            </w:r>
            <w:r w:rsidRPr="009A4FAB">
              <w:rPr>
                <w:rFonts w:eastAsia="MS Mincho"/>
                <w:color w:val="000000" w:themeColor="text1"/>
                <w:sz w:val="22"/>
                <w:szCs w:val="22"/>
                <w:lang w:val="en-US"/>
              </w:rPr>
              <w:t xml:space="preserve"> </w:t>
            </w:r>
            <w:r w:rsidRPr="009A4FAB">
              <w:rPr>
                <w:rFonts w:eastAsia="MS Mincho"/>
                <w:color w:val="000000" w:themeColor="text1"/>
                <w:sz w:val="22"/>
                <w:szCs w:val="22"/>
                <w:u w:val="single"/>
                <w:lang w:val="en-US"/>
              </w:rPr>
              <w:t>&gt;</w:t>
            </w:r>
            <w:r w:rsidRPr="009A4FAB">
              <w:rPr>
                <w:rFonts w:eastAsia="MS Mincho"/>
                <w:color w:val="000000" w:themeColor="text1"/>
                <w:sz w:val="22"/>
                <w:szCs w:val="22"/>
                <w:lang w:val="en-US"/>
              </w:rPr>
              <w:t xml:space="preserve"> 25.0</w:t>
            </w:r>
          </w:p>
        </w:tc>
        <w:tc>
          <w:tcPr>
            <w:tcW w:w="2255" w:type="dxa"/>
            <w:hideMark/>
          </w:tcPr>
          <w:p w14:paraId="324E3495"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60/134 (44.8)</w:t>
            </w:r>
          </w:p>
        </w:tc>
        <w:tc>
          <w:tcPr>
            <w:tcW w:w="2255" w:type="dxa"/>
            <w:vAlign w:val="center"/>
            <w:hideMark/>
          </w:tcPr>
          <w:p w14:paraId="7D4404C7"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2.10 (1.40, 3.16) ***</w:t>
            </w:r>
          </w:p>
        </w:tc>
        <w:tc>
          <w:tcPr>
            <w:tcW w:w="2266" w:type="dxa"/>
            <w:vAlign w:val="center"/>
            <w:hideMark/>
          </w:tcPr>
          <w:p w14:paraId="35783F87" w14:textId="77777777" w:rsidR="009868DF" w:rsidRPr="009A4FAB" w:rsidRDefault="009868DF" w:rsidP="006C38B1">
            <w:pPr>
              <w:widowControl w:val="0"/>
              <w:autoSpaceDE w:val="0"/>
              <w:autoSpaceDN w:val="0"/>
              <w:adjustRightInd w:val="0"/>
              <w:spacing w:line="360" w:lineRule="auto"/>
              <w:jc w:val="center"/>
              <w:rPr>
                <w:b/>
                <w:bCs/>
                <w:color w:val="000000" w:themeColor="text1"/>
                <w:sz w:val="22"/>
                <w:szCs w:val="22"/>
                <w:lang w:val="en-US"/>
              </w:rPr>
            </w:pPr>
            <w:r w:rsidRPr="009A4FAB">
              <w:rPr>
                <w:b/>
                <w:bCs/>
                <w:color w:val="000000" w:themeColor="text1"/>
                <w:sz w:val="22"/>
                <w:szCs w:val="22"/>
                <w:lang w:val="en-US"/>
              </w:rPr>
              <w:t>2.18 (1.45, 3.28) ***</w:t>
            </w:r>
          </w:p>
        </w:tc>
        <w:tc>
          <w:tcPr>
            <w:tcW w:w="2268" w:type="dxa"/>
            <w:vAlign w:val="center"/>
            <w:hideMark/>
          </w:tcPr>
          <w:p w14:paraId="6129F3FC" w14:textId="77777777" w:rsidR="009868DF" w:rsidRPr="009A4FAB" w:rsidRDefault="009868DF" w:rsidP="006C38B1">
            <w:pPr>
              <w:widowControl w:val="0"/>
              <w:autoSpaceDE w:val="0"/>
              <w:autoSpaceDN w:val="0"/>
              <w:adjustRightInd w:val="0"/>
              <w:spacing w:line="360" w:lineRule="auto"/>
              <w:jc w:val="center"/>
              <w:rPr>
                <w:b/>
                <w:bCs/>
                <w:color w:val="000000" w:themeColor="text1"/>
                <w:sz w:val="22"/>
                <w:szCs w:val="22"/>
                <w:lang w:val="en-US"/>
              </w:rPr>
            </w:pPr>
            <w:r w:rsidRPr="009A4FAB">
              <w:rPr>
                <w:b/>
                <w:bCs/>
                <w:color w:val="000000" w:themeColor="text1"/>
                <w:sz w:val="22"/>
                <w:szCs w:val="22"/>
                <w:lang w:val="en-US"/>
              </w:rPr>
              <w:t>-</w:t>
            </w:r>
          </w:p>
        </w:tc>
        <w:tc>
          <w:tcPr>
            <w:tcW w:w="2247" w:type="dxa"/>
            <w:vAlign w:val="center"/>
            <w:hideMark/>
          </w:tcPr>
          <w:p w14:paraId="2181F180"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2.21 (1.46, 3.34) ***</w:t>
            </w:r>
          </w:p>
        </w:tc>
      </w:tr>
      <w:tr w:rsidR="009A4FAB" w:rsidRPr="009A4FAB" w14:paraId="1295C885" w14:textId="77777777" w:rsidTr="006C38B1">
        <w:trPr>
          <w:trHeight w:val="98"/>
        </w:trPr>
        <w:tc>
          <w:tcPr>
            <w:tcW w:w="320" w:type="dxa"/>
          </w:tcPr>
          <w:p w14:paraId="416D5878"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1AE7DD05" w14:textId="77777777" w:rsidR="009868DF" w:rsidRPr="009A4FAB" w:rsidRDefault="009868DF" w:rsidP="006C38B1">
            <w:pPr>
              <w:widowControl w:val="0"/>
              <w:autoSpaceDE w:val="0"/>
              <w:autoSpaceDN w:val="0"/>
              <w:adjustRightInd w:val="0"/>
              <w:spacing w:line="360" w:lineRule="auto"/>
              <w:rPr>
                <w:color w:val="000000" w:themeColor="text1"/>
                <w:sz w:val="22"/>
                <w:szCs w:val="22"/>
                <w:u w:val="single"/>
                <w:lang w:val="en-US"/>
              </w:rPr>
            </w:pPr>
          </w:p>
        </w:tc>
        <w:tc>
          <w:tcPr>
            <w:tcW w:w="2107" w:type="dxa"/>
            <w:hideMark/>
          </w:tcPr>
          <w:p w14:paraId="4C16D219"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 xml:space="preserve">Remained </w:t>
            </w:r>
            <w:r w:rsidRPr="009A4FAB">
              <w:rPr>
                <w:color w:val="000000" w:themeColor="text1"/>
                <w:sz w:val="22"/>
                <w:szCs w:val="22"/>
                <w:u w:val="single"/>
                <w:lang w:val="en-US"/>
              </w:rPr>
              <w:t>&gt;</w:t>
            </w:r>
            <w:r w:rsidRPr="009A4FAB">
              <w:rPr>
                <w:color w:val="000000" w:themeColor="text1"/>
                <w:sz w:val="22"/>
                <w:szCs w:val="22"/>
                <w:lang w:val="en-US"/>
              </w:rPr>
              <w:t xml:space="preserve"> 25.0</w:t>
            </w:r>
          </w:p>
        </w:tc>
        <w:tc>
          <w:tcPr>
            <w:tcW w:w="2255" w:type="dxa"/>
            <w:hideMark/>
          </w:tcPr>
          <w:p w14:paraId="2286D549"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29/91 (31.9)</w:t>
            </w:r>
          </w:p>
        </w:tc>
        <w:tc>
          <w:tcPr>
            <w:tcW w:w="2255" w:type="dxa"/>
            <w:vAlign w:val="center"/>
            <w:hideMark/>
          </w:tcPr>
          <w:p w14:paraId="29B120F2"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1.21 (0.74, 1.99)</w:t>
            </w:r>
          </w:p>
        </w:tc>
        <w:tc>
          <w:tcPr>
            <w:tcW w:w="2266" w:type="dxa"/>
            <w:vAlign w:val="center"/>
            <w:hideMark/>
          </w:tcPr>
          <w:p w14:paraId="0B49AC13"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1.25 (0.76, 2.06)</w:t>
            </w:r>
          </w:p>
        </w:tc>
        <w:tc>
          <w:tcPr>
            <w:tcW w:w="2268" w:type="dxa"/>
            <w:vAlign w:val="center"/>
            <w:hideMark/>
          </w:tcPr>
          <w:p w14:paraId="245B054F" w14:textId="77777777" w:rsidR="009868DF" w:rsidRPr="009A4FAB" w:rsidRDefault="009868DF" w:rsidP="006C38B1">
            <w:pPr>
              <w:widowControl w:val="0"/>
              <w:autoSpaceDE w:val="0"/>
              <w:autoSpaceDN w:val="0"/>
              <w:adjustRightInd w:val="0"/>
              <w:spacing w:line="360" w:lineRule="auto"/>
              <w:jc w:val="center"/>
              <w:rPr>
                <w:b/>
                <w:bCs/>
                <w:color w:val="000000" w:themeColor="text1"/>
                <w:sz w:val="22"/>
                <w:szCs w:val="22"/>
                <w:lang w:val="en-US"/>
              </w:rPr>
            </w:pPr>
            <w:r w:rsidRPr="009A4FAB">
              <w:rPr>
                <w:b/>
                <w:bCs/>
                <w:color w:val="000000" w:themeColor="text1"/>
                <w:sz w:val="22"/>
                <w:szCs w:val="22"/>
                <w:lang w:val="en-US"/>
              </w:rPr>
              <w:t>-</w:t>
            </w:r>
          </w:p>
        </w:tc>
        <w:tc>
          <w:tcPr>
            <w:tcW w:w="2247" w:type="dxa"/>
            <w:vAlign w:val="center"/>
            <w:hideMark/>
          </w:tcPr>
          <w:p w14:paraId="52E76836"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1.28 (0.77, 2.13)</w:t>
            </w:r>
          </w:p>
        </w:tc>
      </w:tr>
      <w:tr w:rsidR="009A4FAB" w:rsidRPr="009A4FAB" w14:paraId="384C8C5F" w14:textId="77777777" w:rsidTr="006C38B1">
        <w:trPr>
          <w:trHeight w:val="98"/>
        </w:trPr>
        <w:tc>
          <w:tcPr>
            <w:tcW w:w="320" w:type="dxa"/>
          </w:tcPr>
          <w:p w14:paraId="173A552F"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hideMark/>
          </w:tcPr>
          <w:p w14:paraId="33E2AEC3" w14:textId="77777777" w:rsidR="009868DF" w:rsidRPr="009A4FAB" w:rsidRDefault="009868DF" w:rsidP="006C38B1">
            <w:pPr>
              <w:widowControl w:val="0"/>
              <w:autoSpaceDE w:val="0"/>
              <w:autoSpaceDN w:val="0"/>
              <w:adjustRightInd w:val="0"/>
              <w:spacing w:line="360" w:lineRule="auto"/>
              <w:jc w:val="both"/>
              <w:rPr>
                <w:color w:val="000000" w:themeColor="text1"/>
                <w:sz w:val="22"/>
                <w:szCs w:val="22"/>
                <w:lang w:val="en-US"/>
              </w:rPr>
            </w:pPr>
            <w:r w:rsidRPr="009A4FAB">
              <w:rPr>
                <w:color w:val="000000" w:themeColor="text1"/>
                <w:sz w:val="22"/>
                <w:szCs w:val="22"/>
                <w:lang w:val="en-US"/>
              </w:rPr>
              <w:t>Sex (Female)</w:t>
            </w:r>
          </w:p>
        </w:tc>
        <w:tc>
          <w:tcPr>
            <w:tcW w:w="2255" w:type="dxa"/>
            <w:hideMark/>
          </w:tcPr>
          <w:p w14:paraId="1A573BA5"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83/251 (33.1)</w:t>
            </w:r>
          </w:p>
        </w:tc>
        <w:tc>
          <w:tcPr>
            <w:tcW w:w="2255" w:type="dxa"/>
            <w:hideMark/>
          </w:tcPr>
          <w:p w14:paraId="1F97E363"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1.08 (0.76, 1.52)</w:t>
            </w:r>
          </w:p>
        </w:tc>
        <w:tc>
          <w:tcPr>
            <w:tcW w:w="2266" w:type="dxa"/>
            <w:vAlign w:val="center"/>
            <w:hideMark/>
          </w:tcPr>
          <w:p w14:paraId="20FB1A85"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0.99 (0.69, 1.41)</w:t>
            </w:r>
          </w:p>
        </w:tc>
        <w:tc>
          <w:tcPr>
            <w:tcW w:w="2268" w:type="dxa"/>
            <w:vAlign w:val="center"/>
            <w:hideMark/>
          </w:tcPr>
          <w:p w14:paraId="5C3513B7"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1.09 (0.75, 1.58)</w:t>
            </w:r>
          </w:p>
        </w:tc>
        <w:tc>
          <w:tcPr>
            <w:tcW w:w="2247" w:type="dxa"/>
            <w:vAlign w:val="center"/>
            <w:hideMark/>
          </w:tcPr>
          <w:p w14:paraId="7B42448B"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w:t>
            </w:r>
          </w:p>
        </w:tc>
      </w:tr>
      <w:tr w:rsidR="009A4FAB" w:rsidRPr="009A4FAB" w14:paraId="5DEBE74F" w14:textId="77777777" w:rsidTr="00093678">
        <w:trPr>
          <w:trHeight w:val="92"/>
        </w:trPr>
        <w:tc>
          <w:tcPr>
            <w:tcW w:w="320" w:type="dxa"/>
          </w:tcPr>
          <w:p w14:paraId="6BB1E65C"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hideMark/>
          </w:tcPr>
          <w:p w14:paraId="22DF4D10"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High-risk occupation</w:t>
            </w:r>
          </w:p>
        </w:tc>
        <w:tc>
          <w:tcPr>
            <w:tcW w:w="2255" w:type="dxa"/>
            <w:hideMark/>
          </w:tcPr>
          <w:p w14:paraId="6B9C192E"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17/69 (24.6)</w:t>
            </w:r>
          </w:p>
        </w:tc>
        <w:tc>
          <w:tcPr>
            <w:tcW w:w="2255" w:type="dxa"/>
            <w:vAlign w:val="center"/>
            <w:hideMark/>
          </w:tcPr>
          <w:p w14:paraId="5E7EE6A8"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0.66 (0.37, 1.17)</w:t>
            </w:r>
          </w:p>
        </w:tc>
        <w:tc>
          <w:tcPr>
            <w:tcW w:w="2266" w:type="dxa"/>
            <w:hideMark/>
          </w:tcPr>
          <w:p w14:paraId="45639911"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0.69 (0.38, 1.23)</w:t>
            </w:r>
          </w:p>
        </w:tc>
        <w:tc>
          <w:tcPr>
            <w:tcW w:w="2268" w:type="dxa"/>
            <w:hideMark/>
          </w:tcPr>
          <w:p w14:paraId="18F3F972"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0.66 (0.36, 1.20)</w:t>
            </w:r>
          </w:p>
        </w:tc>
        <w:tc>
          <w:tcPr>
            <w:tcW w:w="2247" w:type="dxa"/>
            <w:hideMark/>
          </w:tcPr>
          <w:p w14:paraId="62B53CD7"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0.67 (0.37, 1.21)</w:t>
            </w:r>
          </w:p>
        </w:tc>
      </w:tr>
      <w:tr w:rsidR="009A4FAB" w:rsidRPr="009A4FAB" w14:paraId="5F23BE59" w14:textId="77777777" w:rsidTr="00093678">
        <w:trPr>
          <w:trHeight w:val="100"/>
        </w:trPr>
        <w:tc>
          <w:tcPr>
            <w:tcW w:w="320" w:type="dxa"/>
          </w:tcPr>
          <w:p w14:paraId="3E15AE6C"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hideMark/>
          </w:tcPr>
          <w:p w14:paraId="60D12E36" w14:textId="10EAC48E" w:rsidR="009868DF" w:rsidRPr="009A4FAB" w:rsidRDefault="00884534"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History of a s</w:t>
            </w:r>
            <w:r w:rsidR="009868DF" w:rsidRPr="009A4FAB">
              <w:rPr>
                <w:color w:val="000000" w:themeColor="text1"/>
                <w:sz w:val="22"/>
                <w:szCs w:val="22"/>
                <w:lang w:val="en-US"/>
              </w:rPr>
              <w:t>ignificant low back injury</w:t>
            </w:r>
          </w:p>
        </w:tc>
        <w:tc>
          <w:tcPr>
            <w:tcW w:w="2255" w:type="dxa"/>
            <w:hideMark/>
          </w:tcPr>
          <w:p w14:paraId="53E6CAAC"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52/104 (50.0)</w:t>
            </w:r>
          </w:p>
        </w:tc>
        <w:tc>
          <w:tcPr>
            <w:tcW w:w="2255" w:type="dxa"/>
            <w:vAlign w:val="center"/>
            <w:hideMark/>
          </w:tcPr>
          <w:p w14:paraId="4245E863" w14:textId="0EF0FE53" w:rsidR="009868DF" w:rsidRDefault="009868DF" w:rsidP="006C38B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2.54 (1.65, 3.91) ***</w:t>
            </w:r>
          </w:p>
          <w:p w14:paraId="57FA0864" w14:textId="64523EF3" w:rsidR="00093678" w:rsidRPr="009A4FAB" w:rsidRDefault="00093678" w:rsidP="006C38B1">
            <w:pPr>
              <w:widowControl w:val="0"/>
              <w:autoSpaceDE w:val="0"/>
              <w:autoSpaceDN w:val="0"/>
              <w:adjustRightInd w:val="0"/>
              <w:spacing w:line="360" w:lineRule="auto"/>
              <w:rPr>
                <w:bCs/>
                <w:color w:val="000000" w:themeColor="text1"/>
                <w:sz w:val="22"/>
                <w:szCs w:val="22"/>
                <w:lang w:val="en-US"/>
              </w:rPr>
            </w:pPr>
          </w:p>
        </w:tc>
        <w:tc>
          <w:tcPr>
            <w:tcW w:w="2266" w:type="dxa"/>
            <w:hideMark/>
          </w:tcPr>
          <w:p w14:paraId="2E20D15A"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2.45 (1.58, 3.79) ***</w:t>
            </w:r>
          </w:p>
        </w:tc>
        <w:tc>
          <w:tcPr>
            <w:tcW w:w="2268" w:type="dxa"/>
            <w:hideMark/>
          </w:tcPr>
          <w:p w14:paraId="3C0C2830"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2.48 (1.59, 3.85) ***</w:t>
            </w:r>
          </w:p>
        </w:tc>
        <w:tc>
          <w:tcPr>
            <w:tcW w:w="2247" w:type="dxa"/>
            <w:hideMark/>
          </w:tcPr>
          <w:p w14:paraId="396E7FA5"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2.51 (1.60, 3.92) ***</w:t>
            </w:r>
          </w:p>
        </w:tc>
      </w:tr>
      <w:tr w:rsidR="009A4FAB" w:rsidRPr="009A4FAB" w14:paraId="5D4D4801" w14:textId="77777777" w:rsidTr="00093678">
        <w:trPr>
          <w:trHeight w:val="191"/>
        </w:trPr>
        <w:tc>
          <w:tcPr>
            <w:tcW w:w="320" w:type="dxa"/>
          </w:tcPr>
          <w:p w14:paraId="794A3B43"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hideMark/>
          </w:tcPr>
          <w:p w14:paraId="2FD07EDD"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High risk sport</w:t>
            </w:r>
          </w:p>
        </w:tc>
        <w:tc>
          <w:tcPr>
            <w:tcW w:w="2255" w:type="dxa"/>
          </w:tcPr>
          <w:p w14:paraId="6C9FB222"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p>
        </w:tc>
        <w:tc>
          <w:tcPr>
            <w:tcW w:w="2255" w:type="dxa"/>
            <w:vAlign w:val="center"/>
          </w:tcPr>
          <w:p w14:paraId="4581B7FD"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p>
        </w:tc>
        <w:tc>
          <w:tcPr>
            <w:tcW w:w="2266" w:type="dxa"/>
          </w:tcPr>
          <w:p w14:paraId="1C7C45A5"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p>
        </w:tc>
        <w:tc>
          <w:tcPr>
            <w:tcW w:w="2268" w:type="dxa"/>
          </w:tcPr>
          <w:p w14:paraId="66889186"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p>
        </w:tc>
        <w:tc>
          <w:tcPr>
            <w:tcW w:w="2247" w:type="dxa"/>
          </w:tcPr>
          <w:p w14:paraId="20439F91"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p>
        </w:tc>
      </w:tr>
      <w:tr w:rsidR="009A4FAB" w:rsidRPr="009A4FAB" w14:paraId="69F39A07" w14:textId="77777777" w:rsidTr="006C38B1">
        <w:trPr>
          <w:trHeight w:val="92"/>
        </w:trPr>
        <w:tc>
          <w:tcPr>
            <w:tcW w:w="320" w:type="dxa"/>
          </w:tcPr>
          <w:p w14:paraId="78D02F64"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tcPr>
          <w:p w14:paraId="65B71825"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107" w:type="dxa"/>
            <w:hideMark/>
          </w:tcPr>
          <w:p w14:paraId="3C26375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Non-loading</w:t>
            </w:r>
          </w:p>
        </w:tc>
        <w:tc>
          <w:tcPr>
            <w:tcW w:w="2255" w:type="dxa"/>
            <w:hideMark/>
          </w:tcPr>
          <w:p w14:paraId="212677D3"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60/204 (29.4)</w:t>
            </w:r>
          </w:p>
        </w:tc>
        <w:tc>
          <w:tcPr>
            <w:tcW w:w="2255" w:type="dxa"/>
            <w:vAlign w:val="center"/>
            <w:hideMark/>
          </w:tcPr>
          <w:p w14:paraId="5BCFA45B" w14:textId="77777777" w:rsidR="009868DF" w:rsidRPr="009A4FAB" w:rsidRDefault="009868DF" w:rsidP="006C38B1">
            <w:pPr>
              <w:widowControl w:val="0"/>
              <w:autoSpaceDE w:val="0"/>
              <w:autoSpaceDN w:val="0"/>
              <w:adjustRightInd w:val="0"/>
              <w:spacing w:line="360" w:lineRule="auto"/>
              <w:jc w:val="center"/>
              <w:rPr>
                <w:bCs/>
                <w:color w:val="000000" w:themeColor="text1"/>
                <w:sz w:val="22"/>
                <w:szCs w:val="22"/>
                <w:lang w:val="en-US"/>
              </w:rPr>
            </w:pPr>
            <w:r w:rsidRPr="009A4FAB">
              <w:rPr>
                <w:color w:val="000000" w:themeColor="text1"/>
                <w:sz w:val="22"/>
                <w:szCs w:val="22"/>
                <w:lang w:val="en-US"/>
              </w:rPr>
              <w:t>1</w:t>
            </w:r>
          </w:p>
        </w:tc>
        <w:tc>
          <w:tcPr>
            <w:tcW w:w="2266" w:type="dxa"/>
            <w:hideMark/>
          </w:tcPr>
          <w:p w14:paraId="47E11492" w14:textId="77777777" w:rsidR="009868DF" w:rsidRPr="009A4FAB" w:rsidRDefault="009868DF" w:rsidP="006C38B1">
            <w:pPr>
              <w:widowControl w:val="0"/>
              <w:autoSpaceDE w:val="0"/>
              <w:autoSpaceDN w:val="0"/>
              <w:adjustRightInd w:val="0"/>
              <w:spacing w:line="360" w:lineRule="auto"/>
              <w:jc w:val="center"/>
              <w:rPr>
                <w:bCs/>
                <w:color w:val="000000" w:themeColor="text1"/>
                <w:sz w:val="22"/>
                <w:szCs w:val="22"/>
                <w:lang w:val="en-US"/>
              </w:rPr>
            </w:pPr>
            <w:r w:rsidRPr="009A4FAB">
              <w:rPr>
                <w:color w:val="000000" w:themeColor="text1"/>
                <w:sz w:val="22"/>
                <w:szCs w:val="22"/>
                <w:lang w:val="en-US"/>
              </w:rPr>
              <w:t>1</w:t>
            </w:r>
          </w:p>
        </w:tc>
        <w:tc>
          <w:tcPr>
            <w:tcW w:w="2268" w:type="dxa"/>
            <w:hideMark/>
          </w:tcPr>
          <w:p w14:paraId="20DEF2E4" w14:textId="77777777" w:rsidR="009868DF" w:rsidRPr="009A4FAB" w:rsidRDefault="009868DF" w:rsidP="006C38B1">
            <w:pPr>
              <w:widowControl w:val="0"/>
              <w:autoSpaceDE w:val="0"/>
              <w:autoSpaceDN w:val="0"/>
              <w:adjustRightInd w:val="0"/>
              <w:spacing w:line="360" w:lineRule="auto"/>
              <w:jc w:val="center"/>
              <w:rPr>
                <w:bCs/>
                <w:color w:val="000000" w:themeColor="text1"/>
                <w:sz w:val="22"/>
                <w:szCs w:val="22"/>
                <w:lang w:val="en-US"/>
              </w:rPr>
            </w:pPr>
            <w:r w:rsidRPr="009A4FAB">
              <w:rPr>
                <w:color w:val="000000" w:themeColor="text1"/>
                <w:sz w:val="22"/>
                <w:szCs w:val="22"/>
                <w:lang w:val="en-US"/>
              </w:rPr>
              <w:t>1</w:t>
            </w:r>
          </w:p>
        </w:tc>
        <w:tc>
          <w:tcPr>
            <w:tcW w:w="2247" w:type="dxa"/>
            <w:hideMark/>
          </w:tcPr>
          <w:p w14:paraId="2418E41B" w14:textId="77777777" w:rsidR="009868DF" w:rsidRPr="009A4FAB" w:rsidRDefault="009868DF" w:rsidP="006C38B1">
            <w:pPr>
              <w:widowControl w:val="0"/>
              <w:autoSpaceDE w:val="0"/>
              <w:autoSpaceDN w:val="0"/>
              <w:adjustRightInd w:val="0"/>
              <w:spacing w:line="360" w:lineRule="auto"/>
              <w:jc w:val="center"/>
              <w:rPr>
                <w:bCs/>
                <w:color w:val="000000" w:themeColor="text1"/>
                <w:sz w:val="22"/>
                <w:szCs w:val="22"/>
                <w:lang w:val="en-US"/>
              </w:rPr>
            </w:pPr>
            <w:r w:rsidRPr="009A4FAB">
              <w:rPr>
                <w:color w:val="000000" w:themeColor="text1"/>
                <w:sz w:val="22"/>
                <w:szCs w:val="22"/>
                <w:lang w:val="en-US"/>
              </w:rPr>
              <w:t>1</w:t>
            </w:r>
          </w:p>
        </w:tc>
      </w:tr>
      <w:tr w:rsidR="009A4FAB" w:rsidRPr="009A4FAB" w14:paraId="2FBC69D0" w14:textId="77777777" w:rsidTr="006C38B1">
        <w:trPr>
          <w:trHeight w:val="92"/>
        </w:trPr>
        <w:tc>
          <w:tcPr>
            <w:tcW w:w="320" w:type="dxa"/>
          </w:tcPr>
          <w:p w14:paraId="4168DD8D"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tcPr>
          <w:p w14:paraId="6F085059"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107" w:type="dxa"/>
            <w:hideMark/>
          </w:tcPr>
          <w:p w14:paraId="2CFF5647"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Loading</w:t>
            </w:r>
          </w:p>
        </w:tc>
        <w:tc>
          <w:tcPr>
            <w:tcW w:w="2255" w:type="dxa"/>
            <w:hideMark/>
          </w:tcPr>
          <w:p w14:paraId="5A9DA3A7"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137/409 (33.5)</w:t>
            </w:r>
          </w:p>
        </w:tc>
        <w:tc>
          <w:tcPr>
            <w:tcW w:w="2255" w:type="dxa"/>
            <w:vAlign w:val="center"/>
            <w:hideMark/>
          </w:tcPr>
          <w:p w14:paraId="6C9C30E8"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1.21 (0.84, 1.74)</w:t>
            </w:r>
          </w:p>
        </w:tc>
        <w:tc>
          <w:tcPr>
            <w:tcW w:w="2266" w:type="dxa"/>
            <w:hideMark/>
          </w:tcPr>
          <w:p w14:paraId="3F0D1C0F"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1.20 (0.83, 1.73)</w:t>
            </w:r>
          </w:p>
        </w:tc>
        <w:tc>
          <w:tcPr>
            <w:tcW w:w="2268" w:type="dxa"/>
            <w:hideMark/>
          </w:tcPr>
          <w:p w14:paraId="74FA34F3"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1.15 (0.80, 1.67)</w:t>
            </w:r>
          </w:p>
        </w:tc>
        <w:tc>
          <w:tcPr>
            <w:tcW w:w="2247" w:type="dxa"/>
            <w:hideMark/>
          </w:tcPr>
          <w:p w14:paraId="3DCE55C0"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1.17 (0.80, 1.69)</w:t>
            </w:r>
          </w:p>
        </w:tc>
      </w:tr>
      <w:tr w:rsidR="009A4FAB" w:rsidRPr="009A4FAB" w14:paraId="0F4528DA" w14:textId="77777777" w:rsidTr="006C38B1">
        <w:trPr>
          <w:trHeight w:val="90"/>
        </w:trPr>
        <w:tc>
          <w:tcPr>
            <w:tcW w:w="320" w:type="dxa"/>
          </w:tcPr>
          <w:p w14:paraId="6A3419D7"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hideMark/>
          </w:tcPr>
          <w:p w14:paraId="6BD03FA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 xml:space="preserve">Beighton </w:t>
            </w:r>
            <w:r w:rsidRPr="009A4FAB">
              <w:rPr>
                <w:color w:val="000000" w:themeColor="text1"/>
                <w:sz w:val="22"/>
                <w:szCs w:val="22"/>
                <w:u w:val="single"/>
                <w:lang w:val="en-US"/>
              </w:rPr>
              <w:t>≥</w:t>
            </w:r>
            <w:r w:rsidRPr="009A4FAB">
              <w:rPr>
                <w:color w:val="000000" w:themeColor="text1"/>
                <w:sz w:val="22"/>
                <w:szCs w:val="22"/>
                <w:lang w:val="en-US"/>
              </w:rPr>
              <w:t xml:space="preserve"> 4/9</w:t>
            </w:r>
          </w:p>
        </w:tc>
        <w:tc>
          <w:tcPr>
            <w:tcW w:w="2255" w:type="dxa"/>
            <w:hideMark/>
          </w:tcPr>
          <w:p w14:paraId="2F2778E9"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23/76 (30.3)</w:t>
            </w:r>
          </w:p>
        </w:tc>
        <w:tc>
          <w:tcPr>
            <w:tcW w:w="2255" w:type="dxa"/>
            <w:vAlign w:val="center"/>
            <w:hideMark/>
          </w:tcPr>
          <w:p w14:paraId="18564ACE"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0.85 (0.50, 1.44)</w:t>
            </w:r>
          </w:p>
        </w:tc>
        <w:tc>
          <w:tcPr>
            <w:tcW w:w="2266" w:type="dxa"/>
            <w:hideMark/>
          </w:tcPr>
          <w:p w14:paraId="4180713D"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0.78 (0.45, 1.33)</w:t>
            </w:r>
          </w:p>
        </w:tc>
        <w:tc>
          <w:tcPr>
            <w:tcW w:w="2268" w:type="dxa"/>
            <w:hideMark/>
          </w:tcPr>
          <w:p w14:paraId="77851809"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0.74 (0.43, 1.29)</w:t>
            </w:r>
          </w:p>
        </w:tc>
        <w:tc>
          <w:tcPr>
            <w:tcW w:w="2247" w:type="dxa"/>
            <w:hideMark/>
          </w:tcPr>
          <w:p w14:paraId="47F7FA2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0.74 (0.42, 1.28)</w:t>
            </w:r>
          </w:p>
        </w:tc>
      </w:tr>
      <w:tr w:rsidR="009A4FAB" w:rsidRPr="009A4FAB" w14:paraId="20F28FD0" w14:textId="77777777" w:rsidTr="006C38B1">
        <w:trPr>
          <w:trHeight w:val="92"/>
        </w:trPr>
        <w:tc>
          <w:tcPr>
            <w:tcW w:w="320" w:type="dxa"/>
          </w:tcPr>
          <w:p w14:paraId="6B3CF5E1"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hideMark/>
          </w:tcPr>
          <w:p w14:paraId="1CB1ABE8"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Finger-tip-floor</w:t>
            </w:r>
          </w:p>
        </w:tc>
        <w:tc>
          <w:tcPr>
            <w:tcW w:w="2255" w:type="dxa"/>
            <w:hideMark/>
          </w:tcPr>
          <w:p w14:paraId="671C9DCC"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36/113 (31.9)</w:t>
            </w:r>
          </w:p>
        </w:tc>
        <w:tc>
          <w:tcPr>
            <w:tcW w:w="2255" w:type="dxa"/>
            <w:vAlign w:val="center"/>
            <w:hideMark/>
          </w:tcPr>
          <w:p w14:paraId="4FDE95FE"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0.95 (0.61, 1.47)</w:t>
            </w:r>
          </w:p>
        </w:tc>
        <w:tc>
          <w:tcPr>
            <w:tcW w:w="2266" w:type="dxa"/>
            <w:hideMark/>
          </w:tcPr>
          <w:p w14:paraId="292D06E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0.92 (0.59, 1.43)</w:t>
            </w:r>
          </w:p>
        </w:tc>
        <w:tc>
          <w:tcPr>
            <w:tcW w:w="2268" w:type="dxa"/>
            <w:hideMark/>
          </w:tcPr>
          <w:p w14:paraId="3F6F3073"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0.94 (0.60, 1.48)</w:t>
            </w:r>
          </w:p>
        </w:tc>
        <w:tc>
          <w:tcPr>
            <w:tcW w:w="2247" w:type="dxa"/>
            <w:hideMark/>
          </w:tcPr>
          <w:p w14:paraId="27A285C5"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0.95 (0.61, 1.49)</w:t>
            </w:r>
          </w:p>
        </w:tc>
      </w:tr>
      <w:tr w:rsidR="009A4FAB" w:rsidRPr="009A4FAB" w14:paraId="74A03F36" w14:textId="77777777" w:rsidTr="006C38B1">
        <w:trPr>
          <w:trHeight w:val="92"/>
        </w:trPr>
        <w:tc>
          <w:tcPr>
            <w:tcW w:w="320" w:type="dxa"/>
          </w:tcPr>
          <w:p w14:paraId="1483EFB6"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7027" w:type="dxa"/>
            <w:gridSpan w:val="4"/>
            <w:hideMark/>
          </w:tcPr>
          <w:p w14:paraId="248FE818"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Total exposure (training/competition Olympic career hours)</w:t>
            </w:r>
          </w:p>
        </w:tc>
        <w:tc>
          <w:tcPr>
            <w:tcW w:w="2266" w:type="dxa"/>
          </w:tcPr>
          <w:p w14:paraId="3FC7A56E"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268" w:type="dxa"/>
          </w:tcPr>
          <w:p w14:paraId="69223617"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247" w:type="dxa"/>
          </w:tcPr>
          <w:p w14:paraId="6081F4FC"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r>
      <w:tr w:rsidR="009A4FAB" w:rsidRPr="009A4FAB" w14:paraId="6D7C6485" w14:textId="77777777" w:rsidTr="006C38B1">
        <w:trPr>
          <w:trHeight w:val="92"/>
        </w:trPr>
        <w:tc>
          <w:tcPr>
            <w:tcW w:w="320" w:type="dxa"/>
          </w:tcPr>
          <w:p w14:paraId="42A5E863"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71D0FBD9" w14:textId="77777777" w:rsidR="009868DF" w:rsidRPr="009A4FAB" w:rsidRDefault="009868DF" w:rsidP="006C38B1">
            <w:pPr>
              <w:widowControl w:val="0"/>
              <w:autoSpaceDE w:val="0"/>
              <w:autoSpaceDN w:val="0"/>
              <w:adjustRightInd w:val="0"/>
              <w:spacing w:line="360" w:lineRule="auto"/>
              <w:jc w:val="right"/>
              <w:rPr>
                <w:color w:val="000000" w:themeColor="text1"/>
                <w:sz w:val="22"/>
                <w:szCs w:val="22"/>
                <w:lang w:val="en-US"/>
              </w:rPr>
            </w:pPr>
          </w:p>
        </w:tc>
        <w:tc>
          <w:tcPr>
            <w:tcW w:w="2107" w:type="dxa"/>
            <w:vAlign w:val="center"/>
            <w:hideMark/>
          </w:tcPr>
          <w:p w14:paraId="795AA485"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0-999</w:t>
            </w:r>
          </w:p>
        </w:tc>
        <w:tc>
          <w:tcPr>
            <w:tcW w:w="2255" w:type="dxa"/>
            <w:hideMark/>
          </w:tcPr>
          <w:p w14:paraId="256689B7"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bCs/>
                <w:color w:val="000000" w:themeColor="text1"/>
                <w:sz w:val="22"/>
                <w:szCs w:val="22"/>
                <w:lang w:val="en-US"/>
              </w:rPr>
              <w:t>54/171 (31.6)</w:t>
            </w:r>
          </w:p>
        </w:tc>
        <w:tc>
          <w:tcPr>
            <w:tcW w:w="2255" w:type="dxa"/>
            <w:vAlign w:val="center"/>
            <w:hideMark/>
          </w:tcPr>
          <w:p w14:paraId="69BDEDA5"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w:t>
            </w:r>
          </w:p>
        </w:tc>
        <w:tc>
          <w:tcPr>
            <w:tcW w:w="2266" w:type="dxa"/>
            <w:hideMark/>
          </w:tcPr>
          <w:p w14:paraId="3652CDAD"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w:t>
            </w:r>
          </w:p>
        </w:tc>
        <w:tc>
          <w:tcPr>
            <w:tcW w:w="2268" w:type="dxa"/>
            <w:hideMark/>
          </w:tcPr>
          <w:p w14:paraId="21A92D8E"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w:t>
            </w:r>
          </w:p>
        </w:tc>
        <w:tc>
          <w:tcPr>
            <w:tcW w:w="2247" w:type="dxa"/>
            <w:hideMark/>
          </w:tcPr>
          <w:p w14:paraId="724573E7"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w:t>
            </w:r>
          </w:p>
        </w:tc>
      </w:tr>
      <w:tr w:rsidR="009A4FAB" w:rsidRPr="009A4FAB" w14:paraId="494FB59F" w14:textId="77777777" w:rsidTr="006C38B1">
        <w:trPr>
          <w:trHeight w:val="92"/>
        </w:trPr>
        <w:tc>
          <w:tcPr>
            <w:tcW w:w="320" w:type="dxa"/>
          </w:tcPr>
          <w:p w14:paraId="5829290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3E186609" w14:textId="77777777" w:rsidR="009868DF" w:rsidRPr="009A4FAB" w:rsidRDefault="009868DF" w:rsidP="006C38B1">
            <w:pPr>
              <w:widowControl w:val="0"/>
              <w:autoSpaceDE w:val="0"/>
              <w:autoSpaceDN w:val="0"/>
              <w:adjustRightInd w:val="0"/>
              <w:spacing w:line="360" w:lineRule="auto"/>
              <w:jc w:val="right"/>
              <w:rPr>
                <w:color w:val="000000" w:themeColor="text1"/>
                <w:sz w:val="22"/>
                <w:szCs w:val="22"/>
                <w:lang w:val="en-US"/>
              </w:rPr>
            </w:pPr>
          </w:p>
        </w:tc>
        <w:tc>
          <w:tcPr>
            <w:tcW w:w="2107" w:type="dxa"/>
            <w:vAlign w:val="center"/>
            <w:hideMark/>
          </w:tcPr>
          <w:p w14:paraId="490F3558"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1000-5999</w:t>
            </w:r>
          </w:p>
        </w:tc>
        <w:tc>
          <w:tcPr>
            <w:tcW w:w="2255" w:type="dxa"/>
            <w:hideMark/>
          </w:tcPr>
          <w:p w14:paraId="677E5525"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36/134 (26.9)</w:t>
            </w:r>
          </w:p>
        </w:tc>
        <w:tc>
          <w:tcPr>
            <w:tcW w:w="2255" w:type="dxa"/>
            <w:hideMark/>
          </w:tcPr>
          <w:p w14:paraId="74956705"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0.80 (0.48, 1.31)</w:t>
            </w:r>
          </w:p>
        </w:tc>
        <w:tc>
          <w:tcPr>
            <w:tcW w:w="2266" w:type="dxa"/>
            <w:hideMark/>
          </w:tcPr>
          <w:p w14:paraId="229E3151"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0.81 (0.49, 1.34)</w:t>
            </w:r>
          </w:p>
        </w:tc>
        <w:tc>
          <w:tcPr>
            <w:tcW w:w="2268" w:type="dxa"/>
            <w:hideMark/>
          </w:tcPr>
          <w:p w14:paraId="29D6A5B4"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0.91 (0.54, 1.51)</w:t>
            </w:r>
          </w:p>
        </w:tc>
        <w:tc>
          <w:tcPr>
            <w:tcW w:w="2247" w:type="dxa"/>
            <w:hideMark/>
          </w:tcPr>
          <w:p w14:paraId="2A9FA37D"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0.91 (0.54, 1.51)</w:t>
            </w:r>
          </w:p>
        </w:tc>
      </w:tr>
      <w:tr w:rsidR="009A4FAB" w:rsidRPr="009A4FAB" w14:paraId="4689148A" w14:textId="77777777" w:rsidTr="006C38B1">
        <w:trPr>
          <w:trHeight w:val="92"/>
        </w:trPr>
        <w:tc>
          <w:tcPr>
            <w:tcW w:w="320" w:type="dxa"/>
          </w:tcPr>
          <w:p w14:paraId="11F76BF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5BF64024" w14:textId="77777777" w:rsidR="009868DF" w:rsidRPr="009A4FAB" w:rsidRDefault="009868DF" w:rsidP="006C38B1">
            <w:pPr>
              <w:widowControl w:val="0"/>
              <w:autoSpaceDE w:val="0"/>
              <w:autoSpaceDN w:val="0"/>
              <w:adjustRightInd w:val="0"/>
              <w:spacing w:line="360" w:lineRule="auto"/>
              <w:jc w:val="right"/>
              <w:rPr>
                <w:color w:val="000000" w:themeColor="text1"/>
                <w:sz w:val="22"/>
                <w:szCs w:val="22"/>
                <w:lang w:val="en-US"/>
              </w:rPr>
            </w:pPr>
          </w:p>
        </w:tc>
        <w:tc>
          <w:tcPr>
            <w:tcW w:w="2107" w:type="dxa"/>
            <w:vAlign w:val="center"/>
            <w:hideMark/>
          </w:tcPr>
          <w:p w14:paraId="11079B9E"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6000-10999</w:t>
            </w:r>
          </w:p>
        </w:tc>
        <w:tc>
          <w:tcPr>
            <w:tcW w:w="2255" w:type="dxa"/>
            <w:hideMark/>
          </w:tcPr>
          <w:p w14:paraId="6BE9BD82"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46/130 (35.4)</w:t>
            </w:r>
          </w:p>
        </w:tc>
        <w:tc>
          <w:tcPr>
            <w:tcW w:w="2255" w:type="dxa"/>
            <w:hideMark/>
          </w:tcPr>
          <w:p w14:paraId="01181E84"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1.19 (0.73, 1.92)</w:t>
            </w:r>
          </w:p>
        </w:tc>
        <w:tc>
          <w:tcPr>
            <w:tcW w:w="2266" w:type="dxa"/>
            <w:hideMark/>
          </w:tcPr>
          <w:p w14:paraId="15574BDA"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1.14 (0.69, 1.86)</w:t>
            </w:r>
          </w:p>
        </w:tc>
        <w:tc>
          <w:tcPr>
            <w:tcW w:w="2268" w:type="dxa"/>
            <w:hideMark/>
          </w:tcPr>
          <w:p w14:paraId="5105AFE1"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1.20 (0.73, 1.98)</w:t>
            </w:r>
          </w:p>
        </w:tc>
        <w:tc>
          <w:tcPr>
            <w:tcW w:w="2247" w:type="dxa"/>
            <w:hideMark/>
          </w:tcPr>
          <w:p w14:paraId="62392D3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1.20 (0.73, 1.97)</w:t>
            </w:r>
          </w:p>
        </w:tc>
      </w:tr>
      <w:tr w:rsidR="009A4FAB" w:rsidRPr="009A4FAB" w14:paraId="31AA98F8" w14:textId="77777777" w:rsidTr="006C38B1">
        <w:trPr>
          <w:trHeight w:val="92"/>
        </w:trPr>
        <w:tc>
          <w:tcPr>
            <w:tcW w:w="320" w:type="dxa"/>
          </w:tcPr>
          <w:p w14:paraId="13E5BF63"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6FEBF6DA" w14:textId="77777777" w:rsidR="009868DF" w:rsidRPr="009A4FAB" w:rsidRDefault="009868DF" w:rsidP="006C38B1">
            <w:pPr>
              <w:widowControl w:val="0"/>
              <w:autoSpaceDE w:val="0"/>
              <w:autoSpaceDN w:val="0"/>
              <w:adjustRightInd w:val="0"/>
              <w:spacing w:line="360" w:lineRule="auto"/>
              <w:jc w:val="right"/>
              <w:rPr>
                <w:color w:val="000000" w:themeColor="text1"/>
                <w:sz w:val="22"/>
                <w:szCs w:val="22"/>
                <w:lang w:val="en-US"/>
              </w:rPr>
            </w:pPr>
          </w:p>
        </w:tc>
        <w:tc>
          <w:tcPr>
            <w:tcW w:w="2107" w:type="dxa"/>
            <w:vAlign w:val="center"/>
            <w:hideMark/>
          </w:tcPr>
          <w:p w14:paraId="4A6A0ABF"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u w:val="single"/>
                <w:lang w:val="en-US"/>
              </w:rPr>
              <w:t>&gt;</w:t>
            </w:r>
            <w:r w:rsidRPr="009A4FAB">
              <w:rPr>
                <w:color w:val="000000" w:themeColor="text1"/>
                <w:sz w:val="22"/>
                <w:szCs w:val="22"/>
                <w:lang w:val="en-US"/>
              </w:rPr>
              <w:t xml:space="preserve"> 11000</w:t>
            </w:r>
          </w:p>
        </w:tc>
        <w:tc>
          <w:tcPr>
            <w:tcW w:w="2255" w:type="dxa"/>
            <w:hideMark/>
          </w:tcPr>
          <w:p w14:paraId="612B1D79"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61/178 (34.3)</w:t>
            </w:r>
          </w:p>
        </w:tc>
        <w:tc>
          <w:tcPr>
            <w:tcW w:w="2255" w:type="dxa"/>
            <w:hideMark/>
          </w:tcPr>
          <w:p w14:paraId="4E168DDD"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1.13 (0.72, 1.77)</w:t>
            </w:r>
          </w:p>
        </w:tc>
        <w:tc>
          <w:tcPr>
            <w:tcW w:w="2266" w:type="dxa"/>
            <w:hideMark/>
          </w:tcPr>
          <w:p w14:paraId="524D2822"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1.01 (0.63, 1.62)</w:t>
            </w:r>
          </w:p>
        </w:tc>
        <w:tc>
          <w:tcPr>
            <w:tcW w:w="2268" w:type="dxa"/>
            <w:hideMark/>
          </w:tcPr>
          <w:p w14:paraId="750979D0"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1.08 (0.67, 1.74)</w:t>
            </w:r>
          </w:p>
        </w:tc>
        <w:tc>
          <w:tcPr>
            <w:tcW w:w="2247" w:type="dxa"/>
            <w:hideMark/>
          </w:tcPr>
          <w:p w14:paraId="07931C1F"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1.08 (0.67, 1.74)</w:t>
            </w:r>
          </w:p>
        </w:tc>
      </w:tr>
      <w:tr w:rsidR="009A4FAB" w:rsidRPr="009A4FAB" w14:paraId="4479121D" w14:textId="77777777" w:rsidTr="006C38B1">
        <w:trPr>
          <w:trHeight w:val="92"/>
        </w:trPr>
        <w:tc>
          <w:tcPr>
            <w:tcW w:w="320" w:type="dxa"/>
          </w:tcPr>
          <w:p w14:paraId="78BB3569"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13808" w:type="dxa"/>
            <w:gridSpan w:val="7"/>
            <w:vAlign w:val="center"/>
            <w:hideMark/>
          </w:tcPr>
          <w:p w14:paraId="40FCFCBF"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Mean annual volume of training during the participants Olympic career (hours/year)</w:t>
            </w:r>
          </w:p>
        </w:tc>
      </w:tr>
      <w:tr w:rsidR="009A4FAB" w:rsidRPr="009A4FAB" w14:paraId="769D47B3" w14:textId="77777777" w:rsidTr="006C38B1">
        <w:trPr>
          <w:trHeight w:val="92"/>
        </w:trPr>
        <w:tc>
          <w:tcPr>
            <w:tcW w:w="320" w:type="dxa"/>
          </w:tcPr>
          <w:p w14:paraId="73B8BD7F"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114A9E9C" w14:textId="77777777" w:rsidR="009868DF" w:rsidRPr="009A4FAB" w:rsidRDefault="009868DF" w:rsidP="006C38B1">
            <w:pPr>
              <w:widowControl w:val="0"/>
              <w:autoSpaceDE w:val="0"/>
              <w:autoSpaceDN w:val="0"/>
              <w:adjustRightInd w:val="0"/>
              <w:spacing w:line="360" w:lineRule="auto"/>
              <w:jc w:val="right"/>
              <w:rPr>
                <w:color w:val="000000" w:themeColor="text1"/>
                <w:sz w:val="22"/>
                <w:szCs w:val="22"/>
                <w:lang w:val="en-US"/>
              </w:rPr>
            </w:pPr>
          </w:p>
        </w:tc>
        <w:tc>
          <w:tcPr>
            <w:tcW w:w="2107" w:type="dxa"/>
            <w:vAlign w:val="center"/>
            <w:hideMark/>
          </w:tcPr>
          <w:p w14:paraId="76B388AE"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0-199</w:t>
            </w:r>
          </w:p>
        </w:tc>
        <w:tc>
          <w:tcPr>
            <w:tcW w:w="2255" w:type="dxa"/>
            <w:hideMark/>
          </w:tcPr>
          <w:p w14:paraId="608F7C63"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107/262 (40.8)</w:t>
            </w:r>
          </w:p>
        </w:tc>
        <w:tc>
          <w:tcPr>
            <w:tcW w:w="2255" w:type="dxa"/>
            <w:vAlign w:val="center"/>
            <w:hideMark/>
          </w:tcPr>
          <w:p w14:paraId="7BA3C17F"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c>
          <w:tcPr>
            <w:tcW w:w="2266" w:type="dxa"/>
            <w:hideMark/>
          </w:tcPr>
          <w:p w14:paraId="544315AE"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c>
          <w:tcPr>
            <w:tcW w:w="2268" w:type="dxa"/>
            <w:hideMark/>
          </w:tcPr>
          <w:p w14:paraId="2CA38775"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c>
          <w:tcPr>
            <w:tcW w:w="2247" w:type="dxa"/>
            <w:hideMark/>
          </w:tcPr>
          <w:p w14:paraId="189065C7" w14:textId="77777777" w:rsidR="009868DF" w:rsidRPr="009A4FAB" w:rsidRDefault="009868DF" w:rsidP="006C38B1">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r>
      <w:tr w:rsidR="009A4FAB" w:rsidRPr="009A4FAB" w14:paraId="64A88E4F" w14:textId="77777777" w:rsidTr="006C38B1">
        <w:trPr>
          <w:trHeight w:val="92"/>
        </w:trPr>
        <w:tc>
          <w:tcPr>
            <w:tcW w:w="320" w:type="dxa"/>
          </w:tcPr>
          <w:p w14:paraId="0AD49804"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18D879D8" w14:textId="77777777" w:rsidR="009868DF" w:rsidRPr="009A4FAB" w:rsidRDefault="009868DF" w:rsidP="006C38B1">
            <w:pPr>
              <w:widowControl w:val="0"/>
              <w:autoSpaceDE w:val="0"/>
              <w:autoSpaceDN w:val="0"/>
              <w:adjustRightInd w:val="0"/>
              <w:spacing w:line="360" w:lineRule="auto"/>
              <w:jc w:val="right"/>
              <w:rPr>
                <w:color w:val="000000" w:themeColor="text1"/>
                <w:sz w:val="22"/>
                <w:szCs w:val="22"/>
                <w:lang w:val="en-US"/>
              </w:rPr>
            </w:pPr>
          </w:p>
        </w:tc>
        <w:tc>
          <w:tcPr>
            <w:tcW w:w="2107" w:type="dxa"/>
            <w:vAlign w:val="center"/>
            <w:hideMark/>
          </w:tcPr>
          <w:p w14:paraId="43C70346"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200-399</w:t>
            </w:r>
          </w:p>
        </w:tc>
        <w:tc>
          <w:tcPr>
            <w:tcW w:w="2255" w:type="dxa"/>
            <w:hideMark/>
          </w:tcPr>
          <w:p w14:paraId="44D569EC"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19/60 (31.7)</w:t>
            </w:r>
          </w:p>
        </w:tc>
        <w:tc>
          <w:tcPr>
            <w:tcW w:w="2255" w:type="dxa"/>
            <w:hideMark/>
          </w:tcPr>
          <w:p w14:paraId="4A4D663D"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0.67 (0.37, 1.22)</w:t>
            </w:r>
          </w:p>
        </w:tc>
        <w:tc>
          <w:tcPr>
            <w:tcW w:w="2266" w:type="dxa"/>
            <w:hideMark/>
          </w:tcPr>
          <w:p w14:paraId="16581465"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0.65 (0.36, 1.18)</w:t>
            </w:r>
          </w:p>
        </w:tc>
        <w:tc>
          <w:tcPr>
            <w:tcW w:w="2268" w:type="dxa"/>
            <w:hideMark/>
          </w:tcPr>
          <w:p w14:paraId="4C131F30"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0.61 (0.33, 1.14)</w:t>
            </w:r>
          </w:p>
        </w:tc>
        <w:tc>
          <w:tcPr>
            <w:tcW w:w="2247" w:type="dxa"/>
            <w:hideMark/>
          </w:tcPr>
          <w:p w14:paraId="14A04CA2"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0.61 (0.33, 1.14)</w:t>
            </w:r>
          </w:p>
        </w:tc>
      </w:tr>
      <w:tr w:rsidR="009A4FAB" w:rsidRPr="009A4FAB" w14:paraId="596F24D2" w14:textId="77777777" w:rsidTr="006C38B1">
        <w:trPr>
          <w:trHeight w:val="92"/>
        </w:trPr>
        <w:tc>
          <w:tcPr>
            <w:tcW w:w="320" w:type="dxa"/>
          </w:tcPr>
          <w:p w14:paraId="31685407"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0A6C5688" w14:textId="77777777" w:rsidR="009868DF" w:rsidRPr="009A4FAB" w:rsidRDefault="009868DF" w:rsidP="006C38B1">
            <w:pPr>
              <w:widowControl w:val="0"/>
              <w:autoSpaceDE w:val="0"/>
              <w:autoSpaceDN w:val="0"/>
              <w:adjustRightInd w:val="0"/>
              <w:spacing w:line="360" w:lineRule="auto"/>
              <w:jc w:val="right"/>
              <w:rPr>
                <w:color w:val="000000" w:themeColor="text1"/>
                <w:sz w:val="22"/>
                <w:szCs w:val="22"/>
                <w:lang w:val="en-US"/>
              </w:rPr>
            </w:pPr>
          </w:p>
        </w:tc>
        <w:tc>
          <w:tcPr>
            <w:tcW w:w="2107" w:type="dxa"/>
            <w:vAlign w:val="center"/>
            <w:hideMark/>
          </w:tcPr>
          <w:p w14:paraId="7940458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400-549</w:t>
            </w:r>
          </w:p>
        </w:tc>
        <w:tc>
          <w:tcPr>
            <w:tcW w:w="2255" w:type="dxa"/>
            <w:hideMark/>
          </w:tcPr>
          <w:p w14:paraId="31B8D0C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26/153 (17.0)</w:t>
            </w:r>
          </w:p>
        </w:tc>
        <w:tc>
          <w:tcPr>
            <w:tcW w:w="2255" w:type="dxa"/>
            <w:hideMark/>
          </w:tcPr>
          <w:p w14:paraId="1A2ED9C9"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0.30 (0.18, 0.48) ***</w:t>
            </w:r>
          </w:p>
        </w:tc>
        <w:tc>
          <w:tcPr>
            <w:tcW w:w="2266" w:type="dxa"/>
            <w:hideMark/>
          </w:tcPr>
          <w:p w14:paraId="1265A5ED"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0.29 (0.18, 0.48) ***</w:t>
            </w:r>
          </w:p>
        </w:tc>
        <w:tc>
          <w:tcPr>
            <w:tcW w:w="2268" w:type="dxa"/>
            <w:hideMark/>
          </w:tcPr>
          <w:p w14:paraId="609B2786"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0.30 (0.18, 0.49) ***</w:t>
            </w:r>
          </w:p>
        </w:tc>
        <w:tc>
          <w:tcPr>
            <w:tcW w:w="2247" w:type="dxa"/>
            <w:hideMark/>
          </w:tcPr>
          <w:p w14:paraId="3B4822E3" w14:textId="77777777" w:rsidR="009868DF" w:rsidRPr="009A4FAB" w:rsidRDefault="009868DF" w:rsidP="006C38B1">
            <w:pPr>
              <w:widowControl w:val="0"/>
              <w:autoSpaceDE w:val="0"/>
              <w:autoSpaceDN w:val="0"/>
              <w:adjustRightInd w:val="0"/>
              <w:spacing w:line="360" w:lineRule="auto"/>
              <w:rPr>
                <w:b/>
                <w:bCs/>
                <w:color w:val="000000" w:themeColor="text1"/>
                <w:sz w:val="22"/>
                <w:szCs w:val="22"/>
                <w:lang w:val="en-US"/>
              </w:rPr>
            </w:pPr>
            <w:r w:rsidRPr="009A4FAB">
              <w:rPr>
                <w:b/>
                <w:bCs/>
                <w:color w:val="000000" w:themeColor="text1"/>
                <w:sz w:val="22"/>
                <w:szCs w:val="22"/>
                <w:lang w:val="en-US"/>
              </w:rPr>
              <w:t>0.29 (0.18, 0.48) ***</w:t>
            </w:r>
          </w:p>
        </w:tc>
      </w:tr>
      <w:tr w:rsidR="009A4FAB" w:rsidRPr="009A4FAB" w14:paraId="7B79773A" w14:textId="77777777" w:rsidTr="006C38B1">
        <w:trPr>
          <w:trHeight w:val="90"/>
        </w:trPr>
        <w:tc>
          <w:tcPr>
            <w:tcW w:w="320" w:type="dxa"/>
          </w:tcPr>
          <w:p w14:paraId="17E47BA3"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3367CC8B" w14:textId="77777777" w:rsidR="009868DF" w:rsidRPr="009A4FAB" w:rsidRDefault="009868DF" w:rsidP="006C38B1">
            <w:pPr>
              <w:widowControl w:val="0"/>
              <w:autoSpaceDE w:val="0"/>
              <w:autoSpaceDN w:val="0"/>
              <w:adjustRightInd w:val="0"/>
              <w:spacing w:line="360" w:lineRule="auto"/>
              <w:jc w:val="right"/>
              <w:rPr>
                <w:color w:val="000000" w:themeColor="text1"/>
                <w:sz w:val="22"/>
                <w:szCs w:val="22"/>
                <w:lang w:val="en-US"/>
              </w:rPr>
            </w:pPr>
          </w:p>
        </w:tc>
        <w:tc>
          <w:tcPr>
            <w:tcW w:w="2107" w:type="dxa"/>
            <w:vAlign w:val="center"/>
            <w:hideMark/>
          </w:tcPr>
          <w:p w14:paraId="301ED068"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550-699</w:t>
            </w:r>
          </w:p>
        </w:tc>
        <w:tc>
          <w:tcPr>
            <w:tcW w:w="2255" w:type="dxa"/>
            <w:hideMark/>
          </w:tcPr>
          <w:p w14:paraId="292DEC71"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20/64 (31.3)</w:t>
            </w:r>
          </w:p>
        </w:tc>
        <w:tc>
          <w:tcPr>
            <w:tcW w:w="2255" w:type="dxa"/>
            <w:hideMark/>
          </w:tcPr>
          <w:p w14:paraId="61D4698A"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0.66 (0.37, 1.18)</w:t>
            </w:r>
          </w:p>
        </w:tc>
        <w:tc>
          <w:tcPr>
            <w:tcW w:w="2266" w:type="dxa"/>
            <w:hideMark/>
          </w:tcPr>
          <w:p w14:paraId="2CE1BFB5"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0.64 (0.35, 1.16)</w:t>
            </w:r>
          </w:p>
        </w:tc>
        <w:tc>
          <w:tcPr>
            <w:tcW w:w="2268" w:type="dxa"/>
            <w:hideMark/>
          </w:tcPr>
          <w:p w14:paraId="6B843DCC"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0.67 (0.37, 1.23)</w:t>
            </w:r>
          </w:p>
        </w:tc>
        <w:tc>
          <w:tcPr>
            <w:tcW w:w="2247" w:type="dxa"/>
            <w:hideMark/>
          </w:tcPr>
          <w:p w14:paraId="4B439A0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0.67 (0.37, 1.23)</w:t>
            </w:r>
          </w:p>
        </w:tc>
      </w:tr>
      <w:tr w:rsidR="009A4FAB" w:rsidRPr="009A4FAB" w14:paraId="25B99666" w14:textId="77777777" w:rsidTr="006C38B1">
        <w:trPr>
          <w:trHeight w:val="92"/>
        </w:trPr>
        <w:tc>
          <w:tcPr>
            <w:tcW w:w="320" w:type="dxa"/>
          </w:tcPr>
          <w:p w14:paraId="7DDFE719"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410" w:type="dxa"/>
            <w:vAlign w:val="center"/>
          </w:tcPr>
          <w:p w14:paraId="11B1B42E" w14:textId="77777777" w:rsidR="009868DF" w:rsidRPr="009A4FAB" w:rsidRDefault="009868DF" w:rsidP="006C38B1">
            <w:pPr>
              <w:widowControl w:val="0"/>
              <w:autoSpaceDE w:val="0"/>
              <w:autoSpaceDN w:val="0"/>
              <w:adjustRightInd w:val="0"/>
              <w:spacing w:line="360" w:lineRule="auto"/>
              <w:jc w:val="right"/>
              <w:rPr>
                <w:color w:val="000000" w:themeColor="text1"/>
                <w:sz w:val="22"/>
                <w:szCs w:val="22"/>
                <w:lang w:val="en-US"/>
              </w:rPr>
            </w:pPr>
          </w:p>
        </w:tc>
        <w:tc>
          <w:tcPr>
            <w:tcW w:w="2107" w:type="dxa"/>
            <w:vAlign w:val="center"/>
            <w:hideMark/>
          </w:tcPr>
          <w:p w14:paraId="6959F331"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u w:val="single"/>
                <w:lang w:val="en-US"/>
              </w:rPr>
              <w:t>&gt;</w:t>
            </w:r>
            <w:r w:rsidRPr="009A4FAB">
              <w:rPr>
                <w:color w:val="000000" w:themeColor="text1"/>
                <w:sz w:val="22"/>
                <w:szCs w:val="22"/>
                <w:lang w:val="en-US"/>
              </w:rPr>
              <w:t xml:space="preserve"> 700</w:t>
            </w:r>
          </w:p>
        </w:tc>
        <w:tc>
          <w:tcPr>
            <w:tcW w:w="2255" w:type="dxa"/>
            <w:hideMark/>
          </w:tcPr>
          <w:p w14:paraId="3AD39EA1"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25/60 (41.7)</w:t>
            </w:r>
          </w:p>
        </w:tc>
        <w:tc>
          <w:tcPr>
            <w:tcW w:w="2255" w:type="dxa"/>
            <w:hideMark/>
          </w:tcPr>
          <w:p w14:paraId="63795BAE"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1.04 (0.59, 1.83)</w:t>
            </w:r>
          </w:p>
        </w:tc>
        <w:tc>
          <w:tcPr>
            <w:tcW w:w="2266" w:type="dxa"/>
            <w:hideMark/>
          </w:tcPr>
          <w:p w14:paraId="41BF1035"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0.81 (0.44, 1.52)</w:t>
            </w:r>
          </w:p>
        </w:tc>
        <w:tc>
          <w:tcPr>
            <w:tcW w:w="2268" w:type="dxa"/>
            <w:hideMark/>
          </w:tcPr>
          <w:p w14:paraId="59DD8D9B"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0.82 (0.43, 1.54)</w:t>
            </w:r>
          </w:p>
        </w:tc>
        <w:tc>
          <w:tcPr>
            <w:tcW w:w="2247" w:type="dxa"/>
            <w:hideMark/>
          </w:tcPr>
          <w:p w14:paraId="238E50AC"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0.81 (0.43, 1.54)</w:t>
            </w:r>
          </w:p>
        </w:tc>
      </w:tr>
      <w:tr w:rsidR="009A4FAB" w:rsidRPr="009A4FAB" w14:paraId="40E51A93" w14:textId="77777777" w:rsidTr="006C38B1">
        <w:trPr>
          <w:trHeight w:val="92"/>
        </w:trPr>
        <w:tc>
          <w:tcPr>
            <w:tcW w:w="320" w:type="dxa"/>
          </w:tcPr>
          <w:p w14:paraId="5BCB9E92"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hideMark/>
          </w:tcPr>
          <w:p w14:paraId="2D8F26E0"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Widespread pain</w:t>
            </w:r>
          </w:p>
        </w:tc>
        <w:tc>
          <w:tcPr>
            <w:tcW w:w="2255" w:type="dxa"/>
            <w:hideMark/>
          </w:tcPr>
          <w:p w14:paraId="67D31F10"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50/148 (33.8)</w:t>
            </w:r>
          </w:p>
        </w:tc>
        <w:tc>
          <w:tcPr>
            <w:tcW w:w="2255" w:type="dxa"/>
            <w:vAlign w:val="center"/>
            <w:hideMark/>
          </w:tcPr>
          <w:p w14:paraId="295B91CA" w14:textId="77777777" w:rsidR="009868DF" w:rsidRPr="009A4FAB" w:rsidRDefault="009868DF" w:rsidP="006C38B1">
            <w:pPr>
              <w:widowControl w:val="0"/>
              <w:autoSpaceDE w:val="0"/>
              <w:autoSpaceDN w:val="0"/>
              <w:adjustRightInd w:val="0"/>
              <w:spacing w:line="360" w:lineRule="auto"/>
              <w:rPr>
                <w:bCs/>
                <w:strike/>
                <w:color w:val="000000" w:themeColor="text1"/>
                <w:sz w:val="22"/>
                <w:szCs w:val="22"/>
                <w:lang w:val="en-US"/>
              </w:rPr>
            </w:pPr>
            <w:r w:rsidRPr="009A4FAB">
              <w:rPr>
                <w:bCs/>
                <w:color w:val="000000" w:themeColor="text1"/>
                <w:sz w:val="22"/>
                <w:szCs w:val="22"/>
                <w:lang w:val="en-US"/>
              </w:rPr>
              <w:t>1.10 (0.75, 1.64)</w:t>
            </w:r>
          </w:p>
        </w:tc>
        <w:tc>
          <w:tcPr>
            <w:tcW w:w="2266" w:type="dxa"/>
            <w:hideMark/>
          </w:tcPr>
          <w:p w14:paraId="38F4B837"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1.16 (0.78, 1.73)</w:t>
            </w:r>
          </w:p>
        </w:tc>
        <w:tc>
          <w:tcPr>
            <w:tcW w:w="2268" w:type="dxa"/>
            <w:hideMark/>
          </w:tcPr>
          <w:p w14:paraId="1F4BFAE9"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1.15 (0.76, 1.73)</w:t>
            </w:r>
          </w:p>
        </w:tc>
        <w:tc>
          <w:tcPr>
            <w:tcW w:w="2247" w:type="dxa"/>
            <w:hideMark/>
          </w:tcPr>
          <w:p w14:paraId="40E589D2"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1.15 (0.76, 1.72)</w:t>
            </w:r>
          </w:p>
        </w:tc>
      </w:tr>
      <w:tr w:rsidR="009A4FAB" w:rsidRPr="009A4FAB" w14:paraId="73CC72E0" w14:textId="77777777" w:rsidTr="006C38B1">
        <w:trPr>
          <w:trHeight w:val="92"/>
        </w:trPr>
        <w:tc>
          <w:tcPr>
            <w:tcW w:w="320" w:type="dxa"/>
          </w:tcPr>
          <w:p w14:paraId="303958B6"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hideMark/>
          </w:tcPr>
          <w:p w14:paraId="230D19C2"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Anxiety</w:t>
            </w:r>
          </w:p>
        </w:tc>
        <w:tc>
          <w:tcPr>
            <w:tcW w:w="2255" w:type="dxa"/>
            <w:hideMark/>
          </w:tcPr>
          <w:p w14:paraId="48A1E092"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38/106 (35.8)</w:t>
            </w:r>
          </w:p>
        </w:tc>
        <w:tc>
          <w:tcPr>
            <w:tcW w:w="2255" w:type="dxa"/>
            <w:vAlign w:val="center"/>
            <w:hideMark/>
          </w:tcPr>
          <w:p w14:paraId="05312A9E"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1.22 (0.79, 1.90)</w:t>
            </w:r>
          </w:p>
        </w:tc>
        <w:tc>
          <w:tcPr>
            <w:tcW w:w="2266" w:type="dxa"/>
            <w:hideMark/>
          </w:tcPr>
          <w:p w14:paraId="4A3CA040"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1.22 (0.78, 1.89)</w:t>
            </w:r>
          </w:p>
        </w:tc>
        <w:tc>
          <w:tcPr>
            <w:tcW w:w="2268" w:type="dxa"/>
            <w:hideMark/>
          </w:tcPr>
          <w:p w14:paraId="12DCA194"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1.25 (0.80, 1.95)</w:t>
            </w:r>
          </w:p>
        </w:tc>
        <w:tc>
          <w:tcPr>
            <w:tcW w:w="2247" w:type="dxa"/>
            <w:hideMark/>
          </w:tcPr>
          <w:p w14:paraId="352F5494"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1.24 (0.79, 1.94)</w:t>
            </w:r>
          </w:p>
        </w:tc>
      </w:tr>
      <w:tr w:rsidR="009A4FAB" w:rsidRPr="009A4FAB" w14:paraId="40E86FD3" w14:textId="77777777" w:rsidTr="006C38B1">
        <w:trPr>
          <w:trHeight w:val="92"/>
        </w:trPr>
        <w:tc>
          <w:tcPr>
            <w:tcW w:w="320" w:type="dxa"/>
          </w:tcPr>
          <w:p w14:paraId="055FF5A9"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hideMark/>
          </w:tcPr>
          <w:p w14:paraId="4D6018A7"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Depression</w:t>
            </w:r>
          </w:p>
        </w:tc>
        <w:tc>
          <w:tcPr>
            <w:tcW w:w="2255" w:type="dxa"/>
            <w:hideMark/>
          </w:tcPr>
          <w:p w14:paraId="7A9EAAB6"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48/125 (38.4)</w:t>
            </w:r>
          </w:p>
        </w:tc>
        <w:tc>
          <w:tcPr>
            <w:tcW w:w="2255" w:type="dxa"/>
            <w:vAlign w:val="center"/>
            <w:hideMark/>
          </w:tcPr>
          <w:p w14:paraId="34080579"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1.42 (0.94, 2.13)</w:t>
            </w:r>
          </w:p>
        </w:tc>
        <w:tc>
          <w:tcPr>
            <w:tcW w:w="2266" w:type="dxa"/>
            <w:hideMark/>
          </w:tcPr>
          <w:p w14:paraId="32C6C874"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1.45 (0.96, 2.20)</w:t>
            </w:r>
          </w:p>
        </w:tc>
        <w:tc>
          <w:tcPr>
            <w:tcW w:w="2268" w:type="dxa"/>
            <w:hideMark/>
          </w:tcPr>
          <w:p w14:paraId="0F04C749"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1.47 (0.97, 2.24)</w:t>
            </w:r>
          </w:p>
        </w:tc>
        <w:tc>
          <w:tcPr>
            <w:tcW w:w="2247" w:type="dxa"/>
            <w:hideMark/>
          </w:tcPr>
          <w:p w14:paraId="455DF763"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1.49 (0.98, 2.26)</w:t>
            </w:r>
          </w:p>
        </w:tc>
      </w:tr>
      <w:tr w:rsidR="009A4FAB" w:rsidRPr="009A4FAB" w14:paraId="7362D42B" w14:textId="77777777" w:rsidTr="006C38B1">
        <w:trPr>
          <w:trHeight w:val="92"/>
        </w:trPr>
        <w:tc>
          <w:tcPr>
            <w:tcW w:w="2837" w:type="dxa"/>
            <w:gridSpan w:val="3"/>
            <w:hideMark/>
          </w:tcPr>
          <w:p w14:paraId="3016C9D8"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bCs/>
                <w:i/>
                <w:iCs/>
                <w:color w:val="000000" w:themeColor="text1"/>
                <w:sz w:val="22"/>
                <w:szCs w:val="22"/>
                <w:lang w:val="en-US"/>
              </w:rPr>
              <w:t>Comorbidities:</w:t>
            </w:r>
          </w:p>
        </w:tc>
        <w:tc>
          <w:tcPr>
            <w:tcW w:w="2255" w:type="dxa"/>
          </w:tcPr>
          <w:p w14:paraId="754A354A"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p>
        </w:tc>
        <w:tc>
          <w:tcPr>
            <w:tcW w:w="2255" w:type="dxa"/>
            <w:vAlign w:val="center"/>
          </w:tcPr>
          <w:p w14:paraId="3AEB3F36"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p>
        </w:tc>
        <w:tc>
          <w:tcPr>
            <w:tcW w:w="2266" w:type="dxa"/>
          </w:tcPr>
          <w:p w14:paraId="6DE4C0AC"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268" w:type="dxa"/>
          </w:tcPr>
          <w:p w14:paraId="7BC08051"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247" w:type="dxa"/>
          </w:tcPr>
          <w:p w14:paraId="23078AC1"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r>
      <w:tr w:rsidR="009A4FAB" w:rsidRPr="009A4FAB" w14:paraId="79250A8E" w14:textId="77777777" w:rsidTr="006C38B1">
        <w:trPr>
          <w:trHeight w:val="92"/>
        </w:trPr>
        <w:tc>
          <w:tcPr>
            <w:tcW w:w="320" w:type="dxa"/>
          </w:tcPr>
          <w:p w14:paraId="31726F75"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vAlign w:val="bottom"/>
            <w:hideMark/>
          </w:tcPr>
          <w:p w14:paraId="0E2A9C78"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No</w:t>
            </w:r>
          </w:p>
        </w:tc>
        <w:tc>
          <w:tcPr>
            <w:tcW w:w="2255" w:type="dxa"/>
            <w:hideMark/>
          </w:tcPr>
          <w:p w14:paraId="13C16D94"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75/231 (32.5)</w:t>
            </w:r>
          </w:p>
        </w:tc>
        <w:tc>
          <w:tcPr>
            <w:tcW w:w="2255" w:type="dxa"/>
            <w:vAlign w:val="center"/>
            <w:hideMark/>
          </w:tcPr>
          <w:p w14:paraId="7E959344"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1</w:t>
            </w:r>
          </w:p>
        </w:tc>
        <w:tc>
          <w:tcPr>
            <w:tcW w:w="2266" w:type="dxa"/>
            <w:hideMark/>
          </w:tcPr>
          <w:p w14:paraId="4B3F8300"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w:t>
            </w:r>
          </w:p>
        </w:tc>
        <w:tc>
          <w:tcPr>
            <w:tcW w:w="2268" w:type="dxa"/>
            <w:hideMark/>
          </w:tcPr>
          <w:p w14:paraId="5E917509"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w:t>
            </w:r>
          </w:p>
        </w:tc>
        <w:tc>
          <w:tcPr>
            <w:tcW w:w="2247" w:type="dxa"/>
            <w:hideMark/>
          </w:tcPr>
          <w:p w14:paraId="0D43B28A"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w:t>
            </w:r>
          </w:p>
        </w:tc>
      </w:tr>
      <w:tr w:rsidR="009A4FAB" w:rsidRPr="009A4FAB" w14:paraId="6218A2E2" w14:textId="77777777" w:rsidTr="006C38B1">
        <w:trPr>
          <w:trHeight w:val="92"/>
        </w:trPr>
        <w:tc>
          <w:tcPr>
            <w:tcW w:w="320" w:type="dxa"/>
          </w:tcPr>
          <w:p w14:paraId="1D12F328"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vAlign w:val="bottom"/>
            <w:hideMark/>
          </w:tcPr>
          <w:p w14:paraId="7B070BE3"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w:t>
            </w:r>
          </w:p>
        </w:tc>
        <w:tc>
          <w:tcPr>
            <w:tcW w:w="2255" w:type="dxa"/>
            <w:hideMark/>
          </w:tcPr>
          <w:p w14:paraId="585FF2CF"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60/209 (28.7)</w:t>
            </w:r>
          </w:p>
        </w:tc>
        <w:tc>
          <w:tcPr>
            <w:tcW w:w="2255" w:type="dxa"/>
            <w:vAlign w:val="center"/>
            <w:hideMark/>
          </w:tcPr>
          <w:p w14:paraId="73F2C60A"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0.84 (0.56, 1.26)</w:t>
            </w:r>
          </w:p>
        </w:tc>
        <w:tc>
          <w:tcPr>
            <w:tcW w:w="2266" w:type="dxa"/>
            <w:hideMark/>
          </w:tcPr>
          <w:p w14:paraId="43A45B7A"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0.91 (0.60, 1.38)</w:t>
            </w:r>
          </w:p>
        </w:tc>
        <w:tc>
          <w:tcPr>
            <w:tcW w:w="2268" w:type="dxa"/>
            <w:hideMark/>
          </w:tcPr>
          <w:p w14:paraId="13563C40"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0.88 (0.58, 1.34)</w:t>
            </w:r>
          </w:p>
        </w:tc>
        <w:tc>
          <w:tcPr>
            <w:tcW w:w="2247" w:type="dxa"/>
            <w:hideMark/>
          </w:tcPr>
          <w:p w14:paraId="6E52306C"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0.88 (0.58, 1.35)</w:t>
            </w:r>
          </w:p>
        </w:tc>
      </w:tr>
      <w:tr w:rsidR="009A4FAB" w:rsidRPr="009A4FAB" w14:paraId="72EC2CA2" w14:textId="77777777" w:rsidTr="006C38B1">
        <w:trPr>
          <w:trHeight w:val="92"/>
        </w:trPr>
        <w:tc>
          <w:tcPr>
            <w:tcW w:w="320" w:type="dxa"/>
            <w:tcBorders>
              <w:top w:val="nil"/>
              <w:left w:val="nil"/>
              <w:bottom w:val="single" w:sz="4" w:space="0" w:color="auto"/>
              <w:right w:val="nil"/>
            </w:tcBorders>
          </w:tcPr>
          <w:p w14:paraId="662D977C"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p>
        </w:tc>
        <w:tc>
          <w:tcPr>
            <w:tcW w:w="2517" w:type="dxa"/>
            <w:gridSpan w:val="2"/>
            <w:tcBorders>
              <w:top w:val="nil"/>
              <w:left w:val="nil"/>
              <w:bottom w:val="single" w:sz="4" w:space="0" w:color="auto"/>
              <w:right w:val="nil"/>
            </w:tcBorders>
            <w:vAlign w:val="bottom"/>
            <w:hideMark/>
          </w:tcPr>
          <w:p w14:paraId="7E1952A6"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2 or more</w:t>
            </w:r>
          </w:p>
        </w:tc>
        <w:tc>
          <w:tcPr>
            <w:tcW w:w="2255" w:type="dxa"/>
            <w:tcBorders>
              <w:top w:val="nil"/>
              <w:left w:val="nil"/>
              <w:bottom w:val="single" w:sz="4" w:space="0" w:color="auto"/>
              <w:right w:val="nil"/>
            </w:tcBorders>
            <w:hideMark/>
          </w:tcPr>
          <w:p w14:paraId="2C84AC02"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62/173 (35.8)</w:t>
            </w:r>
          </w:p>
        </w:tc>
        <w:tc>
          <w:tcPr>
            <w:tcW w:w="2255" w:type="dxa"/>
            <w:tcBorders>
              <w:top w:val="nil"/>
              <w:left w:val="nil"/>
              <w:bottom w:val="single" w:sz="4" w:space="0" w:color="auto"/>
              <w:right w:val="nil"/>
            </w:tcBorders>
            <w:vAlign w:val="center"/>
            <w:hideMark/>
          </w:tcPr>
          <w:p w14:paraId="78C78C62" w14:textId="77777777" w:rsidR="009868DF" w:rsidRPr="009A4FAB" w:rsidRDefault="009868DF" w:rsidP="006C38B1">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1.16 (0.77, 1.76)</w:t>
            </w:r>
          </w:p>
        </w:tc>
        <w:tc>
          <w:tcPr>
            <w:tcW w:w="2266" w:type="dxa"/>
            <w:tcBorders>
              <w:top w:val="nil"/>
              <w:left w:val="nil"/>
              <w:bottom w:val="single" w:sz="4" w:space="0" w:color="auto"/>
              <w:right w:val="nil"/>
            </w:tcBorders>
            <w:hideMark/>
          </w:tcPr>
          <w:p w14:paraId="1A618CA1"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1.47 (0.93, 2.32)</w:t>
            </w:r>
          </w:p>
        </w:tc>
        <w:tc>
          <w:tcPr>
            <w:tcW w:w="2268" w:type="dxa"/>
            <w:tcBorders>
              <w:top w:val="nil"/>
              <w:left w:val="nil"/>
              <w:bottom w:val="single" w:sz="4" w:space="0" w:color="auto"/>
              <w:right w:val="nil"/>
            </w:tcBorders>
            <w:hideMark/>
          </w:tcPr>
          <w:p w14:paraId="2B5CCE3D"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1.37 (0.86, 2.18)</w:t>
            </w:r>
          </w:p>
        </w:tc>
        <w:tc>
          <w:tcPr>
            <w:tcW w:w="2247" w:type="dxa"/>
            <w:tcBorders>
              <w:top w:val="nil"/>
              <w:left w:val="nil"/>
              <w:bottom w:val="single" w:sz="4" w:space="0" w:color="auto"/>
              <w:right w:val="nil"/>
            </w:tcBorders>
            <w:hideMark/>
          </w:tcPr>
          <w:p w14:paraId="2260B428" w14:textId="77777777" w:rsidR="009868DF" w:rsidRPr="009A4FAB" w:rsidRDefault="009868DF" w:rsidP="006C38B1">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1.37 (0.86, 2.18)</w:t>
            </w:r>
          </w:p>
        </w:tc>
      </w:tr>
    </w:tbl>
    <w:p w14:paraId="69793557" w14:textId="77777777" w:rsidR="009868DF" w:rsidRPr="009A4FAB" w:rsidRDefault="009868DF" w:rsidP="009868DF">
      <w:pPr>
        <w:spacing w:line="360" w:lineRule="auto"/>
        <w:rPr>
          <w:color w:val="000000" w:themeColor="text1"/>
          <w:sz w:val="22"/>
          <w:szCs w:val="22"/>
        </w:rPr>
      </w:pPr>
      <w:r w:rsidRPr="009A4FAB">
        <w:rPr>
          <w:color w:val="000000" w:themeColor="text1"/>
          <w:sz w:val="22"/>
          <w:szCs w:val="22"/>
        </w:rPr>
        <w:t>Adjusted 1: OR was adjusted for age</w:t>
      </w:r>
    </w:p>
    <w:p w14:paraId="6A00396C" w14:textId="77777777" w:rsidR="009868DF" w:rsidRPr="009A4FAB" w:rsidRDefault="009868DF" w:rsidP="009868DF">
      <w:pPr>
        <w:spacing w:line="360" w:lineRule="auto"/>
        <w:rPr>
          <w:color w:val="000000" w:themeColor="text1"/>
          <w:sz w:val="22"/>
          <w:szCs w:val="22"/>
        </w:rPr>
      </w:pPr>
      <w:r w:rsidRPr="009A4FAB">
        <w:rPr>
          <w:color w:val="000000" w:themeColor="text1"/>
          <w:sz w:val="22"/>
          <w:szCs w:val="22"/>
        </w:rPr>
        <w:t>Adjusted 2: OR was adjusted for age, and BMI</w:t>
      </w:r>
    </w:p>
    <w:p w14:paraId="25A7D6E0" w14:textId="77777777" w:rsidR="009868DF" w:rsidRPr="009A4FAB" w:rsidRDefault="009868DF" w:rsidP="009868DF">
      <w:pPr>
        <w:spacing w:line="360" w:lineRule="auto"/>
        <w:rPr>
          <w:color w:val="000000" w:themeColor="text1"/>
          <w:sz w:val="22"/>
          <w:szCs w:val="22"/>
        </w:rPr>
      </w:pPr>
      <w:r w:rsidRPr="009A4FAB">
        <w:rPr>
          <w:color w:val="000000" w:themeColor="text1"/>
          <w:sz w:val="22"/>
          <w:szCs w:val="22"/>
        </w:rPr>
        <w:t>Adjusted 3: OR was adjusted for age, BMI, and Sex</w:t>
      </w:r>
    </w:p>
    <w:p w14:paraId="703DF7C1" w14:textId="441A6AE7" w:rsidR="008C6D0F" w:rsidRPr="009A4FAB" w:rsidRDefault="009868DF" w:rsidP="008C6D0F">
      <w:pPr>
        <w:widowControl w:val="0"/>
        <w:autoSpaceDE w:val="0"/>
        <w:autoSpaceDN w:val="0"/>
        <w:adjustRightInd w:val="0"/>
        <w:spacing w:line="360" w:lineRule="auto"/>
        <w:rPr>
          <w:color w:val="000000" w:themeColor="text1"/>
          <w:sz w:val="22"/>
          <w:szCs w:val="22"/>
        </w:rPr>
      </w:pPr>
      <w:r w:rsidRPr="009A4FAB">
        <w:rPr>
          <w:color w:val="000000" w:themeColor="text1"/>
          <w:sz w:val="22"/>
          <w:szCs w:val="22"/>
        </w:rPr>
        <w:t>*p&lt;0.05, **p&lt;0.01, ***p&lt;0.001.</w:t>
      </w:r>
      <w:r w:rsidRPr="009A4FAB">
        <w:rPr>
          <w:color w:val="000000" w:themeColor="text1"/>
          <w:sz w:val="22"/>
          <w:szCs w:val="22"/>
        </w:rPr>
        <w:br w:type="page"/>
      </w:r>
    </w:p>
    <w:tbl>
      <w:tblPr>
        <w:tblW w:w="14322" w:type="dxa"/>
        <w:tblInd w:w="-147" w:type="dxa"/>
        <w:tblLook w:val="04A0" w:firstRow="1" w:lastRow="0" w:firstColumn="1" w:lastColumn="0" w:noHBand="0" w:noVBand="1"/>
      </w:tblPr>
      <w:tblGrid>
        <w:gridCol w:w="307"/>
        <w:gridCol w:w="488"/>
        <w:gridCol w:w="2058"/>
        <w:gridCol w:w="2256"/>
        <w:gridCol w:w="2409"/>
        <w:gridCol w:w="2127"/>
        <w:gridCol w:w="2268"/>
        <w:gridCol w:w="2409"/>
      </w:tblGrid>
      <w:tr w:rsidR="009A4FAB" w:rsidRPr="009A4FAB" w14:paraId="7217F1FF" w14:textId="77777777" w:rsidTr="008C6D0F">
        <w:trPr>
          <w:trHeight w:val="55"/>
        </w:trPr>
        <w:tc>
          <w:tcPr>
            <w:tcW w:w="14322" w:type="dxa"/>
            <w:gridSpan w:val="8"/>
            <w:hideMark/>
          </w:tcPr>
          <w:p w14:paraId="2245FD6D"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b/>
                <w:bCs/>
                <w:color w:val="000000" w:themeColor="text1"/>
                <w:sz w:val="22"/>
                <w:szCs w:val="22"/>
                <w:lang w:val="en-US"/>
              </w:rPr>
              <w:lastRenderedPageBreak/>
              <w:t>Table 3:</w:t>
            </w:r>
            <w:r w:rsidRPr="009A4FAB">
              <w:rPr>
                <w:color w:val="000000" w:themeColor="text1"/>
                <w:sz w:val="22"/>
                <w:szCs w:val="22"/>
                <w:lang w:val="en-US"/>
              </w:rPr>
              <w:t xml:space="preserve"> Factors for and the point prevalence of chronic low back pain (n=197)</w:t>
            </w:r>
          </w:p>
        </w:tc>
      </w:tr>
      <w:tr w:rsidR="009A4FAB" w:rsidRPr="009A4FAB" w14:paraId="63CC27BB" w14:textId="77777777" w:rsidTr="008C6D0F">
        <w:trPr>
          <w:trHeight w:val="55"/>
        </w:trPr>
        <w:tc>
          <w:tcPr>
            <w:tcW w:w="2853" w:type="dxa"/>
            <w:gridSpan w:val="3"/>
            <w:tcBorders>
              <w:top w:val="single" w:sz="4" w:space="0" w:color="auto"/>
              <w:left w:val="nil"/>
              <w:bottom w:val="nil"/>
              <w:right w:val="nil"/>
            </w:tcBorders>
          </w:tcPr>
          <w:p w14:paraId="1BABB4B5"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256" w:type="dxa"/>
            <w:tcBorders>
              <w:top w:val="single" w:sz="4" w:space="0" w:color="auto"/>
              <w:left w:val="nil"/>
              <w:bottom w:val="nil"/>
              <w:right w:val="nil"/>
            </w:tcBorders>
          </w:tcPr>
          <w:p w14:paraId="25403AFA"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p>
        </w:tc>
        <w:tc>
          <w:tcPr>
            <w:tcW w:w="9213" w:type="dxa"/>
            <w:gridSpan w:val="4"/>
            <w:tcBorders>
              <w:top w:val="single" w:sz="4" w:space="0" w:color="auto"/>
              <w:left w:val="nil"/>
              <w:bottom w:val="single" w:sz="4" w:space="0" w:color="auto"/>
              <w:right w:val="nil"/>
            </w:tcBorders>
            <w:hideMark/>
          </w:tcPr>
          <w:p w14:paraId="2C235DA4"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Odds Ratio (95% Confidence Interval)</w:t>
            </w:r>
          </w:p>
        </w:tc>
      </w:tr>
      <w:tr w:rsidR="009A4FAB" w:rsidRPr="009A4FAB" w14:paraId="6EFB4454" w14:textId="77777777" w:rsidTr="008C6D0F">
        <w:trPr>
          <w:trHeight w:val="55"/>
        </w:trPr>
        <w:tc>
          <w:tcPr>
            <w:tcW w:w="2853" w:type="dxa"/>
            <w:gridSpan w:val="3"/>
            <w:tcBorders>
              <w:top w:val="nil"/>
              <w:left w:val="nil"/>
              <w:bottom w:val="single" w:sz="4" w:space="0" w:color="auto"/>
              <w:right w:val="nil"/>
            </w:tcBorders>
            <w:hideMark/>
          </w:tcPr>
          <w:p w14:paraId="2A1D11E4" w14:textId="31C1904B"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Factors</w:t>
            </w:r>
          </w:p>
        </w:tc>
        <w:tc>
          <w:tcPr>
            <w:tcW w:w="2256" w:type="dxa"/>
            <w:tcBorders>
              <w:top w:val="nil"/>
              <w:left w:val="nil"/>
              <w:bottom w:val="single" w:sz="4" w:space="0" w:color="auto"/>
              <w:right w:val="nil"/>
            </w:tcBorders>
            <w:hideMark/>
          </w:tcPr>
          <w:p w14:paraId="38443351" w14:textId="77777777" w:rsidR="008C6D0F" w:rsidRPr="009A4FAB" w:rsidRDefault="008C6D0F" w:rsidP="00F2257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Prevalence (%)</w:t>
            </w:r>
          </w:p>
        </w:tc>
        <w:tc>
          <w:tcPr>
            <w:tcW w:w="2409" w:type="dxa"/>
            <w:tcBorders>
              <w:top w:val="single" w:sz="4" w:space="0" w:color="auto"/>
              <w:left w:val="nil"/>
              <w:bottom w:val="single" w:sz="4" w:space="0" w:color="auto"/>
              <w:right w:val="nil"/>
            </w:tcBorders>
            <w:hideMark/>
          </w:tcPr>
          <w:p w14:paraId="2B717BF3"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Crude</w:t>
            </w:r>
          </w:p>
        </w:tc>
        <w:tc>
          <w:tcPr>
            <w:tcW w:w="2127" w:type="dxa"/>
            <w:tcBorders>
              <w:top w:val="single" w:sz="4" w:space="0" w:color="auto"/>
              <w:left w:val="nil"/>
              <w:bottom w:val="single" w:sz="4" w:space="0" w:color="auto"/>
              <w:right w:val="nil"/>
            </w:tcBorders>
            <w:hideMark/>
          </w:tcPr>
          <w:p w14:paraId="3BACE4BB"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Adjusted 1</w:t>
            </w:r>
          </w:p>
        </w:tc>
        <w:tc>
          <w:tcPr>
            <w:tcW w:w="2268" w:type="dxa"/>
            <w:tcBorders>
              <w:top w:val="single" w:sz="4" w:space="0" w:color="auto"/>
              <w:left w:val="nil"/>
              <w:bottom w:val="single" w:sz="4" w:space="0" w:color="auto"/>
              <w:right w:val="nil"/>
            </w:tcBorders>
            <w:hideMark/>
          </w:tcPr>
          <w:p w14:paraId="72CFB066"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Adjusted 2</w:t>
            </w:r>
          </w:p>
        </w:tc>
        <w:tc>
          <w:tcPr>
            <w:tcW w:w="2409" w:type="dxa"/>
            <w:tcBorders>
              <w:top w:val="single" w:sz="4" w:space="0" w:color="auto"/>
              <w:left w:val="nil"/>
              <w:bottom w:val="single" w:sz="4" w:space="0" w:color="auto"/>
              <w:right w:val="nil"/>
            </w:tcBorders>
            <w:hideMark/>
          </w:tcPr>
          <w:p w14:paraId="24AF2A6C"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Adjusted 3</w:t>
            </w:r>
          </w:p>
        </w:tc>
      </w:tr>
      <w:tr w:rsidR="009A4FAB" w:rsidRPr="009A4FAB" w14:paraId="1AAB89C6" w14:textId="77777777" w:rsidTr="008C6D0F">
        <w:trPr>
          <w:trHeight w:val="24"/>
        </w:trPr>
        <w:tc>
          <w:tcPr>
            <w:tcW w:w="307" w:type="dxa"/>
          </w:tcPr>
          <w:p w14:paraId="38793537"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vAlign w:val="center"/>
            <w:hideMark/>
          </w:tcPr>
          <w:p w14:paraId="1CFB4BA2"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Age (Years)</w:t>
            </w:r>
          </w:p>
        </w:tc>
        <w:tc>
          <w:tcPr>
            <w:tcW w:w="2256" w:type="dxa"/>
          </w:tcPr>
          <w:p w14:paraId="6F9158B8"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409" w:type="dxa"/>
            <w:vAlign w:val="center"/>
          </w:tcPr>
          <w:p w14:paraId="36058700"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127" w:type="dxa"/>
            <w:vAlign w:val="center"/>
          </w:tcPr>
          <w:p w14:paraId="0D18E418" w14:textId="77777777" w:rsidR="008C6D0F" w:rsidRPr="009A4FAB" w:rsidRDefault="008C6D0F">
            <w:pPr>
              <w:widowControl w:val="0"/>
              <w:autoSpaceDE w:val="0"/>
              <w:autoSpaceDN w:val="0"/>
              <w:adjustRightInd w:val="0"/>
              <w:spacing w:line="360" w:lineRule="auto"/>
              <w:jc w:val="center"/>
              <w:rPr>
                <w:b/>
                <w:bCs/>
                <w:color w:val="000000" w:themeColor="text1"/>
                <w:sz w:val="22"/>
                <w:szCs w:val="22"/>
                <w:lang w:val="en-US"/>
              </w:rPr>
            </w:pPr>
          </w:p>
        </w:tc>
        <w:tc>
          <w:tcPr>
            <w:tcW w:w="2268" w:type="dxa"/>
            <w:vAlign w:val="center"/>
          </w:tcPr>
          <w:p w14:paraId="0EF31F13"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409" w:type="dxa"/>
            <w:vAlign w:val="center"/>
          </w:tcPr>
          <w:p w14:paraId="1FFBD1C7"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r>
      <w:tr w:rsidR="009A4FAB" w:rsidRPr="009A4FAB" w14:paraId="5FC78CD1" w14:textId="77777777" w:rsidTr="008C6D0F">
        <w:trPr>
          <w:trHeight w:val="11"/>
        </w:trPr>
        <w:tc>
          <w:tcPr>
            <w:tcW w:w="307" w:type="dxa"/>
          </w:tcPr>
          <w:p w14:paraId="41D13989"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129916FC"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058" w:type="dxa"/>
            <w:hideMark/>
          </w:tcPr>
          <w:p w14:paraId="16138FB3"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30-44</w:t>
            </w:r>
          </w:p>
        </w:tc>
        <w:tc>
          <w:tcPr>
            <w:tcW w:w="2256" w:type="dxa"/>
            <w:hideMark/>
          </w:tcPr>
          <w:p w14:paraId="077C8AD1"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22/38 (57.9)</w:t>
            </w:r>
          </w:p>
        </w:tc>
        <w:tc>
          <w:tcPr>
            <w:tcW w:w="2409" w:type="dxa"/>
            <w:vAlign w:val="center"/>
            <w:hideMark/>
          </w:tcPr>
          <w:p w14:paraId="4FE61DA9"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c>
          <w:tcPr>
            <w:tcW w:w="2127" w:type="dxa"/>
            <w:vAlign w:val="center"/>
            <w:hideMark/>
          </w:tcPr>
          <w:p w14:paraId="4A0CBCE7"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w:t>
            </w:r>
          </w:p>
        </w:tc>
        <w:tc>
          <w:tcPr>
            <w:tcW w:w="2268" w:type="dxa"/>
            <w:vAlign w:val="center"/>
            <w:hideMark/>
          </w:tcPr>
          <w:p w14:paraId="65B7C1F5"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c>
          <w:tcPr>
            <w:tcW w:w="2409" w:type="dxa"/>
            <w:vAlign w:val="center"/>
            <w:hideMark/>
          </w:tcPr>
          <w:p w14:paraId="5598BE40"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r>
      <w:tr w:rsidR="009A4FAB" w:rsidRPr="009A4FAB" w14:paraId="02F7F307" w14:textId="77777777" w:rsidTr="008C6D0F">
        <w:trPr>
          <w:trHeight w:val="11"/>
        </w:trPr>
        <w:tc>
          <w:tcPr>
            <w:tcW w:w="307" w:type="dxa"/>
          </w:tcPr>
          <w:p w14:paraId="05721987"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0549FD3B"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p>
        </w:tc>
        <w:tc>
          <w:tcPr>
            <w:tcW w:w="2058" w:type="dxa"/>
            <w:hideMark/>
          </w:tcPr>
          <w:p w14:paraId="028461DB"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45-59</w:t>
            </w:r>
          </w:p>
        </w:tc>
        <w:tc>
          <w:tcPr>
            <w:tcW w:w="2256" w:type="dxa"/>
            <w:hideMark/>
          </w:tcPr>
          <w:p w14:paraId="2BAAC27C"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43/62 (69.4)</w:t>
            </w:r>
          </w:p>
        </w:tc>
        <w:tc>
          <w:tcPr>
            <w:tcW w:w="2409" w:type="dxa"/>
            <w:vAlign w:val="center"/>
            <w:hideMark/>
          </w:tcPr>
          <w:p w14:paraId="50F3E42B"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1.65 (0.71, 3.81)</w:t>
            </w:r>
          </w:p>
        </w:tc>
        <w:tc>
          <w:tcPr>
            <w:tcW w:w="2127" w:type="dxa"/>
            <w:vAlign w:val="center"/>
            <w:hideMark/>
          </w:tcPr>
          <w:p w14:paraId="37851D4A"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w:t>
            </w:r>
          </w:p>
        </w:tc>
        <w:tc>
          <w:tcPr>
            <w:tcW w:w="2268" w:type="dxa"/>
            <w:vAlign w:val="center"/>
            <w:hideMark/>
          </w:tcPr>
          <w:p w14:paraId="08C1674B"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1.74 (0.75, 4.08)</w:t>
            </w:r>
          </w:p>
        </w:tc>
        <w:tc>
          <w:tcPr>
            <w:tcW w:w="2409" w:type="dxa"/>
            <w:vAlign w:val="center"/>
            <w:hideMark/>
          </w:tcPr>
          <w:p w14:paraId="7EA45FB1"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1.76 (0.75, 4.11)</w:t>
            </w:r>
          </w:p>
        </w:tc>
      </w:tr>
      <w:tr w:rsidR="009A4FAB" w:rsidRPr="009A4FAB" w14:paraId="50EB0769" w14:textId="77777777" w:rsidTr="008C6D0F">
        <w:trPr>
          <w:trHeight w:val="11"/>
        </w:trPr>
        <w:tc>
          <w:tcPr>
            <w:tcW w:w="307" w:type="dxa"/>
          </w:tcPr>
          <w:p w14:paraId="7D331268"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2B5608D6"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p>
        </w:tc>
        <w:tc>
          <w:tcPr>
            <w:tcW w:w="2058" w:type="dxa"/>
            <w:hideMark/>
          </w:tcPr>
          <w:p w14:paraId="1E9DB743"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60-74</w:t>
            </w:r>
          </w:p>
        </w:tc>
        <w:tc>
          <w:tcPr>
            <w:tcW w:w="2256" w:type="dxa"/>
            <w:hideMark/>
          </w:tcPr>
          <w:p w14:paraId="238C3DB0"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41/59 (69.5)</w:t>
            </w:r>
          </w:p>
        </w:tc>
        <w:tc>
          <w:tcPr>
            <w:tcW w:w="2409" w:type="dxa"/>
            <w:vAlign w:val="center"/>
            <w:hideMark/>
          </w:tcPr>
          <w:p w14:paraId="56275331"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1.66 (0.71, 3.87)</w:t>
            </w:r>
          </w:p>
        </w:tc>
        <w:tc>
          <w:tcPr>
            <w:tcW w:w="2127" w:type="dxa"/>
            <w:vAlign w:val="center"/>
            <w:hideMark/>
          </w:tcPr>
          <w:p w14:paraId="3DAF58DD"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w:t>
            </w:r>
          </w:p>
        </w:tc>
        <w:tc>
          <w:tcPr>
            <w:tcW w:w="2268" w:type="dxa"/>
            <w:vAlign w:val="center"/>
            <w:hideMark/>
          </w:tcPr>
          <w:p w14:paraId="0AF0FCDE"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1.73 (0.73, 4.07)</w:t>
            </w:r>
          </w:p>
        </w:tc>
        <w:tc>
          <w:tcPr>
            <w:tcW w:w="2409" w:type="dxa"/>
            <w:vAlign w:val="center"/>
            <w:hideMark/>
          </w:tcPr>
          <w:p w14:paraId="5A21774F"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1.82 (0.76, 4.35)</w:t>
            </w:r>
          </w:p>
        </w:tc>
      </w:tr>
      <w:tr w:rsidR="009A4FAB" w:rsidRPr="009A4FAB" w14:paraId="4F190864" w14:textId="77777777" w:rsidTr="008C6D0F">
        <w:trPr>
          <w:trHeight w:val="11"/>
        </w:trPr>
        <w:tc>
          <w:tcPr>
            <w:tcW w:w="307" w:type="dxa"/>
          </w:tcPr>
          <w:p w14:paraId="63882EB2"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7A743D8D"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p>
        </w:tc>
        <w:tc>
          <w:tcPr>
            <w:tcW w:w="2058" w:type="dxa"/>
            <w:hideMark/>
          </w:tcPr>
          <w:p w14:paraId="586A30B9"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u w:val="single"/>
                <w:lang w:val="en-US"/>
              </w:rPr>
              <w:t>≥</w:t>
            </w:r>
            <w:r w:rsidRPr="009A4FAB">
              <w:rPr>
                <w:color w:val="000000" w:themeColor="text1"/>
                <w:sz w:val="22"/>
                <w:szCs w:val="22"/>
                <w:lang w:val="en-US"/>
              </w:rPr>
              <w:t xml:space="preserve"> 75</w:t>
            </w:r>
          </w:p>
        </w:tc>
        <w:tc>
          <w:tcPr>
            <w:tcW w:w="2256" w:type="dxa"/>
            <w:hideMark/>
          </w:tcPr>
          <w:p w14:paraId="7CDC15A0"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29/38 (76.3)</w:t>
            </w:r>
          </w:p>
        </w:tc>
        <w:tc>
          <w:tcPr>
            <w:tcW w:w="2409" w:type="dxa"/>
            <w:vAlign w:val="center"/>
            <w:hideMark/>
          </w:tcPr>
          <w:p w14:paraId="223694F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2.34 (0.87, 6.29)</w:t>
            </w:r>
          </w:p>
        </w:tc>
        <w:tc>
          <w:tcPr>
            <w:tcW w:w="2127" w:type="dxa"/>
            <w:vAlign w:val="center"/>
            <w:hideMark/>
          </w:tcPr>
          <w:p w14:paraId="22FD6255"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w:t>
            </w:r>
          </w:p>
        </w:tc>
        <w:tc>
          <w:tcPr>
            <w:tcW w:w="2268" w:type="dxa"/>
            <w:vAlign w:val="center"/>
            <w:hideMark/>
          </w:tcPr>
          <w:p w14:paraId="6DB21CDC"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2.49 (0.92, 6.75)</w:t>
            </w:r>
          </w:p>
        </w:tc>
        <w:tc>
          <w:tcPr>
            <w:tcW w:w="2409" w:type="dxa"/>
            <w:hideMark/>
          </w:tcPr>
          <w:p w14:paraId="650A16C9"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2.53 (0.93, 6.90)</w:t>
            </w:r>
          </w:p>
        </w:tc>
      </w:tr>
      <w:tr w:rsidR="009A4FAB" w:rsidRPr="009A4FAB" w14:paraId="517E6175" w14:textId="77777777" w:rsidTr="008C6D0F">
        <w:trPr>
          <w:trHeight w:val="11"/>
        </w:trPr>
        <w:tc>
          <w:tcPr>
            <w:tcW w:w="307" w:type="dxa"/>
          </w:tcPr>
          <w:p w14:paraId="0E63C95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02" w:type="dxa"/>
            <w:gridSpan w:val="3"/>
            <w:vAlign w:val="center"/>
            <w:hideMark/>
          </w:tcPr>
          <w:p w14:paraId="252F960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Change in BMI Kg/m</w:t>
            </w:r>
            <w:r w:rsidRPr="009A4FAB">
              <w:rPr>
                <w:color w:val="000000" w:themeColor="text1"/>
                <w:sz w:val="22"/>
                <w:szCs w:val="22"/>
                <w:vertAlign w:val="superscript"/>
                <w:lang w:val="en-US"/>
              </w:rPr>
              <w:t>2</w:t>
            </w:r>
          </w:p>
        </w:tc>
        <w:tc>
          <w:tcPr>
            <w:tcW w:w="2409" w:type="dxa"/>
            <w:vAlign w:val="center"/>
          </w:tcPr>
          <w:p w14:paraId="2D9B3D59"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127" w:type="dxa"/>
            <w:vAlign w:val="center"/>
          </w:tcPr>
          <w:p w14:paraId="378D38A7" w14:textId="77777777" w:rsidR="008C6D0F" w:rsidRPr="009A4FAB" w:rsidRDefault="008C6D0F">
            <w:pPr>
              <w:widowControl w:val="0"/>
              <w:autoSpaceDE w:val="0"/>
              <w:autoSpaceDN w:val="0"/>
              <w:adjustRightInd w:val="0"/>
              <w:spacing w:line="360" w:lineRule="auto"/>
              <w:jc w:val="center"/>
              <w:rPr>
                <w:b/>
                <w:bCs/>
                <w:color w:val="000000" w:themeColor="text1"/>
                <w:sz w:val="22"/>
                <w:szCs w:val="22"/>
                <w:lang w:val="en-US"/>
              </w:rPr>
            </w:pPr>
          </w:p>
        </w:tc>
        <w:tc>
          <w:tcPr>
            <w:tcW w:w="2268" w:type="dxa"/>
            <w:vAlign w:val="center"/>
          </w:tcPr>
          <w:p w14:paraId="3FC336C9"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409" w:type="dxa"/>
          </w:tcPr>
          <w:p w14:paraId="3F1987E0"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r>
      <w:tr w:rsidR="009A4FAB" w:rsidRPr="009A4FAB" w14:paraId="3EDA55B7" w14:textId="77777777" w:rsidTr="008C6D0F">
        <w:trPr>
          <w:trHeight w:val="11"/>
        </w:trPr>
        <w:tc>
          <w:tcPr>
            <w:tcW w:w="307" w:type="dxa"/>
          </w:tcPr>
          <w:p w14:paraId="786DB179"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233E6559"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p>
        </w:tc>
        <w:tc>
          <w:tcPr>
            <w:tcW w:w="2058" w:type="dxa"/>
            <w:hideMark/>
          </w:tcPr>
          <w:p w14:paraId="2BC2BA82"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r w:rsidRPr="009A4FAB">
              <w:rPr>
                <w:color w:val="000000" w:themeColor="text1"/>
                <w:sz w:val="22"/>
                <w:szCs w:val="22"/>
                <w:lang w:val="en-US"/>
              </w:rPr>
              <w:t xml:space="preserve">Normal </w:t>
            </w:r>
            <w:r w:rsidRPr="009A4FAB">
              <w:rPr>
                <w:color w:val="000000" w:themeColor="text1"/>
                <w:sz w:val="22"/>
                <w:szCs w:val="22"/>
                <w:u w:val="single"/>
                <w:lang w:val="en-US"/>
              </w:rPr>
              <w:t>&lt;</w:t>
            </w:r>
            <w:r w:rsidRPr="009A4FAB">
              <w:rPr>
                <w:color w:val="000000" w:themeColor="text1"/>
                <w:sz w:val="22"/>
                <w:szCs w:val="22"/>
                <w:lang w:val="en-US"/>
              </w:rPr>
              <w:t xml:space="preserve"> 24.9</w:t>
            </w:r>
          </w:p>
        </w:tc>
        <w:tc>
          <w:tcPr>
            <w:tcW w:w="2256" w:type="dxa"/>
            <w:hideMark/>
          </w:tcPr>
          <w:p w14:paraId="6879E963"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76/108 (70.4)</w:t>
            </w:r>
          </w:p>
        </w:tc>
        <w:tc>
          <w:tcPr>
            <w:tcW w:w="2409" w:type="dxa"/>
            <w:hideMark/>
          </w:tcPr>
          <w:p w14:paraId="27FB64D7"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c>
          <w:tcPr>
            <w:tcW w:w="2127" w:type="dxa"/>
            <w:hideMark/>
          </w:tcPr>
          <w:p w14:paraId="725858D4" w14:textId="77777777" w:rsidR="008C6D0F" w:rsidRPr="009A4FAB" w:rsidRDefault="008C6D0F">
            <w:pPr>
              <w:widowControl w:val="0"/>
              <w:autoSpaceDE w:val="0"/>
              <w:autoSpaceDN w:val="0"/>
              <w:adjustRightInd w:val="0"/>
              <w:spacing w:line="360" w:lineRule="auto"/>
              <w:jc w:val="center"/>
              <w:rPr>
                <w:b/>
                <w:bCs/>
                <w:color w:val="000000" w:themeColor="text1"/>
                <w:sz w:val="22"/>
                <w:szCs w:val="22"/>
                <w:lang w:val="en-US"/>
              </w:rPr>
            </w:pPr>
            <w:r w:rsidRPr="009A4FAB">
              <w:rPr>
                <w:color w:val="000000" w:themeColor="text1"/>
                <w:sz w:val="22"/>
                <w:szCs w:val="22"/>
                <w:lang w:val="en-US"/>
              </w:rPr>
              <w:t>1</w:t>
            </w:r>
          </w:p>
        </w:tc>
        <w:tc>
          <w:tcPr>
            <w:tcW w:w="2268" w:type="dxa"/>
            <w:hideMark/>
          </w:tcPr>
          <w:p w14:paraId="4254BD38" w14:textId="77777777" w:rsidR="008C6D0F" w:rsidRPr="009A4FAB" w:rsidRDefault="008C6D0F">
            <w:pPr>
              <w:widowControl w:val="0"/>
              <w:autoSpaceDE w:val="0"/>
              <w:autoSpaceDN w:val="0"/>
              <w:adjustRightInd w:val="0"/>
              <w:spacing w:line="360" w:lineRule="auto"/>
              <w:jc w:val="center"/>
              <w:rPr>
                <w:b/>
                <w:bCs/>
                <w:color w:val="000000" w:themeColor="text1"/>
                <w:sz w:val="22"/>
                <w:szCs w:val="22"/>
                <w:lang w:val="en-US"/>
              </w:rPr>
            </w:pPr>
            <w:r w:rsidRPr="009A4FAB">
              <w:rPr>
                <w:color w:val="000000" w:themeColor="text1"/>
                <w:sz w:val="22"/>
                <w:szCs w:val="22"/>
                <w:lang w:val="en-US"/>
              </w:rPr>
              <w:t>1</w:t>
            </w:r>
          </w:p>
        </w:tc>
        <w:tc>
          <w:tcPr>
            <w:tcW w:w="2409" w:type="dxa"/>
            <w:hideMark/>
          </w:tcPr>
          <w:p w14:paraId="47EBDF17"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r>
      <w:tr w:rsidR="009A4FAB" w:rsidRPr="009A4FAB" w14:paraId="1E3C964B" w14:textId="77777777" w:rsidTr="008C6D0F">
        <w:trPr>
          <w:trHeight w:val="11"/>
        </w:trPr>
        <w:tc>
          <w:tcPr>
            <w:tcW w:w="307" w:type="dxa"/>
          </w:tcPr>
          <w:p w14:paraId="59171795"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65F0A19E"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p>
        </w:tc>
        <w:tc>
          <w:tcPr>
            <w:tcW w:w="2058" w:type="dxa"/>
            <w:hideMark/>
          </w:tcPr>
          <w:p w14:paraId="5B751937"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r w:rsidRPr="009A4FAB">
              <w:rPr>
                <w:color w:val="000000" w:themeColor="text1"/>
                <w:sz w:val="22"/>
                <w:szCs w:val="22"/>
                <w:lang w:val="en-US"/>
              </w:rPr>
              <w:t>Increased</w:t>
            </w:r>
            <w:r w:rsidRPr="009A4FAB">
              <w:rPr>
                <w:rFonts w:eastAsia="MS Mincho"/>
                <w:color w:val="000000" w:themeColor="text1"/>
                <w:sz w:val="22"/>
                <w:szCs w:val="22"/>
                <w:lang w:val="en-US"/>
              </w:rPr>
              <w:t xml:space="preserve"> </w:t>
            </w:r>
            <w:r w:rsidRPr="009A4FAB">
              <w:rPr>
                <w:rFonts w:eastAsia="MS Mincho"/>
                <w:color w:val="000000" w:themeColor="text1"/>
                <w:sz w:val="22"/>
                <w:szCs w:val="22"/>
                <w:u w:val="single"/>
                <w:lang w:val="en-US"/>
              </w:rPr>
              <w:t>&gt;</w:t>
            </w:r>
            <w:r w:rsidRPr="009A4FAB">
              <w:rPr>
                <w:rFonts w:eastAsia="MS Mincho"/>
                <w:color w:val="000000" w:themeColor="text1"/>
                <w:sz w:val="22"/>
                <w:szCs w:val="22"/>
                <w:lang w:val="en-US"/>
              </w:rPr>
              <w:t xml:space="preserve"> 25.00</w:t>
            </w:r>
          </w:p>
        </w:tc>
        <w:tc>
          <w:tcPr>
            <w:tcW w:w="2256" w:type="dxa"/>
            <w:hideMark/>
          </w:tcPr>
          <w:p w14:paraId="3655459F"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38/60 (63.3)</w:t>
            </w:r>
          </w:p>
        </w:tc>
        <w:tc>
          <w:tcPr>
            <w:tcW w:w="2409" w:type="dxa"/>
            <w:vAlign w:val="center"/>
            <w:hideMark/>
          </w:tcPr>
          <w:p w14:paraId="005CBB29"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0.73 (0.37, 1.42)</w:t>
            </w:r>
          </w:p>
        </w:tc>
        <w:tc>
          <w:tcPr>
            <w:tcW w:w="2127" w:type="dxa"/>
            <w:vAlign w:val="center"/>
            <w:hideMark/>
          </w:tcPr>
          <w:p w14:paraId="0084B192" w14:textId="77777777" w:rsidR="008C6D0F" w:rsidRPr="009A4FAB" w:rsidRDefault="008C6D0F">
            <w:pPr>
              <w:widowControl w:val="0"/>
              <w:autoSpaceDE w:val="0"/>
              <w:autoSpaceDN w:val="0"/>
              <w:adjustRightInd w:val="0"/>
              <w:spacing w:line="360" w:lineRule="auto"/>
              <w:rPr>
                <w:b/>
                <w:bCs/>
                <w:color w:val="000000" w:themeColor="text1"/>
                <w:sz w:val="22"/>
                <w:szCs w:val="22"/>
                <w:lang w:val="en-US"/>
              </w:rPr>
            </w:pPr>
            <w:r w:rsidRPr="009A4FAB">
              <w:rPr>
                <w:color w:val="000000" w:themeColor="text1"/>
                <w:sz w:val="22"/>
                <w:szCs w:val="22"/>
                <w:lang w:val="en-US"/>
              </w:rPr>
              <w:t>0.67 (0.34, 1.33)</w:t>
            </w:r>
          </w:p>
        </w:tc>
        <w:tc>
          <w:tcPr>
            <w:tcW w:w="2268" w:type="dxa"/>
            <w:vAlign w:val="center"/>
            <w:hideMark/>
          </w:tcPr>
          <w:p w14:paraId="7D9CDED1" w14:textId="77777777" w:rsidR="008C6D0F" w:rsidRPr="009A4FAB" w:rsidRDefault="008C6D0F">
            <w:pPr>
              <w:widowControl w:val="0"/>
              <w:autoSpaceDE w:val="0"/>
              <w:autoSpaceDN w:val="0"/>
              <w:adjustRightInd w:val="0"/>
              <w:spacing w:line="360" w:lineRule="auto"/>
              <w:jc w:val="center"/>
              <w:rPr>
                <w:b/>
                <w:bCs/>
                <w:color w:val="000000" w:themeColor="text1"/>
                <w:sz w:val="22"/>
                <w:szCs w:val="22"/>
                <w:lang w:val="en-US"/>
              </w:rPr>
            </w:pPr>
            <w:r w:rsidRPr="009A4FAB">
              <w:rPr>
                <w:b/>
                <w:bCs/>
                <w:color w:val="000000" w:themeColor="text1"/>
                <w:sz w:val="22"/>
                <w:szCs w:val="22"/>
                <w:lang w:val="en-US"/>
              </w:rPr>
              <w:t>-</w:t>
            </w:r>
          </w:p>
        </w:tc>
        <w:tc>
          <w:tcPr>
            <w:tcW w:w="2409" w:type="dxa"/>
            <w:hideMark/>
          </w:tcPr>
          <w:p w14:paraId="061CE9A8"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0.71 (0.35, 1.41)</w:t>
            </w:r>
          </w:p>
        </w:tc>
      </w:tr>
      <w:tr w:rsidR="009A4FAB" w:rsidRPr="009A4FAB" w14:paraId="11599FA6" w14:textId="77777777" w:rsidTr="008C6D0F">
        <w:trPr>
          <w:trHeight w:val="11"/>
        </w:trPr>
        <w:tc>
          <w:tcPr>
            <w:tcW w:w="307" w:type="dxa"/>
          </w:tcPr>
          <w:p w14:paraId="155E80EF"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65850173"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p>
        </w:tc>
        <w:tc>
          <w:tcPr>
            <w:tcW w:w="2058" w:type="dxa"/>
            <w:hideMark/>
          </w:tcPr>
          <w:p w14:paraId="3A95948F"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r w:rsidRPr="009A4FAB">
              <w:rPr>
                <w:color w:val="000000" w:themeColor="text1"/>
                <w:sz w:val="22"/>
                <w:szCs w:val="22"/>
                <w:lang w:val="en-US"/>
              </w:rPr>
              <w:t xml:space="preserve">Remained </w:t>
            </w:r>
            <w:r w:rsidRPr="009A4FAB">
              <w:rPr>
                <w:color w:val="000000" w:themeColor="text1"/>
                <w:sz w:val="22"/>
                <w:szCs w:val="22"/>
                <w:u w:val="single"/>
                <w:lang w:val="en-US"/>
              </w:rPr>
              <w:t>&gt;</w:t>
            </w:r>
            <w:r w:rsidRPr="009A4FAB">
              <w:rPr>
                <w:color w:val="000000" w:themeColor="text1"/>
                <w:sz w:val="22"/>
                <w:szCs w:val="22"/>
                <w:lang w:val="en-US"/>
              </w:rPr>
              <w:t xml:space="preserve"> 25.00</w:t>
            </w:r>
          </w:p>
        </w:tc>
        <w:tc>
          <w:tcPr>
            <w:tcW w:w="2256" w:type="dxa"/>
            <w:hideMark/>
          </w:tcPr>
          <w:p w14:paraId="17710E7D"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21/29 (72.4)</w:t>
            </w:r>
          </w:p>
        </w:tc>
        <w:tc>
          <w:tcPr>
            <w:tcW w:w="2409" w:type="dxa"/>
            <w:vAlign w:val="center"/>
            <w:hideMark/>
          </w:tcPr>
          <w:p w14:paraId="6745916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1.11 (0.44, 2.75)</w:t>
            </w:r>
          </w:p>
        </w:tc>
        <w:tc>
          <w:tcPr>
            <w:tcW w:w="2127" w:type="dxa"/>
            <w:vAlign w:val="center"/>
            <w:hideMark/>
          </w:tcPr>
          <w:p w14:paraId="72E7D489" w14:textId="77777777" w:rsidR="008C6D0F" w:rsidRPr="009A4FAB" w:rsidRDefault="008C6D0F">
            <w:pPr>
              <w:widowControl w:val="0"/>
              <w:autoSpaceDE w:val="0"/>
              <w:autoSpaceDN w:val="0"/>
              <w:adjustRightInd w:val="0"/>
              <w:spacing w:line="360" w:lineRule="auto"/>
              <w:rPr>
                <w:b/>
                <w:bCs/>
                <w:color w:val="000000" w:themeColor="text1"/>
                <w:sz w:val="22"/>
                <w:szCs w:val="22"/>
                <w:lang w:val="en-US"/>
              </w:rPr>
            </w:pPr>
            <w:r w:rsidRPr="009A4FAB">
              <w:rPr>
                <w:color w:val="000000" w:themeColor="text1"/>
                <w:sz w:val="22"/>
                <w:szCs w:val="22"/>
                <w:lang w:val="en-US"/>
              </w:rPr>
              <w:t>1.04 (0.41, 2.63)</w:t>
            </w:r>
          </w:p>
        </w:tc>
        <w:tc>
          <w:tcPr>
            <w:tcW w:w="2268" w:type="dxa"/>
            <w:vAlign w:val="center"/>
            <w:hideMark/>
          </w:tcPr>
          <w:p w14:paraId="42D18DD8" w14:textId="77777777" w:rsidR="008C6D0F" w:rsidRPr="009A4FAB" w:rsidRDefault="008C6D0F">
            <w:pPr>
              <w:widowControl w:val="0"/>
              <w:autoSpaceDE w:val="0"/>
              <w:autoSpaceDN w:val="0"/>
              <w:adjustRightInd w:val="0"/>
              <w:spacing w:line="360" w:lineRule="auto"/>
              <w:jc w:val="center"/>
              <w:rPr>
                <w:b/>
                <w:bCs/>
                <w:color w:val="000000" w:themeColor="text1"/>
                <w:sz w:val="22"/>
                <w:szCs w:val="22"/>
                <w:lang w:val="en-US"/>
              </w:rPr>
            </w:pPr>
            <w:r w:rsidRPr="009A4FAB">
              <w:rPr>
                <w:b/>
                <w:bCs/>
                <w:color w:val="000000" w:themeColor="text1"/>
                <w:sz w:val="22"/>
                <w:szCs w:val="22"/>
                <w:lang w:val="en-US"/>
              </w:rPr>
              <w:t>-</w:t>
            </w:r>
          </w:p>
        </w:tc>
        <w:tc>
          <w:tcPr>
            <w:tcW w:w="2409" w:type="dxa"/>
            <w:hideMark/>
          </w:tcPr>
          <w:p w14:paraId="7C3B7DE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1.15 (0.44, 3.00)</w:t>
            </w:r>
          </w:p>
        </w:tc>
      </w:tr>
      <w:tr w:rsidR="009A4FAB" w:rsidRPr="009A4FAB" w14:paraId="380EF17C" w14:textId="77777777" w:rsidTr="008C6D0F">
        <w:trPr>
          <w:trHeight w:val="11"/>
        </w:trPr>
        <w:tc>
          <w:tcPr>
            <w:tcW w:w="307" w:type="dxa"/>
          </w:tcPr>
          <w:p w14:paraId="364E54AF"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vAlign w:val="center"/>
            <w:hideMark/>
          </w:tcPr>
          <w:p w14:paraId="76138BF2"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Sex (Female)</w:t>
            </w:r>
          </w:p>
        </w:tc>
        <w:tc>
          <w:tcPr>
            <w:tcW w:w="2256" w:type="dxa"/>
            <w:hideMark/>
          </w:tcPr>
          <w:p w14:paraId="66ECC2F7"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59/83 (71.1)</w:t>
            </w:r>
          </w:p>
        </w:tc>
        <w:tc>
          <w:tcPr>
            <w:tcW w:w="2409" w:type="dxa"/>
            <w:hideMark/>
          </w:tcPr>
          <w:p w14:paraId="240067E8"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1.23 (0.67, 2.27)</w:t>
            </w:r>
          </w:p>
        </w:tc>
        <w:tc>
          <w:tcPr>
            <w:tcW w:w="2127" w:type="dxa"/>
            <w:hideMark/>
          </w:tcPr>
          <w:p w14:paraId="3E9EF185"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1.31 (0.69, 2.45)</w:t>
            </w:r>
          </w:p>
        </w:tc>
        <w:tc>
          <w:tcPr>
            <w:tcW w:w="2268" w:type="dxa"/>
            <w:hideMark/>
          </w:tcPr>
          <w:p w14:paraId="72A444AB"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1.29 (0.66, 2.49)</w:t>
            </w:r>
          </w:p>
        </w:tc>
        <w:tc>
          <w:tcPr>
            <w:tcW w:w="2409" w:type="dxa"/>
            <w:hideMark/>
          </w:tcPr>
          <w:p w14:paraId="22EB4DA8"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w:t>
            </w:r>
          </w:p>
        </w:tc>
      </w:tr>
      <w:tr w:rsidR="009A4FAB" w:rsidRPr="009A4FAB" w14:paraId="0738957E" w14:textId="77777777" w:rsidTr="008C6D0F">
        <w:trPr>
          <w:trHeight w:val="10"/>
        </w:trPr>
        <w:tc>
          <w:tcPr>
            <w:tcW w:w="307" w:type="dxa"/>
          </w:tcPr>
          <w:p w14:paraId="3052F88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hideMark/>
          </w:tcPr>
          <w:p w14:paraId="7A14AAF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High-risk occupation</w:t>
            </w:r>
          </w:p>
        </w:tc>
        <w:tc>
          <w:tcPr>
            <w:tcW w:w="2256" w:type="dxa"/>
            <w:hideMark/>
          </w:tcPr>
          <w:p w14:paraId="05EF4C07"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12/17 (70.6)</w:t>
            </w:r>
          </w:p>
        </w:tc>
        <w:tc>
          <w:tcPr>
            <w:tcW w:w="2409" w:type="dxa"/>
            <w:vAlign w:val="center"/>
            <w:hideMark/>
          </w:tcPr>
          <w:p w14:paraId="484465E9"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 xml:space="preserve">1.07 (0.36, 3.19) </w:t>
            </w:r>
          </w:p>
        </w:tc>
        <w:tc>
          <w:tcPr>
            <w:tcW w:w="2127" w:type="dxa"/>
            <w:hideMark/>
          </w:tcPr>
          <w:p w14:paraId="03066C6C" w14:textId="77777777" w:rsidR="008C6D0F" w:rsidRPr="009A4FAB" w:rsidRDefault="008C6D0F">
            <w:pPr>
              <w:spacing w:line="360" w:lineRule="auto"/>
              <w:rPr>
                <w:color w:val="000000" w:themeColor="text1"/>
                <w:sz w:val="22"/>
                <w:szCs w:val="22"/>
                <w:lang w:val="en-US"/>
              </w:rPr>
            </w:pPr>
            <w:r w:rsidRPr="009A4FAB">
              <w:rPr>
                <w:color w:val="000000" w:themeColor="text1"/>
                <w:sz w:val="22"/>
                <w:szCs w:val="22"/>
                <w:lang w:val="en-US"/>
              </w:rPr>
              <w:t>0.98 (0.32, 3.00)</w:t>
            </w:r>
          </w:p>
        </w:tc>
        <w:tc>
          <w:tcPr>
            <w:tcW w:w="2268" w:type="dxa"/>
            <w:hideMark/>
          </w:tcPr>
          <w:p w14:paraId="287A175E"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0.90 (0.29, 2.77)</w:t>
            </w:r>
          </w:p>
        </w:tc>
        <w:tc>
          <w:tcPr>
            <w:tcW w:w="2409" w:type="dxa"/>
            <w:hideMark/>
          </w:tcPr>
          <w:p w14:paraId="6EDF4A7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0.94 (0.30, 2.92)</w:t>
            </w:r>
          </w:p>
        </w:tc>
      </w:tr>
      <w:tr w:rsidR="009A4FAB" w:rsidRPr="009A4FAB" w14:paraId="03CF8F21" w14:textId="77777777" w:rsidTr="008C6D0F">
        <w:trPr>
          <w:trHeight w:val="10"/>
        </w:trPr>
        <w:tc>
          <w:tcPr>
            <w:tcW w:w="307" w:type="dxa"/>
          </w:tcPr>
          <w:p w14:paraId="20CBC9BC"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hideMark/>
          </w:tcPr>
          <w:p w14:paraId="4506E54C" w14:textId="10AB3997" w:rsidR="008C6D0F" w:rsidRPr="009A4FAB" w:rsidRDefault="00884534">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History of a significant low back injury</w:t>
            </w:r>
          </w:p>
        </w:tc>
        <w:tc>
          <w:tcPr>
            <w:tcW w:w="2256" w:type="dxa"/>
            <w:hideMark/>
          </w:tcPr>
          <w:p w14:paraId="349770B3"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37/52 (71.2)</w:t>
            </w:r>
          </w:p>
        </w:tc>
        <w:tc>
          <w:tcPr>
            <w:tcW w:w="2409" w:type="dxa"/>
            <w:vAlign w:val="center"/>
            <w:hideMark/>
          </w:tcPr>
          <w:p w14:paraId="4899FA1C" w14:textId="77777777" w:rsidR="008C6D0F"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1.23 (0.62, 2.48)</w:t>
            </w:r>
          </w:p>
          <w:p w14:paraId="30CB3F92" w14:textId="22F5BE80" w:rsidR="00736BBD" w:rsidRPr="009A4FAB" w:rsidRDefault="00736BBD">
            <w:pPr>
              <w:widowControl w:val="0"/>
              <w:autoSpaceDE w:val="0"/>
              <w:autoSpaceDN w:val="0"/>
              <w:adjustRightInd w:val="0"/>
              <w:spacing w:line="360" w:lineRule="auto"/>
              <w:rPr>
                <w:bCs/>
                <w:color w:val="000000" w:themeColor="text1"/>
                <w:sz w:val="22"/>
                <w:szCs w:val="22"/>
                <w:lang w:val="en-US"/>
              </w:rPr>
            </w:pPr>
          </w:p>
        </w:tc>
        <w:tc>
          <w:tcPr>
            <w:tcW w:w="2127" w:type="dxa"/>
            <w:hideMark/>
          </w:tcPr>
          <w:p w14:paraId="005294E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1.23 (0.60, 2.50)</w:t>
            </w:r>
          </w:p>
        </w:tc>
        <w:tc>
          <w:tcPr>
            <w:tcW w:w="2268" w:type="dxa"/>
            <w:hideMark/>
          </w:tcPr>
          <w:p w14:paraId="7B26A1ED"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1.22 (0.60, 2.49)</w:t>
            </w:r>
          </w:p>
        </w:tc>
        <w:tc>
          <w:tcPr>
            <w:tcW w:w="2409" w:type="dxa"/>
            <w:hideMark/>
          </w:tcPr>
          <w:p w14:paraId="141EFCA9"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1.19 (0.58, 2.44)</w:t>
            </w:r>
          </w:p>
        </w:tc>
      </w:tr>
      <w:tr w:rsidR="009A4FAB" w:rsidRPr="009A4FAB" w14:paraId="567267B8" w14:textId="77777777" w:rsidTr="008C6D0F">
        <w:trPr>
          <w:trHeight w:val="10"/>
        </w:trPr>
        <w:tc>
          <w:tcPr>
            <w:tcW w:w="307" w:type="dxa"/>
          </w:tcPr>
          <w:p w14:paraId="4CB28D2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hideMark/>
          </w:tcPr>
          <w:p w14:paraId="78DDD26D"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High risk sport</w:t>
            </w:r>
          </w:p>
        </w:tc>
        <w:tc>
          <w:tcPr>
            <w:tcW w:w="2256" w:type="dxa"/>
          </w:tcPr>
          <w:p w14:paraId="70DEA7D1"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p>
        </w:tc>
        <w:tc>
          <w:tcPr>
            <w:tcW w:w="2409" w:type="dxa"/>
            <w:vAlign w:val="center"/>
          </w:tcPr>
          <w:p w14:paraId="28D8DF75"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p>
        </w:tc>
        <w:tc>
          <w:tcPr>
            <w:tcW w:w="2127" w:type="dxa"/>
          </w:tcPr>
          <w:p w14:paraId="23015FF3"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268" w:type="dxa"/>
          </w:tcPr>
          <w:p w14:paraId="06CABBF5"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409" w:type="dxa"/>
          </w:tcPr>
          <w:p w14:paraId="2A994ED7"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r>
      <w:tr w:rsidR="009A4FAB" w:rsidRPr="009A4FAB" w14:paraId="2B31C098" w14:textId="77777777" w:rsidTr="008C6D0F">
        <w:trPr>
          <w:trHeight w:val="10"/>
        </w:trPr>
        <w:tc>
          <w:tcPr>
            <w:tcW w:w="307" w:type="dxa"/>
          </w:tcPr>
          <w:p w14:paraId="7E01E0F8"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tcPr>
          <w:p w14:paraId="2920963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058" w:type="dxa"/>
            <w:hideMark/>
          </w:tcPr>
          <w:p w14:paraId="622F62DE"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Non-loading</w:t>
            </w:r>
          </w:p>
        </w:tc>
        <w:tc>
          <w:tcPr>
            <w:tcW w:w="2256" w:type="dxa"/>
            <w:hideMark/>
          </w:tcPr>
          <w:p w14:paraId="4EF0C2E7"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39/60 (65.0)</w:t>
            </w:r>
          </w:p>
        </w:tc>
        <w:tc>
          <w:tcPr>
            <w:tcW w:w="2409" w:type="dxa"/>
            <w:hideMark/>
          </w:tcPr>
          <w:p w14:paraId="0571F31C"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1</w:t>
            </w:r>
          </w:p>
        </w:tc>
        <w:tc>
          <w:tcPr>
            <w:tcW w:w="2127" w:type="dxa"/>
            <w:hideMark/>
          </w:tcPr>
          <w:p w14:paraId="7F882ED1"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1</w:t>
            </w:r>
          </w:p>
        </w:tc>
        <w:tc>
          <w:tcPr>
            <w:tcW w:w="2268" w:type="dxa"/>
            <w:hideMark/>
          </w:tcPr>
          <w:p w14:paraId="26790A3A"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1</w:t>
            </w:r>
          </w:p>
        </w:tc>
        <w:tc>
          <w:tcPr>
            <w:tcW w:w="2409" w:type="dxa"/>
            <w:hideMark/>
          </w:tcPr>
          <w:p w14:paraId="0C8A281E"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1</w:t>
            </w:r>
          </w:p>
        </w:tc>
      </w:tr>
      <w:tr w:rsidR="009A4FAB" w:rsidRPr="009A4FAB" w14:paraId="1672A103" w14:textId="77777777" w:rsidTr="008C6D0F">
        <w:trPr>
          <w:trHeight w:val="10"/>
        </w:trPr>
        <w:tc>
          <w:tcPr>
            <w:tcW w:w="307" w:type="dxa"/>
          </w:tcPr>
          <w:p w14:paraId="2EB65BD0"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tcPr>
          <w:p w14:paraId="24ED172D"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058" w:type="dxa"/>
            <w:hideMark/>
          </w:tcPr>
          <w:p w14:paraId="369EE04E"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Loading</w:t>
            </w:r>
          </w:p>
        </w:tc>
        <w:tc>
          <w:tcPr>
            <w:tcW w:w="2256" w:type="dxa"/>
            <w:hideMark/>
          </w:tcPr>
          <w:p w14:paraId="080FEAB4"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96/137 (70.1)</w:t>
            </w:r>
          </w:p>
        </w:tc>
        <w:tc>
          <w:tcPr>
            <w:tcW w:w="2409" w:type="dxa"/>
            <w:vAlign w:val="center"/>
            <w:hideMark/>
          </w:tcPr>
          <w:p w14:paraId="65ABB11D"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1.26 (0.66, 2.40)</w:t>
            </w:r>
          </w:p>
        </w:tc>
        <w:tc>
          <w:tcPr>
            <w:tcW w:w="2127" w:type="dxa"/>
            <w:hideMark/>
          </w:tcPr>
          <w:p w14:paraId="06B68872"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1.42 (0.73, 2.75)</w:t>
            </w:r>
          </w:p>
        </w:tc>
        <w:tc>
          <w:tcPr>
            <w:tcW w:w="2268" w:type="dxa"/>
            <w:hideMark/>
          </w:tcPr>
          <w:p w14:paraId="239D27E7"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1.46 (0.75, 2.85)</w:t>
            </w:r>
          </w:p>
        </w:tc>
        <w:tc>
          <w:tcPr>
            <w:tcW w:w="2409" w:type="dxa"/>
            <w:hideMark/>
          </w:tcPr>
          <w:p w14:paraId="5F107C04"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1.47 (0.75, 2.87)</w:t>
            </w:r>
          </w:p>
        </w:tc>
      </w:tr>
      <w:tr w:rsidR="009A4FAB" w:rsidRPr="009A4FAB" w14:paraId="541F5BD1" w14:textId="77777777" w:rsidTr="008C6D0F">
        <w:trPr>
          <w:trHeight w:val="10"/>
        </w:trPr>
        <w:tc>
          <w:tcPr>
            <w:tcW w:w="307" w:type="dxa"/>
          </w:tcPr>
          <w:p w14:paraId="4697B7B9"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hideMark/>
          </w:tcPr>
          <w:p w14:paraId="4570008F"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 xml:space="preserve">Beighton </w:t>
            </w:r>
            <w:r w:rsidRPr="009A4FAB">
              <w:rPr>
                <w:color w:val="000000" w:themeColor="text1"/>
                <w:sz w:val="22"/>
                <w:szCs w:val="22"/>
                <w:u w:val="single"/>
                <w:lang w:val="en-US"/>
              </w:rPr>
              <w:t>≥</w:t>
            </w:r>
            <w:r w:rsidRPr="009A4FAB">
              <w:rPr>
                <w:color w:val="000000" w:themeColor="text1"/>
                <w:sz w:val="22"/>
                <w:szCs w:val="22"/>
                <w:lang w:val="en-US"/>
              </w:rPr>
              <w:t xml:space="preserve"> 4/9</w:t>
            </w:r>
          </w:p>
        </w:tc>
        <w:tc>
          <w:tcPr>
            <w:tcW w:w="2256" w:type="dxa"/>
            <w:hideMark/>
          </w:tcPr>
          <w:p w14:paraId="74D24B4F"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17/23 (73.9)</w:t>
            </w:r>
          </w:p>
        </w:tc>
        <w:tc>
          <w:tcPr>
            <w:tcW w:w="2409" w:type="dxa"/>
            <w:vAlign w:val="center"/>
            <w:hideMark/>
          </w:tcPr>
          <w:p w14:paraId="429FFBFA"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1.35 (0.50, 3.63)</w:t>
            </w:r>
          </w:p>
        </w:tc>
        <w:tc>
          <w:tcPr>
            <w:tcW w:w="2127" w:type="dxa"/>
            <w:hideMark/>
          </w:tcPr>
          <w:p w14:paraId="0E927D6A"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1.41 (0.51, 3.87)</w:t>
            </w:r>
          </w:p>
        </w:tc>
        <w:tc>
          <w:tcPr>
            <w:tcW w:w="2268" w:type="dxa"/>
            <w:hideMark/>
          </w:tcPr>
          <w:p w14:paraId="24E20BF3"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1.46 (0.53, 4.02)</w:t>
            </w:r>
          </w:p>
        </w:tc>
        <w:tc>
          <w:tcPr>
            <w:tcW w:w="2409" w:type="dxa"/>
            <w:hideMark/>
          </w:tcPr>
          <w:p w14:paraId="0EF124D9"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1.43 (0.52, 3.98)</w:t>
            </w:r>
          </w:p>
        </w:tc>
      </w:tr>
      <w:tr w:rsidR="009A4FAB" w:rsidRPr="009A4FAB" w14:paraId="09B13A56" w14:textId="77777777" w:rsidTr="008C6D0F">
        <w:trPr>
          <w:trHeight w:val="10"/>
        </w:trPr>
        <w:tc>
          <w:tcPr>
            <w:tcW w:w="307" w:type="dxa"/>
          </w:tcPr>
          <w:p w14:paraId="5212499A"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hideMark/>
          </w:tcPr>
          <w:p w14:paraId="229E6945"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Finger-tip-floor</w:t>
            </w:r>
          </w:p>
        </w:tc>
        <w:tc>
          <w:tcPr>
            <w:tcW w:w="2256" w:type="dxa"/>
            <w:hideMark/>
          </w:tcPr>
          <w:p w14:paraId="32394B1E"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23/36 (63.9)</w:t>
            </w:r>
          </w:p>
        </w:tc>
        <w:tc>
          <w:tcPr>
            <w:tcW w:w="2409" w:type="dxa"/>
            <w:vAlign w:val="center"/>
            <w:hideMark/>
          </w:tcPr>
          <w:p w14:paraId="5B038993"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0.79 (0.37, 1.68)</w:t>
            </w:r>
          </w:p>
        </w:tc>
        <w:tc>
          <w:tcPr>
            <w:tcW w:w="2127" w:type="dxa"/>
            <w:hideMark/>
          </w:tcPr>
          <w:p w14:paraId="31C1B7C7"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0.79 (0.37, 1.71)</w:t>
            </w:r>
          </w:p>
        </w:tc>
        <w:tc>
          <w:tcPr>
            <w:tcW w:w="2268" w:type="dxa"/>
            <w:vAlign w:val="center"/>
            <w:hideMark/>
          </w:tcPr>
          <w:p w14:paraId="6FB40BEE"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0.77 (0.36, 1.66)</w:t>
            </w:r>
          </w:p>
        </w:tc>
        <w:tc>
          <w:tcPr>
            <w:tcW w:w="2409" w:type="dxa"/>
            <w:hideMark/>
          </w:tcPr>
          <w:p w14:paraId="693AA3F7"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0.78 (0.36, 1.69)</w:t>
            </w:r>
          </w:p>
        </w:tc>
      </w:tr>
      <w:tr w:rsidR="009A4FAB" w:rsidRPr="009A4FAB" w14:paraId="491BB271" w14:textId="77777777" w:rsidTr="008C6D0F">
        <w:trPr>
          <w:trHeight w:val="10"/>
        </w:trPr>
        <w:tc>
          <w:tcPr>
            <w:tcW w:w="307" w:type="dxa"/>
          </w:tcPr>
          <w:p w14:paraId="6F17B587"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7211" w:type="dxa"/>
            <w:gridSpan w:val="4"/>
            <w:hideMark/>
          </w:tcPr>
          <w:p w14:paraId="7B9BF666"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Total Exposure (Training / competition Olympic career hours)</w:t>
            </w:r>
          </w:p>
        </w:tc>
        <w:tc>
          <w:tcPr>
            <w:tcW w:w="2127" w:type="dxa"/>
          </w:tcPr>
          <w:p w14:paraId="294898B9"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p>
        </w:tc>
        <w:tc>
          <w:tcPr>
            <w:tcW w:w="2268" w:type="dxa"/>
            <w:vAlign w:val="center"/>
          </w:tcPr>
          <w:p w14:paraId="6117B9D0"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p>
        </w:tc>
        <w:tc>
          <w:tcPr>
            <w:tcW w:w="2409" w:type="dxa"/>
          </w:tcPr>
          <w:p w14:paraId="66403AC6"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p>
        </w:tc>
      </w:tr>
      <w:tr w:rsidR="009A4FAB" w:rsidRPr="009A4FAB" w14:paraId="5D2C6184" w14:textId="77777777" w:rsidTr="008C6D0F">
        <w:trPr>
          <w:trHeight w:val="10"/>
        </w:trPr>
        <w:tc>
          <w:tcPr>
            <w:tcW w:w="307" w:type="dxa"/>
          </w:tcPr>
          <w:p w14:paraId="46998433"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0A7168A1"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058" w:type="dxa"/>
            <w:vAlign w:val="center"/>
            <w:hideMark/>
          </w:tcPr>
          <w:p w14:paraId="3BC7A2A2"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0-999</w:t>
            </w:r>
          </w:p>
        </w:tc>
        <w:tc>
          <w:tcPr>
            <w:tcW w:w="2256" w:type="dxa"/>
            <w:hideMark/>
          </w:tcPr>
          <w:p w14:paraId="74B6F8E4"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41/54 (75.9)</w:t>
            </w:r>
          </w:p>
        </w:tc>
        <w:tc>
          <w:tcPr>
            <w:tcW w:w="2409" w:type="dxa"/>
            <w:hideMark/>
          </w:tcPr>
          <w:p w14:paraId="2A772D14"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1</w:t>
            </w:r>
          </w:p>
        </w:tc>
        <w:tc>
          <w:tcPr>
            <w:tcW w:w="2127" w:type="dxa"/>
            <w:hideMark/>
          </w:tcPr>
          <w:p w14:paraId="3909219F"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w:t>
            </w:r>
          </w:p>
        </w:tc>
        <w:tc>
          <w:tcPr>
            <w:tcW w:w="2268" w:type="dxa"/>
            <w:hideMark/>
          </w:tcPr>
          <w:p w14:paraId="2E5BA3EF"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w:t>
            </w:r>
          </w:p>
        </w:tc>
        <w:tc>
          <w:tcPr>
            <w:tcW w:w="2409" w:type="dxa"/>
            <w:hideMark/>
          </w:tcPr>
          <w:p w14:paraId="0CACD321"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w:t>
            </w:r>
          </w:p>
        </w:tc>
      </w:tr>
      <w:tr w:rsidR="009A4FAB" w:rsidRPr="009A4FAB" w14:paraId="77C9A43D" w14:textId="77777777" w:rsidTr="008C6D0F">
        <w:trPr>
          <w:trHeight w:val="10"/>
        </w:trPr>
        <w:tc>
          <w:tcPr>
            <w:tcW w:w="307" w:type="dxa"/>
          </w:tcPr>
          <w:p w14:paraId="0AA5FE91"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1D23AC9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058" w:type="dxa"/>
            <w:vAlign w:val="center"/>
            <w:hideMark/>
          </w:tcPr>
          <w:p w14:paraId="7CA0BAE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1000-5999</w:t>
            </w:r>
          </w:p>
        </w:tc>
        <w:tc>
          <w:tcPr>
            <w:tcW w:w="2256" w:type="dxa"/>
            <w:hideMark/>
          </w:tcPr>
          <w:p w14:paraId="3D2F038A" w14:textId="7B223D2D"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22/36 (6</w:t>
            </w:r>
            <w:r w:rsidR="003E52A2">
              <w:rPr>
                <w:bCs/>
                <w:color w:val="000000" w:themeColor="text1"/>
                <w:sz w:val="22"/>
                <w:szCs w:val="22"/>
                <w:lang w:val="en-US"/>
              </w:rPr>
              <w:t>1</w:t>
            </w:r>
            <w:r w:rsidRPr="009A4FAB">
              <w:rPr>
                <w:bCs/>
                <w:color w:val="000000" w:themeColor="text1"/>
                <w:sz w:val="22"/>
                <w:szCs w:val="22"/>
                <w:lang w:val="en-US"/>
              </w:rPr>
              <w:t>.1)</w:t>
            </w:r>
          </w:p>
        </w:tc>
        <w:tc>
          <w:tcPr>
            <w:tcW w:w="2409" w:type="dxa"/>
            <w:hideMark/>
          </w:tcPr>
          <w:p w14:paraId="4FA793E2"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0.50 (0.20, 1.25)</w:t>
            </w:r>
          </w:p>
        </w:tc>
        <w:tc>
          <w:tcPr>
            <w:tcW w:w="2127" w:type="dxa"/>
            <w:hideMark/>
          </w:tcPr>
          <w:p w14:paraId="6AE11B4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0.44 (0.17, 1.12)</w:t>
            </w:r>
          </w:p>
        </w:tc>
        <w:tc>
          <w:tcPr>
            <w:tcW w:w="2268" w:type="dxa"/>
            <w:hideMark/>
          </w:tcPr>
          <w:p w14:paraId="58DFFB8F"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0.39 (0.15, 1.01)</w:t>
            </w:r>
          </w:p>
        </w:tc>
        <w:tc>
          <w:tcPr>
            <w:tcW w:w="2409" w:type="dxa"/>
            <w:hideMark/>
          </w:tcPr>
          <w:p w14:paraId="23C28088"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0.39 (0.15, 1.01)</w:t>
            </w:r>
          </w:p>
        </w:tc>
      </w:tr>
      <w:tr w:rsidR="009A4FAB" w:rsidRPr="009A4FAB" w14:paraId="1A3230F7" w14:textId="77777777" w:rsidTr="008C6D0F">
        <w:trPr>
          <w:trHeight w:val="31"/>
        </w:trPr>
        <w:tc>
          <w:tcPr>
            <w:tcW w:w="307" w:type="dxa"/>
          </w:tcPr>
          <w:p w14:paraId="0DAEB94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030617FC"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058" w:type="dxa"/>
            <w:vAlign w:val="center"/>
            <w:hideMark/>
          </w:tcPr>
          <w:p w14:paraId="1BD2CD7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6000-10999</w:t>
            </w:r>
          </w:p>
        </w:tc>
        <w:tc>
          <w:tcPr>
            <w:tcW w:w="2256" w:type="dxa"/>
            <w:hideMark/>
          </w:tcPr>
          <w:p w14:paraId="0120A9BF"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33/46 (71.7)</w:t>
            </w:r>
          </w:p>
        </w:tc>
        <w:tc>
          <w:tcPr>
            <w:tcW w:w="2409" w:type="dxa"/>
            <w:hideMark/>
          </w:tcPr>
          <w:p w14:paraId="5D1CBD41"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0.81 (0.33, 1.97)</w:t>
            </w:r>
          </w:p>
        </w:tc>
        <w:tc>
          <w:tcPr>
            <w:tcW w:w="2127" w:type="dxa"/>
            <w:hideMark/>
          </w:tcPr>
          <w:p w14:paraId="329561A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0.80 (0.32, 2.01)</w:t>
            </w:r>
          </w:p>
        </w:tc>
        <w:tc>
          <w:tcPr>
            <w:tcW w:w="2268" w:type="dxa"/>
            <w:hideMark/>
          </w:tcPr>
          <w:p w14:paraId="27CFE5FD"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0.80 (0.32, 2.02)</w:t>
            </w:r>
          </w:p>
        </w:tc>
        <w:tc>
          <w:tcPr>
            <w:tcW w:w="2409" w:type="dxa"/>
            <w:hideMark/>
          </w:tcPr>
          <w:p w14:paraId="6DB6D5BA"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0.79 (0.32, 2.00)</w:t>
            </w:r>
          </w:p>
        </w:tc>
      </w:tr>
      <w:tr w:rsidR="009A4FAB" w:rsidRPr="009A4FAB" w14:paraId="33F5FD0C" w14:textId="77777777" w:rsidTr="008C6D0F">
        <w:trPr>
          <w:trHeight w:val="10"/>
        </w:trPr>
        <w:tc>
          <w:tcPr>
            <w:tcW w:w="307" w:type="dxa"/>
          </w:tcPr>
          <w:p w14:paraId="128D38E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4ECC4F67"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058" w:type="dxa"/>
            <w:vAlign w:val="center"/>
            <w:hideMark/>
          </w:tcPr>
          <w:p w14:paraId="0F0F14B0"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u w:val="single"/>
                <w:lang w:val="en-US"/>
              </w:rPr>
              <w:t>&gt;</w:t>
            </w:r>
            <w:r w:rsidRPr="009A4FAB">
              <w:rPr>
                <w:color w:val="000000" w:themeColor="text1"/>
                <w:sz w:val="22"/>
                <w:szCs w:val="22"/>
                <w:lang w:val="en-US"/>
              </w:rPr>
              <w:t xml:space="preserve"> 11000</w:t>
            </w:r>
          </w:p>
        </w:tc>
        <w:tc>
          <w:tcPr>
            <w:tcW w:w="2256" w:type="dxa"/>
            <w:hideMark/>
          </w:tcPr>
          <w:p w14:paraId="5099577D"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39/61 (63.9)</w:t>
            </w:r>
          </w:p>
        </w:tc>
        <w:tc>
          <w:tcPr>
            <w:tcW w:w="2409" w:type="dxa"/>
            <w:hideMark/>
          </w:tcPr>
          <w:p w14:paraId="25BE2F0D"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0.56 (0.25, 1.27)</w:t>
            </w:r>
          </w:p>
        </w:tc>
        <w:tc>
          <w:tcPr>
            <w:tcW w:w="2127" w:type="dxa"/>
            <w:hideMark/>
          </w:tcPr>
          <w:p w14:paraId="0C1FDAFF"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0.61 (0.27, 1.41)</w:t>
            </w:r>
          </w:p>
        </w:tc>
        <w:tc>
          <w:tcPr>
            <w:tcW w:w="2268" w:type="dxa"/>
            <w:hideMark/>
          </w:tcPr>
          <w:p w14:paraId="3D2110E0"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0.60 (0.26, 1.38)</w:t>
            </w:r>
          </w:p>
        </w:tc>
        <w:tc>
          <w:tcPr>
            <w:tcW w:w="2409" w:type="dxa"/>
            <w:hideMark/>
          </w:tcPr>
          <w:p w14:paraId="3891299B"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0.59 (0.25, 1.36)</w:t>
            </w:r>
          </w:p>
        </w:tc>
      </w:tr>
      <w:tr w:rsidR="009A4FAB" w:rsidRPr="009A4FAB" w14:paraId="527313F6" w14:textId="77777777" w:rsidTr="008C6D0F">
        <w:trPr>
          <w:trHeight w:val="10"/>
        </w:trPr>
        <w:tc>
          <w:tcPr>
            <w:tcW w:w="307" w:type="dxa"/>
          </w:tcPr>
          <w:p w14:paraId="7EF971C0"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14015" w:type="dxa"/>
            <w:gridSpan w:val="7"/>
            <w:vAlign w:val="center"/>
            <w:hideMark/>
          </w:tcPr>
          <w:p w14:paraId="428DBC0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Mean annual volume of training during the participants Olympic career (hours/year)</w:t>
            </w:r>
          </w:p>
        </w:tc>
      </w:tr>
      <w:tr w:rsidR="009A4FAB" w:rsidRPr="009A4FAB" w14:paraId="3D67D583" w14:textId="77777777" w:rsidTr="008C6D0F">
        <w:trPr>
          <w:trHeight w:val="10"/>
        </w:trPr>
        <w:tc>
          <w:tcPr>
            <w:tcW w:w="307" w:type="dxa"/>
          </w:tcPr>
          <w:p w14:paraId="23D19FC8"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3BEB863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058" w:type="dxa"/>
            <w:vAlign w:val="center"/>
            <w:hideMark/>
          </w:tcPr>
          <w:p w14:paraId="55889531"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r w:rsidRPr="009A4FAB">
              <w:rPr>
                <w:color w:val="000000" w:themeColor="text1"/>
                <w:sz w:val="22"/>
                <w:szCs w:val="22"/>
                <w:lang w:val="en-US"/>
              </w:rPr>
              <w:t>0-199</w:t>
            </w:r>
          </w:p>
        </w:tc>
        <w:tc>
          <w:tcPr>
            <w:tcW w:w="2256" w:type="dxa"/>
            <w:hideMark/>
          </w:tcPr>
          <w:p w14:paraId="73D04EE4"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74/107 (69.2)</w:t>
            </w:r>
          </w:p>
        </w:tc>
        <w:tc>
          <w:tcPr>
            <w:tcW w:w="2409" w:type="dxa"/>
            <w:hideMark/>
          </w:tcPr>
          <w:p w14:paraId="196F75B8" w14:textId="77777777" w:rsidR="008C6D0F" w:rsidRPr="009A4FAB" w:rsidRDefault="008C6D0F">
            <w:pPr>
              <w:widowControl w:val="0"/>
              <w:autoSpaceDE w:val="0"/>
              <w:autoSpaceDN w:val="0"/>
              <w:adjustRightInd w:val="0"/>
              <w:spacing w:line="360" w:lineRule="auto"/>
              <w:jc w:val="center"/>
              <w:rPr>
                <w:bCs/>
                <w:color w:val="000000" w:themeColor="text1"/>
                <w:sz w:val="22"/>
                <w:szCs w:val="22"/>
                <w:lang w:val="en-US"/>
              </w:rPr>
            </w:pPr>
            <w:r w:rsidRPr="009A4FAB">
              <w:rPr>
                <w:color w:val="000000" w:themeColor="text1"/>
                <w:sz w:val="22"/>
                <w:szCs w:val="22"/>
                <w:lang w:val="en-US"/>
              </w:rPr>
              <w:t>1</w:t>
            </w:r>
          </w:p>
        </w:tc>
        <w:tc>
          <w:tcPr>
            <w:tcW w:w="2127" w:type="dxa"/>
            <w:hideMark/>
          </w:tcPr>
          <w:p w14:paraId="6403D51B"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c>
          <w:tcPr>
            <w:tcW w:w="2268" w:type="dxa"/>
            <w:hideMark/>
          </w:tcPr>
          <w:p w14:paraId="02134EAB"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c>
          <w:tcPr>
            <w:tcW w:w="2409" w:type="dxa"/>
            <w:hideMark/>
          </w:tcPr>
          <w:p w14:paraId="39BDB224" w14:textId="77777777" w:rsidR="008C6D0F" w:rsidRPr="009A4FAB" w:rsidRDefault="008C6D0F">
            <w:pPr>
              <w:widowControl w:val="0"/>
              <w:autoSpaceDE w:val="0"/>
              <w:autoSpaceDN w:val="0"/>
              <w:adjustRightInd w:val="0"/>
              <w:spacing w:line="360" w:lineRule="auto"/>
              <w:jc w:val="center"/>
              <w:rPr>
                <w:color w:val="000000" w:themeColor="text1"/>
                <w:sz w:val="22"/>
                <w:szCs w:val="22"/>
                <w:lang w:val="en-US"/>
              </w:rPr>
            </w:pPr>
            <w:r w:rsidRPr="009A4FAB">
              <w:rPr>
                <w:color w:val="000000" w:themeColor="text1"/>
                <w:sz w:val="22"/>
                <w:szCs w:val="22"/>
                <w:lang w:val="en-US"/>
              </w:rPr>
              <w:t>1</w:t>
            </w:r>
          </w:p>
        </w:tc>
      </w:tr>
      <w:tr w:rsidR="009A4FAB" w:rsidRPr="009A4FAB" w14:paraId="581FECA1" w14:textId="77777777" w:rsidTr="008C6D0F">
        <w:trPr>
          <w:trHeight w:val="10"/>
        </w:trPr>
        <w:tc>
          <w:tcPr>
            <w:tcW w:w="307" w:type="dxa"/>
          </w:tcPr>
          <w:p w14:paraId="5376E98A"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13EA4301"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058" w:type="dxa"/>
            <w:vAlign w:val="center"/>
            <w:hideMark/>
          </w:tcPr>
          <w:p w14:paraId="1D19381C"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r w:rsidRPr="009A4FAB">
              <w:rPr>
                <w:color w:val="000000" w:themeColor="text1"/>
                <w:sz w:val="22"/>
                <w:szCs w:val="22"/>
                <w:lang w:val="en-US"/>
              </w:rPr>
              <w:t>200-399</w:t>
            </w:r>
          </w:p>
        </w:tc>
        <w:tc>
          <w:tcPr>
            <w:tcW w:w="2256" w:type="dxa"/>
            <w:hideMark/>
          </w:tcPr>
          <w:p w14:paraId="6B8A4D3B"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14/19 (73.7)</w:t>
            </w:r>
          </w:p>
        </w:tc>
        <w:tc>
          <w:tcPr>
            <w:tcW w:w="2409" w:type="dxa"/>
            <w:hideMark/>
          </w:tcPr>
          <w:p w14:paraId="33C1C014"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1.21 (0.40, 3.65)</w:t>
            </w:r>
          </w:p>
        </w:tc>
        <w:tc>
          <w:tcPr>
            <w:tcW w:w="2127" w:type="dxa"/>
            <w:hideMark/>
          </w:tcPr>
          <w:p w14:paraId="2AF28B9F"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1.23 (0.41, 3.73)</w:t>
            </w:r>
          </w:p>
        </w:tc>
        <w:tc>
          <w:tcPr>
            <w:tcW w:w="2268" w:type="dxa"/>
            <w:hideMark/>
          </w:tcPr>
          <w:p w14:paraId="35E309C3"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1.26 (0.41, 3.84)</w:t>
            </w:r>
          </w:p>
        </w:tc>
        <w:tc>
          <w:tcPr>
            <w:tcW w:w="2409" w:type="dxa"/>
            <w:hideMark/>
          </w:tcPr>
          <w:p w14:paraId="61FA3DC0"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1.25 (0.41, 3.81)</w:t>
            </w:r>
          </w:p>
        </w:tc>
      </w:tr>
      <w:tr w:rsidR="009A4FAB" w:rsidRPr="009A4FAB" w14:paraId="0001F2DD" w14:textId="77777777" w:rsidTr="008C6D0F">
        <w:trPr>
          <w:trHeight w:val="10"/>
        </w:trPr>
        <w:tc>
          <w:tcPr>
            <w:tcW w:w="307" w:type="dxa"/>
          </w:tcPr>
          <w:p w14:paraId="5BC5BC52"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4BD67BD7"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058" w:type="dxa"/>
            <w:vAlign w:val="center"/>
            <w:hideMark/>
          </w:tcPr>
          <w:p w14:paraId="7E59D014"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r w:rsidRPr="009A4FAB">
              <w:rPr>
                <w:color w:val="000000" w:themeColor="text1"/>
                <w:sz w:val="22"/>
                <w:szCs w:val="22"/>
                <w:lang w:val="en-US"/>
              </w:rPr>
              <w:t>400-549</w:t>
            </w:r>
          </w:p>
        </w:tc>
        <w:tc>
          <w:tcPr>
            <w:tcW w:w="2256" w:type="dxa"/>
            <w:hideMark/>
          </w:tcPr>
          <w:p w14:paraId="56907B76"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18/26 (69.2)</w:t>
            </w:r>
          </w:p>
        </w:tc>
        <w:tc>
          <w:tcPr>
            <w:tcW w:w="2409" w:type="dxa"/>
            <w:hideMark/>
          </w:tcPr>
          <w:p w14:paraId="7FDD42CB"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0.97 (0.38, 2.47)</w:t>
            </w:r>
          </w:p>
        </w:tc>
        <w:tc>
          <w:tcPr>
            <w:tcW w:w="2127" w:type="dxa"/>
            <w:hideMark/>
          </w:tcPr>
          <w:p w14:paraId="66585949"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0.95 (0.36, 2.48)</w:t>
            </w:r>
          </w:p>
        </w:tc>
        <w:tc>
          <w:tcPr>
            <w:tcW w:w="2268" w:type="dxa"/>
            <w:hideMark/>
          </w:tcPr>
          <w:p w14:paraId="666622F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0.95 (0.36, 2.48)</w:t>
            </w:r>
          </w:p>
        </w:tc>
        <w:tc>
          <w:tcPr>
            <w:tcW w:w="2409" w:type="dxa"/>
            <w:hideMark/>
          </w:tcPr>
          <w:p w14:paraId="7757D7E2"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0.91 (0.34, 2.40)</w:t>
            </w:r>
          </w:p>
        </w:tc>
      </w:tr>
      <w:tr w:rsidR="009A4FAB" w:rsidRPr="009A4FAB" w14:paraId="56C0DB23" w14:textId="77777777" w:rsidTr="008C6D0F">
        <w:trPr>
          <w:trHeight w:val="10"/>
        </w:trPr>
        <w:tc>
          <w:tcPr>
            <w:tcW w:w="307" w:type="dxa"/>
          </w:tcPr>
          <w:p w14:paraId="65CEC23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47FD2E6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058" w:type="dxa"/>
            <w:vAlign w:val="center"/>
            <w:hideMark/>
          </w:tcPr>
          <w:p w14:paraId="56E99070"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r w:rsidRPr="009A4FAB">
              <w:rPr>
                <w:color w:val="000000" w:themeColor="text1"/>
                <w:sz w:val="22"/>
                <w:szCs w:val="22"/>
                <w:lang w:val="en-US"/>
              </w:rPr>
              <w:t>550-699</w:t>
            </w:r>
          </w:p>
        </w:tc>
        <w:tc>
          <w:tcPr>
            <w:tcW w:w="2256" w:type="dxa"/>
            <w:hideMark/>
          </w:tcPr>
          <w:p w14:paraId="5956F7EC"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15/20 (75.0)</w:t>
            </w:r>
          </w:p>
        </w:tc>
        <w:tc>
          <w:tcPr>
            <w:tcW w:w="2409" w:type="dxa"/>
            <w:hideMark/>
          </w:tcPr>
          <w:p w14:paraId="7871ED66"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1.30 (0.44, 3.87)</w:t>
            </w:r>
          </w:p>
        </w:tc>
        <w:tc>
          <w:tcPr>
            <w:tcW w:w="2127" w:type="dxa"/>
            <w:hideMark/>
          </w:tcPr>
          <w:p w14:paraId="45AD6BFF"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1.37 (0.45, 4.21)</w:t>
            </w:r>
          </w:p>
        </w:tc>
        <w:tc>
          <w:tcPr>
            <w:tcW w:w="2268" w:type="dxa"/>
            <w:hideMark/>
          </w:tcPr>
          <w:p w14:paraId="2914FEEA"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1.30 (0.42, 4.03)</w:t>
            </w:r>
          </w:p>
        </w:tc>
        <w:tc>
          <w:tcPr>
            <w:tcW w:w="2409" w:type="dxa"/>
            <w:hideMark/>
          </w:tcPr>
          <w:p w14:paraId="2584125A"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1.25 (0.40, 3.90)</w:t>
            </w:r>
          </w:p>
        </w:tc>
      </w:tr>
      <w:tr w:rsidR="009A4FAB" w:rsidRPr="009A4FAB" w14:paraId="076ECD58" w14:textId="77777777" w:rsidTr="008C6D0F">
        <w:trPr>
          <w:trHeight w:val="143"/>
        </w:trPr>
        <w:tc>
          <w:tcPr>
            <w:tcW w:w="307" w:type="dxa"/>
          </w:tcPr>
          <w:p w14:paraId="3FA3C2C1"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488" w:type="dxa"/>
            <w:vAlign w:val="center"/>
          </w:tcPr>
          <w:p w14:paraId="08733551"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058" w:type="dxa"/>
            <w:vAlign w:val="center"/>
            <w:hideMark/>
          </w:tcPr>
          <w:p w14:paraId="46D117AD" w14:textId="77777777" w:rsidR="008C6D0F" w:rsidRPr="009A4FAB" w:rsidRDefault="008C6D0F">
            <w:pPr>
              <w:widowControl w:val="0"/>
              <w:autoSpaceDE w:val="0"/>
              <w:autoSpaceDN w:val="0"/>
              <w:adjustRightInd w:val="0"/>
              <w:spacing w:line="360" w:lineRule="auto"/>
              <w:rPr>
                <w:color w:val="000000" w:themeColor="text1"/>
                <w:sz w:val="22"/>
                <w:szCs w:val="22"/>
                <w:u w:val="single"/>
                <w:lang w:val="en-US"/>
              </w:rPr>
            </w:pPr>
            <w:r w:rsidRPr="009A4FAB">
              <w:rPr>
                <w:color w:val="000000" w:themeColor="text1"/>
                <w:sz w:val="22"/>
                <w:szCs w:val="22"/>
                <w:u w:val="single"/>
                <w:lang w:val="en-US"/>
              </w:rPr>
              <w:t>&gt;</w:t>
            </w:r>
            <w:r w:rsidRPr="009A4FAB">
              <w:rPr>
                <w:color w:val="000000" w:themeColor="text1"/>
                <w:sz w:val="22"/>
                <w:szCs w:val="22"/>
                <w:lang w:val="en-US"/>
              </w:rPr>
              <w:t xml:space="preserve"> 700</w:t>
            </w:r>
          </w:p>
        </w:tc>
        <w:tc>
          <w:tcPr>
            <w:tcW w:w="2256" w:type="dxa"/>
            <w:hideMark/>
          </w:tcPr>
          <w:p w14:paraId="5E862AFA"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14/25 (56.0)</w:t>
            </w:r>
          </w:p>
        </w:tc>
        <w:tc>
          <w:tcPr>
            <w:tcW w:w="2409" w:type="dxa"/>
            <w:hideMark/>
          </w:tcPr>
          <w:p w14:paraId="5C2B9E92"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0.55 (0.23, 1.34)</w:t>
            </w:r>
          </w:p>
        </w:tc>
        <w:tc>
          <w:tcPr>
            <w:tcW w:w="2127" w:type="dxa"/>
            <w:hideMark/>
          </w:tcPr>
          <w:p w14:paraId="106F3A82"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0.69 (0.26, 1.81)</w:t>
            </w:r>
          </w:p>
        </w:tc>
        <w:tc>
          <w:tcPr>
            <w:tcW w:w="2268" w:type="dxa"/>
            <w:hideMark/>
          </w:tcPr>
          <w:p w14:paraId="16243D2F"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0.70 (0.26, 1.86)</w:t>
            </w:r>
          </w:p>
        </w:tc>
        <w:tc>
          <w:tcPr>
            <w:tcW w:w="2409" w:type="dxa"/>
            <w:hideMark/>
          </w:tcPr>
          <w:p w14:paraId="074BF125"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0.68 (0.25, 1.81)</w:t>
            </w:r>
          </w:p>
        </w:tc>
      </w:tr>
      <w:tr w:rsidR="009A4FAB" w:rsidRPr="009A4FAB" w14:paraId="3F5F5960" w14:textId="77777777" w:rsidTr="008C6D0F">
        <w:trPr>
          <w:trHeight w:val="10"/>
        </w:trPr>
        <w:tc>
          <w:tcPr>
            <w:tcW w:w="307" w:type="dxa"/>
          </w:tcPr>
          <w:p w14:paraId="40C8659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hideMark/>
          </w:tcPr>
          <w:p w14:paraId="62EE034E"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Pain severity (VAS)</w:t>
            </w:r>
          </w:p>
        </w:tc>
        <w:tc>
          <w:tcPr>
            <w:tcW w:w="2256" w:type="dxa"/>
            <w:hideMark/>
          </w:tcPr>
          <w:p w14:paraId="6001C30A"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 xml:space="preserve">4.43 </w:t>
            </w:r>
            <w:r w:rsidRPr="009A4FAB">
              <w:rPr>
                <w:bCs/>
                <w:color w:val="000000" w:themeColor="text1"/>
                <w:sz w:val="22"/>
                <w:szCs w:val="22"/>
                <w:u w:val="single"/>
                <w:lang w:val="en-US"/>
              </w:rPr>
              <w:t>+</w:t>
            </w:r>
            <w:r w:rsidRPr="009A4FAB">
              <w:rPr>
                <w:bCs/>
                <w:color w:val="000000" w:themeColor="text1"/>
                <w:sz w:val="22"/>
                <w:szCs w:val="22"/>
                <w:lang w:val="en-US"/>
              </w:rPr>
              <w:t xml:space="preserve"> 2.26</w:t>
            </w:r>
          </w:p>
        </w:tc>
        <w:tc>
          <w:tcPr>
            <w:tcW w:w="2409" w:type="dxa"/>
            <w:hideMark/>
          </w:tcPr>
          <w:p w14:paraId="3EA45291"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1.17 (1.01, 1.35) *</w:t>
            </w:r>
          </w:p>
        </w:tc>
        <w:tc>
          <w:tcPr>
            <w:tcW w:w="2127" w:type="dxa"/>
            <w:hideMark/>
          </w:tcPr>
          <w:p w14:paraId="410048C9"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1.16 (1.01, 1.35) *</w:t>
            </w:r>
          </w:p>
        </w:tc>
        <w:tc>
          <w:tcPr>
            <w:tcW w:w="2268" w:type="dxa"/>
            <w:hideMark/>
          </w:tcPr>
          <w:p w14:paraId="42F52521"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1.18 (1.02, 1.37) *</w:t>
            </w:r>
          </w:p>
        </w:tc>
        <w:tc>
          <w:tcPr>
            <w:tcW w:w="2409" w:type="dxa"/>
            <w:hideMark/>
          </w:tcPr>
          <w:p w14:paraId="519E4239"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1.18 (1.02, 1.37) *</w:t>
            </w:r>
          </w:p>
        </w:tc>
      </w:tr>
      <w:tr w:rsidR="009A4FAB" w:rsidRPr="009A4FAB" w14:paraId="026D6A6D" w14:textId="77777777" w:rsidTr="008C6D0F">
        <w:trPr>
          <w:trHeight w:val="10"/>
        </w:trPr>
        <w:tc>
          <w:tcPr>
            <w:tcW w:w="307" w:type="dxa"/>
          </w:tcPr>
          <w:p w14:paraId="47F49B7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hideMark/>
          </w:tcPr>
          <w:p w14:paraId="0DFC9A58"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Widespread pain</w:t>
            </w:r>
          </w:p>
        </w:tc>
        <w:tc>
          <w:tcPr>
            <w:tcW w:w="2256" w:type="dxa"/>
            <w:hideMark/>
          </w:tcPr>
          <w:p w14:paraId="2EB9D658"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41/50 (82.0)</w:t>
            </w:r>
          </w:p>
        </w:tc>
        <w:tc>
          <w:tcPr>
            <w:tcW w:w="2409" w:type="dxa"/>
            <w:vAlign w:val="center"/>
            <w:hideMark/>
          </w:tcPr>
          <w:p w14:paraId="2A60C689"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2.57 (1.16, 5.70) *</w:t>
            </w:r>
          </w:p>
        </w:tc>
        <w:tc>
          <w:tcPr>
            <w:tcW w:w="2127" w:type="dxa"/>
            <w:hideMark/>
          </w:tcPr>
          <w:p w14:paraId="5DAD4411"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2.71 (1.20, 6.08) *</w:t>
            </w:r>
          </w:p>
        </w:tc>
        <w:tc>
          <w:tcPr>
            <w:tcW w:w="2268" w:type="dxa"/>
            <w:hideMark/>
          </w:tcPr>
          <w:p w14:paraId="5B193942"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2.68 (1.19, 6.04) *</w:t>
            </w:r>
          </w:p>
        </w:tc>
        <w:tc>
          <w:tcPr>
            <w:tcW w:w="2409" w:type="dxa"/>
            <w:hideMark/>
          </w:tcPr>
          <w:p w14:paraId="71B68732"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2.62 (1.15, 5.99) *</w:t>
            </w:r>
          </w:p>
        </w:tc>
      </w:tr>
      <w:tr w:rsidR="009A4FAB" w:rsidRPr="009A4FAB" w14:paraId="1F66542A" w14:textId="77777777" w:rsidTr="008C6D0F">
        <w:trPr>
          <w:trHeight w:val="10"/>
        </w:trPr>
        <w:tc>
          <w:tcPr>
            <w:tcW w:w="307" w:type="dxa"/>
          </w:tcPr>
          <w:p w14:paraId="3A988262"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hideMark/>
          </w:tcPr>
          <w:p w14:paraId="07CEB895"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Anxiety</w:t>
            </w:r>
          </w:p>
        </w:tc>
        <w:tc>
          <w:tcPr>
            <w:tcW w:w="2256" w:type="dxa"/>
            <w:hideMark/>
          </w:tcPr>
          <w:p w14:paraId="208BE17B"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32/38 (84.2)</w:t>
            </w:r>
          </w:p>
        </w:tc>
        <w:tc>
          <w:tcPr>
            <w:tcW w:w="2409" w:type="dxa"/>
            <w:vAlign w:val="center"/>
            <w:hideMark/>
          </w:tcPr>
          <w:p w14:paraId="3155EBC0"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2.90 (1.14, 7.35) *</w:t>
            </w:r>
          </w:p>
        </w:tc>
        <w:tc>
          <w:tcPr>
            <w:tcW w:w="2127" w:type="dxa"/>
            <w:hideMark/>
          </w:tcPr>
          <w:p w14:paraId="4841E3D7"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3.09 (1.20, 8.00) *</w:t>
            </w:r>
          </w:p>
        </w:tc>
        <w:tc>
          <w:tcPr>
            <w:tcW w:w="2268" w:type="dxa"/>
            <w:hideMark/>
          </w:tcPr>
          <w:p w14:paraId="22CE86B3"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3.03 (1.16, 7.90) *</w:t>
            </w:r>
          </w:p>
        </w:tc>
        <w:tc>
          <w:tcPr>
            <w:tcW w:w="2409" w:type="dxa"/>
            <w:hideMark/>
          </w:tcPr>
          <w:p w14:paraId="68124177"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2.99 (1.14, 7.80) *</w:t>
            </w:r>
          </w:p>
        </w:tc>
      </w:tr>
      <w:tr w:rsidR="009A4FAB" w:rsidRPr="009A4FAB" w14:paraId="418F91B1" w14:textId="77777777" w:rsidTr="008C6D0F">
        <w:trPr>
          <w:trHeight w:val="10"/>
        </w:trPr>
        <w:tc>
          <w:tcPr>
            <w:tcW w:w="307" w:type="dxa"/>
          </w:tcPr>
          <w:p w14:paraId="33B7923F"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hideMark/>
          </w:tcPr>
          <w:p w14:paraId="24723D33"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Depression</w:t>
            </w:r>
          </w:p>
        </w:tc>
        <w:tc>
          <w:tcPr>
            <w:tcW w:w="2256" w:type="dxa"/>
            <w:hideMark/>
          </w:tcPr>
          <w:p w14:paraId="4DA29DDA"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bCs/>
                <w:color w:val="000000" w:themeColor="text1"/>
                <w:sz w:val="22"/>
                <w:szCs w:val="22"/>
                <w:lang w:val="en-US"/>
              </w:rPr>
              <w:t>39/48 (81.3)</w:t>
            </w:r>
          </w:p>
        </w:tc>
        <w:tc>
          <w:tcPr>
            <w:tcW w:w="2409" w:type="dxa"/>
            <w:vAlign w:val="center"/>
            <w:hideMark/>
          </w:tcPr>
          <w:p w14:paraId="728E833E"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2.39 (1.08, 5.32) *</w:t>
            </w:r>
          </w:p>
        </w:tc>
        <w:tc>
          <w:tcPr>
            <w:tcW w:w="2127" w:type="dxa"/>
            <w:hideMark/>
          </w:tcPr>
          <w:p w14:paraId="604DD390"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2.47 (1.09, 5.58) *</w:t>
            </w:r>
          </w:p>
        </w:tc>
        <w:tc>
          <w:tcPr>
            <w:tcW w:w="2268" w:type="dxa"/>
            <w:hideMark/>
          </w:tcPr>
          <w:p w14:paraId="24BA26D6"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2.38 (1.05, 5.41) *</w:t>
            </w:r>
          </w:p>
        </w:tc>
        <w:tc>
          <w:tcPr>
            <w:tcW w:w="2409" w:type="dxa"/>
            <w:hideMark/>
          </w:tcPr>
          <w:p w14:paraId="1470AC52"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b/>
                <w:color w:val="000000" w:themeColor="text1"/>
                <w:sz w:val="22"/>
                <w:szCs w:val="22"/>
                <w:lang w:val="en-US"/>
              </w:rPr>
              <w:t>2.47 (1.08, 5.63) *</w:t>
            </w:r>
          </w:p>
        </w:tc>
      </w:tr>
      <w:tr w:rsidR="009A4FAB" w:rsidRPr="009A4FAB" w14:paraId="23B5B111" w14:textId="77777777" w:rsidTr="008C6D0F">
        <w:trPr>
          <w:trHeight w:val="10"/>
        </w:trPr>
        <w:tc>
          <w:tcPr>
            <w:tcW w:w="2853" w:type="dxa"/>
            <w:gridSpan w:val="3"/>
            <w:hideMark/>
          </w:tcPr>
          <w:p w14:paraId="3BD50D37"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bCs/>
                <w:i/>
                <w:iCs/>
                <w:color w:val="000000" w:themeColor="text1"/>
                <w:sz w:val="22"/>
                <w:szCs w:val="22"/>
                <w:lang w:val="en-US"/>
              </w:rPr>
              <w:t>Comorbidities</w:t>
            </w:r>
            <w:r w:rsidRPr="009A4FAB">
              <w:rPr>
                <w:i/>
                <w:color w:val="000000" w:themeColor="text1"/>
                <w:sz w:val="22"/>
                <w:szCs w:val="22"/>
                <w:lang w:val="en-US"/>
              </w:rPr>
              <w:t>:</w:t>
            </w:r>
          </w:p>
        </w:tc>
        <w:tc>
          <w:tcPr>
            <w:tcW w:w="2256" w:type="dxa"/>
          </w:tcPr>
          <w:p w14:paraId="7768CF9E"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p>
        </w:tc>
        <w:tc>
          <w:tcPr>
            <w:tcW w:w="2409" w:type="dxa"/>
            <w:vAlign w:val="center"/>
          </w:tcPr>
          <w:p w14:paraId="0AF1DC09"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p>
        </w:tc>
        <w:tc>
          <w:tcPr>
            <w:tcW w:w="2127" w:type="dxa"/>
          </w:tcPr>
          <w:p w14:paraId="7B92EDA7"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p>
        </w:tc>
        <w:tc>
          <w:tcPr>
            <w:tcW w:w="2268" w:type="dxa"/>
          </w:tcPr>
          <w:p w14:paraId="4EB41C33"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p>
        </w:tc>
        <w:tc>
          <w:tcPr>
            <w:tcW w:w="2409" w:type="dxa"/>
          </w:tcPr>
          <w:p w14:paraId="6EAAA62B"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p>
        </w:tc>
      </w:tr>
      <w:tr w:rsidR="009A4FAB" w:rsidRPr="009A4FAB" w14:paraId="598A0747" w14:textId="77777777" w:rsidTr="008C6D0F">
        <w:trPr>
          <w:trHeight w:val="10"/>
        </w:trPr>
        <w:tc>
          <w:tcPr>
            <w:tcW w:w="307" w:type="dxa"/>
          </w:tcPr>
          <w:p w14:paraId="0C568CF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vAlign w:val="bottom"/>
            <w:hideMark/>
          </w:tcPr>
          <w:p w14:paraId="6F6A33D2"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No</w:t>
            </w:r>
          </w:p>
        </w:tc>
        <w:tc>
          <w:tcPr>
            <w:tcW w:w="2256" w:type="dxa"/>
            <w:hideMark/>
          </w:tcPr>
          <w:p w14:paraId="5852EE8E"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48/75 (64.0)</w:t>
            </w:r>
          </w:p>
        </w:tc>
        <w:tc>
          <w:tcPr>
            <w:tcW w:w="2409" w:type="dxa"/>
            <w:hideMark/>
          </w:tcPr>
          <w:p w14:paraId="0096B3C1"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color w:val="000000" w:themeColor="text1"/>
                <w:sz w:val="22"/>
                <w:szCs w:val="22"/>
                <w:lang w:val="en-US"/>
              </w:rPr>
              <w:t>1</w:t>
            </w:r>
          </w:p>
        </w:tc>
        <w:tc>
          <w:tcPr>
            <w:tcW w:w="2127" w:type="dxa"/>
            <w:hideMark/>
          </w:tcPr>
          <w:p w14:paraId="307A9163"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color w:val="000000" w:themeColor="text1"/>
                <w:sz w:val="22"/>
                <w:szCs w:val="22"/>
                <w:lang w:val="en-US"/>
              </w:rPr>
              <w:t>1</w:t>
            </w:r>
          </w:p>
        </w:tc>
        <w:tc>
          <w:tcPr>
            <w:tcW w:w="2268" w:type="dxa"/>
            <w:hideMark/>
          </w:tcPr>
          <w:p w14:paraId="69284520"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color w:val="000000" w:themeColor="text1"/>
                <w:sz w:val="22"/>
                <w:szCs w:val="22"/>
                <w:lang w:val="en-US"/>
              </w:rPr>
              <w:t>1</w:t>
            </w:r>
          </w:p>
        </w:tc>
        <w:tc>
          <w:tcPr>
            <w:tcW w:w="2409" w:type="dxa"/>
            <w:hideMark/>
          </w:tcPr>
          <w:p w14:paraId="48F0D0E0"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color w:val="000000" w:themeColor="text1"/>
                <w:sz w:val="22"/>
                <w:szCs w:val="22"/>
                <w:lang w:val="en-US"/>
              </w:rPr>
              <w:t>1</w:t>
            </w:r>
          </w:p>
        </w:tc>
      </w:tr>
      <w:tr w:rsidR="009A4FAB" w:rsidRPr="009A4FAB" w14:paraId="7B53AF76" w14:textId="77777777" w:rsidTr="008C6D0F">
        <w:trPr>
          <w:trHeight w:val="10"/>
        </w:trPr>
        <w:tc>
          <w:tcPr>
            <w:tcW w:w="307" w:type="dxa"/>
          </w:tcPr>
          <w:p w14:paraId="1F4609D5"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vAlign w:val="bottom"/>
            <w:hideMark/>
          </w:tcPr>
          <w:p w14:paraId="5CF3FE74"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1</w:t>
            </w:r>
          </w:p>
        </w:tc>
        <w:tc>
          <w:tcPr>
            <w:tcW w:w="2256" w:type="dxa"/>
            <w:hideMark/>
          </w:tcPr>
          <w:p w14:paraId="17758C53"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41/60 (68.3)</w:t>
            </w:r>
          </w:p>
        </w:tc>
        <w:tc>
          <w:tcPr>
            <w:tcW w:w="2409" w:type="dxa"/>
            <w:vAlign w:val="center"/>
            <w:hideMark/>
          </w:tcPr>
          <w:p w14:paraId="1394FA03"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color w:val="000000" w:themeColor="text1"/>
                <w:sz w:val="22"/>
                <w:szCs w:val="22"/>
                <w:lang w:val="en-US"/>
              </w:rPr>
              <w:t>1.21 (0.59, 2.49)</w:t>
            </w:r>
          </w:p>
        </w:tc>
        <w:tc>
          <w:tcPr>
            <w:tcW w:w="2127" w:type="dxa"/>
            <w:hideMark/>
          </w:tcPr>
          <w:p w14:paraId="5547FEDC"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color w:val="000000" w:themeColor="text1"/>
                <w:sz w:val="22"/>
                <w:szCs w:val="22"/>
                <w:lang w:val="en-US"/>
              </w:rPr>
              <w:t>1.12 (0.54, 2.33)</w:t>
            </w:r>
          </w:p>
        </w:tc>
        <w:tc>
          <w:tcPr>
            <w:tcW w:w="2268" w:type="dxa"/>
            <w:hideMark/>
          </w:tcPr>
          <w:p w14:paraId="4609197C"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color w:val="000000" w:themeColor="text1"/>
                <w:sz w:val="22"/>
                <w:szCs w:val="22"/>
                <w:lang w:val="en-US"/>
              </w:rPr>
              <w:t>1.10 (0.53, 2.30)</w:t>
            </w:r>
          </w:p>
        </w:tc>
        <w:tc>
          <w:tcPr>
            <w:tcW w:w="2409" w:type="dxa"/>
            <w:hideMark/>
          </w:tcPr>
          <w:p w14:paraId="66238289"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color w:val="000000" w:themeColor="text1"/>
                <w:sz w:val="22"/>
                <w:szCs w:val="22"/>
                <w:lang w:val="en-US"/>
              </w:rPr>
              <w:t>1.11 (0.53, 2.33)</w:t>
            </w:r>
          </w:p>
        </w:tc>
      </w:tr>
      <w:tr w:rsidR="009A4FAB" w:rsidRPr="009A4FAB" w14:paraId="3965E21D" w14:textId="77777777" w:rsidTr="008C6D0F">
        <w:trPr>
          <w:trHeight w:val="10"/>
        </w:trPr>
        <w:tc>
          <w:tcPr>
            <w:tcW w:w="307" w:type="dxa"/>
            <w:tcBorders>
              <w:top w:val="nil"/>
              <w:left w:val="nil"/>
              <w:bottom w:val="single" w:sz="4" w:space="0" w:color="auto"/>
              <w:right w:val="nil"/>
            </w:tcBorders>
          </w:tcPr>
          <w:p w14:paraId="547F3F12"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p>
        </w:tc>
        <w:tc>
          <w:tcPr>
            <w:tcW w:w="2546" w:type="dxa"/>
            <w:gridSpan w:val="2"/>
            <w:tcBorders>
              <w:top w:val="nil"/>
              <w:left w:val="nil"/>
              <w:bottom w:val="single" w:sz="4" w:space="0" w:color="auto"/>
              <w:right w:val="nil"/>
            </w:tcBorders>
            <w:vAlign w:val="bottom"/>
            <w:hideMark/>
          </w:tcPr>
          <w:p w14:paraId="30A38376" w14:textId="77777777" w:rsidR="008C6D0F" w:rsidRPr="009A4FAB" w:rsidRDefault="008C6D0F">
            <w:pPr>
              <w:widowControl w:val="0"/>
              <w:autoSpaceDE w:val="0"/>
              <w:autoSpaceDN w:val="0"/>
              <w:adjustRightInd w:val="0"/>
              <w:spacing w:line="360" w:lineRule="auto"/>
              <w:rPr>
                <w:color w:val="000000" w:themeColor="text1"/>
                <w:sz w:val="22"/>
                <w:szCs w:val="22"/>
                <w:lang w:val="en-US"/>
              </w:rPr>
            </w:pPr>
            <w:r w:rsidRPr="009A4FAB">
              <w:rPr>
                <w:color w:val="000000" w:themeColor="text1"/>
                <w:sz w:val="22"/>
                <w:szCs w:val="22"/>
                <w:lang w:val="en-US"/>
              </w:rPr>
              <w:t>2 or more</w:t>
            </w:r>
          </w:p>
        </w:tc>
        <w:tc>
          <w:tcPr>
            <w:tcW w:w="2256" w:type="dxa"/>
            <w:tcBorders>
              <w:top w:val="nil"/>
              <w:left w:val="nil"/>
              <w:bottom w:val="single" w:sz="4" w:space="0" w:color="auto"/>
              <w:right w:val="nil"/>
            </w:tcBorders>
            <w:hideMark/>
          </w:tcPr>
          <w:p w14:paraId="0BF70B41" w14:textId="77777777" w:rsidR="008C6D0F" w:rsidRPr="009A4FAB" w:rsidRDefault="008C6D0F">
            <w:pPr>
              <w:widowControl w:val="0"/>
              <w:autoSpaceDE w:val="0"/>
              <w:autoSpaceDN w:val="0"/>
              <w:adjustRightInd w:val="0"/>
              <w:spacing w:line="360" w:lineRule="auto"/>
              <w:rPr>
                <w:bCs/>
                <w:color w:val="000000" w:themeColor="text1"/>
                <w:sz w:val="22"/>
                <w:szCs w:val="22"/>
                <w:lang w:val="en-US"/>
              </w:rPr>
            </w:pPr>
            <w:r w:rsidRPr="009A4FAB">
              <w:rPr>
                <w:color w:val="000000" w:themeColor="text1"/>
                <w:sz w:val="22"/>
                <w:szCs w:val="22"/>
                <w:lang w:val="en-US"/>
              </w:rPr>
              <w:t>46/62 (74.2)</w:t>
            </w:r>
          </w:p>
        </w:tc>
        <w:tc>
          <w:tcPr>
            <w:tcW w:w="2409" w:type="dxa"/>
            <w:tcBorders>
              <w:top w:val="nil"/>
              <w:left w:val="nil"/>
              <w:bottom w:val="single" w:sz="4" w:space="0" w:color="auto"/>
              <w:right w:val="nil"/>
            </w:tcBorders>
            <w:vAlign w:val="center"/>
            <w:hideMark/>
          </w:tcPr>
          <w:p w14:paraId="1F7777BC"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color w:val="000000" w:themeColor="text1"/>
                <w:sz w:val="22"/>
                <w:szCs w:val="22"/>
                <w:lang w:val="en-US"/>
              </w:rPr>
              <w:t>1.62 (0.77, 3.39)</w:t>
            </w:r>
          </w:p>
        </w:tc>
        <w:tc>
          <w:tcPr>
            <w:tcW w:w="2127" w:type="dxa"/>
            <w:tcBorders>
              <w:top w:val="nil"/>
              <w:left w:val="nil"/>
              <w:bottom w:val="single" w:sz="4" w:space="0" w:color="auto"/>
              <w:right w:val="nil"/>
            </w:tcBorders>
            <w:hideMark/>
          </w:tcPr>
          <w:p w14:paraId="453926D6"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color w:val="000000" w:themeColor="text1"/>
                <w:sz w:val="22"/>
                <w:szCs w:val="22"/>
                <w:lang w:val="en-US"/>
              </w:rPr>
              <w:t>1.37 (0.61, 3.07)</w:t>
            </w:r>
          </w:p>
        </w:tc>
        <w:tc>
          <w:tcPr>
            <w:tcW w:w="2268" w:type="dxa"/>
            <w:tcBorders>
              <w:top w:val="nil"/>
              <w:left w:val="nil"/>
              <w:bottom w:val="single" w:sz="4" w:space="0" w:color="auto"/>
              <w:right w:val="nil"/>
            </w:tcBorders>
            <w:hideMark/>
          </w:tcPr>
          <w:p w14:paraId="3C93BAC8"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color w:val="000000" w:themeColor="text1"/>
                <w:sz w:val="22"/>
                <w:szCs w:val="22"/>
                <w:lang w:val="en-US"/>
              </w:rPr>
              <w:t>1.40 (0.62, 3.17)</w:t>
            </w:r>
          </w:p>
        </w:tc>
        <w:tc>
          <w:tcPr>
            <w:tcW w:w="2409" w:type="dxa"/>
            <w:tcBorders>
              <w:top w:val="nil"/>
              <w:left w:val="nil"/>
              <w:bottom w:val="single" w:sz="4" w:space="0" w:color="auto"/>
              <w:right w:val="nil"/>
            </w:tcBorders>
            <w:hideMark/>
          </w:tcPr>
          <w:p w14:paraId="0A7158BC" w14:textId="77777777" w:rsidR="008C6D0F" w:rsidRPr="009A4FAB" w:rsidRDefault="008C6D0F">
            <w:pPr>
              <w:widowControl w:val="0"/>
              <w:autoSpaceDE w:val="0"/>
              <w:autoSpaceDN w:val="0"/>
              <w:adjustRightInd w:val="0"/>
              <w:spacing w:line="360" w:lineRule="auto"/>
              <w:rPr>
                <w:b/>
                <w:color w:val="000000" w:themeColor="text1"/>
                <w:sz w:val="22"/>
                <w:szCs w:val="22"/>
                <w:lang w:val="en-US"/>
              </w:rPr>
            </w:pPr>
            <w:r w:rsidRPr="009A4FAB">
              <w:rPr>
                <w:color w:val="000000" w:themeColor="text1"/>
                <w:sz w:val="22"/>
                <w:szCs w:val="22"/>
                <w:lang w:val="en-US"/>
              </w:rPr>
              <w:t>1.37 (0.61, 3.11)</w:t>
            </w:r>
          </w:p>
        </w:tc>
      </w:tr>
    </w:tbl>
    <w:p w14:paraId="14A046C2" w14:textId="77777777" w:rsidR="008C6D0F" w:rsidRPr="009A4FAB" w:rsidRDefault="008C6D0F" w:rsidP="008C6D0F">
      <w:pPr>
        <w:spacing w:line="360" w:lineRule="auto"/>
        <w:rPr>
          <w:color w:val="000000" w:themeColor="text1"/>
          <w:sz w:val="22"/>
          <w:szCs w:val="22"/>
        </w:rPr>
      </w:pPr>
      <w:r w:rsidRPr="009A4FAB">
        <w:rPr>
          <w:color w:val="000000" w:themeColor="text1"/>
          <w:sz w:val="22"/>
          <w:szCs w:val="22"/>
        </w:rPr>
        <w:t>Adjusted 1: OR was adjusted for age</w:t>
      </w:r>
    </w:p>
    <w:p w14:paraId="63C73A3F" w14:textId="77777777" w:rsidR="008C6D0F" w:rsidRPr="009A4FAB" w:rsidRDefault="008C6D0F" w:rsidP="008C6D0F">
      <w:pPr>
        <w:spacing w:line="360" w:lineRule="auto"/>
        <w:rPr>
          <w:color w:val="000000" w:themeColor="text1"/>
          <w:sz w:val="22"/>
          <w:szCs w:val="22"/>
        </w:rPr>
      </w:pPr>
      <w:r w:rsidRPr="009A4FAB">
        <w:rPr>
          <w:color w:val="000000" w:themeColor="text1"/>
          <w:sz w:val="22"/>
          <w:szCs w:val="22"/>
        </w:rPr>
        <w:t>Adjusted 2: OR was adjusted for age, and BMI</w:t>
      </w:r>
    </w:p>
    <w:p w14:paraId="6D125E72" w14:textId="77777777" w:rsidR="008C6D0F" w:rsidRPr="009A4FAB" w:rsidRDefault="008C6D0F" w:rsidP="008C6D0F">
      <w:pPr>
        <w:spacing w:line="360" w:lineRule="auto"/>
        <w:rPr>
          <w:color w:val="000000" w:themeColor="text1"/>
          <w:sz w:val="22"/>
          <w:szCs w:val="22"/>
        </w:rPr>
      </w:pPr>
      <w:r w:rsidRPr="009A4FAB">
        <w:rPr>
          <w:color w:val="000000" w:themeColor="text1"/>
          <w:sz w:val="22"/>
          <w:szCs w:val="22"/>
        </w:rPr>
        <w:t>Adjusted 3: OR was adjusted for age, BMI, and Sex</w:t>
      </w:r>
    </w:p>
    <w:p w14:paraId="74BE3A44" w14:textId="77777777" w:rsidR="008C6D0F" w:rsidRPr="009A4FAB" w:rsidRDefault="008C6D0F" w:rsidP="008C6D0F">
      <w:pPr>
        <w:widowControl w:val="0"/>
        <w:autoSpaceDE w:val="0"/>
        <w:autoSpaceDN w:val="0"/>
        <w:adjustRightInd w:val="0"/>
        <w:spacing w:line="360" w:lineRule="auto"/>
        <w:rPr>
          <w:color w:val="000000" w:themeColor="text1"/>
          <w:sz w:val="22"/>
          <w:szCs w:val="22"/>
        </w:rPr>
      </w:pPr>
      <w:r w:rsidRPr="009A4FAB">
        <w:rPr>
          <w:color w:val="000000" w:themeColor="text1"/>
          <w:sz w:val="22"/>
          <w:szCs w:val="22"/>
        </w:rPr>
        <w:lastRenderedPageBreak/>
        <w:t>*p&lt;0.05, **p&lt;0.01, ***p&lt;0.001.</w:t>
      </w:r>
    </w:p>
    <w:p w14:paraId="07F3BF16" w14:textId="77777777" w:rsidR="008C6D0F" w:rsidRPr="009A4FAB" w:rsidRDefault="008C6D0F" w:rsidP="008C6D0F">
      <w:pPr>
        <w:spacing w:line="360" w:lineRule="auto"/>
        <w:rPr>
          <w:color w:val="000000" w:themeColor="text1"/>
          <w:sz w:val="22"/>
          <w:szCs w:val="22"/>
        </w:rPr>
      </w:pPr>
    </w:p>
    <w:p w14:paraId="40CE3079" w14:textId="266EE92A" w:rsidR="008401F9" w:rsidRPr="009A4FAB" w:rsidRDefault="008401F9" w:rsidP="008C6D0F">
      <w:pPr>
        <w:spacing w:line="360" w:lineRule="auto"/>
        <w:rPr>
          <w:color w:val="000000" w:themeColor="text1"/>
          <w:sz w:val="22"/>
          <w:szCs w:val="22"/>
        </w:rPr>
        <w:sectPr w:rsidR="008401F9" w:rsidRPr="009A4FAB">
          <w:pgSz w:w="16840" w:h="11900" w:orient="landscape"/>
          <w:pgMar w:top="1797" w:right="1440" w:bottom="1800" w:left="1440" w:header="708" w:footer="708" w:gutter="0"/>
          <w:cols w:space="720"/>
        </w:sectPr>
      </w:pPr>
    </w:p>
    <w:p w14:paraId="41266FD8" w14:textId="77777777" w:rsidR="008C6D0F" w:rsidRPr="009A4FAB" w:rsidRDefault="008C6D0F" w:rsidP="008C6D0F">
      <w:pPr>
        <w:spacing w:line="360" w:lineRule="auto"/>
        <w:rPr>
          <w:b/>
          <w:color w:val="000000" w:themeColor="text1"/>
          <w:sz w:val="22"/>
          <w:szCs w:val="22"/>
        </w:rPr>
      </w:pPr>
      <w:r w:rsidRPr="009A4FAB">
        <w:rPr>
          <w:b/>
          <w:color w:val="000000" w:themeColor="text1"/>
          <w:sz w:val="22"/>
          <w:szCs w:val="22"/>
        </w:rPr>
        <w:lastRenderedPageBreak/>
        <w:t>FIGURE CAPTIONS</w:t>
      </w:r>
    </w:p>
    <w:p w14:paraId="54D31F4A" w14:textId="77777777" w:rsidR="00580371" w:rsidRDefault="008C6D0F" w:rsidP="008A3762">
      <w:pPr>
        <w:spacing w:line="360" w:lineRule="auto"/>
        <w:rPr>
          <w:color w:val="000000" w:themeColor="text1"/>
          <w:sz w:val="22"/>
          <w:szCs w:val="22"/>
        </w:rPr>
        <w:sectPr w:rsidR="00580371">
          <w:pgSz w:w="11906" w:h="16838"/>
          <w:pgMar w:top="1440" w:right="1800" w:bottom="1440" w:left="1800" w:header="708" w:footer="708" w:gutter="0"/>
          <w:cols w:space="708"/>
          <w:docGrid w:linePitch="360"/>
        </w:sectPr>
      </w:pPr>
      <w:r w:rsidRPr="009A4FAB">
        <w:rPr>
          <w:color w:val="000000" w:themeColor="text1"/>
          <w:sz w:val="22"/>
          <w:szCs w:val="22"/>
        </w:rPr>
        <w:t>Figure 1. The point prevalence of chronic low back pain by sex and age categories in retired Great Britain’s Olympians.</w:t>
      </w:r>
    </w:p>
    <w:p w14:paraId="42642D6E" w14:textId="77777777" w:rsidR="00580371" w:rsidRDefault="00580371" w:rsidP="00580371">
      <w:pPr>
        <w:rPr>
          <w:color w:val="000000"/>
          <w:sz w:val="20"/>
          <w:szCs w:val="20"/>
        </w:rPr>
      </w:pPr>
      <w:r>
        <w:rPr>
          <w:b/>
          <w:bCs/>
          <w:color w:val="000000" w:themeColor="text1"/>
          <w:sz w:val="20"/>
          <w:szCs w:val="20"/>
        </w:rPr>
        <w:lastRenderedPageBreak/>
        <w:t>Appendix A</w:t>
      </w:r>
      <w:r>
        <w:rPr>
          <w:color w:val="000000"/>
          <w:sz w:val="20"/>
          <w:szCs w:val="20"/>
        </w:rPr>
        <w:t>:</w:t>
      </w:r>
      <w:r w:rsidRPr="00F440FF">
        <w:rPr>
          <w:color w:val="000000"/>
          <w:sz w:val="20"/>
          <w:szCs w:val="20"/>
        </w:rPr>
        <w:t xml:space="preserve"> </w:t>
      </w:r>
      <w:r>
        <w:rPr>
          <w:color w:val="000000"/>
          <w:sz w:val="20"/>
          <w:szCs w:val="20"/>
        </w:rPr>
        <w:t>LBP prevalence by Olympic sport in retired Great Britain’s Olympians</w:t>
      </w:r>
    </w:p>
    <w:tbl>
      <w:tblPr>
        <w:tblW w:w="14836" w:type="dxa"/>
        <w:tblInd w:w="-567" w:type="dxa"/>
        <w:tblLook w:val="04A0" w:firstRow="1" w:lastRow="0" w:firstColumn="1" w:lastColumn="0" w:noHBand="0" w:noVBand="1"/>
      </w:tblPr>
      <w:tblGrid>
        <w:gridCol w:w="1308"/>
        <w:gridCol w:w="1309"/>
        <w:gridCol w:w="1899"/>
        <w:gridCol w:w="1720"/>
        <w:gridCol w:w="1659"/>
        <w:gridCol w:w="1726"/>
        <w:gridCol w:w="1696"/>
        <w:gridCol w:w="1659"/>
        <w:gridCol w:w="1860"/>
      </w:tblGrid>
      <w:tr w:rsidR="00580371" w14:paraId="323DFB76" w14:textId="77777777" w:rsidTr="00CA76EE">
        <w:trPr>
          <w:trHeight w:val="641"/>
        </w:trPr>
        <w:tc>
          <w:tcPr>
            <w:tcW w:w="2617" w:type="dxa"/>
            <w:gridSpan w:val="2"/>
            <w:tcBorders>
              <w:top w:val="single" w:sz="4" w:space="0" w:color="auto"/>
              <w:left w:val="nil"/>
              <w:bottom w:val="single" w:sz="4" w:space="0" w:color="auto"/>
              <w:right w:val="nil"/>
            </w:tcBorders>
            <w:noWrap/>
            <w:hideMark/>
          </w:tcPr>
          <w:p w14:paraId="182F9CBF" w14:textId="77777777" w:rsidR="00580371" w:rsidRDefault="00580371" w:rsidP="00CA76EE">
            <w:pPr>
              <w:jc w:val="center"/>
              <w:rPr>
                <w:color w:val="000000" w:themeColor="text1"/>
                <w:sz w:val="20"/>
                <w:szCs w:val="20"/>
              </w:rPr>
            </w:pPr>
          </w:p>
        </w:tc>
        <w:tc>
          <w:tcPr>
            <w:tcW w:w="1899" w:type="dxa"/>
            <w:tcBorders>
              <w:top w:val="single" w:sz="4" w:space="0" w:color="auto"/>
              <w:left w:val="nil"/>
              <w:bottom w:val="single" w:sz="4" w:space="0" w:color="auto"/>
              <w:right w:val="nil"/>
            </w:tcBorders>
            <w:noWrap/>
            <w:hideMark/>
          </w:tcPr>
          <w:p w14:paraId="759CFF4F" w14:textId="77777777" w:rsidR="00580371" w:rsidRDefault="00580371" w:rsidP="00CA76EE">
            <w:pPr>
              <w:jc w:val="center"/>
              <w:rPr>
                <w:color w:val="000000" w:themeColor="text1"/>
                <w:sz w:val="20"/>
                <w:szCs w:val="20"/>
              </w:rPr>
            </w:pPr>
            <w:r>
              <w:rPr>
                <w:color w:val="000000" w:themeColor="text1"/>
                <w:sz w:val="20"/>
                <w:szCs w:val="20"/>
              </w:rPr>
              <w:t>Athletes</w:t>
            </w:r>
          </w:p>
          <w:p w14:paraId="22FB752F" w14:textId="77777777" w:rsidR="00580371" w:rsidRDefault="00580371" w:rsidP="00CA76EE">
            <w:pPr>
              <w:jc w:val="center"/>
              <w:rPr>
                <w:color w:val="000000" w:themeColor="text1"/>
                <w:sz w:val="20"/>
                <w:szCs w:val="20"/>
              </w:rPr>
            </w:pPr>
            <w:r>
              <w:rPr>
                <w:color w:val="000000" w:themeColor="text1"/>
                <w:sz w:val="20"/>
                <w:szCs w:val="20"/>
              </w:rPr>
              <w:t>(n; m/f)*</w:t>
            </w:r>
          </w:p>
        </w:tc>
        <w:tc>
          <w:tcPr>
            <w:tcW w:w="1720" w:type="dxa"/>
            <w:tcBorders>
              <w:top w:val="single" w:sz="4" w:space="0" w:color="auto"/>
              <w:left w:val="nil"/>
              <w:bottom w:val="single" w:sz="4" w:space="0" w:color="auto"/>
              <w:right w:val="nil"/>
            </w:tcBorders>
            <w:noWrap/>
            <w:hideMark/>
          </w:tcPr>
          <w:p w14:paraId="23CB4CBD" w14:textId="77777777" w:rsidR="00580371" w:rsidRDefault="00580371" w:rsidP="00CA76EE">
            <w:pPr>
              <w:jc w:val="center"/>
              <w:rPr>
                <w:color w:val="000000" w:themeColor="text1"/>
                <w:sz w:val="20"/>
                <w:szCs w:val="20"/>
              </w:rPr>
            </w:pPr>
            <w:r w:rsidRPr="007D18A5">
              <w:rPr>
                <w:color w:val="000000" w:themeColor="text1"/>
                <w:sz w:val="20"/>
                <w:szCs w:val="20"/>
              </w:rPr>
              <w:t>4-week LBP</w:t>
            </w:r>
          </w:p>
          <w:p w14:paraId="494BBF22" w14:textId="77777777" w:rsidR="00580371" w:rsidRPr="007D18A5" w:rsidRDefault="00580371" w:rsidP="00CA76EE">
            <w:pPr>
              <w:jc w:val="center"/>
              <w:rPr>
                <w:color w:val="000000" w:themeColor="text1"/>
                <w:sz w:val="20"/>
                <w:szCs w:val="20"/>
              </w:rPr>
            </w:pPr>
            <w:r w:rsidRPr="007D18A5">
              <w:rPr>
                <w:color w:val="000000" w:themeColor="text1"/>
                <w:sz w:val="20"/>
                <w:szCs w:val="20"/>
              </w:rPr>
              <w:t>(n</w:t>
            </w:r>
            <w:r>
              <w:rPr>
                <w:color w:val="000000" w:themeColor="text1"/>
                <w:sz w:val="20"/>
                <w:szCs w:val="20"/>
              </w:rPr>
              <w:t>; m/f</w:t>
            </w:r>
            <w:r w:rsidRPr="007D18A5">
              <w:rPr>
                <w:color w:val="000000" w:themeColor="text1"/>
                <w:sz w:val="20"/>
                <w:szCs w:val="20"/>
              </w:rPr>
              <w:t>)</w:t>
            </w:r>
            <w:r>
              <w:rPr>
                <w:color w:val="000000" w:themeColor="text1"/>
                <w:sz w:val="20"/>
                <w:szCs w:val="20"/>
              </w:rPr>
              <w:t>*</w:t>
            </w:r>
          </w:p>
        </w:tc>
        <w:tc>
          <w:tcPr>
            <w:tcW w:w="1659" w:type="dxa"/>
            <w:tcBorders>
              <w:top w:val="single" w:sz="4" w:space="0" w:color="auto"/>
              <w:left w:val="nil"/>
              <w:bottom w:val="single" w:sz="4" w:space="0" w:color="auto"/>
              <w:right w:val="nil"/>
            </w:tcBorders>
          </w:tcPr>
          <w:p w14:paraId="79F05856" w14:textId="77777777" w:rsidR="00580371" w:rsidRDefault="00580371" w:rsidP="00CA76EE">
            <w:pPr>
              <w:jc w:val="center"/>
              <w:rPr>
                <w:color w:val="000000" w:themeColor="text1"/>
                <w:sz w:val="20"/>
                <w:szCs w:val="20"/>
              </w:rPr>
            </w:pPr>
            <w:r>
              <w:rPr>
                <w:color w:val="000000" w:themeColor="text1"/>
                <w:sz w:val="20"/>
                <w:szCs w:val="20"/>
              </w:rPr>
              <w:t>4-week LBP Prevalence (%)**</w:t>
            </w:r>
          </w:p>
          <w:p w14:paraId="1479C50B" w14:textId="77777777" w:rsidR="00580371" w:rsidRDefault="00580371" w:rsidP="00CA76EE">
            <w:pPr>
              <w:jc w:val="center"/>
              <w:rPr>
                <w:color w:val="000000" w:themeColor="text1"/>
                <w:sz w:val="20"/>
                <w:szCs w:val="20"/>
              </w:rPr>
            </w:pPr>
          </w:p>
        </w:tc>
        <w:tc>
          <w:tcPr>
            <w:tcW w:w="1726" w:type="dxa"/>
            <w:tcBorders>
              <w:top w:val="single" w:sz="4" w:space="0" w:color="auto"/>
              <w:left w:val="nil"/>
              <w:bottom w:val="single" w:sz="4" w:space="0" w:color="auto"/>
              <w:right w:val="nil"/>
            </w:tcBorders>
          </w:tcPr>
          <w:p w14:paraId="1E88FCC2" w14:textId="77777777" w:rsidR="00580371" w:rsidRDefault="00580371" w:rsidP="00CA76EE">
            <w:pPr>
              <w:jc w:val="center"/>
              <w:rPr>
                <w:color w:val="000000" w:themeColor="text1"/>
                <w:sz w:val="20"/>
                <w:szCs w:val="20"/>
              </w:rPr>
            </w:pPr>
            <w:r>
              <w:rPr>
                <w:color w:val="000000" w:themeColor="text1"/>
                <w:sz w:val="20"/>
                <w:szCs w:val="20"/>
              </w:rPr>
              <w:t>Exact 95% Confidence Interval**</w:t>
            </w:r>
          </w:p>
        </w:tc>
        <w:tc>
          <w:tcPr>
            <w:tcW w:w="1696" w:type="dxa"/>
            <w:tcBorders>
              <w:top w:val="single" w:sz="4" w:space="0" w:color="auto"/>
              <w:left w:val="nil"/>
              <w:bottom w:val="single" w:sz="4" w:space="0" w:color="auto"/>
              <w:right w:val="nil"/>
            </w:tcBorders>
            <w:hideMark/>
          </w:tcPr>
          <w:p w14:paraId="08555614" w14:textId="77777777" w:rsidR="00580371" w:rsidRDefault="00580371" w:rsidP="00CA76EE">
            <w:pPr>
              <w:jc w:val="center"/>
              <w:rPr>
                <w:color w:val="000000" w:themeColor="text1"/>
                <w:sz w:val="20"/>
                <w:szCs w:val="20"/>
              </w:rPr>
            </w:pPr>
            <w:r>
              <w:rPr>
                <w:color w:val="000000" w:themeColor="text1"/>
                <w:sz w:val="20"/>
                <w:szCs w:val="20"/>
              </w:rPr>
              <w:t>12</w:t>
            </w:r>
            <w:r w:rsidRPr="007D18A5">
              <w:rPr>
                <w:color w:val="000000" w:themeColor="text1"/>
                <w:sz w:val="20"/>
                <w:szCs w:val="20"/>
              </w:rPr>
              <w:t>-week LBP</w:t>
            </w:r>
          </w:p>
          <w:p w14:paraId="4CD3E833" w14:textId="77777777" w:rsidR="00580371" w:rsidRDefault="00580371" w:rsidP="00CA76EE">
            <w:pPr>
              <w:jc w:val="center"/>
              <w:rPr>
                <w:color w:val="000000" w:themeColor="text1"/>
                <w:sz w:val="20"/>
                <w:szCs w:val="20"/>
              </w:rPr>
            </w:pPr>
            <w:r w:rsidRPr="007D18A5">
              <w:rPr>
                <w:color w:val="000000" w:themeColor="text1"/>
                <w:sz w:val="20"/>
                <w:szCs w:val="20"/>
              </w:rPr>
              <w:t>(n</w:t>
            </w:r>
            <w:r>
              <w:rPr>
                <w:color w:val="000000" w:themeColor="text1"/>
                <w:sz w:val="20"/>
                <w:szCs w:val="20"/>
              </w:rPr>
              <w:t>; m/f</w:t>
            </w:r>
            <w:r w:rsidRPr="007D18A5">
              <w:rPr>
                <w:color w:val="000000" w:themeColor="text1"/>
                <w:sz w:val="20"/>
                <w:szCs w:val="20"/>
              </w:rPr>
              <w:t>)</w:t>
            </w:r>
            <w:r>
              <w:rPr>
                <w:color w:val="000000" w:themeColor="text1"/>
                <w:sz w:val="20"/>
                <w:szCs w:val="20"/>
              </w:rPr>
              <w:t>*</w:t>
            </w:r>
          </w:p>
          <w:p w14:paraId="787FC96F" w14:textId="77777777" w:rsidR="00580371" w:rsidRDefault="00580371" w:rsidP="00CA76EE">
            <w:pPr>
              <w:jc w:val="center"/>
              <w:rPr>
                <w:color w:val="000000" w:themeColor="text1"/>
                <w:sz w:val="20"/>
                <w:szCs w:val="20"/>
              </w:rPr>
            </w:pPr>
          </w:p>
        </w:tc>
        <w:tc>
          <w:tcPr>
            <w:tcW w:w="1659" w:type="dxa"/>
            <w:tcBorders>
              <w:top w:val="single" w:sz="4" w:space="0" w:color="auto"/>
              <w:left w:val="nil"/>
              <w:bottom w:val="single" w:sz="4" w:space="0" w:color="auto"/>
              <w:right w:val="nil"/>
            </w:tcBorders>
          </w:tcPr>
          <w:p w14:paraId="595FB084" w14:textId="77777777" w:rsidR="00580371" w:rsidRDefault="00580371" w:rsidP="00CA76EE">
            <w:pPr>
              <w:jc w:val="center"/>
              <w:rPr>
                <w:color w:val="000000" w:themeColor="text1"/>
                <w:sz w:val="20"/>
                <w:szCs w:val="20"/>
              </w:rPr>
            </w:pPr>
            <w:r>
              <w:rPr>
                <w:color w:val="000000" w:themeColor="text1"/>
                <w:sz w:val="20"/>
                <w:szCs w:val="20"/>
              </w:rPr>
              <w:t>12-week LBP Prevalence (%)**</w:t>
            </w:r>
          </w:p>
          <w:p w14:paraId="4703A845" w14:textId="77777777" w:rsidR="00580371" w:rsidRDefault="00580371" w:rsidP="00CA76EE">
            <w:pPr>
              <w:jc w:val="center"/>
              <w:rPr>
                <w:color w:val="000000" w:themeColor="text1"/>
                <w:sz w:val="20"/>
                <w:szCs w:val="20"/>
              </w:rPr>
            </w:pPr>
          </w:p>
        </w:tc>
        <w:tc>
          <w:tcPr>
            <w:tcW w:w="1860" w:type="dxa"/>
            <w:tcBorders>
              <w:top w:val="single" w:sz="4" w:space="0" w:color="auto"/>
              <w:left w:val="nil"/>
              <w:bottom w:val="single" w:sz="4" w:space="0" w:color="auto"/>
              <w:right w:val="nil"/>
            </w:tcBorders>
            <w:hideMark/>
          </w:tcPr>
          <w:p w14:paraId="725B439E" w14:textId="77777777" w:rsidR="00580371" w:rsidRDefault="00580371" w:rsidP="00CA76EE">
            <w:pPr>
              <w:jc w:val="center"/>
              <w:rPr>
                <w:color w:val="000000" w:themeColor="text1"/>
                <w:sz w:val="20"/>
                <w:szCs w:val="20"/>
              </w:rPr>
            </w:pPr>
            <w:r>
              <w:rPr>
                <w:color w:val="000000" w:themeColor="text1"/>
                <w:sz w:val="20"/>
                <w:szCs w:val="20"/>
              </w:rPr>
              <w:t>Exact 95% Confidence Interval**</w:t>
            </w:r>
          </w:p>
        </w:tc>
      </w:tr>
      <w:tr w:rsidR="00580371" w:rsidRPr="0021130E" w14:paraId="4343BA93" w14:textId="77777777" w:rsidTr="00CA76EE">
        <w:trPr>
          <w:trHeight w:val="397"/>
        </w:trPr>
        <w:tc>
          <w:tcPr>
            <w:tcW w:w="2617" w:type="dxa"/>
            <w:gridSpan w:val="2"/>
            <w:tcBorders>
              <w:top w:val="single" w:sz="4" w:space="0" w:color="auto"/>
            </w:tcBorders>
            <w:shd w:val="clear" w:color="auto" w:fill="D9D9D9" w:themeFill="background1" w:themeFillShade="D9"/>
            <w:noWrap/>
            <w:hideMark/>
          </w:tcPr>
          <w:p w14:paraId="0EE4A979" w14:textId="77777777" w:rsidR="00580371" w:rsidRPr="00B21E1B" w:rsidRDefault="00580371" w:rsidP="00CA76EE">
            <w:pPr>
              <w:rPr>
                <w:b/>
                <w:bCs/>
                <w:color w:val="000000" w:themeColor="text1"/>
                <w:sz w:val="20"/>
                <w:szCs w:val="20"/>
                <w:u w:val="single"/>
              </w:rPr>
            </w:pPr>
            <w:r w:rsidRPr="00B21E1B">
              <w:rPr>
                <w:b/>
                <w:bCs/>
                <w:color w:val="000000" w:themeColor="text1"/>
                <w:sz w:val="20"/>
                <w:szCs w:val="20"/>
                <w:u w:val="single"/>
              </w:rPr>
              <w:t>Summer Sports</w:t>
            </w:r>
            <w:r>
              <w:rPr>
                <w:b/>
                <w:bCs/>
                <w:color w:val="000000" w:themeColor="text1"/>
                <w:sz w:val="20"/>
                <w:szCs w:val="20"/>
                <w:u w:val="single"/>
              </w:rPr>
              <w:t>:</w:t>
            </w:r>
          </w:p>
        </w:tc>
        <w:tc>
          <w:tcPr>
            <w:tcW w:w="1899" w:type="dxa"/>
            <w:tcBorders>
              <w:top w:val="single" w:sz="4" w:space="0" w:color="auto"/>
            </w:tcBorders>
            <w:shd w:val="clear" w:color="auto" w:fill="D9D9D9" w:themeFill="background1" w:themeFillShade="D9"/>
            <w:noWrap/>
            <w:hideMark/>
          </w:tcPr>
          <w:p w14:paraId="754644FF" w14:textId="77777777" w:rsidR="00580371" w:rsidRPr="0021130E" w:rsidRDefault="00580371" w:rsidP="00CA76EE">
            <w:pPr>
              <w:jc w:val="center"/>
              <w:rPr>
                <w:color w:val="000000" w:themeColor="text1"/>
                <w:sz w:val="20"/>
                <w:szCs w:val="20"/>
              </w:rPr>
            </w:pPr>
          </w:p>
        </w:tc>
        <w:tc>
          <w:tcPr>
            <w:tcW w:w="1720" w:type="dxa"/>
            <w:tcBorders>
              <w:top w:val="single" w:sz="4" w:space="0" w:color="auto"/>
              <w:left w:val="nil"/>
              <w:right w:val="nil"/>
            </w:tcBorders>
            <w:shd w:val="clear" w:color="auto" w:fill="D9D9D9" w:themeFill="background1" w:themeFillShade="D9"/>
            <w:noWrap/>
            <w:hideMark/>
          </w:tcPr>
          <w:p w14:paraId="23D1D3C3" w14:textId="77777777" w:rsidR="00580371" w:rsidRPr="0021130E" w:rsidRDefault="00580371" w:rsidP="00CA76EE">
            <w:pPr>
              <w:jc w:val="center"/>
              <w:rPr>
                <w:color w:val="000000" w:themeColor="text1"/>
                <w:sz w:val="20"/>
                <w:szCs w:val="20"/>
              </w:rPr>
            </w:pPr>
          </w:p>
        </w:tc>
        <w:tc>
          <w:tcPr>
            <w:tcW w:w="1659" w:type="dxa"/>
            <w:tcBorders>
              <w:top w:val="single" w:sz="4" w:space="0" w:color="auto"/>
              <w:left w:val="nil"/>
              <w:right w:val="nil"/>
            </w:tcBorders>
            <w:shd w:val="clear" w:color="auto" w:fill="D9D9D9" w:themeFill="background1" w:themeFillShade="D9"/>
          </w:tcPr>
          <w:p w14:paraId="43B5B3AF" w14:textId="77777777" w:rsidR="00580371" w:rsidRPr="0021130E" w:rsidRDefault="00580371" w:rsidP="00CA76EE">
            <w:pPr>
              <w:jc w:val="center"/>
              <w:rPr>
                <w:color w:val="000000" w:themeColor="text1"/>
                <w:sz w:val="20"/>
                <w:szCs w:val="20"/>
              </w:rPr>
            </w:pPr>
          </w:p>
        </w:tc>
        <w:tc>
          <w:tcPr>
            <w:tcW w:w="1726" w:type="dxa"/>
            <w:tcBorders>
              <w:top w:val="single" w:sz="4" w:space="0" w:color="auto"/>
              <w:left w:val="nil"/>
              <w:right w:val="nil"/>
            </w:tcBorders>
            <w:shd w:val="clear" w:color="auto" w:fill="D9D9D9" w:themeFill="background1" w:themeFillShade="D9"/>
          </w:tcPr>
          <w:p w14:paraId="2CBB243B" w14:textId="77777777" w:rsidR="00580371" w:rsidRPr="0021130E" w:rsidRDefault="00580371" w:rsidP="00CA76EE">
            <w:pPr>
              <w:jc w:val="center"/>
              <w:rPr>
                <w:color w:val="000000" w:themeColor="text1"/>
                <w:sz w:val="20"/>
                <w:szCs w:val="20"/>
              </w:rPr>
            </w:pPr>
          </w:p>
        </w:tc>
        <w:tc>
          <w:tcPr>
            <w:tcW w:w="1696" w:type="dxa"/>
            <w:tcBorders>
              <w:top w:val="single" w:sz="4" w:space="0" w:color="auto"/>
              <w:left w:val="nil"/>
              <w:right w:val="nil"/>
            </w:tcBorders>
            <w:shd w:val="clear" w:color="auto" w:fill="D9D9D9" w:themeFill="background1" w:themeFillShade="D9"/>
          </w:tcPr>
          <w:p w14:paraId="2269B53D" w14:textId="77777777" w:rsidR="00580371" w:rsidRPr="0021130E" w:rsidRDefault="00580371" w:rsidP="00CA76EE">
            <w:pPr>
              <w:jc w:val="center"/>
              <w:rPr>
                <w:color w:val="000000" w:themeColor="text1"/>
                <w:sz w:val="20"/>
                <w:szCs w:val="20"/>
              </w:rPr>
            </w:pPr>
          </w:p>
        </w:tc>
        <w:tc>
          <w:tcPr>
            <w:tcW w:w="1659" w:type="dxa"/>
            <w:tcBorders>
              <w:top w:val="single" w:sz="4" w:space="0" w:color="auto"/>
              <w:left w:val="nil"/>
              <w:right w:val="nil"/>
            </w:tcBorders>
            <w:shd w:val="clear" w:color="auto" w:fill="D9D9D9" w:themeFill="background1" w:themeFillShade="D9"/>
          </w:tcPr>
          <w:p w14:paraId="4C5ABBC7" w14:textId="77777777" w:rsidR="00580371" w:rsidRPr="0021130E" w:rsidRDefault="00580371" w:rsidP="00CA76EE">
            <w:pPr>
              <w:jc w:val="center"/>
              <w:rPr>
                <w:color w:val="000000" w:themeColor="text1"/>
                <w:sz w:val="20"/>
                <w:szCs w:val="20"/>
              </w:rPr>
            </w:pPr>
          </w:p>
        </w:tc>
        <w:tc>
          <w:tcPr>
            <w:tcW w:w="1860" w:type="dxa"/>
            <w:tcBorders>
              <w:top w:val="single" w:sz="4" w:space="0" w:color="auto"/>
              <w:left w:val="nil"/>
              <w:right w:val="nil"/>
            </w:tcBorders>
            <w:shd w:val="clear" w:color="auto" w:fill="D9D9D9" w:themeFill="background1" w:themeFillShade="D9"/>
          </w:tcPr>
          <w:p w14:paraId="4FE29A3B" w14:textId="77777777" w:rsidR="00580371" w:rsidRPr="0021130E" w:rsidRDefault="00580371" w:rsidP="00CA76EE">
            <w:pPr>
              <w:jc w:val="center"/>
              <w:rPr>
                <w:color w:val="000000" w:themeColor="text1"/>
                <w:sz w:val="20"/>
                <w:szCs w:val="20"/>
              </w:rPr>
            </w:pPr>
          </w:p>
        </w:tc>
      </w:tr>
      <w:tr w:rsidR="00580371" w:rsidRPr="0021130E" w14:paraId="51107E01" w14:textId="77777777" w:rsidTr="00CA76EE">
        <w:trPr>
          <w:trHeight w:val="340"/>
        </w:trPr>
        <w:tc>
          <w:tcPr>
            <w:tcW w:w="2617" w:type="dxa"/>
            <w:gridSpan w:val="2"/>
            <w:shd w:val="clear" w:color="auto" w:fill="auto"/>
            <w:noWrap/>
            <w:hideMark/>
          </w:tcPr>
          <w:p w14:paraId="18597DE2" w14:textId="77777777" w:rsidR="00580371" w:rsidRPr="0021130E" w:rsidRDefault="00580371" w:rsidP="00CA76EE">
            <w:pPr>
              <w:rPr>
                <w:color w:val="000000" w:themeColor="text1"/>
                <w:sz w:val="20"/>
                <w:szCs w:val="20"/>
              </w:rPr>
            </w:pPr>
            <w:r w:rsidRPr="0021130E">
              <w:rPr>
                <w:color w:val="000000" w:themeColor="text1"/>
                <w:sz w:val="20"/>
                <w:szCs w:val="20"/>
              </w:rPr>
              <w:t>Archery</w:t>
            </w:r>
          </w:p>
        </w:tc>
        <w:tc>
          <w:tcPr>
            <w:tcW w:w="1899" w:type="dxa"/>
            <w:tcBorders>
              <w:left w:val="nil"/>
            </w:tcBorders>
            <w:shd w:val="clear" w:color="auto" w:fill="auto"/>
            <w:noWrap/>
            <w:hideMark/>
          </w:tcPr>
          <w:p w14:paraId="3C3F10D5" w14:textId="77777777" w:rsidR="00580371" w:rsidRPr="0021130E" w:rsidRDefault="00580371" w:rsidP="00CA76EE">
            <w:pPr>
              <w:jc w:val="center"/>
              <w:rPr>
                <w:color w:val="000000" w:themeColor="text1"/>
                <w:sz w:val="20"/>
                <w:szCs w:val="20"/>
              </w:rPr>
            </w:pPr>
            <w:r w:rsidRPr="0021130E">
              <w:rPr>
                <w:color w:val="000000" w:themeColor="text1"/>
                <w:sz w:val="20"/>
                <w:szCs w:val="20"/>
              </w:rPr>
              <w:t>9 (2/7)</w:t>
            </w:r>
          </w:p>
        </w:tc>
        <w:tc>
          <w:tcPr>
            <w:tcW w:w="1720" w:type="dxa"/>
            <w:tcBorders>
              <w:left w:val="nil"/>
            </w:tcBorders>
            <w:shd w:val="clear" w:color="auto" w:fill="auto"/>
            <w:noWrap/>
          </w:tcPr>
          <w:p w14:paraId="5A758B07" w14:textId="77777777" w:rsidR="00580371" w:rsidRPr="0021130E" w:rsidRDefault="00580371" w:rsidP="00CA76EE">
            <w:pPr>
              <w:jc w:val="center"/>
              <w:rPr>
                <w:color w:val="000000" w:themeColor="text1"/>
                <w:sz w:val="20"/>
                <w:szCs w:val="20"/>
              </w:rPr>
            </w:pPr>
            <w:r w:rsidRPr="0021130E">
              <w:rPr>
                <w:color w:val="000000" w:themeColor="text1"/>
                <w:sz w:val="20"/>
                <w:szCs w:val="20"/>
              </w:rPr>
              <w:t>4 (0/4)</w:t>
            </w:r>
          </w:p>
        </w:tc>
        <w:tc>
          <w:tcPr>
            <w:tcW w:w="1659" w:type="dxa"/>
            <w:shd w:val="clear" w:color="auto" w:fill="auto"/>
          </w:tcPr>
          <w:p w14:paraId="6A63689A"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02B0CCB7"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53AA4A1E" w14:textId="77777777" w:rsidR="00580371" w:rsidRPr="0021130E" w:rsidRDefault="00580371" w:rsidP="00CA76EE">
            <w:pPr>
              <w:jc w:val="center"/>
              <w:rPr>
                <w:color w:val="000000" w:themeColor="text1"/>
                <w:sz w:val="20"/>
                <w:szCs w:val="20"/>
              </w:rPr>
            </w:pPr>
            <w:r w:rsidRPr="0021130E">
              <w:rPr>
                <w:color w:val="000000" w:themeColor="text1"/>
                <w:sz w:val="20"/>
                <w:szCs w:val="20"/>
              </w:rPr>
              <w:t>3 (0/3)</w:t>
            </w:r>
          </w:p>
        </w:tc>
        <w:tc>
          <w:tcPr>
            <w:tcW w:w="1659" w:type="dxa"/>
            <w:shd w:val="clear" w:color="auto" w:fill="auto"/>
          </w:tcPr>
          <w:p w14:paraId="46EA3F3C"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2388C594"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4FF2060B" w14:textId="77777777" w:rsidTr="00CA76EE">
        <w:trPr>
          <w:trHeight w:val="340"/>
        </w:trPr>
        <w:tc>
          <w:tcPr>
            <w:tcW w:w="2617" w:type="dxa"/>
            <w:gridSpan w:val="2"/>
            <w:shd w:val="clear" w:color="auto" w:fill="D9D9D9" w:themeFill="background1" w:themeFillShade="D9"/>
            <w:noWrap/>
          </w:tcPr>
          <w:p w14:paraId="00BED1E5" w14:textId="77777777" w:rsidR="00580371" w:rsidRPr="0021130E" w:rsidRDefault="00580371" w:rsidP="00CA76EE">
            <w:pPr>
              <w:rPr>
                <w:color w:val="000000" w:themeColor="text1"/>
                <w:sz w:val="20"/>
                <w:szCs w:val="20"/>
              </w:rPr>
            </w:pPr>
            <w:r>
              <w:rPr>
                <w:color w:val="000000" w:themeColor="text1"/>
                <w:sz w:val="20"/>
                <w:szCs w:val="20"/>
              </w:rPr>
              <w:t>Athletics:</w:t>
            </w:r>
          </w:p>
        </w:tc>
        <w:tc>
          <w:tcPr>
            <w:tcW w:w="1899" w:type="dxa"/>
            <w:tcBorders>
              <w:left w:val="nil"/>
            </w:tcBorders>
            <w:shd w:val="clear" w:color="auto" w:fill="D9D9D9" w:themeFill="background1" w:themeFillShade="D9"/>
            <w:noWrap/>
          </w:tcPr>
          <w:p w14:paraId="3386F664" w14:textId="77777777" w:rsidR="00580371" w:rsidRPr="0021130E" w:rsidRDefault="00580371" w:rsidP="00CA76EE">
            <w:pPr>
              <w:jc w:val="center"/>
              <w:rPr>
                <w:color w:val="000000" w:themeColor="text1"/>
                <w:sz w:val="20"/>
                <w:szCs w:val="20"/>
              </w:rPr>
            </w:pPr>
          </w:p>
        </w:tc>
        <w:tc>
          <w:tcPr>
            <w:tcW w:w="1720" w:type="dxa"/>
            <w:tcBorders>
              <w:left w:val="nil"/>
            </w:tcBorders>
            <w:shd w:val="clear" w:color="auto" w:fill="D9D9D9" w:themeFill="background1" w:themeFillShade="D9"/>
            <w:noWrap/>
          </w:tcPr>
          <w:p w14:paraId="5BA716A5" w14:textId="77777777" w:rsidR="00580371" w:rsidRPr="0021130E" w:rsidRDefault="00580371" w:rsidP="00CA76EE">
            <w:pPr>
              <w:jc w:val="center"/>
              <w:rPr>
                <w:color w:val="000000" w:themeColor="text1"/>
                <w:sz w:val="20"/>
                <w:szCs w:val="20"/>
              </w:rPr>
            </w:pPr>
          </w:p>
        </w:tc>
        <w:tc>
          <w:tcPr>
            <w:tcW w:w="1659" w:type="dxa"/>
            <w:shd w:val="clear" w:color="auto" w:fill="D9D9D9" w:themeFill="background1" w:themeFillShade="D9"/>
          </w:tcPr>
          <w:p w14:paraId="341CA5C0" w14:textId="77777777" w:rsidR="00580371" w:rsidRPr="0021130E" w:rsidRDefault="00580371" w:rsidP="00CA76EE">
            <w:pPr>
              <w:jc w:val="center"/>
              <w:rPr>
                <w:color w:val="000000" w:themeColor="text1"/>
                <w:sz w:val="20"/>
                <w:szCs w:val="20"/>
              </w:rPr>
            </w:pPr>
          </w:p>
        </w:tc>
        <w:tc>
          <w:tcPr>
            <w:tcW w:w="1726" w:type="dxa"/>
            <w:shd w:val="clear" w:color="auto" w:fill="D9D9D9" w:themeFill="background1" w:themeFillShade="D9"/>
          </w:tcPr>
          <w:p w14:paraId="4A0F84D3" w14:textId="77777777" w:rsidR="00580371" w:rsidRPr="0021130E" w:rsidRDefault="00580371" w:rsidP="00CA76EE">
            <w:pPr>
              <w:jc w:val="center"/>
              <w:rPr>
                <w:color w:val="000000" w:themeColor="text1"/>
                <w:sz w:val="20"/>
                <w:szCs w:val="20"/>
              </w:rPr>
            </w:pPr>
          </w:p>
        </w:tc>
        <w:tc>
          <w:tcPr>
            <w:tcW w:w="1696" w:type="dxa"/>
            <w:shd w:val="clear" w:color="auto" w:fill="D9D9D9" w:themeFill="background1" w:themeFillShade="D9"/>
          </w:tcPr>
          <w:p w14:paraId="506776D5" w14:textId="77777777" w:rsidR="00580371" w:rsidRPr="0021130E" w:rsidRDefault="00580371" w:rsidP="00CA76EE">
            <w:pPr>
              <w:jc w:val="center"/>
              <w:rPr>
                <w:color w:val="000000" w:themeColor="text1"/>
                <w:sz w:val="20"/>
                <w:szCs w:val="20"/>
              </w:rPr>
            </w:pPr>
          </w:p>
        </w:tc>
        <w:tc>
          <w:tcPr>
            <w:tcW w:w="1659" w:type="dxa"/>
            <w:shd w:val="clear" w:color="auto" w:fill="D9D9D9" w:themeFill="background1" w:themeFillShade="D9"/>
          </w:tcPr>
          <w:p w14:paraId="2C469D9A" w14:textId="77777777" w:rsidR="00580371" w:rsidRPr="0021130E" w:rsidRDefault="00580371" w:rsidP="00CA76EE">
            <w:pPr>
              <w:jc w:val="center"/>
              <w:rPr>
                <w:color w:val="000000" w:themeColor="text1"/>
                <w:sz w:val="20"/>
                <w:szCs w:val="20"/>
              </w:rPr>
            </w:pPr>
          </w:p>
        </w:tc>
        <w:tc>
          <w:tcPr>
            <w:tcW w:w="1860" w:type="dxa"/>
            <w:shd w:val="clear" w:color="auto" w:fill="D9D9D9" w:themeFill="background1" w:themeFillShade="D9"/>
          </w:tcPr>
          <w:p w14:paraId="2C18D6B7" w14:textId="77777777" w:rsidR="00580371" w:rsidRPr="0021130E" w:rsidRDefault="00580371" w:rsidP="00CA76EE">
            <w:pPr>
              <w:jc w:val="center"/>
              <w:rPr>
                <w:color w:val="000000" w:themeColor="text1"/>
                <w:sz w:val="20"/>
                <w:szCs w:val="20"/>
              </w:rPr>
            </w:pPr>
          </w:p>
        </w:tc>
      </w:tr>
      <w:tr w:rsidR="00580371" w:rsidRPr="0021130E" w14:paraId="154DE59D" w14:textId="77777777" w:rsidTr="00CA76EE">
        <w:trPr>
          <w:trHeight w:val="340"/>
        </w:trPr>
        <w:tc>
          <w:tcPr>
            <w:tcW w:w="1308" w:type="dxa"/>
            <w:shd w:val="clear" w:color="auto" w:fill="auto"/>
            <w:noWrap/>
            <w:hideMark/>
          </w:tcPr>
          <w:p w14:paraId="12DEAC7D" w14:textId="77777777" w:rsidR="00580371" w:rsidRPr="0021130E" w:rsidRDefault="00580371" w:rsidP="00CA76EE">
            <w:pPr>
              <w:rPr>
                <w:color w:val="000000" w:themeColor="text1"/>
                <w:sz w:val="20"/>
                <w:szCs w:val="20"/>
              </w:rPr>
            </w:pPr>
          </w:p>
        </w:tc>
        <w:tc>
          <w:tcPr>
            <w:tcW w:w="1309" w:type="dxa"/>
            <w:shd w:val="clear" w:color="auto" w:fill="auto"/>
          </w:tcPr>
          <w:p w14:paraId="038BFEBF" w14:textId="77777777" w:rsidR="00580371" w:rsidRPr="0021130E" w:rsidRDefault="00580371" w:rsidP="00CA76EE">
            <w:pPr>
              <w:rPr>
                <w:color w:val="000000" w:themeColor="text1"/>
                <w:sz w:val="20"/>
                <w:szCs w:val="20"/>
              </w:rPr>
            </w:pPr>
            <w:r w:rsidRPr="0021130E">
              <w:rPr>
                <w:color w:val="000000" w:themeColor="text1"/>
                <w:sz w:val="20"/>
                <w:szCs w:val="20"/>
              </w:rPr>
              <w:t>Track</w:t>
            </w:r>
          </w:p>
        </w:tc>
        <w:tc>
          <w:tcPr>
            <w:tcW w:w="1899" w:type="dxa"/>
            <w:tcBorders>
              <w:left w:val="nil"/>
            </w:tcBorders>
            <w:shd w:val="clear" w:color="auto" w:fill="auto"/>
            <w:noWrap/>
            <w:hideMark/>
          </w:tcPr>
          <w:p w14:paraId="2CB895DE" w14:textId="77777777" w:rsidR="00580371" w:rsidRPr="0021130E" w:rsidRDefault="00580371" w:rsidP="00CA76EE">
            <w:pPr>
              <w:jc w:val="center"/>
              <w:rPr>
                <w:color w:val="000000" w:themeColor="text1"/>
                <w:sz w:val="20"/>
                <w:szCs w:val="20"/>
              </w:rPr>
            </w:pPr>
            <w:r w:rsidRPr="0021130E">
              <w:rPr>
                <w:color w:val="000000" w:themeColor="text1"/>
                <w:sz w:val="20"/>
                <w:szCs w:val="20"/>
              </w:rPr>
              <w:t>95 (52/43)</w:t>
            </w:r>
          </w:p>
        </w:tc>
        <w:tc>
          <w:tcPr>
            <w:tcW w:w="1720" w:type="dxa"/>
            <w:tcBorders>
              <w:left w:val="nil"/>
            </w:tcBorders>
            <w:shd w:val="clear" w:color="auto" w:fill="auto"/>
            <w:noWrap/>
          </w:tcPr>
          <w:p w14:paraId="405A2D21" w14:textId="77777777" w:rsidR="00580371" w:rsidRPr="0021130E" w:rsidRDefault="00580371" w:rsidP="00CA76EE">
            <w:pPr>
              <w:jc w:val="center"/>
              <w:rPr>
                <w:color w:val="000000" w:themeColor="text1"/>
                <w:sz w:val="20"/>
                <w:szCs w:val="20"/>
              </w:rPr>
            </w:pPr>
            <w:r w:rsidRPr="0021130E">
              <w:rPr>
                <w:color w:val="000000" w:themeColor="text1"/>
                <w:sz w:val="20"/>
                <w:szCs w:val="20"/>
              </w:rPr>
              <w:t>28 (13/15)</w:t>
            </w:r>
          </w:p>
        </w:tc>
        <w:tc>
          <w:tcPr>
            <w:tcW w:w="1659" w:type="dxa"/>
            <w:shd w:val="clear" w:color="auto" w:fill="auto"/>
          </w:tcPr>
          <w:p w14:paraId="5E822FC4" w14:textId="77777777" w:rsidR="00580371" w:rsidRPr="0021130E" w:rsidRDefault="00580371" w:rsidP="00CA76EE">
            <w:pPr>
              <w:jc w:val="center"/>
              <w:rPr>
                <w:color w:val="000000" w:themeColor="text1"/>
                <w:sz w:val="20"/>
                <w:szCs w:val="20"/>
              </w:rPr>
            </w:pPr>
            <w:r w:rsidRPr="0021130E">
              <w:rPr>
                <w:color w:val="000000" w:themeColor="text1"/>
                <w:sz w:val="20"/>
                <w:szCs w:val="20"/>
              </w:rPr>
              <w:t>29.5</w:t>
            </w:r>
          </w:p>
        </w:tc>
        <w:tc>
          <w:tcPr>
            <w:tcW w:w="1726" w:type="dxa"/>
            <w:shd w:val="clear" w:color="auto" w:fill="auto"/>
          </w:tcPr>
          <w:p w14:paraId="436F57CE" w14:textId="77777777" w:rsidR="00580371" w:rsidRPr="0021130E" w:rsidRDefault="00580371" w:rsidP="00CA76EE">
            <w:pPr>
              <w:jc w:val="center"/>
              <w:rPr>
                <w:color w:val="000000" w:themeColor="text1"/>
                <w:sz w:val="20"/>
                <w:szCs w:val="20"/>
              </w:rPr>
            </w:pPr>
            <w:r w:rsidRPr="0021130E">
              <w:rPr>
                <w:color w:val="000000" w:themeColor="text1"/>
                <w:sz w:val="20"/>
                <w:szCs w:val="20"/>
              </w:rPr>
              <w:t>20.1 to 38.8</w:t>
            </w:r>
          </w:p>
        </w:tc>
        <w:tc>
          <w:tcPr>
            <w:tcW w:w="1696" w:type="dxa"/>
            <w:shd w:val="clear" w:color="auto" w:fill="auto"/>
          </w:tcPr>
          <w:p w14:paraId="21885F5E" w14:textId="77777777" w:rsidR="00580371" w:rsidRPr="0021130E" w:rsidRDefault="00580371" w:rsidP="00CA76EE">
            <w:pPr>
              <w:jc w:val="center"/>
              <w:rPr>
                <w:color w:val="000000" w:themeColor="text1"/>
                <w:sz w:val="20"/>
                <w:szCs w:val="20"/>
              </w:rPr>
            </w:pPr>
            <w:r w:rsidRPr="0021130E">
              <w:rPr>
                <w:color w:val="000000" w:themeColor="text1"/>
                <w:sz w:val="20"/>
                <w:szCs w:val="20"/>
              </w:rPr>
              <w:t>18 (6/12)</w:t>
            </w:r>
          </w:p>
        </w:tc>
        <w:tc>
          <w:tcPr>
            <w:tcW w:w="1659" w:type="dxa"/>
            <w:shd w:val="clear" w:color="auto" w:fill="auto"/>
          </w:tcPr>
          <w:p w14:paraId="07BF5159" w14:textId="77777777" w:rsidR="00580371" w:rsidRPr="0021130E" w:rsidRDefault="00580371" w:rsidP="00CA76EE">
            <w:pPr>
              <w:jc w:val="center"/>
              <w:rPr>
                <w:color w:val="000000" w:themeColor="text1"/>
                <w:sz w:val="20"/>
                <w:szCs w:val="20"/>
              </w:rPr>
            </w:pPr>
            <w:r w:rsidRPr="0021130E">
              <w:rPr>
                <w:color w:val="000000" w:themeColor="text1"/>
                <w:sz w:val="20"/>
                <w:szCs w:val="20"/>
              </w:rPr>
              <w:t>18.9</w:t>
            </w:r>
          </w:p>
        </w:tc>
        <w:tc>
          <w:tcPr>
            <w:tcW w:w="1860" w:type="dxa"/>
            <w:shd w:val="clear" w:color="auto" w:fill="auto"/>
            <w:hideMark/>
          </w:tcPr>
          <w:p w14:paraId="51A07FA6" w14:textId="77777777" w:rsidR="00580371" w:rsidRPr="0021130E" w:rsidRDefault="00580371" w:rsidP="00CA76EE">
            <w:pPr>
              <w:jc w:val="center"/>
              <w:rPr>
                <w:color w:val="000000" w:themeColor="text1"/>
                <w:sz w:val="20"/>
                <w:szCs w:val="20"/>
              </w:rPr>
            </w:pPr>
            <w:r w:rsidRPr="0021130E">
              <w:rPr>
                <w:color w:val="000000" w:themeColor="text1"/>
                <w:sz w:val="20"/>
                <w:szCs w:val="20"/>
              </w:rPr>
              <w:t>10.9 to 27.0</w:t>
            </w:r>
          </w:p>
        </w:tc>
      </w:tr>
      <w:tr w:rsidR="00580371" w:rsidRPr="0021130E" w14:paraId="0F807811" w14:textId="77777777" w:rsidTr="00CA76EE">
        <w:trPr>
          <w:trHeight w:val="340"/>
        </w:trPr>
        <w:tc>
          <w:tcPr>
            <w:tcW w:w="1308" w:type="dxa"/>
            <w:shd w:val="clear" w:color="auto" w:fill="D9D9D9" w:themeFill="background1" w:themeFillShade="D9"/>
            <w:noWrap/>
            <w:hideMark/>
          </w:tcPr>
          <w:p w14:paraId="686E777F" w14:textId="77777777" w:rsidR="00580371" w:rsidRPr="0021130E" w:rsidRDefault="00580371" w:rsidP="00CA76EE">
            <w:pPr>
              <w:rPr>
                <w:color w:val="000000" w:themeColor="text1"/>
                <w:sz w:val="20"/>
                <w:szCs w:val="20"/>
              </w:rPr>
            </w:pPr>
          </w:p>
        </w:tc>
        <w:tc>
          <w:tcPr>
            <w:tcW w:w="1309" w:type="dxa"/>
            <w:shd w:val="clear" w:color="auto" w:fill="D9D9D9" w:themeFill="background1" w:themeFillShade="D9"/>
          </w:tcPr>
          <w:p w14:paraId="70EB3D91" w14:textId="77777777" w:rsidR="00580371" w:rsidRPr="0021130E" w:rsidRDefault="00580371" w:rsidP="00CA76EE">
            <w:pPr>
              <w:rPr>
                <w:color w:val="000000" w:themeColor="text1"/>
                <w:sz w:val="20"/>
                <w:szCs w:val="20"/>
              </w:rPr>
            </w:pPr>
            <w:r w:rsidRPr="0021130E">
              <w:rPr>
                <w:color w:val="000000" w:themeColor="text1"/>
                <w:sz w:val="20"/>
                <w:szCs w:val="20"/>
              </w:rPr>
              <w:t>Field</w:t>
            </w:r>
          </w:p>
        </w:tc>
        <w:tc>
          <w:tcPr>
            <w:tcW w:w="1899" w:type="dxa"/>
            <w:tcBorders>
              <w:left w:val="nil"/>
            </w:tcBorders>
            <w:shd w:val="clear" w:color="auto" w:fill="D9D9D9" w:themeFill="background1" w:themeFillShade="D9"/>
            <w:noWrap/>
            <w:hideMark/>
          </w:tcPr>
          <w:p w14:paraId="0BA5DC3D" w14:textId="77777777" w:rsidR="00580371" w:rsidRPr="0021130E" w:rsidRDefault="00580371" w:rsidP="00CA76EE">
            <w:pPr>
              <w:jc w:val="center"/>
              <w:rPr>
                <w:color w:val="000000" w:themeColor="text1"/>
                <w:sz w:val="20"/>
                <w:szCs w:val="20"/>
              </w:rPr>
            </w:pPr>
            <w:r w:rsidRPr="0021130E">
              <w:rPr>
                <w:color w:val="000000" w:themeColor="text1"/>
                <w:sz w:val="20"/>
                <w:szCs w:val="20"/>
              </w:rPr>
              <w:t>22 (9/13)</w:t>
            </w:r>
          </w:p>
        </w:tc>
        <w:tc>
          <w:tcPr>
            <w:tcW w:w="1720" w:type="dxa"/>
            <w:shd w:val="clear" w:color="auto" w:fill="D9D9D9" w:themeFill="background1" w:themeFillShade="D9"/>
            <w:noWrap/>
          </w:tcPr>
          <w:p w14:paraId="74FECDAC" w14:textId="77777777" w:rsidR="00580371" w:rsidRPr="0021130E" w:rsidRDefault="00580371" w:rsidP="00CA76EE">
            <w:pPr>
              <w:jc w:val="center"/>
              <w:rPr>
                <w:color w:val="000000" w:themeColor="text1"/>
                <w:sz w:val="20"/>
                <w:szCs w:val="20"/>
              </w:rPr>
            </w:pPr>
            <w:r w:rsidRPr="0021130E">
              <w:rPr>
                <w:color w:val="000000" w:themeColor="text1"/>
                <w:sz w:val="20"/>
                <w:szCs w:val="20"/>
              </w:rPr>
              <w:t>12 (7/5)</w:t>
            </w:r>
          </w:p>
        </w:tc>
        <w:tc>
          <w:tcPr>
            <w:tcW w:w="1659" w:type="dxa"/>
            <w:shd w:val="clear" w:color="auto" w:fill="D9D9D9" w:themeFill="background1" w:themeFillShade="D9"/>
          </w:tcPr>
          <w:p w14:paraId="6E25448E" w14:textId="77777777" w:rsidR="00580371" w:rsidRPr="0021130E" w:rsidRDefault="00580371" w:rsidP="00CA76EE">
            <w:pPr>
              <w:jc w:val="center"/>
              <w:rPr>
                <w:color w:val="000000" w:themeColor="text1"/>
                <w:sz w:val="20"/>
                <w:szCs w:val="20"/>
              </w:rPr>
            </w:pPr>
            <w:r w:rsidRPr="0021130E">
              <w:rPr>
                <w:color w:val="000000" w:themeColor="text1"/>
                <w:sz w:val="20"/>
                <w:szCs w:val="20"/>
              </w:rPr>
              <w:t>54.5</w:t>
            </w:r>
          </w:p>
        </w:tc>
        <w:tc>
          <w:tcPr>
            <w:tcW w:w="1726" w:type="dxa"/>
            <w:shd w:val="clear" w:color="auto" w:fill="D9D9D9" w:themeFill="background1" w:themeFillShade="D9"/>
          </w:tcPr>
          <w:p w14:paraId="26C3EC34" w14:textId="77777777" w:rsidR="00580371" w:rsidRPr="0021130E" w:rsidRDefault="00580371" w:rsidP="00CA76EE">
            <w:pPr>
              <w:jc w:val="center"/>
              <w:rPr>
                <w:color w:val="000000" w:themeColor="text1"/>
                <w:sz w:val="20"/>
                <w:szCs w:val="20"/>
              </w:rPr>
            </w:pPr>
            <w:r w:rsidRPr="0021130E">
              <w:rPr>
                <w:color w:val="000000" w:themeColor="text1"/>
                <w:sz w:val="20"/>
                <w:szCs w:val="20"/>
              </w:rPr>
              <w:t>31.9 to 77.1</w:t>
            </w:r>
          </w:p>
        </w:tc>
        <w:tc>
          <w:tcPr>
            <w:tcW w:w="1696" w:type="dxa"/>
            <w:shd w:val="clear" w:color="auto" w:fill="D9D9D9" w:themeFill="background1" w:themeFillShade="D9"/>
          </w:tcPr>
          <w:p w14:paraId="45496108" w14:textId="77777777" w:rsidR="00580371" w:rsidRPr="0021130E" w:rsidRDefault="00580371" w:rsidP="00CA76EE">
            <w:pPr>
              <w:jc w:val="center"/>
              <w:rPr>
                <w:color w:val="000000" w:themeColor="text1"/>
                <w:sz w:val="20"/>
                <w:szCs w:val="20"/>
              </w:rPr>
            </w:pPr>
            <w:r w:rsidRPr="0021130E">
              <w:rPr>
                <w:color w:val="000000" w:themeColor="text1"/>
                <w:sz w:val="20"/>
                <w:szCs w:val="20"/>
              </w:rPr>
              <w:t>6 (3/3)</w:t>
            </w:r>
          </w:p>
        </w:tc>
        <w:tc>
          <w:tcPr>
            <w:tcW w:w="1659" w:type="dxa"/>
            <w:shd w:val="clear" w:color="auto" w:fill="D9D9D9" w:themeFill="background1" w:themeFillShade="D9"/>
          </w:tcPr>
          <w:p w14:paraId="2B1C3717" w14:textId="77777777" w:rsidR="00580371" w:rsidRPr="0021130E" w:rsidRDefault="00580371" w:rsidP="00CA76EE">
            <w:pPr>
              <w:jc w:val="center"/>
              <w:rPr>
                <w:color w:val="000000" w:themeColor="text1"/>
                <w:sz w:val="20"/>
                <w:szCs w:val="20"/>
              </w:rPr>
            </w:pPr>
            <w:r w:rsidRPr="0021130E">
              <w:rPr>
                <w:color w:val="000000" w:themeColor="text1"/>
                <w:sz w:val="20"/>
                <w:szCs w:val="20"/>
              </w:rPr>
              <w:t>27.3</w:t>
            </w:r>
          </w:p>
        </w:tc>
        <w:tc>
          <w:tcPr>
            <w:tcW w:w="1860" w:type="dxa"/>
            <w:shd w:val="clear" w:color="auto" w:fill="D9D9D9" w:themeFill="background1" w:themeFillShade="D9"/>
            <w:hideMark/>
          </w:tcPr>
          <w:p w14:paraId="747A3642" w14:textId="77777777" w:rsidR="00580371" w:rsidRPr="0021130E" w:rsidRDefault="00580371" w:rsidP="00CA76EE">
            <w:pPr>
              <w:jc w:val="center"/>
              <w:rPr>
                <w:color w:val="000000" w:themeColor="text1"/>
                <w:sz w:val="20"/>
                <w:szCs w:val="20"/>
              </w:rPr>
            </w:pPr>
            <w:r w:rsidRPr="0021130E">
              <w:rPr>
                <w:color w:val="000000" w:themeColor="text1"/>
                <w:sz w:val="20"/>
                <w:szCs w:val="20"/>
              </w:rPr>
              <w:t>7.1 to 47.5</w:t>
            </w:r>
          </w:p>
        </w:tc>
      </w:tr>
      <w:tr w:rsidR="00580371" w:rsidRPr="0021130E" w14:paraId="236CD3C4" w14:textId="77777777" w:rsidTr="00CA76EE">
        <w:trPr>
          <w:trHeight w:val="340"/>
        </w:trPr>
        <w:tc>
          <w:tcPr>
            <w:tcW w:w="1308" w:type="dxa"/>
            <w:shd w:val="clear" w:color="auto" w:fill="auto"/>
            <w:noWrap/>
            <w:hideMark/>
          </w:tcPr>
          <w:p w14:paraId="4E8AE1D7" w14:textId="77777777" w:rsidR="00580371" w:rsidRPr="0021130E" w:rsidRDefault="00580371" w:rsidP="00CA76EE">
            <w:pPr>
              <w:rPr>
                <w:color w:val="000000" w:themeColor="text1"/>
                <w:sz w:val="20"/>
                <w:szCs w:val="20"/>
              </w:rPr>
            </w:pPr>
          </w:p>
        </w:tc>
        <w:tc>
          <w:tcPr>
            <w:tcW w:w="1309" w:type="dxa"/>
            <w:shd w:val="clear" w:color="auto" w:fill="auto"/>
          </w:tcPr>
          <w:p w14:paraId="4106E1C0" w14:textId="77777777" w:rsidR="00580371" w:rsidRPr="0021130E" w:rsidRDefault="00580371" w:rsidP="00CA76EE">
            <w:pPr>
              <w:rPr>
                <w:color w:val="000000" w:themeColor="text1"/>
                <w:sz w:val="20"/>
                <w:szCs w:val="20"/>
              </w:rPr>
            </w:pPr>
            <w:r w:rsidRPr="0021130E">
              <w:rPr>
                <w:color w:val="000000" w:themeColor="text1"/>
                <w:sz w:val="20"/>
                <w:szCs w:val="20"/>
              </w:rPr>
              <w:t>Road</w:t>
            </w:r>
          </w:p>
        </w:tc>
        <w:tc>
          <w:tcPr>
            <w:tcW w:w="1899" w:type="dxa"/>
            <w:tcBorders>
              <w:left w:val="nil"/>
            </w:tcBorders>
            <w:shd w:val="clear" w:color="auto" w:fill="auto"/>
            <w:noWrap/>
            <w:hideMark/>
          </w:tcPr>
          <w:p w14:paraId="400F6B20" w14:textId="77777777" w:rsidR="00580371" w:rsidRPr="0021130E" w:rsidRDefault="00580371" w:rsidP="00CA76EE">
            <w:pPr>
              <w:jc w:val="center"/>
              <w:rPr>
                <w:color w:val="000000" w:themeColor="text1"/>
                <w:sz w:val="20"/>
                <w:szCs w:val="20"/>
              </w:rPr>
            </w:pPr>
            <w:r w:rsidRPr="0021130E">
              <w:rPr>
                <w:color w:val="000000" w:themeColor="text1"/>
                <w:sz w:val="20"/>
                <w:szCs w:val="20"/>
              </w:rPr>
              <w:t>18 (10/8)</w:t>
            </w:r>
          </w:p>
        </w:tc>
        <w:tc>
          <w:tcPr>
            <w:tcW w:w="1720" w:type="dxa"/>
            <w:shd w:val="clear" w:color="auto" w:fill="auto"/>
            <w:noWrap/>
          </w:tcPr>
          <w:p w14:paraId="2A8D8571" w14:textId="77777777" w:rsidR="00580371" w:rsidRPr="0021130E" w:rsidRDefault="00580371" w:rsidP="00CA76EE">
            <w:pPr>
              <w:jc w:val="center"/>
              <w:rPr>
                <w:color w:val="000000" w:themeColor="text1"/>
                <w:sz w:val="20"/>
                <w:szCs w:val="20"/>
              </w:rPr>
            </w:pPr>
            <w:r w:rsidRPr="0021130E">
              <w:rPr>
                <w:color w:val="000000" w:themeColor="text1"/>
                <w:sz w:val="20"/>
                <w:szCs w:val="20"/>
              </w:rPr>
              <w:t>4 (3/1)</w:t>
            </w:r>
          </w:p>
        </w:tc>
        <w:tc>
          <w:tcPr>
            <w:tcW w:w="1659" w:type="dxa"/>
            <w:shd w:val="clear" w:color="auto" w:fill="auto"/>
          </w:tcPr>
          <w:p w14:paraId="1244F939" w14:textId="77777777" w:rsidR="00580371" w:rsidRPr="0021130E" w:rsidRDefault="00580371" w:rsidP="00CA76EE">
            <w:pPr>
              <w:jc w:val="center"/>
              <w:rPr>
                <w:color w:val="000000" w:themeColor="text1"/>
                <w:sz w:val="20"/>
                <w:szCs w:val="20"/>
              </w:rPr>
            </w:pPr>
            <w:r w:rsidRPr="0021130E">
              <w:rPr>
                <w:color w:val="000000" w:themeColor="text1"/>
                <w:sz w:val="20"/>
                <w:szCs w:val="20"/>
              </w:rPr>
              <w:t>22.2</w:t>
            </w:r>
          </w:p>
        </w:tc>
        <w:tc>
          <w:tcPr>
            <w:tcW w:w="1726" w:type="dxa"/>
            <w:shd w:val="clear" w:color="auto" w:fill="auto"/>
          </w:tcPr>
          <w:p w14:paraId="7B19C9E2" w14:textId="77777777" w:rsidR="00580371" w:rsidRPr="0021130E" w:rsidRDefault="00580371" w:rsidP="00CA76EE">
            <w:pPr>
              <w:jc w:val="center"/>
              <w:rPr>
                <w:color w:val="000000" w:themeColor="text1"/>
                <w:sz w:val="20"/>
                <w:szCs w:val="20"/>
              </w:rPr>
            </w:pPr>
            <w:r w:rsidRPr="0021130E">
              <w:rPr>
                <w:color w:val="000000" w:themeColor="text1"/>
                <w:sz w:val="20"/>
                <w:szCs w:val="20"/>
              </w:rPr>
              <w:t>9.5 to 43.5</w:t>
            </w:r>
          </w:p>
        </w:tc>
        <w:tc>
          <w:tcPr>
            <w:tcW w:w="1696" w:type="dxa"/>
            <w:shd w:val="clear" w:color="auto" w:fill="auto"/>
          </w:tcPr>
          <w:p w14:paraId="2762DC90"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16B444BA" w14:textId="77777777" w:rsidR="00580371" w:rsidRPr="0021130E" w:rsidRDefault="00580371" w:rsidP="00CA76EE">
            <w:pPr>
              <w:jc w:val="center"/>
              <w:rPr>
                <w:color w:val="000000" w:themeColor="text1"/>
                <w:sz w:val="20"/>
                <w:szCs w:val="20"/>
              </w:rPr>
            </w:pPr>
            <w:r w:rsidRPr="00B45F14">
              <w:rPr>
                <w:color w:val="000000" w:themeColor="text1"/>
                <w:sz w:val="20"/>
                <w:szCs w:val="20"/>
              </w:rPr>
              <w:t>5.6</w:t>
            </w:r>
          </w:p>
        </w:tc>
        <w:tc>
          <w:tcPr>
            <w:tcW w:w="1860" w:type="dxa"/>
            <w:shd w:val="clear" w:color="auto" w:fill="auto"/>
            <w:hideMark/>
          </w:tcPr>
          <w:p w14:paraId="1CBD40D4" w14:textId="77777777" w:rsidR="00580371" w:rsidRPr="0021130E" w:rsidRDefault="00580371" w:rsidP="00CA76EE">
            <w:pPr>
              <w:jc w:val="center"/>
              <w:rPr>
                <w:color w:val="000000" w:themeColor="text1"/>
                <w:sz w:val="20"/>
                <w:szCs w:val="20"/>
              </w:rPr>
            </w:pPr>
            <w:r w:rsidRPr="0021130E">
              <w:rPr>
                <w:color w:val="000000" w:themeColor="text1"/>
                <w:sz w:val="20"/>
                <w:szCs w:val="20"/>
              </w:rPr>
              <w:t>0 to 17.3</w:t>
            </w:r>
          </w:p>
        </w:tc>
      </w:tr>
      <w:tr w:rsidR="00580371" w:rsidRPr="0021130E" w14:paraId="5E2FF752" w14:textId="77777777" w:rsidTr="00CA76EE">
        <w:trPr>
          <w:trHeight w:val="340"/>
        </w:trPr>
        <w:tc>
          <w:tcPr>
            <w:tcW w:w="2617" w:type="dxa"/>
            <w:gridSpan w:val="2"/>
            <w:shd w:val="clear" w:color="auto" w:fill="D9D9D9" w:themeFill="background1" w:themeFillShade="D9"/>
            <w:noWrap/>
            <w:hideMark/>
          </w:tcPr>
          <w:p w14:paraId="2104DC5F" w14:textId="77777777" w:rsidR="00580371" w:rsidRPr="0021130E" w:rsidRDefault="00580371" w:rsidP="00CA76EE">
            <w:pPr>
              <w:rPr>
                <w:color w:val="000000" w:themeColor="text1"/>
                <w:sz w:val="20"/>
                <w:szCs w:val="20"/>
              </w:rPr>
            </w:pPr>
            <w:r w:rsidRPr="0021130E">
              <w:rPr>
                <w:color w:val="000000" w:themeColor="text1"/>
                <w:sz w:val="20"/>
                <w:szCs w:val="20"/>
              </w:rPr>
              <w:t>Swimming</w:t>
            </w:r>
          </w:p>
        </w:tc>
        <w:tc>
          <w:tcPr>
            <w:tcW w:w="1899" w:type="dxa"/>
            <w:tcBorders>
              <w:left w:val="nil"/>
            </w:tcBorders>
            <w:shd w:val="clear" w:color="auto" w:fill="D9D9D9" w:themeFill="background1" w:themeFillShade="D9"/>
            <w:noWrap/>
            <w:hideMark/>
          </w:tcPr>
          <w:p w14:paraId="5286FE01" w14:textId="77777777" w:rsidR="00580371" w:rsidRPr="0021130E" w:rsidRDefault="00580371" w:rsidP="00CA76EE">
            <w:pPr>
              <w:jc w:val="center"/>
              <w:rPr>
                <w:color w:val="000000" w:themeColor="text1"/>
                <w:sz w:val="20"/>
                <w:szCs w:val="20"/>
              </w:rPr>
            </w:pPr>
            <w:r w:rsidRPr="0021130E">
              <w:rPr>
                <w:color w:val="000000" w:themeColor="text1"/>
                <w:sz w:val="20"/>
                <w:szCs w:val="20"/>
              </w:rPr>
              <w:t>71 (26/45)</w:t>
            </w:r>
          </w:p>
        </w:tc>
        <w:tc>
          <w:tcPr>
            <w:tcW w:w="1720" w:type="dxa"/>
            <w:shd w:val="clear" w:color="auto" w:fill="D9D9D9" w:themeFill="background1" w:themeFillShade="D9"/>
            <w:noWrap/>
          </w:tcPr>
          <w:p w14:paraId="1FCB4FDF" w14:textId="77777777" w:rsidR="00580371" w:rsidRPr="0021130E" w:rsidRDefault="00580371" w:rsidP="00CA76EE">
            <w:pPr>
              <w:jc w:val="center"/>
              <w:rPr>
                <w:color w:val="000000" w:themeColor="text1"/>
                <w:sz w:val="20"/>
                <w:szCs w:val="20"/>
              </w:rPr>
            </w:pPr>
            <w:r w:rsidRPr="0021130E">
              <w:rPr>
                <w:color w:val="000000" w:themeColor="text1"/>
                <w:sz w:val="20"/>
                <w:szCs w:val="20"/>
              </w:rPr>
              <w:t>24 (10/14)</w:t>
            </w:r>
          </w:p>
        </w:tc>
        <w:tc>
          <w:tcPr>
            <w:tcW w:w="1659" w:type="dxa"/>
            <w:shd w:val="clear" w:color="auto" w:fill="D9D9D9" w:themeFill="background1" w:themeFillShade="D9"/>
          </w:tcPr>
          <w:p w14:paraId="55C3D9E1" w14:textId="77777777" w:rsidR="00580371" w:rsidRPr="0021130E" w:rsidRDefault="00580371" w:rsidP="00CA76EE">
            <w:pPr>
              <w:jc w:val="center"/>
              <w:rPr>
                <w:color w:val="000000" w:themeColor="text1"/>
                <w:sz w:val="20"/>
                <w:szCs w:val="20"/>
              </w:rPr>
            </w:pPr>
            <w:r w:rsidRPr="0021130E">
              <w:rPr>
                <w:color w:val="000000" w:themeColor="text1"/>
                <w:sz w:val="20"/>
                <w:szCs w:val="20"/>
              </w:rPr>
              <w:t>33.8</w:t>
            </w:r>
          </w:p>
        </w:tc>
        <w:tc>
          <w:tcPr>
            <w:tcW w:w="1726" w:type="dxa"/>
            <w:shd w:val="clear" w:color="auto" w:fill="D9D9D9" w:themeFill="background1" w:themeFillShade="D9"/>
          </w:tcPr>
          <w:p w14:paraId="558A6B99" w14:textId="77777777" w:rsidR="00580371" w:rsidRPr="0021130E" w:rsidRDefault="00580371" w:rsidP="00CA76EE">
            <w:pPr>
              <w:jc w:val="center"/>
              <w:rPr>
                <w:color w:val="000000" w:themeColor="text1"/>
                <w:sz w:val="20"/>
                <w:szCs w:val="20"/>
              </w:rPr>
            </w:pPr>
            <w:r w:rsidRPr="0021130E">
              <w:rPr>
                <w:color w:val="000000" w:themeColor="text1"/>
                <w:sz w:val="20"/>
                <w:szCs w:val="20"/>
              </w:rPr>
              <w:t>22.5 to 45.1</w:t>
            </w:r>
          </w:p>
        </w:tc>
        <w:tc>
          <w:tcPr>
            <w:tcW w:w="1696" w:type="dxa"/>
            <w:shd w:val="clear" w:color="auto" w:fill="D9D9D9" w:themeFill="background1" w:themeFillShade="D9"/>
          </w:tcPr>
          <w:p w14:paraId="3A4EA4C6" w14:textId="77777777" w:rsidR="00580371" w:rsidRPr="0021130E" w:rsidRDefault="00580371" w:rsidP="00CA76EE">
            <w:pPr>
              <w:jc w:val="center"/>
              <w:rPr>
                <w:color w:val="000000" w:themeColor="text1"/>
                <w:sz w:val="20"/>
                <w:szCs w:val="20"/>
              </w:rPr>
            </w:pPr>
            <w:r w:rsidRPr="0021130E">
              <w:rPr>
                <w:color w:val="000000" w:themeColor="text1"/>
                <w:sz w:val="20"/>
                <w:szCs w:val="20"/>
              </w:rPr>
              <w:t>17 (7/10)</w:t>
            </w:r>
          </w:p>
        </w:tc>
        <w:tc>
          <w:tcPr>
            <w:tcW w:w="1659" w:type="dxa"/>
            <w:shd w:val="clear" w:color="auto" w:fill="D9D9D9" w:themeFill="background1" w:themeFillShade="D9"/>
          </w:tcPr>
          <w:p w14:paraId="761411C0" w14:textId="77777777" w:rsidR="00580371" w:rsidRPr="0021130E" w:rsidRDefault="00580371" w:rsidP="00CA76EE">
            <w:pPr>
              <w:jc w:val="center"/>
              <w:rPr>
                <w:color w:val="000000" w:themeColor="text1"/>
                <w:sz w:val="20"/>
                <w:szCs w:val="20"/>
              </w:rPr>
            </w:pPr>
            <w:r w:rsidRPr="0021130E">
              <w:rPr>
                <w:color w:val="000000" w:themeColor="text1"/>
                <w:sz w:val="20"/>
                <w:szCs w:val="20"/>
              </w:rPr>
              <w:t>23.9</w:t>
            </w:r>
          </w:p>
        </w:tc>
        <w:tc>
          <w:tcPr>
            <w:tcW w:w="1860" w:type="dxa"/>
            <w:shd w:val="clear" w:color="auto" w:fill="D9D9D9" w:themeFill="background1" w:themeFillShade="D9"/>
            <w:hideMark/>
          </w:tcPr>
          <w:p w14:paraId="7AF9DA13" w14:textId="77777777" w:rsidR="00580371" w:rsidRPr="0021130E" w:rsidRDefault="00580371" w:rsidP="00CA76EE">
            <w:pPr>
              <w:jc w:val="center"/>
              <w:rPr>
                <w:color w:val="000000" w:themeColor="text1"/>
                <w:sz w:val="20"/>
                <w:szCs w:val="20"/>
              </w:rPr>
            </w:pPr>
            <w:r w:rsidRPr="0021130E">
              <w:rPr>
                <w:color w:val="000000" w:themeColor="text1"/>
                <w:sz w:val="20"/>
                <w:szCs w:val="20"/>
              </w:rPr>
              <w:t>13.8 to 34.1</w:t>
            </w:r>
          </w:p>
        </w:tc>
      </w:tr>
      <w:tr w:rsidR="00580371" w:rsidRPr="0021130E" w14:paraId="4C3FBC77" w14:textId="77777777" w:rsidTr="00CA76EE">
        <w:trPr>
          <w:trHeight w:val="340"/>
        </w:trPr>
        <w:tc>
          <w:tcPr>
            <w:tcW w:w="2617" w:type="dxa"/>
            <w:gridSpan w:val="2"/>
            <w:shd w:val="clear" w:color="auto" w:fill="auto"/>
            <w:noWrap/>
          </w:tcPr>
          <w:p w14:paraId="712FFEB2" w14:textId="77777777" w:rsidR="00580371" w:rsidRPr="0021130E" w:rsidRDefault="00580371" w:rsidP="00CA76EE">
            <w:pPr>
              <w:rPr>
                <w:color w:val="000000" w:themeColor="text1"/>
                <w:sz w:val="20"/>
                <w:szCs w:val="20"/>
              </w:rPr>
            </w:pPr>
            <w:r w:rsidRPr="0021130E">
              <w:rPr>
                <w:color w:val="000000" w:themeColor="text1"/>
                <w:sz w:val="20"/>
                <w:szCs w:val="20"/>
              </w:rPr>
              <w:t>Diving</w:t>
            </w:r>
          </w:p>
        </w:tc>
        <w:tc>
          <w:tcPr>
            <w:tcW w:w="1899" w:type="dxa"/>
            <w:tcBorders>
              <w:left w:val="nil"/>
            </w:tcBorders>
            <w:shd w:val="clear" w:color="auto" w:fill="auto"/>
            <w:noWrap/>
            <w:hideMark/>
          </w:tcPr>
          <w:p w14:paraId="594AE0CF" w14:textId="77777777" w:rsidR="00580371" w:rsidRPr="0021130E" w:rsidRDefault="00580371" w:rsidP="00CA76EE">
            <w:pPr>
              <w:jc w:val="center"/>
              <w:rPr>
                <w:color w:val="000000" w:themeColor="text1"/>
                <w:sz w:val="20"/>
                <w:szCs w:val="20"/>
              </w:rPr>
            </w:pPr>
            <w:r w:rsidRPr="0021130E">
              <w:rPr>
                <w:color w:val="000000" w:themeColor="text1"/>
                <w:sz w:val="20"/>
                <w:szCs w:val="20"/>
              </w:rPr>
              <w:t>13 (4/9)</w:t>
            </w:r>
          </w:p>
        </w:tc>
        <w:tc>
          <w:tcPr>
            <w:tcW w:w="1720" w:type="dxa"/>
            <w:shd w:val="clear" w:color="auto" w:fill="auto"/>
            <w:noWrap/>
          </w:tcPr>
          <w:p w14:paraId="289F3FA4" w14:textId="77777777" w:rsidR="00580371" w:rsidRPr="0021130E" w:rsidRDefault="00580371" w:rsidP="00CA76EE">
            <w:pPr>
              <w:jc w:val="center"/>
              <w:rPr>
                <w:color w:val="000000" w:themeColor="text1"/>
                <w:sz w:val="20"/>
                <w:szCs w:val="20"/>
              </w:rPr>
            </w:pPr>
            <w:r w:rsidRPr="0021130E">
              <w:rPr>
                <w:color w:val="000000" w:themeColor="text1"/>
                <w:sz w:val="20"/>
                <w:szCs w:val="20"/>
              </w:rPr>
              <w:t>7 (2/5)</w:t>
            </w:r>
          </w:p>
        </w:tc>
        <w:tc>
          <w:tcPr>
            <w:tcW w:w="1659" w:type="dxa"/>
            <w:shd w:val="clear" w:color="auto" w:fill="auto"/>
          </w:tcPr>
          <w:p w14:paraId="00593346"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7910BCD9"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1229C86C" w14:textId="77777777" w:rsidR="00580371" w:rsidRPr="0021130E" w:rsidRDefault="00580371" w:rsidP="00CA76EE">
            <w:pPr>
              <w:jc w:val="center"/>
              <w:rPr>
                <w:color w:val="000000" w:themeColor="text1"/>
                <w:sz w:val="20"/>
                <w:szCs w:val="20"/>
              </w:rPr>
            </w:pPr>
            <w:r w:rsidRPr="0021130E">
              <w:rPr>
                <w:color w:val="000000" w:themeColor="text1"/>
                <w:sz w:val="20"/>
                <w:szCs w:val="20"/>
              </w:rPr>
              <w:t>7 (2/5)</w:t>
            </w:r>
          </w:p>
        </w:tc>
        <w:tc>
          <w:tcPr>
            <w:tcW w:w="1659" w:type="dxa"/>
            <w:shd w:val="clear" w:color="auto" w:fill="auto"/>
          </w:tcPr>
          <w:p w14:paraId="67FA9533"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133AA7B0"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36087A13" w14:textId="77777777" w:rsidTr="00CA76EE">
        <w:trPr>
          <w:trHeight w:val="340"/>
        </w:trPr>
        <w:tc>
          <w:tcPr>
            <w:tcW w:w="2617" w:type="dxa"/>
            <w:gridSpan w:val="2"/>
            <w:shd w:val="clear" w:color="auto" w:fill="D9D9D9" w:themeFill="background1" w:themeFillShade="D9"/>
            <w:noWrap/>
          </w:tcPr>
          <w:p w14:paraId="442DFD8B" w14:textId="77777777" w:rsidR="00580371" w:rsidRPr="0021130E" w:rsidRDefault="00580371" w:rsidP="00CA76EE">
            <w:pPr>
              <w:rPr>
                <w:color w:val="000000" w:themeColor="text1"/>
                <w:sz w:val="20"/>
                <w:szCs w:val="20"/>
              </w:rPr>
            </w:pPr>
            <w:r w:rsidRPr="0021130E">
              <w:rPr>
                <w:color w:val="000000" w:themeColor="text1"/>
                <w:sz w:val="20"/>
                <w:szCs w:val="20"/>
              </w:rPr>
              <w:t>Syn. swimming</w:t>
            </w:r>
          </w:p>
        </w:tc>
        <w:tc>
          <w:tcPr>
            <w:tcW w:w="1899" w:type="dxa"/>
            <w:tcBorders>
              <w:left w:val="nil"/>
            </w:tcBorders>
            <w:shd w:val="clear" w:color="auto" w:fill="D9D9D9" w:themeFill="background1" w:themeFillShade="D9"/>
            <w:noWrap/>
            <w:hideMark/>
          </w:tcPr>
          <w:p w14:paraId="33648EF2" w14:textId="77777777" w:rsidR="00580371" w:rsidRPr="0021130E" w:rsidRDefault="00580371" w:rsidP="00CA76EE">
            <w:pPr>
              <w:jc w:val="center"/>
              <w:rPr>
                <w:color w:val="000000" w:themeColor="text1"/>
                <w:sz w:val="20"/>
                <w:szCs w:val="20"/>
              </w:rPr>
            </w:pPr>
            <w:r w:rsidRPr="0021130E">
              <w:rPr>
                <w:color w:val="000000" w:themeColor="text1"/>
                <w:sz w:val="20"/>
                <w:szCs w:val="20"/>
              </w:rPr>
              <w:t>2 (0/2)</w:t>
            </w:r>
          </w:p>
        </w:tc>
        <w:tc>
          <w:tcPr>
            <w:tcW w:w="1720" w:type="dxa"/>
            <w:shd w:val="clear" w:color="auto" w:fill="D9D9D9" w:themeFill="background1" w:themeFillShade="D9"/>
            <w:noWrap/>
          </w:tcPr>
          <w:p w14:paraId="33CC9E66" w14:textId="77777777" w:rsidR="00580371" w:rsidRPr="0021130E" w:rsidRDefault="00580371" w:rsidP="00CA76EE">
            <w:pPr>
              <w:jc w:val="center"/>
              <w:rPr>
                <w:color w:val="000000" w:themeColor="text1"/>
                <w:sz w:val="20"/>
                <w:szCs w:val="20"/>
              </w:rPr>
            </w:pPr>
            <w:r w:rsidRPr="0021130E">
              <w:rPr>
                <w:color w:val="000000" w:themeColor="text1"/>
                <w:sz w:val="20"/>
                <w:szCs w:val="20"/>
              </w:rPr>
              <w:t>1 (0/1)</w:t>
            </w:r>
          </w:p>
        </w:tc>
        <w:tc>
          <w:tcPr>
            <w:tcW w:w="1659" w:type="dxa"/>
            <w:shd w:val="clear" w:color="auto" w:fill="D9D9D9" w:themeFill="background1" w:themeFillShade="D9"/>
          </w:tcPr>
          <w:p w14:paraId="4BE589A5"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D9D9D9" w:themeFill="background1" w:themeFillShade="D9"/>
          </w:tcPr>
          <w:p w14:paraId="3FDE4992"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D9D9D9" w:themeFill="background1" w:themeFillShade="D9"/>
          </w:tcPr>
          <w:p w14:paraId="4DB93C95" w14:textId="77777777" w:rsidR="00580371" w:rsidRPr="0021130E" w:rsidRDefault="00580371" w:rsidP="00CA76EE">
            <w:pPr>
              <w:jc w:val="center"/>
              <w:rPr>
                <w:color w:val="000000" w:themeColor="text1"/>
                <w:sz w:val="20"/>
                <w:szCs w:val="20"/>
              </w:rPr>
            </w:pPr>
            <w:r w:rsidRPr="0021130E">
              <w:rPr>
                <w:color w:val="000000" w:themeColor="text1"/>
                <w:sz w:val="20"/>
                <w:szCs w:val="20"/>
              </w:rPr>
              <w:t>-</w:t>
            </w:r>
          </w:p>
        </w:tc>
        <w:tc>
          <w:tcPr>
            <w:tcW w:w="1659" w:type="dxa"/>
            <w:shd w:val="clear" w:color="auto" w:fill="D9D9D9" w:themeFill="background1" w:themeFillShade="D9"/>
          </w:tcPr>
          <w:p w14:paraId="5655F219"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D9D9D9" w:themeFill="background1" w:themeFillShade="D9"/>
          </w:tcPr>
          <w:p w14:paraId="3A359E58"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488DA580" w14:textId="77777777" w:rsidTr="00CA76EE">
        <w:trPr>
          <w:trHeight w:val="340"/>
        </w:trPr>
        <w:tc>
          <w:tcPr>
            <w:tcW w:w="2617" w:type="dxa"/>
            <w:gridSpan w:val="2"/>
            <w:shd w:val="clear" w:color="auto" w:fill="auto"/>
            <w:noWrap/>
          </w:tcPr>
          <w:p w14:paraId="7E3FF826" w14:textId="77777777" w:rsidR="00580371" w:rsidRPr="0021130E" w:rsidRDefault="00580371" w:rsidP="00CA76EE">
            <w:pPr>
              <w:rPr>
                <w:color w:val="000000" w:themeColor="text1"/>
                <w:sz w:val="20"/>
                <w:szCs w:val="20"/>
              </w:rPr>
            </w:pPr>
            <w:r w:rsidRPr="0021130E">
              <w:rPr>
                <w:color w:val="000000" w:themeColor="text1"/>
                <w:sz w:val="20"/>
                <w:szCs w:val="20"/>
              </w:rPr>
              <w:t>Water polo</w:t>
            </w:r>
          </w:p>
        </w:tc>
        <w:tc>
          <w:tcPr>
            <w:tcW w:w="1899" w:type="dxa"/>
            <w:tcBorders>
              <w:left w:val="nil"/>
            </w:tcBorders>
            <w:shd w:val="clear" w:color="auto" w:fill="auto"/>
            <w:noWrap/>
            <w:hideMark/>
          </w:tcPr>
          <w:p w14:paraId="771FD46B" w14:textId="77777777" w:rsidR="00580371" w:rsidRPr="0021130E" w:rsidRDefault="00580371" w:rsidP="00CA76EE">
            <w:pPr>
              <w:jc w:val="center"/>
              <w:rPr>
                <w:color w:val="000000" w:themeColor="text1"/>
                <w:sz w:val="20"/>
                <w:szCs w:val="20"/>
              </w:rPr>
            </w:pPr>
            <w:r w:rsidRPr="0021130E">
              <w:rPr>
                <w:color w:val="000000" w:themeColor="text1"/>
                <w:sz w:val="20"/>
                <w:szCs w:val="20"/>
              </w:rPr>
              <w:t>3 (3/0)</w:t>
            </w:r>
          </w:p>
        </w:tc>
        <w:tc>
          <w:tcPr>
            <w:tcW w:w="1720" w:type="dxa"/>
            <w:shd w:val="clear" w:color="auto" w:fill="auto"/>
            <w:noWrap/>
          </w:tcPr>
          <w:p w14:paraId="1B250E93"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77ACE10F"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3E42FD7A"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2B030312"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2D998389"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7557E8DF"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6D5ED3D6" w14:textId="77777777" w:rsidTr="00CA76EE">
        <w:trPr>
          <w:trHeight w:val="340"/>
        </w:trPr>
        <w:tc>
          <w:tcPr>
            <w:tcW w:w="2617" w:type="dxa"/>
            <w:gridSpan w:val="2"/>
            <w:shd w:val="clear" w:color="auto" w:fill="D9D9D9" w:themeFill="background1" w:themeFillShade="D9"/>
            <w:noWrap/>
            <w:hideMark/>
          </w:tcPr>
          <w:p w14:paraId="7D130E51" w14:textId="77777777" w:rsidR="00580371" w:rsidRPr="0021130E" w:rsidRDefault="00580371" w:rsidP="00CA76EE">
            <w:pPr>
              <w:rPr>
                <w:color w:val="000000" w:themeColor="text1"/>
                <w:sz w:val="20"/>
                <w:szCs w:val="20"/>
              </w:rPr>
            </w:pPr>
            <w:r w:rsidRPr="0021130E">
              <w:rPr>
                <w:color w:val="000000" w:themeColor="text1"/>
                <w:sz w:val="20"/>
                <w:szCs w:val="20"/>
              </w:rPr>
              <w:t>Badminton</w:t>
            </w:r>
          </w:p>
        </w:tc>
        <w:tc>
          <w:tcPr>
            <w:tcW w:w="1899" w:type="dxa"/>
            <w:tcBorders>
              <w:left w:val="nil"/>
            </w:tcBorders>
            <w:shd w:val="clear" w:color="auto" w:fill="D9D9D9" w:themeFill="background1" w:themeFillShade="D9"/>
            <w:noWrap/>
            <w:hideMark/>
          </w:tcPr>
          <w:p w14:paraId="5F192C11" w14:textId="77777777" w:rsidR="00580371" w:rsidRPr="0021130E" w:rsidRDefault="00580371" w:rsidP="00CA76EE">
            <w:pPr>
              <w:jc w:val="center"/>
              <w:rPr>
                <w:color w:val="000000" w:themeColor="text1"/>
                <w:sz w:val="20"/>
                <w:szCs w:val="20"/>
              </w:rPr>
            </w:pPr>
            <w:r w:rsidRPr="0021130E">
              <w:rPr>
                <w:color w:val="000000" w:themeColor="text1"/>
                <w:sz w:val="20"/>
                <w:szCs w:val="20"/>
              </w:rPr>
              <w:t>3 (1/2)</w:t>
            </w:r>
          </w:p>
        </w:tc>
        <w:tc>
          <w:tcPr>
            <w:tcW w:w="1720" w:type="dxa"/>
            <w:shd w:val="clear" w:color="auto" w:fill="D9D9D9" w:themeFill="background1" w:themeFillShade="D9"/>
            <w:noWrap/>
          </w:tcPr>
          <w:p w14:paraId="63BC5EB7" w14:textId="77777777" w:rsidR="00580371" w:rsidRPr="0021130E" w:rsidRDefault="00580371" w:rsidP="00CA76EE">
            <w:pPr>
              <w:jc w:val="center"/>
              <w:rPr>
                <w:color w:val="000000" w:themeColor="text1"/>
                <w:sz w:val="20"/>
                <w:szCs w:val="20"/>
              </w:rPr>
            </w:pPr>
            <w:r w:rsidRPr="0021130E">
              <w:rPr>
                <w:color w:val="000000" w:themeColor="text1"/>
                <w:sz w:val="20"/>
                <w:szCs w:val="20"/>
              </w:rPr>
              <w:t>1 (0/1)</w:t>
            </w:r>
          </w:p>
        </w:tc>
        <w:tc>
          <w:tcPr>
            <w:tcW w:w="1659" w:type="dxa"/>
            <w:shd w:val="clear" w:color="auto" w:fill="D9D9D9" w:themeFill="background1" w:themeFillShade="D9"/>
          </w:tcPr>
          <w:p w14:paraId="4C8A8AD1"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D9D9D9" w:themeFill="background1" w:themeFillShade="D9"/>
          </w:tcPr>
          <w:p w14:paraId="79FC42D2"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D9D9D9" w:themeFill="background1" w:themeFillShade="D9"/>
          </w:tcPr>
          <w:p w14:paraId="5D9C7CC1" w14:textId="77777777" w:rsidR="00580371" w:rsidRPr="0021130E" w:rsidRDefault="00580371" w:rsidP="00CA76EE">
            <w:pPr>
              <w:jc w:val="center"/>
              <w:rPr>
                <w:color w:val="000000" w:themeColor="text1"/>
                <w:sz w:val="20"/>
                <w:szCs w:val="20"/>
              </w:rPr>
            </w:pPr>
            <w:r w:rsidRPr="0021130E">
              <w:rPr>
                <w:color w:val="000000" w:themeColor="text1"/>
                <w:sz w:val="20"/>
                <w:szCs w:val="20"/>
              </w:rPr>
              <w:t>-</w:t>
            </w:r>
          </w:p>
        </w:tc>
        <w:tc>
          <w:tcPr>
            <w:tcW w:w="1659" w:type="dxa"/>
            <w:shd w:val="clear" w:color="auto" w:fill="D9D9D9" w:themeFill="background1" w:themeFillShade="D9"/>
          </w:tcPr>
          <w:p w14:paraId="576AEBBA"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D9D9D9" w:themeFill="background1" w:themeFillShade="D9"/>
          </w:tcPr>
          <w:p w14:paraId="3BE222D3"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7090D291" w14:textId="77777777" w:rsidTr="00CA76EE">
        <w:trPr>
          <w:trHeight w:val="340"/>
        </w:trPr>
        <w:tc>
          <w:tcPr>
            <w:tcW w:w="2617" w:type="dxa"/>
            <w:gridSpan w:val="2"/>
            <w:shd w:val="clear" w:color="auto" w:fill="auto"/>
            <w:noWrap/>
            <w:hideMark/>
          </w:tcPr>
          <w:p w14:paraId="69F1BB1D" w14:textId="77777777" w:rsidR="00580371" w:rsidRPr="0021130E" w:rsidRDefault="00580371" w:rsidP="00CA76EE">
            <w:pPr>
              <w:rPr>
                <w:color w:val="000000" w:themeColor="text1"/>
                <w:sz w:val="20"/>
                <w:szCs w:val="20"/>
              </w:rPr>
            </w:pPr>
            <w:r w:rsidRPr="0021130E">
              <w:rPr>
                <w:color w:val="000000" w:themeColor="text1"/>
                <w:sz w:val="20"/>
                <w:szCs w:val="20"/>
              </w:rPr>
              <w:t>Basketball</w:t>
            </w:r>
          </w:p>
        </w:tc>
        <w:tc>
          <w:tcPr>
            <w:tcW w:w="1899" w:type="dxa"/>
            <w:tcBorders>
              <w:left w:val="nil"/>
            </w:tcBorders>
            <w:shd w:val="clear" w:color="auto" w:fill="auto"/>
            <w:noWrap/>
            <w:hideMark/>
          </w:tcPr>
          <w:p w14:paraId="79A449D5" w14:textId="77777777" w:rsidR="00580371" w:rsidRPr="0021130E" w:rsidRDefault="00580371" w:rsidP="00CA76EE">
            <w:pPr>
              <w:jc w:val="center"/>
              <w:rPr>
                <w:color w:val="000000" w:themeColor="text1"/>
                <w:sz w:val="20"/>
                <w:szCs w:val="20"/>
              </w:rPr>
            </w:pPr>
            <w:r w:rsidRPr="0021130E">
              <w:rPr>
                <w:color w:val="000000" w:themeColor="text1"/>
                <w:sz w:val="20"/>
                <w:szCs w:val="20"/>
              </w:rPr>
              <w:t>4 (3/1)</w:t>
            </w:r>
          </w:p>
        </w:tc>
        <w:tc>
          <w:tcPr>
            <w:tcW w:w="1720" w:type="dxa"/>
            <w:shd w:val="clear" w:color="auto" w:fill="auto"/>
            <w:noWrap/>
          </w:tcPr>
          <w:p w14:paraId="2EB16BB6"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677DFE5B"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6793CFB5"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2C944D1D" w14:textId="77777777" w:rsidR="00580371" w:rsidRPr="0021130E" w:rsidRDefault="00580371" w:rsidP="00CA76EE">
            <w:pPr>
              <w:jc w:val="center"/>
              <w:rPr>
                <w:color w:val="000000" w:themeColor="text1"/>
                <w:sz w:val="20"/>
                <w:szCs w:val="20"/>
              </w:rPr>
            </w:pPr>
            <w:r w:rsidRPr="0021130E">
              <w:rPr>
                <w:color w:val="000000" w:themeColor="text1"/>
                <w:sz w:val="20"/>
                <w:szCs w:val="20"/>
              </w:rPr>
              <w:t>-</w:t>
            </w:r>
          </w:p>
        </w:tc>
        <w:tc>
          <w:tcPr>
            <w:tcW w:w="1659" w:type="dxa"/>
            <w:shd w:val="clear" w:color="auto" w:fill="auto"/>
          </w:tcPr>
          <w:p w14:paraId="505F1CC3"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6BDF4CC3"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5D96C008" w14:textId="77777777" w:rsidTr="00CA76EE">
        <w:trPr>
          <w:trHeight w:val="340"/>
        </w:trPr>
        <w:tc>
          <w:tcPr>
            <w:tcW w:w="2617" w:type="dxa"/>
            <w:gridSpan w:val="2"/>
            <w:shd w:val="clear" w:color="auto" w:fill="D9D9D9" w:themeFill="background1" w:themeFillShade="D9"/>
            <w:noWrap/>
            <w:hideMark/>
          </w:tcPr>
          <w:p w14:paraId="7EEAFD15" w14:textId="77777777" w:rsidR="00580371" w:rsidRPr="0021130E" w:rsidRDefault="00580371" w:rsidP="00CA76EE">
            <w:pPr>
              <w:rPr>
                <w:color w:val="000000" w:themeColor="text1"/>
                <w:sz w:val="20"/>
                <w:szCs w:val="20"/>
              </w:rPr>
            </w:pPr>
            <w:r w:rsidRPr="0021130E">
              <w:rPr>
                <w:color w:val="000000" w:themeColor="text1"/>
                <w:sz w:val="20"/>
                <w:szCs w:val="20"/>
              </w:rPr>
              <w:t>Boxing</w:t>
            </w:r>
          </w:p>
        </w:tc>
        <w:tc>
          <w:tcPr>
            <w:tcW w:w="1899" w:type="dxa"/>
            <w:tcBorders>
              <w:left w:val="nil"/>
            </w:tcBorders>
            <w:shd w:val="clear" w:color="auto" w:fill="D9D9D9" w:themeFill="background1" w:themeFillShade="D9"/>
            <w:noWrap/>
            <w:hideMark/>
          </w:tcPr>
          <w:p w14:paraId="17FC0AF0" w14:textId="77777777" w:rsidR="00580371" w:rsidRPr="0021130E" w:rsidRDefault="00580371" w:rsidP="00CA76EE">
            <w:pPr>
              <w:jc w:val="center"/>
              <w:rPr>
                <w:color w:val="000000" w:themeColor="text1"/>
                <w:sz w:val="20"/>
                <w:szCs w:val="20"/>
              </w:rPr>
            </w:pPr>
            <w:r w:rsidRPr="0021130E">
              <w:rPr>
                <w:color w:val="000000" w:themeColor="text1"/>
                <w:sz w:val="20"/>
                <w:szCs w:val="20"/>
              </w:rPr>
              <w:t>6 (6/0)</w:t>
            </w:r>
          </w:p>
        </w:tc>
        <w:tc>
          <w:tcPr>
            <w:tcW w:w="1720" w:type="dxa"/>
            <w:shd w:val="clear" w:color="auto" w:fill="D9D9D9" w:themeFill="background1" w:themeFillShade="D9"/>
            <w:noWrap/>
          </w:tcPr>
          <w:p w14:paraId="3B3C59DA"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D9D9D9" w:themeFill="background1" w:themeFillShade="D9"/>
          </w:tcPr>
          <w:p w14:paraId="154FD0AC"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D9D9D9" w:themeFill="background1" w:themeFillShade="D9"/>
          </w:tcPr>
          <w:p w14:paraId="32050D1C"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D9D9D9" w:themeFill="background1" w:themeFillShade="D9"/>
          </w:tcPr>
          <w:p w14:paraId="06D4AE9C"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D9D9D9" w:themeFill="background1" w:themeFillShade="D9"/>
          </w:tcPr>
          <w:p w14:paraId="283B5C6F"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D9D9D9" w:themeFill="background1" w:themeFillShade="D9"/>
          </w:tcPr>
          <w:p w14:paraId="0855C5ED"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329A3E90" w14:textId="77777777" w:rsidTr="00CA76EE">
        <w:trPr>
          <w:trHeight w:val="340"/>
        </w:trPr>
        <w:tc>
          <w:tcPr>
            <w:tcW w:w="2617" w:type="dxa"/>
            <w:gridSpan w:val="2"/>
            <w:shd w:val="clear" w:color="auto" w:fill="auto"/>
            <w:noWrap/>
            <w:hideMark/>
          </w:tcPr>
          <w:p w14:paraId="7B51CFD0" w14:textId="77777777" w:rsidR="00580371" w:rsidRPr="0021130E" w:rsidRDefault="00580371" w:rsidP="00CA76EE">
            <w:pPr>
              <w:rPr>
                <w:color w:val="000000" w:themeColor="text1"/>
                <w:sz w:val="20"/>
                <w:szCs w:val="20"/>
              </w:rPr>
            </w:pPr>
            <w:r w:rsidRPr="0021130E">
              <w:rPr>
                <w:color w:val="000000" w:themeColor="text1"/>
                <w:sz w:val="20"/>
                <w:szCs w:val="20"/>
              </w:rPr>
              <w:t>Canoeing</w:t>
            </w:r>
          </w:p>
        </w:tc>
        <w:tc>
          <w:tcPr>
            <w:tcW w:w="1899" w:type="dxa"/>
            <w:tcBorders>
              <w:left w:val="nil"/>
            </w:tcBorders>
            <w:shd w:val="clear" w:color="auto" w:fill="auto"/>
            <w:noWrap/>
            <w:hideMark/>
          </w:tcPr>
          <w:p w14:paraId="0C9E67C2" w14:textId="77777777" w:rsidR="00580371" w:rsidRPr="0021130E" w:rsidRDefault="00580371" w:rsidP="00CA76EE">
            <w:pPr>
              <w:jc w:val="center"/>
              <w:rPr>
                <w:color w:val="000000" w:themeColor="text1"/>
                <w:sz w:val="20"/>
                <w:szCs w:val="20"/>
              </w:rPr>
            </w:pPr>
            <w:r w:rsidRPr="0021130E">
              <w:rPr>
                <w:color w:val="000000" w:themeColor="text1"/>
                <w:sz w:val="20"/>
                <w:szCs w:val="20"/>
              </w:rPr>
              <w:t>27 (16/11)</w:t>
            </w:r>
          </w:p>
        </w:tc>
        <w:tc>
          <w:tcPr>
            <w:tcW w:w="1720" w:type="dxa"/>
            <w:shd w:val="clear" w:color="auto" w:fill="auto"/>
            <w:noWrap/>
          </w:tcPr>
          <w:p w14:paraId="33FF476F" w14:textId="77777777" w:rsidR="00580371" w:rsidRPr="0021130E" w:rsidRDefault="00580371" w:rsidP="00CA76EE">
            <w:pPr>
              <w:jc w:val="center"/>
              <w:rPr>
                <w:color w:val="000000" w:themeColor="text1"/>
                <w:sz w:val="20"/>
                <w:szCs w:val="20"/>
              </w:rPr>
            </w:pPr>
            <w:r w:rsidRPr="0021130E">
              <w:rPr>
                <w:color w:val="000000" w:themeColor="text1"/>
                <w:sz w:val="20"/>
                <w:szCs w:val="20"/>
              </w:rPr>
              <w:t>6 (5/1)</w:t>
            </w:r>
          </w:p>
        </w:tc>
        <w:tc>
          <w:tcPr>
            <w:tcW w:w="1659" w:type="dxa"/>
            <w:shd w:val="clear" w:color="auto" w:fill="auto"/>
          </w:tcPr>
          <w:p w14:paraId="63642B83" w14:textId="77777777" w:rsidR="00580371" w:rsidRPr="0021130E" w:rsidRDefault="00580371" w:rsidP="00CA76EE">
            <w:pPr>
              <w:jc w:val="center"/>
              <w:rPr>
                <w:color w:val="000000" w:themeColor="text1"/>
                <w:sz w:val="20"/>
                <w:szCs w:val="20"/>
              </w:rPr>
            </w:pPr>
            <w:r w:rsidRPr="0021130E">
              <w:rPr>
                <w:color w:val="000000" w:themeColor="text1"/>
                <w:sz w:val="20"/>
                <w:szCs w:val="20"/>
              </w:rPr>
              <w:t>22,2</w:t>
            </w:r>
          </w:p>
        </w:tc>
        <w:tc>
          <w:tcPr>
            <w:tcW w:w="1726" w:type="dxa"/>
            <w:shd w:val="clear" w:color="auto" w:fill="auto"/>
          </w:tcPr>
          <w:p w14:paraId="14E637A7" w14:textId="77777777" w:rsidR="00580371" w:rsidRPr="0021130E" w:rsidRDefault="00580371" w:rsidP="00CA76EE">
            <w:pPr>
              <w:jc w:val="center"/>
              <w:rPr>
                <w:color w:val="000000" w:themeColor="text1"/>
                <w:sz w:val="20"/>
                <w:szCs w:val="20"/>
              </w:rPr>
            </w:pPr>
            <w:r w:rsidRPr="0021130E">
              <w:rPr>
                <w:color w:val="000000" w:themeColor="text1"/>
                <w:sz w:val="20"/>
                <w:szCs w:val="20"/>
              </w:rPr>
              <w:t>5.5 to 39.0</w:t>
            </w:r>
          </w:p>
        </w:tc>
        <w:tc>
          <w:tcPr>
            <w:tcW w:w="1696" w:type="dxa"/>
            <w:shd w:val="clear" w:color="auto" w:fill="auto"/>
          </w:tcPr>
          <w:p w14:paraId="5EF1CD32" w14:textId="77777777" w:rsidR="00580371" w:rsidRPr="0021130E" w:rsidRDefault="00580371" w:rsidP="00CA76EE">
            <w:pPr>
              <w:jc w:val="center"/>
              <w:rPr>
                <w:color w:val="000000" w:themeColor="text1"/>
                <w:sz w:val="20"/>
                <w:szCs w:val="20"/>
              </w:rPr>
            </w:pPr>
            <w:r w:rsidRPr="0021130E">
              <w:rPr>
                <w:color w:val="000000" w:themeColor="text1"/>
                <w:sz w:val="20"/>
                <w:szCs w:val="20"/>
              </w:rPr>
              <w:t>5 (4/1)</w:t>
            </w:r>
          </w:p>
        </w:tc>
        <w:tc>
          <w:tcPr>
            <w:tcW w:w="1659" w:type="dxa"/>
            <w:shd w:val="clear" w:color="auto" w:fill="auto"/>
          </w:tcPr>
          <w:p w14:paraId="7D59D499" w14:textId="77777777" w:rsidR="00580371" w:rsidRPr="0021130E" w:rsidRDefault="00580371" w:rsidP="00CA76EE">
            <w:pPr>
              <w:jc w:val="center"/>
              <w:rPr>
                <w:color w:val="000000" w:themeColor="text1"/>
                <w:sz w:val="20"/>
                <w:szCs w:val="20"/>
              </w:rPr>
            </w:pPr>
            <w:r w:rsidRPr="0021130E">
              <w:rPr>
                <w:color w:val="000000" w:themeColor="text1"/>
                <w:sz w:val="20"/>
                <w:szCs w:val="20"/>
              </w:rPr>
              <w:t>18.5</w:t>
            </w:r>
          </w:p>
        </w:tc>
        <w:tc>
          <w:tcPr>
            <w:tcW w:w="1860" w:type="dxa"/>
            <w:shd w:val="clear" w:color="auto" w:fill="auto"/>
            <w:hideMark/>
          </w:tcPr>
          <w:p w14:paraId="7A3DDED3" w14:textId="77777777" w:rsidR="00580371" w:rsidRPr="0021130E" w:rsidRDefault="00580371" w:rsidP="00CA76EE">
            <w:pPr>
              <w:jc w:val="center"/>
              <w:rPr>
                <w:color w:val="000000" w:themeColor="text1"/>
                <w:sz w:val="20"/>
                <w:szCs w:val="20"/>
              </w:rPr>
            </w:pPr>
            <w:r w:rsidRPr="0021130E">
              <w:rPr>
                <w:color w:val="000000" w:themeColor="text1"/>
                <w:sz w:val="20"/>
                <w:szCs w:val="20"/>
              </w:rPr>
              <w:t>2.9 to 34.2</w:t>
            </w:r>
          </w:p>
        </w:tc>
      </w:tr>
      <w:tr w:rsidR="00580371" w:rsidRPr="0021130E" w14:paraId="75A10C73" w14:textId="77777777" w:rsidTr="00CA76EE">
        <w:trPr>
          <w:trHeight w:val="340"/>
        </w:trPr>
        <w:tc>
          <w:tcPr>
            <w:tcW w:w="2617" w:type="dxa"/>
            <w:gridSpan w:val="2"/>
            <w:shd w:val="clear" w:color="auto" w:fill="D9D9D9" w:themeFill="background1" w:themeFillShade="D9"/>
            <w:noWrap/>
            <w:hideMark/>
          </w:tcPr>
          <w:p w14:paraId="625EE22B" w14:textId="77777777" w:rsidR="00580371" w:rsidRPr="0021130E" w:rsidRDefault="00580371" w:rsidP="00CA76EE">
            <w:pPr>
              <w:rPr>
                <w:color w:val="000000" w:themeColor="text1"/>
                <w:sz w:val="20"/>
                <w:szCs w:val="20"/>
              </w:rPr>
            </w:pPr>
            <w:r w:rsidRPr="0021130E">
              <w:rPr>
                <w:color w:val="000000" w:themeColor="text1"/>
                <w:sz w:val="20"/>
                <w:szCs w:val="20"/>
              </w:rPr>
              <w:t>Cycling</w:t>
            </w:r>
          </w:p>
        </w:tc>
        <w:tc>
          <w:tcPr>
            <w:tcW w:w="1899" w:type="dxa"/>
            <w:tcBorders>
              <w:left w:val="nil"/>
            </w:tcBorders>
            <w:shd w:val="clear" w:color="auto" w:fill="D9D9D9" w:themeFill="background1" w:themeFillShade="D9"/>
            <w:noWrap/>
            <w:hideMark/>
          </w:tcPr>
          <w:p w14:paraId="6D176CE0" w14:textId="77777777" w:rsidR="00580371" w:rsidRPr="0021130E" w:rsidRDefault="00580371" w:rsidP="00CA76EE">
            <w:pPr>
              <w:jc w:val="center"/>
              <w:rPr>
                <w:color w:val="000000" w:themeColor="text1"/>
                <w:sz w:val="20"/>
                <w:szCs w:val="20"/>
              </w:rPr>
            </w:pPr>
            <w:r w:rsidRPr="0021130E">
              <w:rPr>
                <w:color w:val="000000" w:themeColor="text1"/>
                <w:sz w:val="20"/>
                <w:szCs w:val="20"/>
              </w:rPr>
              <w:t>23 (17/6)</w:t>
            </w:r>
          </w:p>
        </w:tc>
        <w:tc>
          <w:tcPr>
            <w:tcW w:w="1720" w:type="dxa"/>
            <w:shd w:val="clear" w:color="auto" w:fill="D9D9D9" w:themeFill="background1" w:themeFillShade="D9"/>
            <w:noWrap/>
          </w:tcPr>
          <w:p w14:paraId="36B8C4BD" w14:textId="77777777" w:rsidR="00580371" w:rsidRPr="0021130E" w:rsidRDefault="00580371" w:rsidP="00CA76EE">
            <w:pPr>
              <w:jc w:val="center"/>
              <w:rPr>
                <w:color w:val="000000" w:themeColor="text1"/>
                <w:sz w:val="20"/>
                <w:szCs w:val="20"/>
              </w:rPr>
            </w:pPr>
            <w:r w:rsidRPr="0021130E">
              <w:rPr>
                <w:color w:val="000000" w:themeColor="text1"/>
                <w:sz w:val="20"/>
                <w:szCs w:val="20"/>
              </w:rPr>
              <w:t>8 (6/2)</w:t>
            </w:r>
          </w:p>
        </w:tc>
        <w:tc>
          <w:tcPr>
            <w:tcW w:w="1659" w:type="dxa"/>
            <w:shd w:val="clear" w:color="auto" w:fill="D9D9D9" w:themeFill="background1" w:themeFillShade="D9"/>
          </w:tcPr>
          <w:p w14:paraId="696047C5" w14:textId="77777777" w:rsidR="00580371" w:rsidRPr="0021130E" w:rsidRDefault="00580371" w:rsidP="00CA76EE">
            <w:pPr>
              <w:jc w:val="center"/>
              <w:rPr>
                <w:color w:val="000000" w:themeColor="text1"/>
                <w:sz w:val="20"/>
                <w:szCs w:val="20"/>
              </w:rPr>
            </w:pPr>
            <w:r w:rsidRPr="0021130E">
              <w:rPr>
                <w:color w:val="000000" w:themeColor="text1"/>
                <w:sz w:val="20"/>
                <w:szCs w:val="20"/>
              </w:rPr>
              <w:t>34.8</w:t>
            </w:r>
          </w:p>
        </w:tc>
        <w:tc>
          <w:tcPr>
            <w:tcW w:w="1726" w:type="dxa"/>
            <w:shd w:val="clear" w:color="auto" w:fill="D9D9D9" w:themeFill="background1" w:themeFillShade="D9"/>
          </w:tcPr>
          <w:p w14:paraId="2DAE4ADA" w14:textId="77777777" w:rsidR="00580371" w:rsidRPr="0021130E" w:rsidRDefault="00580371" w:rsidP="00CA76EE">
            <w:pPr>
              <w:jc w:val="center"/>
              <w:rPr>
                <w:color w:val="000000" w:themeColor="text1"/>
                <w:sz w:val="20"/>
                <w:szCs w:val="20"/>
              </w:rPr>
            </w:pPr>
            <w:r w:rsidRPr="0021130E">
              <w:rPr>
                <w:color w:val="000000" w:themeColor="text1"/>
                <w:sz w:val="20"/>
                <w:szCs w:val="20"/>
              </w:rPr>
              <w:t>13.7 to 55.8</w:t>
            </w:r>
          </w:p>
        </w:tc>
        <w:tc>
          <w:tcPr>
            <w:tcW w:w="1696" w:type="dxa"/>
            <w:shd w:val="clear" w:color="auto" w:fill="D9D9D9" w:themeFill="background1" w:themeFillShade="D9"/>
          </w:tcPr>
          <w:p w14:paraId="127A5175" w14:textId="77777777" w:rsidR="00580371" w:rsidRPr="0021130E" w:rsidRDefault="00580371" w:rsidP="00CA76EE">
            <w:pPr>
              <w:jc w:val="center"/>
              <w:rPr>
                <w:color w:val="000000" w:themeColor="text1"/>
                <w:sz w:val="20"/>
                <w:szCs w:val="20"/>
              </w:rPr>
            </w:pPr>
            <w:r w:rsidRPr="0021130E">
              <w:rPr>
                <w:color w:val="000000" w:themeColor="text1"/>
                <w:sz w:val="20"/>
                <w:szCs w:val="20"/>
              </w:rPr>
              <w:t>7 (5/2)</w:t>
            </w:r>
          </w:p>
        </w:tc>
        <w:tc>
          <w:tcPr>
            <w:tcW w:w="1659" w:type="dxa"/>
            <w:shd w:val="clear" w:color="auto" w:fill="D9D9D9" w:themeFill="background1" w:themeFillShade="D9"/>
          </w:tcPr>
          <w:p w14:paraId="7993BB2F" w14:textId="77777777" w:rsidR="00580371" w:rsidRPr="0021130E" w:rsidRDefault="00580371" w:rsidP="00CA76EE">
            <w:pPr>
              <w:jc w:val="center"/>
              <w:rPr>
                <w:color w:val="000000" w:themeColor="text1"/>
                <w:sz w:val="20"/>
                <w:szCs w:val="20"/>
              </w:rPr>
            </w:pPr>
            <w:r w:rsidRPr="0021130E">
              <w:rPr>
                <w:color w:val="000000" w:themeColor="text1"/>
                <w:sz w:val="20"/>
                <w:szCs w:val="20"/>
              </w:rPr>
              <w:t>30.4</w:t>
            </w:r>
          </w:p>
        </w:tc>
        <w:tc>
          <w:tcPr>
            <w:tcW w:w="1860" w:type="dxa"/>
            <w:shd w:val="clear" w:color="auto" w:fill="D9D9D9" w:themeFill="background1" w:themeFillShade="D9"/>
            <w:hideMark/>
          </w:tcPr>
          <w:p w14:paraId="3380F76E" w14:textId="77777777" w:rsidR="00580371" w:rsidRPr="0021130E" w:rsidRDefault="00580371" w:rsidP="00CA76EE">
            <w:pPr>
              <w:jc w:val="center"/>
              <w:rPr>
                <w:color w:val="000000" w:themeColor="text1"/>
                <w:sz w:val="20"/>
                <w:szCs w:val="20"/>
              </w:rPr>
            </w:pPr>
            <w:r w:rsidRPr="0021130E">
              <w:rPr>
                <w:color w:val="000000" w:themeColor="text1"/>
                <w:sz w:val="20"/>
                <w:szCs w:val="20"/>
              </w:rPr>
              <w:t>10.1 to 50.8</w:t>
            </w:r>
          </w:p>
        </w:tc>
      </w:tr>
      <w:tr w:rsidR="00580371" w:rsidRPr="0021130E" w14:paraId="177FED47" w14:textId="77777777" w:rsidTr="00CA76EE">
        <w:trPr>
          <w:trHeight w:val="340"/>
        </w:trPr>
        <w:tc>
          <w:tcPr>
            <w:tcW w:w="2617" w:type="dxa"/>
            <w:gridSpan w:val="2"/>
            <w:shd w:val="clear" w:color="auto" w:fill="auto"/>
            <w:noWrap/>
            <w:hideMark/>
          </w:tcPr>
          <w:p w14:paraId="3E67A1A5" w14:textId="77777777" w:rsidR="00580371" w:rsidRPr="0021130E" w:rsidRDefault="00580371" w:rsidP="00CA76EE">
            <w:pPr>
              <w:rPr>
                <w:color w:val="000000" w:themeColor="text1"/>
                <w:sz w:val="20"/>
                <w:szCs w:val="20"/>
              </w:rPr>
            </w:pPr>
            <w:r w:rsidRPr="0021130E">
              <w:rPr>
                <w:color w:val="000000" w:themeColor="text1"/>
                <w:sz w:val="20"/>
                <w:szCs w:val="20"/>
              </w:rPr>
              <w:t>Equestrian</w:t>
            </w:r>
          </w:p>
        </w:tc>
        <w:tc>
          <w:tcPr>
            <w:tcW w:w="1899" w:type="dxa"/>
            <w:tcBorders>
              <w:left w:val="nil"/>
            </w:tcBorders>
            <w:shd w:val="clear" w:color="auto" w:fill="auto"/>
            <w:noWrap/>
            <w:hideMark/>
          </w:tcPr>
          <w:p w14:paraId="28B1192D" w14:textId="77777777" w:rsidR="00580371" w:rsidRPr="0021130E" w:rsidRDefault="00580371" w:rsidP="00CA76EE">
            <w:pPr>
              <w:jc w:val="center"/>
              <w:rPr>
                <w:color w:val="000000" w:themeColor="text1"/>
                <w:sz w:val="20"/>
                <w:szCs w:val="20"/>
              </w:rPr>
            </w:pPr>
            <w:r w:rsidRPr="0021130E">
              <w:rPr>
                <w:color w:val="000000" w:themeColor="text1"/>
                <w:sz w:val="20"/>
                <w:szCs w:val="20"/>
              </w:rPr>
              <w:t>9 (3/6)</w:t>
            </w:r>
          </w:p>
        </w:tc>
        <w:tc>
          <w:tcPr>
            <w:tcW w:w="1720" w:type="dxa"/>
            <w:shd w:val="clear" w:color="auto" w:fill="auto"/>
            <w:noWrap/>
          </w:tcPr>
          <w:p w14:paraId="2D1F8BD8" w14:textId="77777777" w:rsidR="00580371" w:rsidRPr="0021130E" w:rsidRDefault="00580371" w:rsidP="00CA76EE">
            <w:pPr>
              <w:jc w:val="center"/>
              <w:rPr>
                <w:color w:val="000000" w:themeColor="text1"/>
                <w:sz w:val="20"/>
                <w:szCs w:val="20"/>
              </w:rPr>
            </w:pPr>
            <w:r w:rsidRPr="0021130E">
              <w:rPr>
                <w:color w:val="000000" w:themeColor="text1"/>
                <w:sz w:val="20"/>
                <w:szCs w:val="20"/>
              </w:rPr>
              <w:t>4 (1/3)</w:t>
            </w:r>
          </w:p>
        </w:tc>
        <w:tc>
          <w:tcPr>
            <w:tcW w:w="1659" w:type="dxa"/>
            <w:shd w:val="clear" w:color="auto" w:fill="auto"/>
          </w:tcPr>
          <w:p w14:paraId="2E44B5A9"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1CF9E638"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3A01B34F" w14:textId="77777777" w:rsidR="00580371" w:rsidRPr="0021130E" w:rsidRDefault="00580371" w:rsidP="00CA76EE">
            <w:pPr>
              <w:jc w:val="center"/>
              <w:rPr>
                <w:color w:val="000000" w:themeColor="text1"/>
                <w:sz w:val="20"/>
                <w:szCs w:val="20"/>
              </w:rPr>
            </w:pPr>
            <w:r w:rsidRPr="0021130E">
              <w:rPr>
                <w:color w:val="000000" w:themeColor="text1"/>
                <w:sz w:val="20"/>
                <w:szCs w:val="20"/>
              </w:rPr>
              <w:t>3 (0/3)</w:t>
            </w:r>
          </w:p>
        </w:tc>
        <w:tc>
          <w:tcPr>
            <w:tcW w:w="1659" w:type="dxa"/>
            <w:shd w:val="clear" w:color="auto" w:fill="auto"/>
          </w:tcPr>
          <w:p w14:paraId="6E48A3AE"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73BC3D13"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02418DB3" w14:textId="77777777" w:rsidTr="00CA76EE">
        <w:trPr>
          <w:trHeight w:val="340"/>
        </w:trPr>
        <w:tc>
          <w:tcPr>
            <w:tcW w:w="2617" w:type="dxa"/>
            <w:gridSpan w:val="2"/>
            <w:shd w:val="clear" w:color="auto" w:fill="D9D9D9" w:themeFill="background1" w:themeFillShade="D9"/>
            <w:noWrap/>
            <w:hideMark/>
          </w:tcPr>
          <w:p w14:paraId="21BE7B83" w14:textId="77777777" w:rsidR="00580371" w:rsidRPr="0021130E" w:rsidRDefault="00580371" w:rsidP="00CA76EE">
            <w:pPr>
              <w:rPr>
                <w:color w:val="000000" w:themeColor="text1"/>
                <w:sz w:val="20"/>
                <w:szCs w:val="20"/>
              </w:rPr>
            </w:pPr>
            <w:r w:rsidRPr="0021130E">
              <w:rPr>
                <w:color w:val="000000" w:themeColor="text1"/>
                <w:sz w:val="20"/>
                <w:szCs w:val="20"/>
              </w:rPr>
              <w:t>Fencing</w:t>
            </w:r>
          </w:p>
        </w:tc>
        <w:tc>
          <w:tcPr>
            <w:tcW w:w="1899" w:type="dxa"/>
            <w:tcBorders>
              <w:left w:val="nil"/>
            </w:tcBorders>
            <w:shd w:val="clear" w:color="auto" w:fill="D9D9D9" w:themeFill="background1" w:themeFillShade="D9"/>
            <w:noWrap/>
            <w:hideMark/>
          </w:tcPr>
          <w:p w14:paraId="23950557" w14:textId="77777777" w:rsidR="00580371" w:rsidRPr="0021130E" w:rsidRDefault="00580371" w:rsidP="00CA76EE">
            <w:pPr>
              <w:jc w:val="center"/>
              <w:rPr>
                <w:color w:val="000000" w:themeColor="text1"/>
                <w:sz w:val="20"/>
                <w:szCs w:val="20"/>
              </w:rPr>
            </w:pPr>
            <w:r w:rsidRPr="0021130E">
              <w:rPr>
                <w:color w:val="000000" w:themeColor="text1"/>
                <w:sz w:val="20"/>
                <w:szCs w:val="20"/>
              </w:rPr>
              <w:t>20 (12/8)</w:t>
            </w:r>
          </w:p>
        </w:tc>
        <w:tc>
          <w:tcPr>
            <w:tcW w:w="1720" w:type="dxa"/>
            <w:shd w:val="clear" w:color="auto" w:fill="D9D9D9" w:themeFill="background1" w:themeFillShade="D9"/>
            <w:noWrap/>
          </w:tcPr>
          <w:p w14:paraId="26FAAFA7"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D9D9D9" w:themeFill="background1" w:themeFillShade="D9"/>
          </w:tcPr>
          <w:p w14:paraId="7A31535C" w14:textId="77777777" w:rsidR="00580371" w:rsidRPr="0021130E" w:rsidRDefault="00580371" w:rsidP="00CA76EE">
            <w:pPr>
              <w:jc w:val="center"/>
              <w:rPr>
                <w:color w:val="000000" w:themeColor="text1"/>
                <w:sz w:val="20"/>
                <w:szCs w:val="20"/>
              </w:rPr>
            </w:pPr>
            <w:r w:rsidRPr="0021130E">
              <w:rPr>
                <w:color w:val="000000" w:themeColor="text1"/>
                <w:sz w:val="20"/>
                <w:szCs w:val="20"/>
              </w:rPr>
              <w:t>5.0</w:t>
            </w:r>
          </w:p>
        </w:tc>
        <w:tc>
          <w:tcPr>
            <w:tcW w:w="1726" w:type="dxa"/>
            <w:shd w:val="clear" w:color="auto" w:fill="D9D9D9" w:themeFill="background1" w:themeFillShade="D9"/>
          </w:tcPr>
          <w:p w14:paraId="5157EB61" w14:textId="77777777" w:rsidR="00580371" w:rsidRPr="0021130E" w:rsidRDefault="00580371" w:rsidP="00CA76EE">
            <w:pPr>
              <w:jc w:val="center"/>
              <w:rPr>
                <w:color w:val="000000" w:themeColor="text1"/>
                <w:sz w:val="20"/>
                <w:szCs w:val="20"/>
              </w:rPr>
            </w:pPr>
            <w:r w:rsidRPr="0021130E">
              <w:rPr>
                <w:color w:val="000000" w:themeColor="text1"/>
                <w:sz w:val="20"/>
                <w:szCs w:val="20"/>
              </w:rPr>
              <w:t>0 to 15.5</w:t>
            </w:r>
          </w:p>
        </w:tc>
        <w:tc>
          <w:tcPr>
            <w:tcW w:w="1696" w:type="dxa"/>
            <w:shd w:val="clear" w:color="auto" w:fill="D9D9D9" w:themeFill="background1" w:themeFillShade="D9"/>
          </w:tcPr>
          <w:p w14:paraId="34EDC4ED" w14:textId="77777777" w:rsidR="00580371" w:rsidRPr="009B0A07" w:rsidRDefault="00580371" w:rsidP="00CA76EE">
            <w:pPr>
              <w:jc w:val="center"/>
              <w:rPr>
                <w:color w:val="000000" w:themeColor="text1"/>
                <w:sz w:val="20"/>
                <w:szCs w:val="20"/>
              </w:rPr>
            </w:pPr>
            <w:r>
              <w:rPr>
                <w:color w:val="000000" w:themeColor="text1"/>
                <w:sz w:val="20"/>
                <w:szCs w:val="20"/>
              </w:rPr>
              <w:t>-</w:t>
            </w:r>
          </w:p>
        </w:tc>
        <w:tc>
          <w:tcPr>
            <w:tcW w:w="1659" w:type="dxa"/>
            <w:shd w:val="clear" w:color="auto" w:fill="D9D9D9" w:themeFill="background1" w:themeFillShade="D9"/>
          </w:tcPr>
          <w:p w14:paraId="20A88606" w14:textId="77777777" w:rsidR="00580371" w:rsidRPr="009B0A07" w:rsidRDefault="00580371" w:rsidP="00CA76EE">
            <w:pPr>
              <w:jc w:val="center"/>
              <w:rPr>
                <w:color w:val="000000" w:themeColor="text1"/>
                <w:sz w:val="20"/>
                <w:szCs w:val="20"/>
              </w:rPr>
            </w:pPr>
            <w:r w:rsidRPr="009B0A07">
              <w:rPr>
                <w:color w:val="000000" w:themeColor="text1"/>
                <w:sz w:val="20"/>
                <w:szCs w:val="20"/>
              </w:rPr>
              <w:t>-</w:t>
            </w:r>
          </w:p>
        </w:tc>
        <w:tc>
          <w:tcPr>
            <w:tcW w:w="1860" w:type="dxa"/>
            <w:shd w:val="clear" w:color="auto" w:fill="D9D9D9" w:themeFill="background1" w:themeFillShade="D9"/>
            <w:hideMark/>
          </w:tcPr>
          <w:p w14:paraId="7C2A6A6B" w14:textId="77777777" w:rsidR="00580371" w:rsidRPr="009B0A07" w:rsidRDefault="00580371" w:rsidP="00CA76EE">
            <w:pPr>
              <w:jc w:val="center"/>
              <w:rPr>
                <w:color w:val="000000" w:themeColor="text1"/>
                <w:sz w:val="20"/>
                <w:szCs w:val="20"/>
              </w:rPr>
            </w:pPr>
            <w:r w:rsidRPr="009B0A07">
              <w:rPr>
                <w:color w:val="000000" w:themeColor="text1"/>
                <w:sz w:val="20"/>
                <w:szCs w:val="20"/>
              </w:rPr>
              <w:t>-</w:t>
            </w:r>
          </w:p>
        </w:tc>
      </w:tr>
      <w:tr w:rsidR="00580371" w:rsidRPr="0021130E" w14:paraId="6E055502" w14:textId="77777777" w:rsidTr="00CA76EE">
        <w:trPr>
          <w:trHeight w:val="340"/>
        </w:trPr>
        <w:tc>
          <w:tcPr>
            <w:tcW w:w="2617" w:type="dxa"/>
            <w:gridSpan w:val="2"/>
            <w:shd w:val="clear" w:color="auto" w:fill="auto"/>
            <w:noWrap/>
            <w:hideMark/>
          </w:tcPr>
          <w:p w14:paraId="27E5C533" w14:textId="77777777" w:rsidR="00580371" w:rsidRPr="0021130E" w:rsidRDefault="00580371" w:rsidP="00CA76EE">
            <w:pPr>
              <w:rPr>
                <w:color w:val="000000" w:themeColor="text1"/>
                <w:sz w:val="20"/>
                <w:szCs w:val="20"/>
              </w:rPr>
            </w:pPr>
            <w:r w:rsidRPr="0021130E">
              <w:rPr>
                <w:color w:val="000000" w:themeColor="text1"/>
                <w:sz w:val="20"/>
                <w:szCs w:val="20"/>
              </w:rPr>
              <w:t>Football</w:t>
            </w:r>
          </w:p>
        </w:tc>
        <w:tc>
          <w:tcPr>
            <w:tcW w:w="1899" w:type="dxa"/>
            <w:tcBorders>
              <w:left w:val="nil"/>
            </w:tcBorders>
            <w:shd w:val="clear" w:color="auto" w:fill="auto"/>
            <w:noWrap/>
            <w:hideMark/>
          </w:tcPr>
          <w:p w14:paraId="34CAFFB6" w14:textId="77777777" w:rsidR="00580371" w:rsidRPr="0021130E" w:rsidRDefault="00580371" w:rsidP="00CA76EE">
            <w:pPr>
              <w:jc w:val="center"/>
              <w:rPr>
                <w:color w:val="000000" w:themeColor="text1"/>
                <w:sz w:val="20"/>
                <w:szCs w:val="20"/>
              </w:rPr>
            </w:pPr>
            <w:r w:rsidRPr="0021130E">
              <w:rPr>
                <w:color w:val="000000" w:themeColor="text1"/>
                <w:sz w:val="20"/>
                <w:szCs w:val="20"/>
              </w:rPr>
              <w:t>5 (5/0)</w:t>
            </w:r>
          </w:p>
        </w:tc>
        <w:tc>
          <w:tcPr>
            <w:tcW w:w="1720" w:type="dxa"/>
            <w:shd w:val="clear" w:color="auto" w:fill="auto"/>
            <w:noWrap/>
          </w:tcPr>
          <w:p w14:paraId="6AC0ACDA" w14:textId="77777777" w:rsidR="00580371" w:rsidRPr="0021130E" w:rsidRDefault="00580371" w:rsidP="00CA76EE">
            <w:pPr>
              <w:jc w:val="center"/>
              <w:rPr>
                <w:color w:val="000000" w:themeColor="text1"/>
                <w:sz w:val="20"/>
                <w:szCs w:val="20"/>
              </w:rPr>
            </w:pPr>
            <w:r w:rsidRPr="0021130E">
              <w:rPr>
                <w:color w:val="000000" w:themeColor="text1"/>
                <w:sz w:val="20"/>
                <w:szCs w:val="20"/>
              </w:rPr>
              <w:t>2 (2/0)</w:t>
            </w:r>
          </w:p>
        </w:tc>
        <w:tc>
          <w:tcPr>
            <w:tcW w:w="1659" w:type="dxa"/>
            <w:shd w:val="clear" w:color="auto" w:fill="auto"/>
          </w:tcPr>
          <w:p w14:paraId="7CB408D3"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21C37A7E"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633F06B8"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03F19D9C"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67381833"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1EBACBC2" w14:textId="77777777" w:rsidTr="00CA76EE">
        <w:trPr>
          <w:trHeight w:val="340"/>
        </w:trPr>
        <w:tc>
          <w:tcPr>
            <w:tcW w:w="2617" w:type="dxa"/>
            <w:gridSpan w:val="2"/>
            <w:shd w:val="clear" w:color="auto" w:fill="D9D9D9" w:themeFill="background1" w:themeFillShade="D9"/>
            <w:noWrap/>
            <w:hideMark/>
          </w:tcPr>
          <w:p w14:paraId="5D9B30ED" w14:textId="77777777" w:rsidR="00580371" w:rsidRPr="0021130E" w:rsidRDefault="00580371" w:rsidP="00CA76EE">
            <w:pPr>
              <w:rPr>
                <w:color w:val="000000" w:themeColor="text1"/>
                <w:sz w:val="20"/>
                <w:szCs w:val="20"/>
              </w:rPr>
            </w:pPr>
            <w:r w:rsidRPr="0021130E">
              <w:rPr>
                <w:color w:val="000000" w:themeColor="text1"/>
                <w:sz w:val="20"/>
                <w:szCs w:val="20"/>
              </w:rPr>
              <w:t>Gymnastics</w:t>
            </w:r>
          </w:p>
        </w:tc>
        <w:tc>
          <w:tcPr>
            <w:tcW w:w="1899" w:type="dxa"/>
            <w:tcBorders>
              <w:left w:val="nil"/>
            </w:tcBorders>
            <w:shd w:val="clear" w:color="auto" w:fill="D9D9D9" w:themeFill="background1" w:themeFillShade="D9"/>
            <w:noWrap/>
            <w:hideMark/>
          </w:tcPr>
          <w:p w14:paraId="25B0D009" w14:textId="77777777" w:rsidR="00580371" w:rsidRPr="0021130E" w:rsidRDefault="00580371" w:rsidP="00CA76EE">
            <w:pPr>
              <w:jc w:val="center"/>
              <w:rPr>
                <w:color w:val="000000" w:themeColor="text1"/>
                <w:sz w:val="20"/>
                <w:szCs w:val="20"/>
              </w:rPr>
            </w:pPr>
            <w:r w:rsidRPr="0021130E">
              <w:rPr>
                <w:color w:val="000000" w:themeColor="text1"/>
                <w:sz w:val="20"/>
                <w:szCs w:val="20"/>
              </w:rPr>
              <w:t>18 (9/9)</w:t>
            </w:r>
          </w:p>
        </w:tc>
        <w:tc>
          <w:tcPr>
            <w:tcW w:w="1720" w:type="dxa"/>
            <w:shd w:val="clear" w:color="auto" w:fill="D9D9D9" w:themeFill="background1" w:themeFillShade="D9"/>
            <w:noWrap/>
          </w:tcPr>
          <w:p w14:paraId="0B29BE3E" w14:textId="77777777" w:rsidR="00580371" w:rsidRPr="0021130E" w:rsidRDefault="00580371" w:rsidP="00CA76EE">
            <w:pPr>
              <w:jc w:val="center"/>
              <w:rPr>
                <w:color w:val="000000" w:themeColor="text1"/>
                <w:sz w:val="20"/>
                <w:szCs w:val="20"/>
              </w:rPr>
            </w:pPr>
            <w:r w:rsidRPr="0021130E">
              <w:rPr>
                <w:color w:val="000000" w:themeColor="text1"/>
                <w:sz w:val="20"/>
                <w:szCs w:val="20"/>
              </w:rPr>
              <w:t>7 (2/5)</w:t>
            </w:r>
          </w:p>
        </w:tc>
        <w:tc>
          <w:tcPr>
            <w:tcW w:w="1659" w:type="dxa"/>
            <w:shd w:val="clear" w:color="auto" w:fill="D9D9D9" w:themeFill="background1" w:themeFillShade="D9"/>
          </w:tcPr>
          <w:p w14:paraId="5B740340" w14:textId="77777777" w:rsidR="00580371" w:rsidRPr="0021130E" w:rsidRDefault="00580371" w:rsidP="00CA76EE">
            <w:pPr>
              <w:jc w:val="center"/>
              <w:rPr>
                <w:color w:val="000000" w:themeColor="text1"/>
                <w:sz w:val="20"/>
                <w:szCs w:val="20"/>
              </w:rPr>
            </w:pPr>
            <w:r w:rsidRPr="0021130E">
              <w:rPr>
                <w:color w:val="000000" w:themeColor="text1"/>
                <w:sz w:val="20"/>
                <w:szCs w:val="20"/>
              </w:rPr>
              <w:t>38.9</w:t>
            </w:r>
          </w:p>
        </w:tc>
        <w:tc>
          <w:tcPr>
            <w:tcW w:w="1726" w:type="dxa"/>
            <w:shd w:val="clear" w:color="auto" w:fill="D9D9D9" w:themeFill="background1" w:themeFillShade="D9"/>
          </w:tcPr>
          <w:p w14:paraId="0CAD86F8" w14:textId="77777777" w:rsidR="00580371" w:rsidRPr="0021130E" w:rsidRDefault="00580371" w:rsidP="00CA76EE">
            <w:pPr>
              <w:jc w:val="center"/>
              <w:rPr>
                <w:color w:val="000000" w:themeColor="text1"/>
                <w:sz w:val="20"/>
                <w:szCs w:val="20"/>
              </w:rPr>
            </w:pPr>
            <w:r w:rsidRPr="0021130E">
              <w:rPr>
                <w:color w:val="000000" w:themeColor="text1"/>
                <w:sz w:val="20"/>
                <w:szCs w:val="20"/>
              </w:rPr>
              <w:t>13.9 to 63.8</w:t>
            </w:r>
          </w:p>
        </w:tc>
        <w:tc>
          <w:tcPr>
            <w:tcW w:w="1696" w:type="dxa"/>
            <w:shd w:val="clear" w:color="auto" w:fill="D9D9D9" w:themeFill="background1" w:themeFillShade="D9"/>
          </w:tcPr>
          <w:p w14:paraId="781F8DF7" w14:textId="77777777" w:rsidR="00580371" w:rsidRPr="0021130E" w:rsidRDefault="00580371" w:rsidP="00CA76EE">
            <w:pPr>
              <w:jc w:val="center"/>
              <w:rPr>
                <w:color w:val="000000" w:themeColor="text1"/>
                <w:sz w:val="20"/>
                <w:szCs w:val="20"/>
              </w:rPr>
            </w:pPr>
            <w:r w:rsidRPr="0021130E">
              <w:rPr>
                <w:color w:val="000000" w:themeColor="text1"/>
                <w:sz w:val="20"/>
                <w:szCs w:val="20"/>
              </w:rPr>
              <w:t>4 (1/3)</w:t>
            </w:r>
          </w:p>
        </w:tc>
        <w:tc>
          <w:tcPr>
            <w:tcW w:w="1659" w:type="dxa"/>
            <w:shd w:val="clear" w:color="auto" w:fill="D9D9D9" w:themeFill="background1" w:themeFillShade="D9"/>
          </w:tcPr>
          <w:p w14:paraId="6D962D92" w14:textId="77777777" w:rsidR="00580371" w:rsidRPr="0021130E" w:rsidRDefault="00580371" w:rsidP="00CA76EE">
            <w:pPr>
              <w:jc w:val="center"/>
              <w:rPr>
                <w:color w:val="000000" w:themeColor="text1"/>
                <w:sz w:val="20"/>
                <w:szCs w:val="20"/>
              </w:rPr>
            </w:pPr>
            <w:r w:rsidRPr="0021130E">
              <w:rPr>
                <w:color w:val="000000" w:themeColor="text1"/>
                <w:sz w:val="20"/>
                <w:szCs w:val="20"/>
              </w:rPr>
              <w:t>22.2</w:t>
            </w:r>
          </w:p>
        </w:tc>
        <w:tc>
          <w:tcPr>
            <w:tcW w:w="1860" w:type="dxa"/>
            <w:shd w:val="clear" w:color="auto" w:fill="D9D9D9" w:themeFill="background1" w:themeFillShade="D9"/>
            <w:hideMark/>
          </w:tcPr>
          <w:p w14:paraId="355F2929" w14:textId="77777777" w:rsidR="00580371" w:rsidRPr="0021130E" w:rsidRDefault="00580371" w:rsidP="00CA76EE">
            <w:pPr>
              <w:jc w:val="center"/>
              <w:rPr>
                <w:color w:val="000000" w:themeColor="text1"/>
                <w:sz w:val="20"/>
                <w:szCs w:val="20"/>
              </w:rPr>
            </w:pPr>
            <w:r w:rsidRPr="0021130E">
              <w:rPr>
                <w:color w:val="000000" w:themeColor="text1"/>
                <w:sz w:val="20"/>
                <w:szCs w:val="20"/>
              </w:rPr>
              <w:t>9.5 to 43.5</w:t>
            </w:r>
          </w:p>
        </w:tc>
      </w:tr>
      <w:tr w:rsidR="00580371" w:rsidRPr="0021130E" w14:paraId="41004F7F" w14:textId="77777777" w:rsidTr="00CA76EE">
        <w:trPr>
          <w:trHeight w:val="340"/>
        </w:trPr>
        <w:tc>
          <w:tcPr>
            <w:tcW w:w="2617" w:type="dxa"/>
            <w:gridSpan w:val="2"/>
            <w:shd w:val="clear" w:color="auto" w:fill="auto"/>
            <w:noWrap/>
            <w:hideMark/>
          </w:tcPr>
          <w:p w14:paraId="7F279E59" w14:textId="77777777" w:rsidR="00580371" w:rsidRPr="0021130E" w:rsidRDefault="00580371" w:rsidP="00CA76EE">
            <w:pPr>
              <w:rPr>
                <w:color w:val="000000" w:themeColor="text1"/>
                <w:sz w:val="20"/>
                <w:szCs w:val="20"/>
              </w:rPr>
            </w:pPr>
            <w:r w:rsidRPr="0021130E">
              <w:rPr>
                <w:color w:val="000000" w:themeColor="text1"/>
                <w:sz w:val="20"/>
                <w:szCs w:val="20"/>
              </w:rPr>
              <w:t>Handball</w:t>
            </w:r>
          </w:p>
        </w:tc>
        <w:tc>
          <w:tcPr>
            <w:tcW w:w="1899" w:type="dxa"/>
            <w:tcBorders>
              <w:left w:val="nil"/>
            </w:tcBorders>
            <w:shd w:val="clear" w:color="auto" w:fill="auto"/>
            <w:noWrap/>
            <w:hideMark/>
          </w:tcPr>
          <w:p w14:paraId="2DF2CA79"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720" w:type="dxa"/>
            <w:shd w:val="clear" w:color="auto" w:fill="auto"/>
            <w:noWrap/>
          </w:tcPr>
          <w:p w14:paraId="564E4D76" w14:textId="77777777" w:rsidR="00580371" w:rsidRPr="0021130E" w:rsidRDefault="00580371" w:rsidP="00CA76EE">
            <w:pPr>
              <w:jc w:val="center"/>
              <w:rPr>
                <w:color w:val="000000" w:themeColor="text1"/>
                <w:sz w:val="20"/>
                <w:szCs w:val="20"/>
              </w:rPr>
            </w:pPr>
            <w:r w:rsidRPr="0021130E">
              <w:rPr>
                <w:color w:val="000000" w:themeColor="text1"/>
                <w:sz w:val="20"/>
                <w:szCs w:val="20"/>
              </w:rPr>
              <w:t>-</w:t>
            </w:r>
          </w:p>
        </w:tc>
        <w:tc>
          <w:tcPr>
            <w:tcW w:w="1659" w:type="dxa"/>
            <w:shd w:val="clear" w:color="auto" w:fill="auto"/>
          </w:tcPr>
          <w:p w14:paraId="14FE88FA"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03D9A1E3"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4F242461" w14:textId="77777777" w:rsidR="00580371" w:rsidRPr="0021130E" w:rsidRDefault="00580371" w:rsidP="00CA76EE">
            <w:pPr>
              <w:jc w:val="center"/>
              <w:rPr>
                <w:color w:val="000000" w:themeColor="text1"/>
                <w:sz w:val="20"/>
                <w:szCs w:val="20"/>
              </w:rPr>
            </w:pPr>
            <w:r w:rsidRPr="0021130E">
              <w:rPr>
                <w:color w:val="000000" w:themeColor="text1"/>
                <w:sz w:val="20"/>
                <w:szCs w:val="20"/>
              </w:rPr>
              <w:t>-</w:t>
            </w:r>
          </w:p>
        </w:tc>
        <w:tc>
          <w:tcPr>
            <w:tcW w:w="1659" w:type="dxa"/>
            <w:shd w:val="clear" w:color="auto" w:fill="auto"/>
          </w:tcPr>
          <w:p w14:paraId="38948FCE"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365DA143"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63DAA371" w14:textId="77777777" w:rsidTr="00CA76EE">
        <w:trPr>
          <w:trHeight w:val="340"/>
        </w:trPr>
        <w:tc>
          <w:tcPr>
            <w:tcW w:w="2617" w:type="dxa"/>
            <w:gridSpan w:val="2"/>
            <w:shd w:val="clear" w:color="auto" w:fill="D9D9D9" w:themeFill="background1" w:themeFillShade="D9"/>
            <w:noWrap/>
            <w:hideMark/>
          </w:tcPr>
          <w:p w14:paraId="43F691E7" w14:textId="77777777" w:rsidR="00580371" w:rsidRPr="0021130E" w:rsidRDefault="00580371" w:rsidP="00CA76EE">
            <w:pPr>
              <w:rPr>
                <w:color w:val="000000" w:themeColor="text1"/>
                <w:sz w:val="20"/>
                <w:szCs w:val="20"/>
              </w:rPr>
            </w:pPr>
            <w:r w:rsidRPr="0021130E">
              <w:rPr>
                <w:color w:val="000000" w:themeColor="text1"/>
                <w:sz w:val="20"/>
                <w:szCs w:val="20"/>
              </w:rPr>
              <w:t>Hockey</w:t>
            </w:r>
          </w:p>
        </w:tc>
        <w:tc>
          <w:tcPr>
            <w:tcW w:w="1899" w:type="dxa"/>
            <w:tcBorders>
              <w:left w:val="nil"/>
            </w:tcBorders>
            <w:shd w:val="clear" w:color="auto" w:fill="D9D9D9" w:themeFill="background1" w:themeFillShade="D9"/>
            <w:noWrap/>
            <w:hideMark/>
          </w:tcPr>
          <w:p w14:paraId="654831CB" w14:textId="77777777" w:rsidR="00580371" w:rsidRPr="0021130E" w:rsidRDefault="00580371" w:rsidP="00CA76EE">
            <w:pPr>
              <w:jc w:val="center"/>
              <w:rPr>
                <w:color w:val="000000" w:themeColor="text1"/>
                <w:sz w:val="20"/>
                <w:szCs w:val="20"/>
              </w:rPr>
            </w:pPr>
            <w:r w:rsidRPr="0021130E">
              <w:rPr>
                <w:color w:val="000000" w:themeColor="text1"/>
                <w:sz w:val="20"/>
                <w:szCs w:val="20"/>
              </w:rPr>
              <w:t>52 (44/8)</w:t>
            </w:r>
          </w:p>
        </w:tc>
        <w:tc>
          <w:tcPr>
            <w:tcW w:w="1720" w:type="dxa"/>
            <w:shd w:val="clear" w:color="auto" w:fill="D9D9D9" w:themeFill="background1" w:themeFillShade="D9"/>
            <w:noWrap/>
          </w:tcPr>
          <w:p w14:paraId="1DAB21A6" w14:textId="77777777" w:rsidR="00580371" w:rsidRPr="0021130E" w:rsidRDefault="00580371" w:rsidP="00CA76EE">
            <w:pPr>
              <w:jc w:val="center"/>
              <w:rPr>
                <w:color w:val="000000" w:themeColor="text1"/>
                <w:sz w:val="20"/>
                <w:szCs w:val="20"/>
              </w:rPr>
            </w:pPr>
            <w:r w:rsidRPr="0021130E">
              <w:rPr>
                <w:color w:val="000000" w:themeColor="text1"/>
                <w:sz w:val="20"/>
                <w:szCs w:val="20"/>
              </w:rPr>
              <w:t>12 (9/3)</w:t>
            </w:r>
          </w:p>
        </w:tc>
        <w:tc>
          <w:tcPr>
            <w:tcW w:w="1659" w:type="dxa"/>
            <w:shd w:val="clear" w:color="auto" w:fill="D9D9D9" w:themeFill="background1" w:themeFillShade="D9"/>
          </w:tcPr>
          <w:p w14:paraId="49369C2B" w14:textId="77777777" w:rsidR="00580371" w:rsidRPr="0021130E" w:rsidRDefault="00580371" w:rsidP="00CA76EE">
            <w:pPr>
              <w:jc w:val="center"/>
              <w:rPr>
                <w:color w:val="000000" w:themeColor="text1"/>
                <w:sz w:val="20"/>
                <w:szCs w:val="20"/>
              </w:rPr>
            </w:pPr>
            <w:r w:rsidRPr="0021130E">
              <w:rPr>
                <w:color w:val="000000" w:themeColor="text1"/>
                <w:sz w:val="20"/>
                <w:szCs w:val="20"/>
              </w:rPr>
              <w:t>23.1</w:t>
            </w:r>
          </w:p>
        </w:tc>
        <w:tc>
          <w:tcPr>
            <w:tcW w:w="1726" w:type="dxa"/>
            <w:shd w:val="clear" w:color="auto" w:fill="D9D9D9" w:themeFill="background1" w:themeFillShade="D9"/>
          </w:tcPr>
          <w:p w14:paraId="4F1206AC" w14:textId="77777777" w:rsidR="00580371" w:rsidRPr="0021130E" w:rsidRDefault="00580371" w:rsidP="00CA76EE">
            <w:pPr>
              <w:jc w:val="center"/>
              <w:rPr>
                <w:color w:val="000000" w:themeColor="text1"/>
                <w:sz w:val="20"/>
                <w:szCs w:val="20"/>
              </w:rPr>
            </w:pPr>
            <w:r w:rsidRPr="0021130E">
              <w:rPr>
                <w:color w:val="000000" w:themeColor="text1"/>
                <w:sz w:val="20"/>
                <w:szCs w:val="20"/>
              </w:rPr>
              <w:t>11.2 to 34.9</w:t>
            </w:r>
          </w:p>
        </w:tc>
        <w:tc>
          <w:tcPr>
            <w:tcW w:w="1696" w:type="dxa"/>
            <w:shd w:val="clear" w:color="auto" w:fill="D9D9D9" w:themeFill="background1" w:themeFillShade="D9"/>
          </w:tcPr>
          <w:p w14:paraId="0196C14A" w14:textId="77777777" w:rsidR="00580371" w:rsidRPr="0021130E" w:rsidRDefault="00580371" w:rsidP="00CA76EE">
            <w:pPr>
              <w:jc w:val="center"/>
              <w:rPr>
                <w:color w:val="000000" w:themeColor="text1"/>
                <w:sz w:val="20"/>
                <w:szCs w:val="20"/>
              </w:rPr>
            </w:pPr>
            <w:r w:rsidRPr="0021130E">
              <w:rPr>
                <w:color w:val="000000" w:themeColor="text1"/>
                <w:sz w:val="20"/>
                <w:szCs w:val="20"/>
              </w:rPr>
              <w:t>8 (6/2)</w:t>
            </w:r>
          </w:p>
        </w:tc>
        <w:tc>
          <w:tcPr>
            <w:tcW w:w="1659" w:type="dxa"/>
            <w:shd w:val="clear" w:color="auto" w:fill="D9D9D9" w:themeFill="background1" w:themeFillShade="D9"/>
          </w:tcPr>
          <w:p w14:paraId="0F81EE55" w14:textId="77777777" w:rsidR="00580371" w:rsidRPr="0021130E" w:rsidRDefault="00580371" w:rsidP="00CA76EE">
            <w:pPr>
              <w:jc w:val="center"/>
              <w:rPr>
                <w:color w:val="000000" w:themeColor="text1"/>
                <w:sz w:val="20"/>
                <w:szCs w:val="20"/>
              </w:rPr>
            </w:pPr>
            <w:r w:rsidRPr="0021130E">
              <w:rPr>
                <w:color w:val="000000" w:themeColor="text1"/>
                <w:sz w:val="20"/>
                <w:szCs w:val="20"/>
              </w:rPr>
              <w:t>15.4</w:t>
            </w:r>
          </w:p>
        </w:tc>
        <w:tc>
          <w:tcPr>
            <w:tcW w:w="1860" w:type="dxa"/>
            <w:shd w:val="clear" w:color="auto" w:fill="D9D9D9" w:themeFill="background1" w:themeFillShade="D9"/>
            <w:hideMark/>
          </w:tcPr>
          <w:p w14:paraId="06A0DA12" w14:textId="77777777" w:rsidR="00580371" w:rsidRPr="0021130E" w:rsidRDefault="00580371" w:rsidP="00CA76EE">
            <w:pPr>
              <w:jc w:val="center"/>
              <w:rPr>
                <w:color w:val="000000" w:themeColor="text1"/>
                <w:sz w:val="20"/>
                <w:szCs w:val="20"/>
              </w:rPr>
            </w:pPr>
            <w:r w:rsidRPr="0021130E">
              <w:rPr>
                <w:color w:val="000000" w:themeColor="text1"/>
                <w:sz w:val="20"/>
                <w:szCs w:val="20"/>
              </w:rPr>
              <w:t>5.2 to 25.5</w:t>
            </w:r>
          </w:p>
        </w:tc>
      </w:tr>
      <w:tr w:rsidR="00580371" w:rsidRPr="0021130E" w14:paraId="2B401398" w14:textId="77777777" w:rsidTr="00CA76EE">
        <w:trPr>
          <w:trHeight w:val="340"/>
        </w:trPr>
        <w:tc>
          <w:tcPr>
            <w:tcW w:w="2617" w:type="dxa"/>
            <w:gridSpan w:val="2"/>
            <w:shd w:val="clear" w:color="auto" w:fill="auto"/>
            <w:noWrap/>
            <w:hideMark/>
          </w:tcPr>
          <w:p w14:paraId="55BCFF67" w14:textId="77777777" w:rsidR="00580371" w:rsidRPr="0021130E" w:rsidRDefault="00580371" w:rsidP="00CA76EE">
            <w:pPr>
              <w:rPr>
                <w:color w:val="000000" w:themeColor="text1"/>
                <w:sz w:val="20"/>
                <w:szCs w:val="20"/>
              </w:rPr>
            </w:pPr>
            <w:r w:rsidRPr="0021130E">
              <w:rPr>
                <w:color w:val="000000" w:themeColor="text1"/>
                <w:sz w:val="20"/>
                <w:szCs w:val="20"/>
              </w:rPr>
              <w:lastRenderedPageBreak/>
              <w:t>Judo</w:t>
            </w:r>
          </w:p>
        </w:tc>
        <w:tc>
          <w:tcPr>
            <w:tcW w:w="1899" w:type="dxa"/>
            <w:tcBorders>
              <w:left w:val="nil"/>
            </w:tcBorders>
            <w:shd w:val="clear" w:color="auto" w:fill="auto"/>
            <w:noWrap/>
            <w:hideMark/>
          </w:tcPr>
          <w:p w14:paraId="4E9EF061" w14:textId="77777777" w:rsidR="00580371" w:rsidRPr="0021130E" w:rsidRDefault="00580371" w:rsidP="00CA76EE">
            <w:pPr>
              <w:jc w:val="center"/>
              <w:rPr>
                <w:color w:val="000000" w:themeColor="text1"/>
                <w:sz w:val="20"/>
                <w:szCs w:val="20"/>
              </w:rPr>
            </w:pPr>
            <w:r w:rsidRPr="0021130E">
              <w:rPr>
                <w:color w:val="000000" w:themeColor="text1"/>
                <w:sz w:val="20"/>
                <w:szCs w:val="20"/>
              </w:rPr>
              <w:t>10 (5/5)</w:t>
            </w:r>
          </w:p>
        </w:tc>
        <w:tc>
          <w:tcPr>
            <w:tcW w:w="1720" w:type="dxa"/>
            <w:shd w:val="clear" w:color="auto" w:fill="auto"/>
            <w:noWrap/>
          </w:tcPr>
          <w:p w14:paraId="42788A89" w14:textId="77777777" w:rsidR="00580371" w:rsidRPr="0021130E" w:rsidRDefault="00580371" w:rsidP="00CA76EE">
            <w:pPr>
              <w:jc w:val="center"/>
              <w:rPr>
                <w:color w:val="000000" w:themeColor="text1"/>
                <w:sz w:val="20"/>
                <w:szCs w:val="20"/>
              </w:rPr>
            </w:pPr>
            <w:r w:rsidRPr="0021130E">
              <w:rPr>
                <w:color w:val="000000" w:themeColor="text1"/>
                <w:sz w:val="20"/>
                <w:szCs w:val="20"/>
              </w:rPr>
              <w:t>6 (4/2)</w:t>
            </w:r>
          </w:p>
        </w:tc>
        <w:tc>
          <w:tcPr>
            <w:tcW w:w="1659" w:type="dxa"/>
            <w:shd w:val="clear" w:color="auto" w:fill="auto"/>
          </w:tcPr>
          <w:p w14:paraId="256786AF"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0FA6A40B"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06F003E1" w14:textId="77777777" w:rsidR="00580371" w:rsidRPr="0021130E" w:rsidRDefault="00580371" w:rsidP="00CA76EE">
            <w:pPr>
              <w:jc w:val="center"/>
              <w:rPr>
                <w:color w:val="000000" w:themeColor="text1"/>
                <w:sz w:val="20"/>
                <w:szCs w:val="20"/>
              </w:rPr>
            </w:pPr>
            <w:r w:rsidRPr="0021130E">
              <w:rPr>
                <w:color w:val="000000" w:themeColor="text1"/>
                <w:sz w:val="20"/>
                <w:szCs w:val="20"/>
              </w:rPr>
              <w:t>4 (2/2)</w:t>
            </w:r>
          </w:p>
        </w:tc>
        <w:tc>
          <w:tcPr>
            <w:tcW w:w="1659" w:type="dxa"/>
            <w:shd w:val="clear" w:color="auto" w:fill="auto"/>
          </w:tcPr>
          <w:p w14:paraId="40D185F6"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410D0330"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69CDAC29" w14:textId="77777777" w:rsidTr="00CA76EE">
        <w:trPr>
          <w:trHeight w:val="340"/>
        </w:trPr>
        <w:tc>
          <w:tcPr>
            <w:tcW w:w="2617" w:type="dxa"/>
            <w:gridSpan w:val="2"/>
            <w:shd w:val="clear" w:color="auto" w:fill="D9D9D9" w:themeFill="background1" w:themeFillShade="D9"/>
            <w:noWrap/>
            <w:hideMark/>
          </w:tcPr>
          <w:p w14:paraId="543C68D0" w14:textId="77777777" w:rsidR="00580371" w:rsidRPr="0021130E" w:rsidRDefault="00580371" w:rsidP="00CA76EE">
            <w:pPr>
              <w:rPr>
                <w:color w:val="000000" w:themeColor="text1"/>
                <w:sz w:val="20"/>
                <w:szCs w:val="20"/>
              </w:rPr>
            </w:pPr>
            <w:r w:rsidRPr="0021130E">
              <w:rPr>
                <w:color w:val="000000" w:themeColor="text1"/>
                <w:sz w:val="20"/>
                <w:szCs w:val="20"/>
              </w:rPr>
              <w:t>Modern pentathlon</w:t>
            </w:r>
          </w:p>
        </w:tc>
        <w:tc>
          <w:tcPr>
            <w:tcW w:w="1899" w:type="dxa"/>
            <w:tcBorders>
              <w:left w:val="nil"/>
            </w:tcBorders>
            <w:shd w:val="clear" w:color="auto" w:fill="D9D9D9" w:themeFill="background1" w:themeFillShade="D9"/>
            <w:noWrap/>
            <w:hideMark/>
          </w:tcPr>
          <w:p w14:paraId="2C8DCF0D" w14:textId="77777777" w:rsidR="00580371" w:rsidRPr="0021130E" w:rsidRDefault="00580371" w:rsidP="00CA76EE">
            <w:pPr>
              <w:jc w:val="center"/>
              <w:rPr>
                <w:color w:val="000000" w:themeColor="text1"/>
                <w:sz w:val="20"/>
                <w:szCs w:val="20"/>
              </w:rPr>
            </w:pPr>
            <w:r w:rsidRPr="0021130E">
              <w:rPr>
                <w:color w:val="000000" w:themeColor="text1"/>
                <w:sz w:val="20"/>
                <w:szCs w:val="20"/>
              </w:rPr>
              <w:t>7 (5/2)</w:t>
            </w:r>
          </w:p>
        </w:tc>
        <w:tc>
          <w:tcPr>
            <w:tcW w:w="1720" w:type="dxa"/>
            <w:shd w:val="clear" w:color="auto" w:fill="D9D9D9" w:themeFill="background1" w:themeFillShade="D9"/>
            <w:noWrap/>
          </w:tcPr>
          <w:p w14:paraId="574CF73E" w14:textId="77777777" w:rsidR="00580371" w:rsidRPr="0021130E" w:rsidRDefault="00580371" w:rsidP="00CA76EE">
            <w:pPr>
              <w:jc w:val="center"/>
              <w:rPr>
                <w:color w:val="000000" w:themeColor="text1"/>
                <w:sz w:val="20"/>
                <w:szCs w:val="20"/>
              </w:rPr>
            </w:pPr>
            <w:r w:rsidRPr="0021130E">
              <w:rPr>
                <w:color w:val="000000" w:themeColor="text1"/>
                <w:sz w:val="20"/>
                <w:szCs w:val="20"/>
              </w:rPr>
              <w:t>3 (3/0)</w:t>
            </w:r>
          </w:p>
        </w:tc>
        <w:tc>
          <w:tcPr>
            <w:tcW w:w="1659" w:type="dxa"/>
            <w:shd w:val="clear" w:color="auto" w:fill="D9D9D9" w:themeFill="background1" w:themeFillShade="D9"/>
          </w:tcPr>
          <w:p w14:paraId="3EB5F757"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D9D9D9" w:themeFill="background1" w:themeFillShade="D9"/>
          </w:tcPr>
          <w:p w14:paraId="65DE9B12"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D9D9D9" w:themeFill="background1" w:themeFillShade="D9"/>
          </w:tcPr>
          <w:p w14:paraId="27EFF2E8" w14:textId="77777777" w:rsidR="00580371" w:rsidRPr="0021130E" w:rsidRDefault="00580371" w:rsidP="00CA76EE">
            <w:pPr>
              <w:jc w:val="center"/>
              <w:rPr>
                <w:color w:val="000000" w:themeColor="text1"/>
                <w:sz w:val="20"/>
                <w:szCs w:val="20"/>
              </w:rPr>
            </w:pPr>
            <w:r w:rsidRPr="0021130E">
              <w:rPr>
                <w:color w:val="000000" w:themeColor="text1"/>
                <w:sz w:val="20"/>
                <w:szCs w:val="20"/>
              </w:rPr>
              <w:t>2 (2/0)</w:t>
            </w:r>
          </w:p>
        </w:tc>
        <w:tc>
          <w:tcPr>
            <w:tcW w:w="1659" w:type="dxa"/>
            <w:shd w:val="clear" w:color="auto" w:fill="D9D9D9" w:themeFill="background1" w:themeFillShade="D9"/>
          </w:tcPr>
          <w:p w14:paraId="3B46814D"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D9D9D9" w:themeFill="background1" w:themeFillShade="D9"/>
          </w:tcPr>
          <w:p w14:paraId="1ADB4AB4"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645C8529" w14:textId="77777777" w:rsidTr="00CA76EE">
        <w:trPr>
          <w:trHeight w:val="340"/>
        </w:trPr>
        <w:tc>
          <w:tcPr>
            <w:tcW w:w="2617" w:type="dxa"/>
            <w:gridSpan w:val="2"/>
            <w:shd w:val="clear" w:color="auto" w:fill="auto"/>
            <w:noWrap/>
            <w:hideMark/>
          </w:tcPr>
          <w:p w14:paraId="125299C2" w14:textId="77777777" w:rsidR="00580371" w:rsidRPr="0021130E" w:rsidRDefault="00580371" w:rsidP="00CA76EE">
            <w:pPr>
              <w:rPr>
                <w:color w:val="000000" w:themeColor="text1"/>
                <w:sz w:val="20"/>
                <w:szCs w:val="20"/>
              </w:rPr>
            </w:pPr>
            <w:r w:rsidRPr="0021130E">
              <w:rPr>
                <w:color w:val="000000" w:themeColor="text1"/>
                <w:sz w:val="20"/>
                <w:szCs w:val="20"/>
              </w:rPr>
              <w:t>Rowing</w:t>
            </w:r>
          </w:p>
        </w:tc>
        <w:tc>
          <w:tcPr>
            <w:tcW w:w="1899" w:type="dxa"/>
            <w:tcBorders>
              <w:left w:val="nil"/>
            </w:tcBorders>
            <w:shd w:val="clear" w:color="auto" w:fill="auto"/>
            <w:noWrap/>
            <w:hideMark/>
          </w:tcPr>
          <w:p w14:paraId="05E15A6F" w14:textId="77777777" w:rsidR="00580371" w:rsidRPr="0021130E" w:rsidRDefault="00580371" w:rsidP="00CA76EE">
            <w:pPr>
              <w:jc w:val="center"/>
              <w:rPr>
                <w:color w:val="000000" w:themeColor="text1"/>
                <w:sz w:val="20"/>
                <w:szCs w:val="20"/>
              </w:rPr>
            </w:pPr>
            <w:r w:rsidRPr="0021130E">
              <w:rPr>
                <w:color w:val="000000" w:themeColor="text1"/>
                <w:sz w:val="20"/>
                <w:szCs w:val="20"/>
              </w:rPr>
              <w:t>85 (51/34)</w:t>
            </w:r>
          </w:p>
        </w:tc>
        <w:tc>
          <w:tcPr>
            <w:tcW w:w="1720" w:type="dxa"/>
            <w:shd w:val="clear" w:color="auto" w:fill="auto"/>
            <w:noWrap/>
          </w:tcPr>
          <w:p w14:paraId="3156F538" w14:textId="77777777" w:rsidR="00580371" w:rsidRPr="0021130E" w:rsidRDefault="00580371" w:rsidP="00CA76EE">
            <w:pPr>
              <w:jc w:val="center"/>
              <w:rPr>
                <w:color w:val="000000" w:themeColor="text1"/>
                <w:sz w:val="20"/>
                <w:szCs w:val="20"/>
              </w:rPr>
            </w:pPr>
            <w:r w:rsidRPr="0021130E">
              <w:rPr>
                <w:color w:val="000000" w:themeColor="text1"/>
                <w:sz w:val="20"/>
                <w:szCs w:val="20"/>
              </w:rPr>
              <w:t>22 (11/11)</w:t>
            </w:r>
          </w:p>
        </w:tc>
        <w:tc>
          <w:tcPr>
            <w:tcW w:w="1659" w:type="dxa"/>
            <w:shd w:val="clear" w:color="auto" w:fill="auto"/>
          </w:tcPr>
          <w:p w14:paraId="700A3537" w14:textId="77777777" w:rsidR="00580371" w:rsidRPr="0021130E" w:rsidRDefault="00580371" w:rsidP="00CA76EE">
            <w:pPr>
              <w:jc w:val="center"/>
              <w:rPr>
                <w:color w:val="000000" w:themeColor="text1"/>
                <w:sz w:val="20"/>
                <w:szCs w:val="20"/>
              </w:rPr>
            </w:pPr>
            <w:r w:rsidRPr="0021130E">
              <w:rPr>
                <w:color w:val="000000" w:themeColor="text1"/>
                <w:sz w:val="20"/>
                <w:szCs w:val="20"/>
              </w:rPr>
              <w:t>25.9</w:t>
            </w:r>
          </w:p>
        </w:tc>
        <w:tc>
          <w:tcPr>
            <w:tcW w:w="1726" w:type="dxa"/>
            <w:shd w:val="clear" w:color="auto" w:fill="auto"/>
          </w:tcPr>
          <w:p w14:paraId="52A870F2" w14:textId="77777777" w:rsidR="00580371" w:rsidRPr="0021130E" w:rsidRDefault="00580371" w:rsidP="00CA76EE">
            <w:pPr>
              <w:jc w:val="center"/>
              <w:rPr>
                <w:color w:val="000000" w:themeColor="text1"/>
                <w:sz w:val="20"/>
                <w:szCs w:val="20"/>
              </w:rPr>
            </w:pPr>
            <w:r w:rsidRPr="0021130E">
              <w:rPr>
                <w:color w:val="000000" w:themeColor="text1"/>
                <w:sz w:val="20"/>
                <w:szCs w:val="20"/>
              </w:rPr>
              <w:t>16.4 to 35.4</w:t>
            </w:r>
          </w:p>
        </w:tc>
        <w:tc>
          <w:tcPr>
            <w:tcW w:w="1696" w:type="dxa"/>
            <w:shd w:val="clear" w:color="auto" w:fill="auto"/>
          </w:tcPr>
          <w:p w14:paraId="2301D865" w14:textId="77777777" w:rsidR="00580371" w:rsidRPr="0021130E" w:rsidRDefault="00580371" w:rsidP="00CA76EE">
            <w:pPr>
              <w:jc w:val="center"/>
              <w:rPr>
                <w:color w:val="000000" w:themeColor="text1"/>
                <w:sz w:val="20"/>
                <w:szCs w:val="20"/>
              </w:rPr>
            </w:pPr>
            <w:r w:rsidRPr="0021130E">
              <w:rPr>
                <w:color w:val="000000" w:themeColor="text1"/>
                <w:sz w:val="20"/>
                <w:szCs w:val="20"/>
              </w:rPr>
              <w:t>17 (10/7)</w:t>
            </w:r>
          </w:p>
        </w:tc>
        <w:tc>
          <w:tcPr>
            <w:tcW w:w="1659" w:type="dxa"/>
            <w:shd w:val="clear" w:color="auto" w:fill="auto"/>
          </w:tcPr>
          <w:p w14:paraId="18D7646C" w14:textId="77777777" w:rsidR="00580371" w:rsidRPr="0021130E" w:rsidRDefault="00580371" w:rsidP="00CA76EE">
            <w:pPr>
              <w:jc w:val="center"/>
              <w:rPr>
                <w:color w:val="000000" w:themeColor="text1"/>
                <w:sz w:val="20"/>
                <w:szCs w:val="20"/>
              </w:rPr>
            </w:pPr>
            <w:r w:rsidRPr="0021130E">
              <w:rPr>
                <w:color w:val="000000" w:themeColor="text1"/>
                <w:sz w:val="20"/>
                <w:szCs w:val="20"/>
              </w:rPr>
              <w:t>20.0</w:t>
            </w:r>
          </w:p>
        </w:tc>
        <w:tc>
          <w:tcPr>
            <w:tcW w:w="1860" w:type="dxa"/>
            <w:shd w:val="clear" w:color="auto" w:fill="auto"/>
            <w:hideMark/>
          </w:tcPr>
          <w:p w14:paraId="1A3452E3" w14:textId="77777777" w:rsidR="00580371" w:rsidRPr="0021130E" w:rsidRDefault="00580371" w:rsidP="00CA76EE">
            <w:pPr>
              <w:jc w:val="center"/>
              <w:rPr>
                <w:color w:val="000000" w:themeColor="text1"/>
                <w:sz w:val="20"/>
                <w:szCs w:val="20"/>
              </w:rPr>
            </w:pPr>
            <w:r w:rsidRPr="0021130E">
              <w:rPr>
                <w:color w:val="000000" w:themeColor="text1"/>
                <w:sz w:val="20"/>
                <w:szCs w:val="20"/>
              </w:rPr>
              <w:t>11.3 to 28.7</w:t>
            </w:r>
          </w:p>
        </w:tc>
      </w:tr>
      <w:tr w:rsidR="00580371" w:rsidRPr="0021130E" w14:paraId="557737CB" w14:textId="77777777" w:rsidTr="00CA76EE">
        <w:trPr>
          <w:trHeight w:val="340"/>
        </w:trPr>
        <w:tc>
          <w:tcPr>
            <w:tcW w:w="2617" w:type="dxa"/>
            <w:gridSpan w:val="2"/>
            <w:shd w:val="clear" w:color="auto" w:fill="D9D9D9" w:themeFill="background1" w:themeFillShade="D9"/>
            <w:noWrap/>
            <w:hideMark/>
          </w:tcPr>
          <w:p w14:paraId="4C6D66A9" w14:textId="77777777" w:rsidR="00580371" w:rsidRPr="0021130E" w:rsidRDefault="00580371" w:rsidP="00CA76EE">
            <w:pPr>
              <w:rPr>
                <w:color w:val="000000" w:themeColor="text1"/>
                <w:sz w:val="20"/>
                <w:szCs w:val="20"/>
              </w:rPr>
            </w:pPr>
            <w:r w:rsidRPr="0021130E">
              <w:rPr>
                <w:color w:val="000000" w:themeColor="text1"/>
                <w:sz w:val="20"/>
                <w:szCs w:val="20"/>
              </w:rPr>
              <w:t>Sailing</w:t>
            </w:r>
          </w:p>
        </w:tc>
        <w:tc>
          <w:tcPr>
            <w:tcW w:w="1899" w:type="dxa"/>
            <w:tcBorders>
              <w:left w:val="nil"/>
            </w:tcBorders>
            <w:shd w:val="clear" w:color="auto" w:fill="D9D9D9" w:themeFill="background1" w:themeFillShade="D9"/>
            <w:noWrap/>
            <w:hideMark/>
          </w:tcPr>
          <w:p w14:paraId="1C084966" w14:textId="77777777" w:rsidR="00580371" w:rsidRPr="0021130E" w:rsidRDefault="00580371" w:rsidP="00CA76EE">
            <w:pPr>
              <w:jc w:val="center"/>
              <w:rPr>
                <w:color w:val="000000" w:themeColor="text1"/>
                <w:sz w:val="20"/>
                <w:szCs w:val="20"/>
              </w:rPr>
            </w:pPr>
            <w:r w:rsidRPr="0021130E">
              <w:rPr>
                <w:color w:val="000000" w:themeColor="text1"/>
                <w:sz w:val="20"/>
                <w:szCs w:val="20"/>
              </w:rPr>
              <w:t>18 (15/3)</w:t>
            </w:r>
          </w:p>
        </w:tc>
        <w:tc>
          <w:tcPr>
            <w:tcW w:w="1720" w:type="dxa"/>
            <w:shd w:val="clear" w:color="auto" w:fill="D9D9D9" w:themeFill="background1" w:themeFillShade="D9"/>
            <w:noWrap/>
          </w:tcPr>
          <w:p w14:paraId="04F48608" w14:textId="77777777" w:rsidR="00580371" w:rsidRPr="0021130E" w:rsidRDefault="00580371" w:rsidP="00CA76EE">
            <w:pPr>
              <w:jc w:val="center"/>
              <w:rPr>
                <w:color w:val="000000" w:themeColor="text1"/>
                <w:sz w:val="20"/>
                <w:szCs w:val="20"/>
              </w:rPr>
            </w:pPr>
            <w:r w:rsidRPr="0021130E">
              <w:rPr>
                <w:color w:val="000000" w:themeColor="text1"/>
                <w:sz w:val="20"/>
                <w:szCs w:val="20"/>
              </w:rPr>
              <w:t>10 (8/2)</w:t>
            </w:r>
          </w:p>
        </w:tc>
        <w:tc>
          <w:tcPr>
            <w:tcW w:w="1659" w:type="dxa"/>
            <w:shd w:val="clear" w:color="auto" w:fill="D9D9D9" w:themeFill="background1" w:themeFillShade="D9"/>
          </w:tcPr>
          <w:p w14:paraId="33C68852" w14:textId="77777777" w:rsidR="00580371" w:rsidRPr="0021130E" w:rsidRDefault="00580371" w:rsidP="00CA76EE">
            <w:pPr>
              <w:jc w:val="center"/>
              <w:rPr>
                <w:color w:val="000000" w:themeColor="text1"/>
                <w:sz w:val="20"/>
                <w:szCs w:val="20"/>
              </w:rPr>
            </w:pPr>
            <w:r w:rsidRPr="0021130E">
              <w:rPr>
                <w:color w:val="000000" w:themeColor="text1"/>
                <w:sz w:val="20"/>
                <w:szCs w:val="20"/>
              </w:rPr>
              <w:t>55.6</w:t>
            </w:r>
          </w:p>
        </w:tc>
        <w:tc>
          <w:tcPr>
            <w:tcW w:w="1726" w:type="dxa"/>
            <w:shd w:val="clear" w:color="auto" w:fill="D9D9D9" w:themeFill="background1" w:themeFillShade="D9"/>
          </w:tcPr>
          <w:p w14:paraId="62687A18" w14:textId="77777777" w:rsidR="00580371" w:rsidRPr="0021130E" w:rsidRDefault="00580371" w:rsidP="00CA76EE">
            <w:pPr>
              <w:jc w:val="center"/>
              <w:rPr>
                <w:color w:val="000000" w:themeColor="text1"/>
                <w:sz w:val="20"/>
                <w:szCs w:val="20"/>
              </w:rPr>
            </w:pPr>
            <w:r w:rsidRPr="0021130E">
              <w:rPr>
                <w:color w:val="000000" w:themeColor="text1"/>
                <w:sz w:val="20"/>
                <w:szCs w:val="20"/>
              </w:rPr>
              <w:t>30.1 to 81.0</w:t>
            </w:r>
          </w:p>
        </w:tc>
        <w:tc>
          <w:tcPr>
            <w:tcW w:w="1696" w:type="dxa"/>
            <w:shd w:val="clear" w:color="auto" w:fill="D9D9D9" w:themeFill="background1" w:themeFillShade="D9"/>
          </w:tcPr>
          <w:p w14:paraId="5D20CF6C" w14:textId="77777777" w:rsidR="00580371" w:rsidRPr="0021130E" w:rsidRDefault="00580371" w:rsidP="00CA76EE">
            <w:pPr>
              <w:jc w:val="center"/>
              <w:rPr>
                <w:color w:val="000000" w:themeColor="text1"/>
                <w:sz w:val="20"/>
                <w:szCs w:val="20"/>
              </w:rPr>
            </w:pPr>
            <w:r w:rsidRPr="0021130E">
              <w:rPr>
                <w:color w:val="000000" w:themeColor="text1"/>
                <w:sz w:val="20"/>
                <w:szCs w:val="20"/>
              </w:rPr>
              <w:t>7 (6/1)</w:t>
            </w:r>
          </w:p>
        </w:tc>
        <w:tc>
          <w:tcPr>
            <w:tcW w:w="1659" w:type="dxa"/>
            <w:shd w:val="clear" w:color="auto" w:fill="D9D9D9" w:themeFill="background1" w:themeFillShade="D9"/>
          </w:tcPr>
          <w:p w14:paraId="4EC240DE" w14:textId="77777777" w:rsidR="00580371" w:rsidRPr="0021130E" w:rsidRDefault="00580371" w:rsidP="00CA76EE">
            <w:pPr>
              <w:jc w:val="center"/>
              <w:rPr>
                <w:color w:val="000000" w:themeColor="text1"/>
                <w:sz w:val="20"/>
                <w:szCs w:val="20"/>
              </w:rPr>
            </w:pPr>
            <w:r w:rsidRPr="0021130E">
              <w:rPr>
                <w:color w:val="000000" w:themeColor="text1"/>
                <w:sz w:val="20"/>
                <w:szCs w:val="20"/>
              </w:rPr>
              <w:t>38.9</w:t>
            </w:r>
          </w:p>
        </w:tc>
        <w:tc>
          <w:tcPr>
            <w:tcW w:w="1860" w:type="dxa"/>
            <w:shd w:val="clear" w:color="auto" w:fill="D9D9D9" w:themeFill="background1" w:themeFillShade="D9"/>
            <w:hideMark/>
          </w:tcPr>
          <w:p w14:paraId="0D3F6E4D" w14:textId="77777777" w:rsidR="00580371" w:rsidRPr="0021130E" w:rsidRDefault="00580371" w:rsidP="00CA76EE">
            <w:pPr>
              <w:jc w:val="center"/>
              <w:rPr>
                <w:color w:val="000000" w:themeColor="text1"/>
                <w:sz w:val="20"/>
                <w:szCs w:val="20"/>
              </w:rPr>
            </w:pPr>
            <w:r w:rsidRPr="0021130E">
              <w:rPr>
                <w:color w:val="000000" w:themeColor="text1"/>
                <w:sz w:val="20"/>
                <w:szCs w:val="20"/>
              </w:rPr>
              <w:t>13.9 to 63.8</w:t>
            </w:r>
          </w:p>
        </w:tc>
      </w:tr>
      <w:tr w:rsidR="00580371" w:rsidRPr="0021130E" w14:paraId="36DC0F67" w14:textId="77777777" w:rsidTr="00CA76EE">
        <w:trPr>
          <w:trHeight w:val="340"/>
        </w:trPr>
        <w:tc>
          <w:tcPr>
            <w:tcW w:w="2617" w:type="dxa"/>
            <w:gridSpan w:val="2"/>
            <w:shd w:val="clear" w:color="auto" w:fill="auto"/>
            <w:noWrap/>
            <w:hideMark/>
          </w:tcPr>
          <w:p w14:paraId="59A44CF2" w14:textId="77777777" w:rsidR="00580371" w:rsidRPr="0021130E" w:rsidRDefault="00580371" w:rsidP="00CA76EE">
            <w:pPr>
              <w:rPr>
                <w:color w:val="000000" w:themeColor="text1"/>
                <w:sz w:val="20"/>
                <w:szCs w:val="20"/>
              </w:rPr>
            </w:pPr>
            <w:r w:rsidRPr="0021130E">
              <w:rPr>
                <w:color w:val="000000" w:themeColor="text1"/>
                <w:sz w:val="20"/>
                <w:szCs w:val="20"/>
              </w:rPr>
              <w:t>Shooting</w:t>
            </w:r>
          </w:p>
        </w:tc>
        <w:tc>
          <w:tcPr>
            <w:tcW w:w="1899" w:type="dxa"/>
            <w:tcBorders>
              <w:left w:val="nil"/>
            </w:tcBorders>
            <w:shd w:val="clear" w:color="auto" w:fill="auto"/>
            <w:noWrap/>
            <w:hideMark/>
          </w:tcPr>
          <w:p w14:paraId="0F28D6D4" w14:textId="77777777" w:rsidR="00580371" w:rsidRPr="0021130E" w:rsidRDefault="00580371" w:rsidP="00CA76EE">
            <w:pPr>
              <w:jc w:val="center"/>
              <w:rPr>
                <w:color w:val="000000" w:themeColor="text1"/>
                <w:sz w:val="20"/>
                <w:szCs w:val="20"/>
              </w:rPr>
            </w:pPr>
            <w:r w:rsidRPr="0021130E">
              <w:rPr>
                <w:color w:val="000000" w:themeColor="text1"/>
                <w:sz w:val="20"/>
                <w:szCs w:val="20"/>
              </w:rPr>
              <w:t>10 (6/4)</w:t>
            </w:r>
          </w:p>
        </w:tc>
        <w:tc>
          <w:tcPr>
            <w:tcW w:w="1720" w:type="dxa"/>
            <w:shd w:val="clear" w:color="auto" w:fill="auto"/>
            <w:noWrap/>
          </w:tcPr>
          <w:p w14:paraId="2CC6409C" w14:textId="77777777" w:rsidR="00580371" w:rsidRPr="0021130E" w:rsidRDefault="00580371" w:rsidP="00CA76EE">
            <w:pPr>
              <w:jc w:val="center"/>
              <w:rPr>
                <w:color w:val="000000" w:themeColor="text1"/>
                <w:sz w:val="20"/>
                <w:szCs w:val="20"/>
              </w:rPr>
            </w:pPr>
            <w:r w:rsidRPr="0021130E">
              <w:rPr>
                <w:color w:val="000000" w:themeColor="text1"/>
                <w:sz w:val="20"/>
                <w:szCs w:val="20"/>
              </w:rPr>
              <w:t>2 (2/0)</w:t>
            </w:r>
          </w:p>
        </w:tc>
        <w:tc>
          <w:tcPr>
            <w:tcW w:w="1659" w:type="dxa"/>
            <w:shd w:val="clear" w:color="auto" w:fill="auto"/>
          </w:tcPr>
          <w:p w14:paraId="4CA95FFC"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18D4330C"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1FB70770"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4BA51061"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16723807"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365F7CA6" w14:textId="77777777" w:rsidTr="00CA76EE">
        <w:trPr>
          <w:trHeight w:val="340"/>
        </w:trPr>
        <w:tc>
          <w:tcPr>
            <w:tcW w:w="2617" w:type="dxa"/>
            <w:gridSpan w:val="2"/>
            <w:shd w:val="clear" w:color="auto" w:fill="D9D9D9" w:themeFill="background1" w:themeFillShade="D9"/>
            <w:noWrap/>
            <w:hideMark/>
          </w:tcPr>
          <w:p w14:paraId="3347B85D" w14:textId="77777777" w:rsidR="00580371" w:rsidRPr="0021130E" w:rsidRDefault="00580371" w:rsidP="00CA76EE">
            <w:pPr>
              <w:rPr>
                <w:color w:val="000000" w:themeColor="text1"/>
                <w:sz w:val="20"/>
                <w:szCs w:val="20"/>
              </w:rPr>
            </w:pPr>
            <w:r w:rsidRPr="0021130E">
              <w:rPr>
                <w:color w:val="000000" w:themeColor="text1"/>
                <w:sz w:val="20"/>
                <w:szCs w:val="20"/>
              </w:rPr>
              <w:t>Table tennis</w:t>
            </w:r>
          </w:p>
        </w:tc>
        <w:tc>
          <w:tcPr>
            <w:tcW w:w="1899" w:type="dxa"/>
            <w:tcBorders>
              <w:left w:val="nil"/>
            </w:tcBorders>
            <w:shd w:val="clear" w:color="auto" w:fill="D9D9D9" w:themeFill="background1" w:themeFillShade="D9"/>
            <w:noWrap/>
            <w:hideMark/>
          </w:tcPr>
          <w:p w14:paraId="6178885F"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720" w:type="dxa"/>
            <w:shd w:val="clear" w:color="auto" w:fill="D9D9D9" w:themeFill="background1" w:themeFillShade="D9"/>
            <w:noWrap/>
          </w:tcPr>
          <w:p w14:paraId="68149461"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D9D9D9" w:themeFill="background1" w:themeFillShade="D9"/>
          </w:tcPr>
          <w:p w14:paraId="788D2E58"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D9D9D9" w:themeFill="background1" w:themeFillShade="D9"/>
          </w:tcPr>
          <w:p w14:paraId="5B37CF64"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D9D9D9" w:themeFill="background1" w:themeFillShade="D9"/>
          </w:tcPr>
          <w:p w14:paraId="071C1F0D"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D9D9D9" w:themeFill="background1" w:themeFillShade="D9"/>
          </w:tcPr>
          <w:p w14:paraId="5CDFE287"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D9D9D9" w:themeFill="background1" w:themeFillShade="D9"/>
          </w:tcPr>
          <w:p w14:paraId="140246B6"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3A019B7C" w14:textId="77777777" w:rsidTr="00CA76EE">
        <w:trPr>
          <w:trHeight w:val="340"/>
        </w:trPr>
        <w:tc>
          <w:tcPr>
            <w:tcW w:w="2617" w:type="dxa"/>
            <w:gridSpan w:val="2"/>
            <w:shd w:val="clear" w:color="auto" w:fill="auto"/>
            <w:noWrap/>
            <w:hideMark/>
          </w:tcPr>
          <w:p w14:paraId="083DBF8E" w14:textId="77777777" w:rsidR="00580371" w:rsidRPr="0021130E" w:rsidRDefault="00580371" w:rsidP="00CA76EE">
            <w:pPr>
              <w:rPr>
                <w:color w:val="000000" w:themeColor="text1"/>
                <w:sz w:val="20"/>
                <w:szCs w:val="20"/>
              </w:rPr>
            </w:pPr>
            <w:r w:rsidRPr="0021130E">
              <w:rPr>
                <w:color w:val="000000" w:themeColor="text1"/>
                <w:sz w:val="20"/>
                <w:szCs w:val="20"/>
              </w:rPr>
              <w:t>Taekwondo</w:t>
            </w:r>
          </w:p>
        </w:tc>
        <w:tc>
          <w:tcPr>
            <w:tcW w:w="1899" w:type="dxa"/>
            <w:tcBorders>
              <w:left w:val="nil"/>
            </w:tcBorders>
            <w:shd w:val="clear" w:color="auto" w:fill="auto"/>
            <w:noWrap/>
            <w:hideMark/>
          </w:tcPr>
          <w:p w14:paraId="43EA567E" w14:textId="77777777" w:rsidR="00580371" w:rsidRPr="0021130E" w:rsidRDefault="00580371" w:rsidP="00CA76EE">
            <w:pPr>
              <w:jc w:val="center"/>
              <w:rPr>
                <w:color w:val="000000" w:themeColor="text1"/>
                <w:sz w:val="20"/>
                <w:szCs w:val="20"/>
              </w:rPr>
            </w:pPr>
            <w:r w:rsidRPr="0021130E">
              <w:rPr>
                <w:color w:val="000000" w:themeColor="text1"/>
                <w:sz w:val="20"/>
                <w:szCs w:val="20"/>
              </w:rPr>
              <w:t>1 (0/1)</w:t>
            </w:r>
          </w:p>
        </w:tc>
        <w:tc>
          <w:tcPr>
            <w:tcW w:w="1720" w:type="dxa"/>
            <w:shd w:val="clear" w:color="auto" w:fill="auto"/>
            <w:noWrap/>
          </w:tcPr>
          <w:p w14:paraId="10050A8D" w14:textId="77777777" w:rsidR="00580371" w:rsidRPr="0021130E" w:rsidRDefault="00580371" w:rsidP="00CA76EE">
            <w:pPr>
              <w:jc w:val="center"/>
              <w:rPr>
                <w:color w:val="000000" w:themeColor="text1"/>
                <w:sz w:val="20"/>
                <w:szCs w:val="20"/>
              </w:rPr>
            </w:pPr>
            <w:r w:rsidRPr="0021130E">
              <w:rPr>
                <w:color w:val="000000" w:themeColor="text1"/>
                <w:sz w:val="20"/>
                <w:szCs w:val="20"/>
              </w:rPr>
              <w:t>1 (0/1)</w:t>
            </w:r>
          </w:p>
        </w:tc>
        <w:tc>
          <w:tcPr>
            <w:tcW w:w="1659" w:type="dxa"/>
            <w:shd w:val="clear" w:color="auto" w:fill="auto"/>
          </w:tcPr>
          <w:p w14:paraId="2C72707B"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3D51ED6F"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0B0E917F" w14:textId="77777777" w:rsidR="00580371" w:rsidRPr="0021130E" w:rsidRDefault="00580371" w:rsidP="00CA76EE">
            <w:pPr>
              <w:jc w:val="center"/>
              <w:rPr>
                <w:color w:val="000000" w:themeColor="text1"/>
                <w:sz w:val="20"/>
                <w:szCs w:val="20"/>
              </w:rPr>
            </w:pPr>
            <w:r w:rsidRPr="0021130E">
              <w:rPr>
                <w:color w:val="000000" w:themeColor="text1"/>
                <w:sz w:val="20"/>
                <w:szCs w:val="20"/>
              </w:rPr>
              <w:t>1 (0/1)</w:t>
            </w:r>
          </w:p>
        </w:tc>
        <w:tc>
          <w:tcPr>
            <w:tcW w:w="1659" w:type="dxa"/>
            <w:shd w:val="clear" w:color="auto" w:fill="auto"/>
          </w:tcPr>
          <w:p w14:paraId="48F06444"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49436835"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4421F71C" w14:textId="77777777" w:rsidTr="00CA76EE">
        <w:trPr>
          <w:trHeight w:val="340"/>
        </w:trPr>
        <w:tc>
          <w:tcPr>
            <w:tcW w:w="2617" w:type="dxa"/>
            <w:gridSpan w:val="2"/>
            <w:shd w:val="clear" w:color="auto" w:fill="D9D9D9" w:themeFill="background1" w:themeFillShade="D9"/>
            <w:noWrap/>
            <w:hideMark/>
          </w:tcPr>
          <w:p w14:paraId="6AB6C2E7" w14:textId="77777777" w:rsidR="00580371" w:rsidRPr="0021130E" w:rsidRDefault="00580371" w:rsidP="00CA76EE">
            <w:pPr>
              <w:rPr>
                <w:color w:val="000000" w:themeColor="text1"/>
                <w:sz w:val="20"/>
                <w:szCs w:val="20"/>
              </w:rPr>
            </w:pPr>
            <w:r w:rsidRPr="0021130E">
              <w:rPr>
                <w:color w:val="000000" w:themeColor="text1"/>
                <w:sz w:val="20"/>
                <w:szCs w:val="20"/>
              </w:rPr>
              <w:t>Tennis</w:t>
            </w:r>
          </w:p>
        </w:tc>
        <w:tc>
          <w:tcPr>
            <w:tcW w:w="1899" w:type="dxa"/>
            <w:tcBorders>
              <w:left w:val="nil"/>
            </w:tcBorders>
            <w:shd w:val="clear" w:color="auto" w:fill="D9D9D9" w:themeFill="background1" w:themeFillShade="D9"/>
            <w:noWrap/>
            <w:hideMark/>
          </w:tcPr>
          <w:p w14:paraId="0060167A" w14:textId="77777777" w:rsidR="00580371" w:rsidRPr="0021130E" w:rsidRDefault="00580371" w:rsidP="00CA76EE">
            <w:pPr>
              <w:jc w:val="center"/>
              <w:rPr>
                <w:color w:val="000000" w:themeColor="text1"/>
                <w:sz w:val="20"/>
                <w:szCs w:val="20"/>
              </w:rPr>
            </w:pPr>
            <w:r w:rsidRPr="0021130E">
              <w:rPr>
                <w:color w:val="000000" w:themeColor="text1"/>
                <w:sz w:val="20"/>
                <w:szCs w:val="20"/>
              </w:rPr>
              <w:t>4 (3/1)</w:t>
            </w:r>
          </w:p>
        </w:tc>
        <w:tc>
          <w:tcPr>
            <w:tcW w:w="1720" w:type="dxa"/>
            <w:shd w:val="clear" w:color="auto" w:fill="D9D9D9" w:themeFill="background1" w:themeFillShade="D9"/>
            <w:noWrap/>
          </w:tcPr>
          <w:p w14:paraId="014AF1C8" w14:textId="77777777" w:rsidR="00580371" w:rsidRPr="0021130E" w:rsidRDefault="00580371" w:rsidP="00CA76EE">
            <w:pPr>
              <w:jc w:val="center"/>
              <w:rPr>
                <w:color w:val="000000" w:themeColor="text1"/>
                <w:sz w:val="20"/>
                <w:szCs w:val="20"/>
              </w:rPr>
            </w:pPr>
            <w:r w:rsidRPr="0021130E">
              <w:rPr>
                <w:color w:val="000000" w:themeColor="text1"/>
                <w:sz w:val="20"/>
                <w:szCs w:val="20"/>
              </w:rPr>
              <w:t>1 (0/1)</w:t>
            </w:r>
          </w:p>
        </w:tc>
        <w:tc>
          <w:tcPr>
            <w:tcW w:w="1659" w:type="dxa"/>
            <w:shd w:val="clear" w:color="auto" w:fill="D9D9D9" w:themeFill="background1" w:themeFillShade="D9"/>
          </w:tcPr>
          <w:p w14:paraId="332A469F"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D9D9D9" w:themeFill="background1" w:themeFillShade="D9"/>
          </w:tcPr>
          <w:p w14:paraId="77E4161D"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D9D9D9" w:themeFill="background1" w:themeFillShade="D9"/>
          </w:tcPr>
          <w:p w14:paraId="04315F95" w14:textId="77777777" w:rsidR="00580371" w:rsidRPr="0021130E" w:rsidRDefault="00580371" w:rsidP="00CA76EE">
            <w:pPr>
              <w:jc w:val="center"/>
              <w:rPr>
                <w:color w:val="000000" w:themeColor="text1"/>
                <w:sz w:val="20"/>
                <w:szCs w:val="20"/>
              </w:rPr>
            </w:pPr>
            <w:r w:rsidRPr="0021130E">
              <w:rPr>
                <w:color w:val="000000" w:themeColor="text1"/>
                <w:sz w:val="20"/>
                <w:szCs w:val="20"/>
              </w:rPr>
              <w:t>-</w:t>
            </w:r>
          </w:p>
        </w:tc>
        <w:tc>
          <w:tcPr>
            <w:tcW w:w="1659" w:type="dxa"/>
            <w:shd w:val="clear" w:color="auto" w:fill="D9D9D9" w:themeFill="background1" w:themeFillShade="D9"/>
          </w:tcPr>
          <w:p w14:paraId="752C9325"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D9D9D9" w:themeFill="background1" w:themeFillShade="D9"/>
          </w:tcPr>
          <w:p w14:paraId="4A15DF3D"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70FB79EC" w14:textId="77777777" w:rsidTr="00CA76EE">
        <w:trPr>
          <w:trHeight w:val="340"/>
        </w:trPr>
        <w:tc>
          <w:tcPr>
            <w:tcW w:w="2617" w:type="dxa"/>
            <w:gridSpan w:val="2"/>
            <w:shd w:val="clear" w:color="auto" w:fill="auto"/>
            <w:noWrap/>
            <w:hideMark/>
          </w:tcPr>
          <w:p w14:paraId="6611BFBE" w14:textId="77777777" w:rsidR="00580371" w:rsidRPr="0021130E" w:rsidRDefault="00580371" w:rsidP="00CA76EE">
            <w:pPr>
              <w:rPr>
                <w:color w:val="000000" w:themeColor="text1"/>
                <w:sz w:val="20"/>
                <w:szCs w:val="20"/>
              </w:rPr>
            </w:pPr>
            <w:r w:rsidRPr="0021130E">
              <w:rPr>
                <w:color w:val="000000" w:themeColor="text1"/>
                <w:sz w:val="20"/>
                <w:szCs w:val="20"/>
              </w:rPr>
              <w:t>Volleyball</w:t>
            </w:r>
          </w:p>
        </w:tc>
        <w:tc>
          <w:tcPr>
            <w:tcW w:w="1899" w:type="dxa"/>
            <w:tcBorders>
              <w:left w:val="nil"/>
            </w:tcBorders>
            <w:shd w:val="clear" w:color="auto" w:fill="auto"/>
            <w:noWrap/>
            <w:hideMark/>
          </w:tcPr>
          <w:p w14:paraId="51F5BC4E"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720" w:type="dxa"/>
            <w:shd w:val="clear" w:color="auto" w:fill="auto"/>
            <w:noWrap/>
          </w:tcPr>
          <w:p w14:paraId="5B45E5D5"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238F12FE"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42D8625B"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02420CDC"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3AF4188F"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415EE81D"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37A00ADB" w14:textId="77777777" w:rsidTr="00CA76EE">
        <w:trPr>
          <w:trHeight w:val="340"/>
        </w:trPr>
        <w:tc>
          <w:tcPr>
            <w:tcW w:w="2617" w:type="dxa"/>
            <w:gridSpan w:val="2"/>
            <w:shd w:val="clear" w:color="auto" w:fill="D9D9D9" w:themeFill="background1" w:themeFillShade="D9"/>
            <w:noWrap/>
            <w:hideMark/>
          </w:tcPr>
          <w:p w14:paraId="7A814752" w14:textId="77777777" w:rsidR="00580371" w:rsidRPr="0021130E" w:rsidRDefault="00580371" w:rsidP="00CA76EE">
            <w:pPr>
              <w:rPr>
                <w:color w:val="000000" w:themeColor="text1"/>
                <w:sz w:val="20"/>
                <w:szCs w:val="20"/>
              </w:rPr>
            </w:pPr>
            <w:r w:rsidRPr="0021130E">
              <w:rPr>
                <w:color w:val="000000" w:themeColor="text1"/>
                <w:sz w:val="20"/>
                <w:szCs w:val="20"/>
              </w:rPr>
              <w:t>Weightlifting</w:t>
            </w:r>
          </w:p>
        </w:tc>
        <w:tc>
          <w:tcPr>
            <w:tcW w:w="1899" w:type="dxa"/>
            <w:tcBorders>
              <w:left w:val="nil"/>
            </w:tcBorders>
            <w:shd w:val="clear" w:color="auto" w:fill="D9D9D9" w:themeFill="background1" w:themeFillShade="D9"/>
            <w:noWrap/>
            <w:hideMark/>
          </w:tcPr>
          <w:p w14:paraId="4C9A06E8" w14:textId="77777777" w:rsidR="00580371" w:rsidRPr="0021130E" w:rsidRDefault="00580371" w:rsidP="00CA76EE">
            <w:pPr>
              <w:jc w:val="center"/>
              <w:rPr>
                <w:color w:val="000000" w:themeColor="text1"/>
                <w:sz w:val="20"/>
                <w:szCs w:val="20"/>
              </w:rPr>
            </w:pPr>
            <w:r w:rsidRPr="0021130E">
              <w:rPr>
                <w:color w:val="000000" w:themeColor="text1"/>
                <w:sz w:val="20"/>
                <w:szCs w:val="20"/>
              </w:rPr>
              <w:t>5 (5/0)</w:t>
            </w:r>
          </w:p>
        </w:tc>
        <w:tc>
          <w:tcPr>
            <w:tcW w:w="1720" w:type="dxa"/>
            <w:shd w:val="clear" w:color="auto" w:fill="D9D9D9" w:themeFill="background1" w:themeFillShade="D9"/>
            <w:noWrap/>
          </w:tcPr>
          <w:p w14:paraId="4C07BE55" w14:textId="77777777" w:rsidR="00580371" w:rsidRPr="0021130E" w:rsidRDefault="00580371" w:rsidP="00CA76EE">
            <w:pPr>
              <w:jc w:val="center"/>
              <w:rPr>
                <w:color w:val="000000" w:themeColor="text1"/>
                <w:sz w:val="20"/>
                <w:szCs w:val="20"/>
              </w:rPr>
            </w:pPr>
            <w:r w:rsidRPr="0021130E">
              <w:rPr>
                <w:color w:val="000000" w:themeColor="text1"/>
                <w:sz w:val="20"/>
                <w:szCs w:val="20"/>
              </w:rPr>
              <w:t>3 (3/0)</w:t>
            </w:r>
          </w:p>
        </w:tc>
        <w:tc>
          <w:tcPr>
            <w:tcW w:w="1659" w:type="dxa"/>
            <w:shd w:val="clear" w:color="auto" w:fill="D9D9D9" w:themeFill="background1" w:themeFillShade="D9"/>
          </w:tcPr>
          <w:p w14:paraId="601DAABA"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D9D9D9" w:themeFill="background1" w:themeFillShade="D9"/>
          </w:tcPr>
          <w:p w14:paraId="6D2B9854"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D9D9D9" w:themeFill="background1" w:themeFillShade="D9"/>
          </w:tcPr>
          <w:p w14:paraId="3C7FCAE6" w14:textId="77777777" w:rsidR="00580371" w:rsidRPr="0021130E" w:rsidRDefault="00580371" w:rsidP="00CA76EE">
            <w:pPr>
              <w:jc w:val="center"/>
              <w:rPr>
                <w:color w:val="000000" w:themeColor="text1"/>
                <w:sz w:val="20"/>
                <w:szCs w:val="20"/>
              </w:rPr>
            </w:pPr>
            <w:r w:rsidRPr="0021130E">
              <w:rPr>
                <w:color w:val="000000" w:themeColor="text1"/>
                <w:sz w:val="20"/>
                <w:szCs w:val="20"/>
              </w:rPr>
              <w:t>2 (2/0)</w:t>
            </w:r>
          </w:p>
        </w:tc>
        <w:tc>
          <w:tcPr>
            <w:tcW w:w="1659" w:type="dxa"/>
            <w:shd w:val="clear" w:color="auto" w:fill="D9D9D9" w:themeFill="background1" w:themeFillShade="D9"/>
          </w:tcPr>
          <w:p w14:paraId="0D97A11D"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D9D9D9" w:themeFill="background1" w:themeFillShade="D9"/>
          </w:tcPr>
          <w:p w14:paraId="0D0C9AEC"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3B2E45E8" w14:textId="77777777" w:rsidTr="00CA76EE">
        <w:trPr>
          <w:trHeight w:val="340"/>
        </w:trPr>
        <w:tc>
          <w:tcPr>
            <w:tcW w:w="2617" w:type="dxa"/>
            <w:gridSpan w:val="2"/>
            <w:shd w:val="clear" w:color="auto" w:fill="auto"/>
            <w:noWrap/>
            <w:hideMark/>
          </w:tcPr>
          <w:p w14:paraId="11CD331A" w14:textId="77777777" w:rsidR="00580371" w:rsidRPr="0021130E" w:rsidRDefault="00580371" w:rsidP="00CA76EE">
            <w:pPr>
              <w:rPr>
                <w:color w:val="000000" w:themeColor="text1"/>
                <w:sz w:val="20"/>
                <w:szCs w:val="20"/>
              </w:rPr>
            </w:pPr>
            <w:r w:rsidRPr="0021130E">
              <w:rPr>
                <w:color w:val="000000" w:themeColor="text1"/>
                <w:sz w:val="20"/>
                <w:szCs w:val="20"/>
              </w:rPr>
              <w:t>Wind surfing</w:t>
            </w:r>
          </w:p>
        </w:tc>
        <w:tc>
          <w:tcPr>
            <w:tcW w:w="1899" w:type="dxa"/>
            <w:tcBorders>
              <w:left w:val="nil"/>
            </w:tcBorders>
            <w:shd w:val="clear" w:color="auto" w:fill="auto"/>
            <w:noWrap/>
            <w:hideMark/>
          </w:tcPr>
          <w:p w14:paraId="082E2120"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720" w:type="dxa"/>
            <w:shd w:val="clear" w:color="auto" w:fill="auto"/>
            <w:noWrap/>
          </w:tcPr>
          <w:p w14:paraId="6CB97056"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2117776C"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1C4D3E88"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5A64A825"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62936AE2"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4C7838F7"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0486ECA2" w14:textId="77777777" w:rsidTr="00CA76EE">
        <w:trPr>
          <w:trHeight w:val="340"/>
        </w:trPr>
        <w:tc>
          <w:tcPr>
            <w:tcW w:w="2617" w:type="dxa"/>
            <w:gridSpan w:val="2"/>
            <w:shd w:val="clear" w:color="auto" w:fill="D9D9D9" w:themeFill="background1" w:themeFillShade="D9"/>
            <w:noWrap/>
            <w:hideMark/>
          </w:tcPr>
          <w:p w14:paraId="793C9784" w14:textId="77777777" w:rsidR="00580371" w:rsidRPr="0021130E" w:rsidRDefault="00580371" w:rsidP="00CA76EE">
            <w:pPr>
              <w:rPr>
                <w:color w:val="000000" w:themeColor="text1"/>
                <w:sz w:val="20"/>
                <w:szCs w:val="20"/>
              </w:rPr>
            </w:pPr>
            <w:r w:rsidRPr="0021130E">
              <w:rPr>
                <w:color w:val="000000" w:themeColor="text1"/>
                <w:sz w:val="20"/>
                <w:szCs w:val="20"/>
              </w:rPr>
              <w:t>Wrestling</w:t>
            </w:r>
          </w:p>
        </w:tc>
        <w:tc>
          <w:tcPr>
            <w:tcW w:w="1899" w:type="dxa"/>
            <w:tcBorders>
              <w:left w:val="nil"/>
            </w:tcBorders>
            <w:shd w:val="clear" w:color="auto" w:fill="D9D9D9" w:themeFill="background1" w:themeFillShade="D9"/>
            <w:noWrap/>
            <w:hideMark/>
          </w:tcPr>
          <w:p w14:paraId="248D92AC" w14:textId="77777777" w:rsidR="00580371" w:rsidRPr="0021130E" w:rsidRDefault="00580371" w:rsidP="00CA76EE">
            <w:pPr>
              <w:jc w:val="center"/>
              <w:rPr>
                <w:color w:val="000000" w:themeColor="text1"/>
                <w:sz w:val="20"/>
                <w:szCs w:val="20"/>
              </w:rPr>
            </w:pPr>
            <w:r w:rsidRPr="0021130E">
              <w:rPr>
                <w:color w:val="000000" w:themeColor="text1"/>
                <w:sz w:val="20"/>
                <w:szCs w:val="20"/>
              </w:rPr>
              <w:t>4 (4/0)</w:t>
            </w:r>
          </w:p>
        </w:tc>
        <w:tc>
          <w:tcPr>
            <w:tcW w:w="1720" w:type="dxa"/>
            <w:shd w:val="clear" w:color="auto" w:fill="D9D9D9" w:themeFill="background1" w:themeFillShade="D9"/>
            <w:noWrap/>
          </w:tcPr>
          <w:p w14:paraId="6640A3BA"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D9D9D9" w:themeFill="background1" w:themeFillShade="D9"/>
          </w:tcPr>
          <w:p w14:paraId="58D60F34"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D9D9D9" w:themeFill="background1" w:themeFillShade="D9"/>
          </w:tcPr>
          <w:p w14:paraId="271228AA"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D9D9D9" w:themeFill="background1" w:themeFillShade="D9"/>
          </w:tcPr>
          <w:p w14:paraId="7EAED560"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D9D9D9" w:themeFill="background1" w:themeFillShade="D9"/>
          </w:tcPr>
          <w:p w14:paraId="143CB8FE"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D9D9D9" w:themeFill="background1" w:themeFillShade="D9"/>
          </w:tcPr>
          <w:p w14:paraId="78919826"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1B98D818" w14:textId="77777777" w:rsidTr="00CA76EE">
        <w:trPr>
          <w:trHeight w:val="340"/>
        </w:trPr>
        <w:tc>
          <w:tcPr>
            <w:tcW w:w="2617" w:type="dxa"/>
            <w:gridSpan w:val="2"/>
            <w:shd w:val="clear" w:color="auto" w:fill="auto"/>
            <w:noWrap/>
            <w:hideMark/>
          </w:tcPr>
          <w:p w14:paraId="4730BC06" w14:textId="77777777" w:rsidR="00580371" w:rsidRPr="00B21E1B" w:rsidRDefault="00580371" w:rsidP="00CA76EE">
            <w:pPr>
              <w:rPr>
                <w:b/>
                <w:bCs/>
                <w:color w:val="000000" w:themeColor="text1"/>
                <w:sz w:val="20"/>
                <w:szCs w:val="20"/>
                <w:u w:val="single"/>
              </w:rPr>
            </w:pPr>
            <w:r w:rsidRPr="00B21E1B">
              <w:rPr>
                <w:b/>
                <w:bCs/>
                <w:color w:val="000000" w:themeColor="text1"/>
                <w:sz w:val="20"/>
                <w:szCs w:val="20"/>
                <w:u w:val="single"/>
              </w:rPr>
              <w:t>Winter Sports</w:t>
            </w:r>
            <w:r>
              <w:rPr>
                <w:b/>
                <w:bCs/>
                <w:color w:val="000000" w:themeColor="text1"/>
                <w:sz w:val="20"/>
                <w:szCs w:val="20"/>
                <w:u w:val="single"/>
              </w:rPr>
              <w:t>:</w:t>
            </w:r>
          </w:p>
        </w:tc>
        <w:tc>
          <w:tcPr>
            <w:tcW w:w="1899" w:type="dxa"/>
            <w:tcBorders>
              <w:left w:val="nil"/>
            </w:tcBorders>
            <w:shd w:val="clear" w:color="auto" w:fill="auto"/>
            <w:noWrap/>
            <w:hideMark/>
          </w:tcPr>
          <w:p w14:paraId="33A9FC5C" w14:textId="77777777" w:rsidR="00580371" w:rsidRPr="0021130E" w:rsidRDefault="00580371" w:rsidP="00CA76EE">
            <w:pPr>
              <w:jc w:val="center"/>
              <w:rPr>
                <w:color w:val="000000" w:themeColor="text1"/>
                <w:sz w:val="20"/>
                <w:szCs w:val="20"/>
              </w:rPr>
            </w:pPr>
          </w:p>
        </w:tc>
        <w:tc>
          <w:tcPr>
            <w:tcW w:w="1720" w:type="dxa"/>
            <w:shd w:val="clear" w:color="auto" w:fill="auto"/>
            <w:noWrap/>
          </w:tcPr>
          <w:p w14:paraId="1B432885" w14:textId="77777777" w:rsidR="00580371" w:rsidRPr="0021130E" w:rsidRDefault="00580371" w:rsidP="00CA76EE">
            <w:pPr>
              <w:jc w:val="center"/>
              <w:rPr>
                <w:color w:val="000000" w:themeColor="text1"/>
                <w:sz w:val="20"/>
                <w:szCs w:val="20"/>
              </w:rPr>
            </w:pPr>
          </w:p>
        </w:tc>
        <w:tc>
          <w:tcPr>
            <w:tcW w:w="1659" w:type="dxa"/>
            <w:shd w:val="clear" w:color="auto" w:fill="auto"/>
          </w:tcPr>
          <w:p w14:paraId="7A763AA6" w14:textId="77777777" w:rsidR="00580371" w:rsidRPr="0021130E" w:rsidRDefault="00580371" w:rsidP="00CA76EE">
            <w:pPr>
              <w:jc w:val="center"/>
              <w:rPr>
                <w:color w:val="000000" w:themeColor="text1"/>
                <w:sz w:val="20"/>
                <w:szCs w:val="20"/>
              </w:rPr>
            </w:pPr>
          </w:p>
        </w:tc>
        <w:tc>
          <w:tcPr>
            <w:tcW w:w="1726" w:type="dxa"/>
            <w:shd w:val="clear" w:color="auto" w:fill="auto"/>
          </w:tcPr>
          <w:p w14:paraId="24B4E552" w14:textId="77777777" w:rsidR="00580371" w:rsidRPr="0021130E" w:rsidRDefault="00580371" w:rsidP="00CA76EE">
            <w:pPr>
              <w:jc w:val="center"/>
              <w:rPr>
                <w:color w:val="000000" w:themeColor="text1"/>
                <w:sz w:val="20"/>
                <w:szCs w:val="20"/>
              </w:rPr>
            </w:pPr>
          </w:p>
        </w:tc>
        <w:tc>
          <w:tcPr>
            <w:tcW w:w="1696" w:type="dxa"/>
            <w:shd w:val="clear" w:color="auto" w:fill="auto"/>
          </w:tcPr>
          <w:p w14:paraId="4ACE4DBC" w14:textId="77777777" w:rsidR="00580371" w:rsidRPr="0021130E" w:rsidRDefault="00580371" w:rsidP="00CA76EE">
            <w:pPr>
              <w:jc w:val="center"/>
              <w:rPr>
                <w:color w:val="000000" w:themeColor="text1"/>
                <w:sz w:val="20"/>
                <w:szCs w:val="20"/>
              </w:rPr>
            </w:pPr>
          </w:p>
        </w:tc>
        <w:tc>
          <w:tcPr>
            <w:tcW w:w="1659" w:type="dxa"/>
            <w:shd w:val="clear" w:color="auto" w:fill="auto"/>
          </w:tcPr>
          <w:p w14:paraId="6789020E" w14:textId="77777777" w:rsidR="00580371" w:rsidRPr="0021130E" w:rsidRDefault="00580371" w:rsidP="00CA76EE">
            <w:pPr>
              <w:jc w:val="center"/>
              <w:rPr>
                <w:color w:val="000000" w:themeColor="text1"/>
                <w:sz w:val="20"/>
                <w:szCs w:val="20"/>
              </w:rPr>
            </w:pPr>
          </w:p>
        </w:tc>
        <w:tc>
          <w:tcPr>
            <w:tcW w:w="1860" w:type="dxa"/>
            <w:shd w:val="clear" w:color="auto" w:fill="auto"/>
          </w:tcPr>
          <w:p w14:paraId="0E20CE59" w14:textId="77777777" w:rsidR="00580371" w:rsidRPr="0021130E" w:rsidRDefault="00580371" w:rsidP="00CA76EE">
            <w:pPr>
              <w:jc w:val="center"/>
              <w:rPr>
                <w:color w:val="000000" w:themeColor="text1"/>
                <w:sz w:val="20"/>
                <w:szCs w:val="20"/>
              </w:rPr>
            </w:pPr>
          </w:p>
        </w:tc>
      </w:tr>
      <w:tr w:rsidR="00580371" w:rsidRPr="0021130E" w14:paraId="0F5C3FC9" w14:textId="77777777" w:rsidTr="00CA76EE">
        <w:trPr>
          <w:trHeight w:val="340"/>
        </w:trPr>
        <w:tc>
          <w:tcPr>
            <w:tcW w:w="2617" w:type="dxa"/>
            <w:gridSpan w:val="2"/>
            <w:shd w:val="clear" w:color="auto" w:fill="D9D9D9" w:themeFill="background1" w:themeFillShade="D9"/>
            <w:noWrap/>
            <w:hideMark/>
          </w:tcPr>
          <w:p w14:paraId="51A6C731" w14:textId="77777777" w:rsidR="00580371" w:rsidRPr="0021130E" w:rsidRDefault="00580371" w:rsidP="00CA76EE">
            <w:pPr>
              <w:rPr>
                <w:color w:val="000000" w:themeColor="text1"/>
                <w:sz w:val="20"/>
                <w:szCs w:val="20"/>
              </w:rPr>
            </w:pPr>
            <w:r w:rsidRPr="0021130E">
              <w:rPr>
                <w:color w:val="000000" w:themeColor="text1"/>
                <w:sz w:val="20"/>
                <w:szCs w:val="20"/>
              </w:rPr>
              <w:t>Alpine skiing</w:t>
            </w:r>
          </w:p>
        </w:tc>
        <w:tc>
          <w:tcPr>
            <w:tcW w:w="1899" w:type="dxa"/>
            <w:tcBorders>
              <w:left w:val="nil"/>
            </w:tcBorders>
            <w:shd w:val="clear" w:color="auto" w:fill="D9D9D9" w:themeFill="background1" w:themeFillShade="D9"/>
            <w:noWrap/>
            <w:hideMark/>
          </w:tcPr>
          <w:p w14:paraId="06347EAB" w14:textId="77777777" w:rsidR="00580371" w:rsidRPr="0021130E" w:rsidRDefault="00580371" w:rsidP="00CA76EE">
            <w:pPr>
              <w:jc w:val="center"/>
              <w:rPr>
                <w:color w:val="000000" w:themeColor="text1"/>
                <w:sz w:val="20"/>
                <w:szCs w:val="20"/>
              </w:rPr>
            </w:pPr>
            <w:r w:rsidRPr="0021130E">
              <w:rPr>
                <w:color w:val="000000" w:themeColor="text1"/>
                <w:sz w:val="20"/>
                <w:szCs w:val="20"/>
              </w:rPr>
              <w:t>11 (6/5)</w:t>
            </w:r>
          </w:p>
        </w:tc>
        <w:tc>
          <w:tcPr>
            <w:tcW w:w="1720" w:type="dxa"/>
            <w:shd w:val="clear" w:color="auto" w:fill="D9D9D9" w:themeFill="background1" w:themeFillShade="D9"/>
            <w:noWrap/>
          </w:tcPr>
          <w:p w14:paraId="26EC0DC3" w14:textId="77777777" w:rsidR="00580371" w:rsidRPr="0021130E" w:rsidRDefault="00580371" w:rsidP="00CA76EE">
            <w:pPr>
              <w:jc w:val="center"/>
              <w:rPr>
                <w:color w:val="000000" w:themeColor="text1"/>
                <w:sz w:val="20"/>
                <w:szCs w:val="20"/>
              </w:rPr>
            </w:pPr>
            <w:r w:rsidRPr="0021130E">
              <w:rPr>
                <w:color w:val="000000" w:themeColor="text1"/>
                <w:sz w:val="20"/>
                <w:szCs w:val="20"/>
              </w:rPr>
              <w:t>2 (1/1)</w:t>
            </w:r>
          </w:p>
        </w:tc>
        <w:tc>
          <w:tcPr>
            <w:tcW w:w="1659" w:type="dxa"/>
            <w:shd w:val="clear" w:color="auto" w:fill="D9D9D9" w:themeFill="background1" w:themeFillShade="D9"/>
          </w:tcPr>
          <w:p w14:paraId="48D8A8B0"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D9D9D9" w:themeFill="background1" w:themeFillShade="D9"/>
          </w:tcPr>
          <w:p w14:paraId="3ACC4047"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D9D9D9" w:themeFill="background1" w:themeFillShade="D9"/>
          </w:tcPr>
          <w:p w14:paraId="48CAC38D" w14:textId="77777777" w:rsidR="00580371" w:rsidRPr="0021130E" w:rsidRDefault="00580371" w:rsidP="00CA76EE">
            <w:pPr>
              <w:jc w:val="center"/>
              <w:rPr>
                <w:color w:val="000000" w:themeColor="text1"/>
                <w:sz w:val="20"/>
                <w:szCs w:val="20"/>
              </w:rPr>
            </w:pPr>
            <w:r w:rsidRPr="0021130E">
              <w:rPr>
                <w:color w:val="000000" w:themeColor="text1"/>
                <w:sz w:val="20"/>
                <w:szCs w:val="20"/>
              </w:rPr>
              <w:t>2 (1/1)</w:t>
            </w:r>
          </w:p>
        </w:tc>
        <w:tc>
          <w:tcPr>
            <w:tcW w:w="1659" w:type="dxa"/>
            <w:shd w:val="clear" w:color="auto" w:fill="D9D9D9" w:themeFill="background1" w:themeFillShade="D9"/>
          </w:tcPr>
          <w:p w14:paraId="25BCD74F"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D9D9D9" w:themeFill="background1" w:themeFillShade="D9"/>
          </w:tcPr>
          <w:p w14:paraId="589CB86E"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70D36227" w14:textId="77777777" w:rsidTr="00CA76EE">
        <w:trPr>
          <w:trHeight w:val="340"/>
        </w:trPr>
        <w:tc>
          <w:tcPr>
            <w:tcW w:w="2617" w:type="dxa"/>
            <w:gridSpan w:val="2"/>
            <w:shd w:val="clear" w:color="auto" w:fill="auto"/>
            <w:noWrap/>
            <w:hideMark/>
          </w:tcPr>
          <w:p w14:paraId="6107C41B" w14:textId="77777777" w:rsidR="00580371" w:rsidRPr="0021130E" w:rsidRDefault="00580371" w:rsidP="00CA76EE">
            <w:pPr>
              <w:rPr>
                <w:color w:val="000000" w:themeColor="text1"/>
                <w:sz w:val="20"/>
                <w:szCs w:val="20"/>
              </w:rPr>
            </w:pPr>
            <w:r w:rsidRPr="0021130E">
              <w:rPr>
                <w:color w:val="000000" w:themeColor="text1"/>
                <w:sz w:val="20"/>
                <w:szCs w:val="20"/>
              </w:rPr>
              <w:t>Biathlon</w:t>
            </w:r>
          </w:p>
        </w:tc>
        <w:tc>
          <w:tcPr>
            <w:tcW w:w="1899" w:type="dxa"/>
            <w:tcBorders>
              <w:left w:val="nil"/>
            </w:tcBorders>
            <w:shd w:val="clear" w:color="auto" w:fill="auto"/>
            <w:noWrap/>
            <w:hideMark/>
          </w:tcPr>
          <w:p w14:paraId="01FB2198" w14:textId="77777777" w:rsidR="00580371" w:rsidRPr="0021130E" w:rsidRDefault="00580371" w:rsidP="00CA76EE">
            <w:pPr>
              <w:jc w:val="center"/>
              <w:rPr>
                <w:color w:val="000000" w:themeColor="text1"/>
                <w:sz w:val="20"/>
                <w:szCs w:val="20"/>
              </w:rPr>
            </w:pPr>
            <w:r w:rsidRPr="0021130E">
              <w:rPr>
                <w:color w:val="000000" w:themeColor="text1"/>
                <w:sz w:val="20"/>
                <w:szCs w:val="20"/>
              </w:rPr>
              <w:t>4 (4/0)</w:t>
            </w:r>
          </w:p>
        </w:tc>
        <w:tc>
          <w:tcPr>
            <w:tcW w:w="1720" w:type="dxa"/>
            <w:shd w:val="clear" w:color="auto" w:fill="auto"/>
            <w:noWrap/>
          </w:tcPr>
          <w:p w14:paraId="1A447945"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4FED169F"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5589B856"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1F71AEA2"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67454C33"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68892813"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03E5F894" w14:textId="77777777" w:rsidTr="00CA76EE">
        <w:trPr>
          <w:trHeight w:val="340"/>
        </w:trPr>
        <w:tc>
          <w:tcPr>
            <w:tcW w:w="2617" w:type="dxa"/>
            <w:gridSpan w:val="2"/>
            <w:shd w:val="clear" w:color="auto" w:fill="D9D9D9" w:themeFill="background1" w:themeFillShade="D9"/>
            <w:noWrap/>
            <w:hideMark/>
          </w:tcPr>
          <w:p w14:paraId="786958AB" w14:textId="77777777" w:rsidR="00580371" w:rsidRPr="0021130E" w:rsidRDefault="00580371" w:rsidP="00CA76EE">
            <w:pPr>
              <w:rPr>
                <w:color w:val="000000" w:themeColor="text1"/>
                <w:sz w:val="20"/>
                <w:szCs w:val="20"/>
              </w:rPr>
            </w:pPr>
            <w:r w:rsidRPr="0021130E">
              <w:rPr>
                <w:color w:val="000000" w:themeColor="text1"/>
                <w:sz w:val="20"/>
                <w:szCs w:val="20"/>
              </w:rPr>
              <w:t>Bobsleigh</w:t>
            </w:r>
          </w:p>
        </w:tc>
        <w:tc>
          <w:tcPr>
            <w:tcW w:w="1899" w:type="dxa"/>
            <w:tcBorders>
              <w:left w:val="nil"/>
            </w:tcBorders>
            <w:shd w:val="clear" w:color="auto" w:fill="D9D9D9" w:themeFill="background1" w:themeFillShade="D9"/>
            <w:noWrap/>
            <w:hideMark/>
          </w:tcPr>
          <w:p w14:paraId="7C7B848A" w14:textId="77777777" w:rsidR="00580371" w:rsidRPr="0021130E" w:rsidRDefault="00580371" w:rsidP="00CA76EE">
            <w:pPr>
              <w:jc w:val="center"/>
              <w:rPr>
                <w:color w:val="000000" w:themeColor="text1"/>
                <w:sz w:val="20"/>
                <w:szCs w:val="20"/>
              </w:rPr>
            </w:pPr>
            <w:r w:rsidRPr="0021130E">
              <w:rPr>
                <w:color w:val="000000" w:themeColor="text1"/>
                <w:sz w:val="20"/>
                <w:szCs w:val="20"/>
              </w:rPr>
              <w:t>15 (13/2)</w:t>
            </w:r>
          </w:p>
        </w:tc>
        <w:tc>
          <w:tcPr>
            <w:tcW w:w="1720" w:type="dxa"/>
            <w:shd w:val="clear" w:color="auto" w:fill="D9D9D9" w:themeFill="background1" w:themeFillShade="D9"/>
            <w:noWrap/>
          </w:tcPr>
          <w:p w14:paraId="29989C0B" w14:textId="77777777" w:rsidR="00580371" w:rsidRPr="0021130E" w:rsidRDefault="00580371" w:rsidP="00CA76EE">
            <w:pPr>
              <w:jc w:val="center"/>
              <w:rPr>
                <w:color w:val="000000" w:themeColor="text1"/>
                <w:sz w:val="20"/>
                <w:szCs w:val="20"/>
              </w:rPr>
            </w:pPr>
            <w:r w:rsidRPr="0021130E">
              <w:rPr>
                <w:color w:val="000000" w:themeColor="text1"/>
                <w:sz w:val="20"/>
                <w:szCs w:val="20"/>
              </w:rPr>
              <w:t>5 (5/0)</w:t>
            </w:r>
          </w:p>
        </w:tc>
        <w:tc>
          <w:tcPr>
            <w:tcW w:w="1659" w:type="dxa"/>
            <w:shd w:val="clear" w:color="auto" w:fill="D9D9D9" w:themeFill="background1" w:themeFillShade="D9"/>
          </w:tcPr>
          <w:p w14:paraId="5EA719DA" w14:textId="77777777" w:rsidR="00580371" w:rsidRPr="0021130E" w:rsidRDefault="00580371" w:rsidP="00CA76EE">
            <w:pPr>
              <w:jc w:val="center"/>
              <w:rPr>
                <w:color w:val="000000" w:themeColor="text1"/>
                <w:sz w:val="20"/>
                <w:szCs w:val="20"/>
              </w:rPr>
            </w:pPr>
            <w:r w:rsidRPr="0021130E">
              <w:rPr>
                <w:color w:val="000000" w:themeColor="text1"/>
                <w:sz w:val="20"/>
                <w:szCs w:val="20"/>
              </w:rPr>
              <w:t>33.3</w:t>
            </w:r>
          </w:p>
        </w:tc>
        <w:tc>
          <w:tcPr>
            <w:tcW w:w="1726" w:type="dxa"/>
            <w:shd w:val="clear" w:color="auto" w:fill="D9D9D9" w:themeFill="background1" w:themeFillShade="D9"/>
          </w:tcPr>
          <w:p w14:paraId="4B97A174" w14:textId="77777777" w:rsidR="00580371" w:rsidRPr="0021130E" w:rsidRDefault="00580371" w:rsidP="00CA76EE">
            <w:pPr>
              <w:jc w:val="center"/>
              <w:rPr>
                <w:color w:val="000000" w:themeColor="text1"/>
                <w:sz w:val="20"/>
                <w:szCs w:val="20"/>
              </w:rPr>
            </w:pPr>
            <w:r w:rsidRPr="0021130E">
              <w:rPr>
                <w:color w:val="000000" w:themeColor="text1"/>
                <w:sz w:val="20"/>
                <w:szCs w:val="20"/>
              </w:rPr>
              <w:t>6.3 to 60.4</w:t>
            </w:r>
          </w:p>
        </w:tc>
        <w:tc>
          <w:tcPr>
            <w:tcW w:w="1696" w:type="dxa"/>
            <w:shd w:val="clear" w:color="auto" w:fill="D9D9D9" w:themeFill="background1" w:themeFillShade="D9"/>
          </w:tcPr>
          <w:p w14:paraId="1319B024" w14:textId="77777777" w:rsidR="00580371" w:rsidRPr="0021130E" w:rsidRDefault="00580371" w:rsidP="00CA76EE">
            <w:pPr>
              <w:jc w:val="center"/>
              <w:rPr>
                <w:color w:val="000000" w:themeColor="text1"/>
                <w:sz w:val="20"/>
                <w:szCs w:val="20"/>
              </w:rPr>
            </w:pPr>
            <w:r w:rsidRPr="0021130E">
              <w:rPr>
                <w:color w:val="000000" w:themeColor="text1"/>
                <w:sz w:val="20"/>
                <w:szCs w:val="20"/>
              </w:rPr>
              <w:t>4 (4/0)</w:t>
            </w:r>
          </w:p>
        </w:tc>
        <w:tc>
          <w:tcPr>
            <w:tcW w:w="1659" w:type="dxa"/>
            <w:shd w:val="clear" w:color="auto" w:fill="D9D9D9" w:themeFill="background1" w:themeFillShade="D9"/>
          </w:tcPr>
          <w:p w14:paraId="5B87161D" w14:textId="77777777" w:rsidR="00580371" w:rsidRPr="0021130E" w:rsidRDefault="00580371" w:rsidP="00CA76EE">
            <w:pPr>
              <w:jc w:val="center"/>
              <w:rPr>
                <w:color w:val="000000" w:themeColor="text1"/>
                <w:sz w:val="20"/>
                <w:szCs w:val="20"/>
              </w:rPr>
            </w:pPr>
            <w:r w:rsidRPr="0021130E">
              <w:rPr>
                <w:color w:val="000000" w:themeColor="text1"/>
                <w:sz w:val="20"/>
                <w:szCs w:val="20"/>
              </w:rPr>
              <w:t>26.7</w:t>
            </w:r>
          </w:p>
        </w:tc>
        <w:tc>
          <w:tcPr>
            <w:tcW w:w="1860" w:type="dxa"/>
            <w:shd w:val="clear" w:color="auto" w:fill="D9D9D9" w:themeFill="background1" w:themeFillShade="D9"/>
            <w:hideMark/>
          </w:tcPr>
          <w:p w14:paraId="686849D9" w14:textId="77777777" w:rsidR="00580371" w:rsidRPr="0021130E" w:rsidRDefault="00580371" w:rsidP="00CA76EE">
            <w:pPr>
              <w:jc w:val="center"/>
              <w:rPr>
                <w:color w:val="000000" w:themeColor="text1"/>
                <w:sz w:val="20"/>
                <w:szCs w:val="20"/>
              </w:rPr>
            </w:pPr>
            <w:r w:rsidRPr="0021130E">
              <w:rPr>
                <w:color w:val="000000" w:themeColor="text1"/>
                <w:sz w:val="20"/>
                <w:szCs w:val="20"/>
              </w:rPr>
              <w:t>13.2 to 52.0</w:t>
            </w:r>
          </w:p>
        </w:tc>
      </w:tr>
      <w:tr w:rsidR="00580371" w:rsidRPr="0021130E" w14:paraId="01C8C882" w14:textId="77777777" w:rsidTr="00CA76EE">
        <w:trPr>
          <w:trHeight w:val="340"/>
        </w:trPr>
        <w:tc>
          <w:tcPr>
            <w:tcW w:w="2617" w:type="dxa"/>
            <w:gridSpan w:val="2"/>
            <w:shd w:val="clear" w:color="auto" w:fill="auto"/>
            <w:noWrap/>
            <w:hideMark/>
          </w:tcPr>
          <w:p w14:paraId="287E0B13" w14:textId="77777777" w:rsidR="00580371" w:rsidRPr="0021130E" w:rsidRDefault="00580371" w:rsidP="00CA76EE">
            <w:pPr>
              <w:rPr>
                <w:color w:val="000000" w:themeColor="text1"/>
                <w:sz w:val="20"/>
                <w:szCs w:val="20"/>
              </w:rPr>
            </w:pPr>
            <w:r w:rsidRPr="0021130E">
              <w:rPr>
                <w:color w:val="000000" w:themeColor="text1"/>
                <w:sz w:val="20"/>
                <w:szCs w:val="20"/>
              </w:rPr>
              <w:t>Cross-country skiing</w:t>
            </w:r>
          </w:p>
        </w:tc>
        <w:tc>
          <w:tcPr>
            <w:tcW w:w="1899" w:type="dxa"/>
            <w:tcBorders>
              <w:left w:val="nil"/>
            </w:tcBorders>
            <w:shd w:val="clear" w:color="auto" w:fill="auto"/>
            <w:noWrap/>
            <w:hideMark/>
          </w:tcPr>
          <w:p w14:paraId="067BB26B" w14:textId="77777777" w:rsidR="00580371" w:rsidRPr="0021130E" w:rsidRDefault="00580371" w:rsidP="00CA76EE">
            <w:pPr>
              <w:jc w:val="center"/>
              <w:rPr>
                <w:color w:val="000000" w:themeColor="text1"/>
                <w:sz w:val="20"/>
                <w:szCs w:val="20"/>
              </w:rPr>
            </w:pPr>
            <w:r w:rsidRPr="0021130E">
              <w:rPr>
                <w:color w:val="000000" w:themeColor="text1"/>
                <w:sz w:val="20"/>
                <w:szCs w:val="20"/>
              </w:rPr>
              <w:t>8 (6/2)</w:t>
            </w:r>
          </w:p>
        </w:tc>
        <w:tc>
          <w:tcPr>
            <w:tcW w:w="1720" w:type="dxa"/>
            <w:shd w:val="clear" w:color="auto" w:fill="auto"/>
            <w:noWrap/>
          </w:tcPr>
          <w:p w14:paraId="52787688"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72681A11"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1EBCF623"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523B6F36"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4D2643EE"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5008EF15"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60034D33" w14:textId="77777777" w:rsidTr="00CA76EE">
        <w:trPr>
          <w:trHeight w:val="340"/>
        </w:trPr>
        <w:tc>
          <w:tcPr>
            <w:tcW w:w="2617" w:type="dxa"/>
            <w:gridSpan w:val="2"/>
            <w:shd w:val="clear" w:color="auto" w:fill="D9D9D9" w:themeFill="background1" w:themeFillShade="D9"/>
            <w:noWrap/>
            <w:hideMark/>
          </w:tcPr>
          <w:p w14:paraId="0EC0C878" w14:textId="77777777" w:rsidR="00580371" w:rsidRPr="0021130E" w:rsidRDefault="00580371" w:rsidP="00CA76EE">
            <w:pPr>
              <w:rPr>
                <w:color w:val="000000" w:themeColor="text1"/>
                <w:sz w:val="20"/>
                <w:szCs w:val="20"/>
              </w:rPr>
            </w:pPr>
            <w:r w:rsidRPr="0021130E">
              <w:rPr>
                <w:color w:val="000000" w:themeColor="text1"/>
                <w:sz w:val="20"/>
                <w:szCs w:val="20"/>
              </w:rPr>
              <w:t>Figure skating</w:t>
            </w:r>
          </w:p>
        </w:tc>
        <w:tc>
          <w:tcPr>
            <w:tcW w:w="1899" w:type="dxa"/>
            <w:tcBorders>
              <w:left w:val="nil"/>
            </w:tcBorders>
            <w:shd w:val="clear" w:color="auto" w:fill="D9D9D9" w:themeFill="background1" w:themeFillShade="D9"/>
            <w:noWrap/>
            <w:hideMark/>
          </w:tcPr>
          <w:p w14:paraId="14D761A4" w14:textId="77777777" w:rsidR="00580371" w:rsidRPr="0021130E" w:rsidRDefault="00580371" w:rsidP="00CA76EE">
            <w:pPr>
              <w:jc w:val="center"/>
              <w:rPr>
                <w:color w:val="000000" w:themeColor="text1"/>
                <w:sz w:val="20"/>
                <w:szCs w:val="20"/>
              </w:rPr>
            </w:pPr>
            <w:r w:rsidRPr="00B45F14">
              <w:rPr>
                <w:color w:val="000000" w:themeColor="text1"/>
                <w:sz w:val="20"/>
                <w:szCs w:val="20"/>
              </w:rPr>
              <w:t>11 (3/8)</w:t>
            </w:r>
          </w:p>
        </w:tc>
        <w:tc>
          <w:tcPr>
            <w:tcW w:w="1720" w:type="dxa"/>
            <w:shd w:val="clear" w:color="auto" w:fill="D9D9D9" w:themeFill="background1" w:themeFillShade="D9"/>
            <w:noWrap/>
          </w:tcPr>
          <w:p w14:paraId="25C983FB" w14:textId="77777777" w:rsidR="00580371" w:rsidRPr="0021130E" w:rsidRDefault="00580371" w:rsidP="00CA76EE">
            <w:pPr>
              <w:jc w:val="center"/>
              <w:rPr>
                <w:color w:val="000000" w:themeColor="text1"/>
                <w:sz w:val="20"/>
                <w:szCs w:val="20"/>
              </w:rPr>
            </w:pPr>
            <w:r w:rsidRPr="0021130E">
              <w:rPr>
                <w:color w:val="000000" w:themeColor="text1"/>
                <w:sz w:val="20"/>
                <w:szCs w:val="20"/>
              </w:rPr>
              <w:t>3 (0/3)</w:t>
            </w:r>
          </w:p>
        </w:tc>
        <w:tc>
          <w:tcPr>
            <w:tcW w:w="1659" w:type="dxa"/>
            <w:shd w:val="clear" w:color="auto" w:fill="D9D9D9" w:themeFill="background1" w:themeFillShade="D9"/>
          </w:tcPr>
          <w:p w14:paraId="3ED8FEE3"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D9D9D9" w:themeFill="background1" w:themeFillShade="D9"/>
          </w:tcPr>
          <w:p w14:paraId="25B727FA"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D9D9D9" w:themeFill="background1" w:themeFillShade="D9"/>
          </w:tcPr>
          <w:p w14:paraId="7E856FAB" w14:textId="77777777" w:rsidR="00580371" w:rsidRPr="0021130E" w:rsidRDefault="00580371" w:rsidP="00CA76EE">
            <w:pPr>
              <w:jc w:val="center"/>
              <w:rPr>
                <w:color w:val="000000" w:themeColor="text1"/>
                <w:sz w:val="20"/>
                <w:szCs w:val="20"/>
              </w:rPr>
            </w:pPr>
            <w:r w:rsidRPr="0021130E">
              <w:rPr>
                <w:color w:val="000000" w:themeColor="text1"/>
                <w:sz w:val="20"/>
                <w:szCs w:val="20"/>
              </w:rPr>
              <w:t>2 (0/2)</w:t>
            </w:r>
          </w:p>
        </w:tc>
        <w:tc>
          <w:tcPr>
            <w:tcW w:w="1659" w:type="dxa"/>
            <w:shd w:val="clear" w:color="auto" w:fill="D9D9D9" w:themeFill="background1" w:themeFillShade="D9"/>
          </w:tcPr>
          <w:p w14:paraId="6019E8C2"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D9D9D9" w:themeFill="background1" w:themeFillShade="D9"/>
          </w:tcPr>
          <w:p w14:paraId="5D033B35"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1E74EFD4" w14:textId="77777777" w:rsidTr="00CA76EE">
        <w:trPr>
          <w:trHeight w:val="340"/>
        </w:trPr>
        <w:tc>
          <w:tcPr>
            <w:tcW w:w="2617" w:type="dxa"/>
            <w:gridSpan w:val="2"/>
            <w:shd w:val="clear" w:color="auto" w:fill="auto"/>
            <w:noWrap/>
            <w:hideMark/>
          </w:tcPr>
          <w:p w14:paraId="79B57B69" w14:textId="77777777" w:rsidR="00580371" w:rsidRPr="0021130E" w:rsidRDefault="00580371" w:rsidP="00CA76EE">
            <w:pPr>
              <w:rPr>
                <w:color w:val="000000" w:themeColor="text1"/>
                <w:sz w:val="20"/>
                <w:szCs w:val="20"/>
              </w:rPr>
            </w:pPr>
            <w:r w:rsidRPr="0021130E">
              <w:rPr>
                <w:color w:val="000000" w:themeColor="text1"/>
                <w:sz w:val="20"/>
                <w:szCs w:val="20"/>
              </w:rPr>
              <w:t>Ice hockey</w:t>
            </w:r>
          </w:p>
        </w:tc>
        <w:tc>
          <w:tcPr>
            <w:tcW w:w="1899" w:type="dxa"/>
            <w:tcBorders>
              <w:left w:val="nil"/>
            </w:tcBorders>
            <w:shd w:val="clear" w:color="auto" w:fill="auto"/>
            <w:noWrap/>
            <w:hideMark/>
          </w:tcPr>
          <w:p w14:paraId="424C5BD6"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720" w:type="dxa"/>
            <w:shd w:val="clear" w:color="auto" w:fill="auto"/>
            <w:noWrap/>
          </w:tcPr>
          <w:p w14:paraId="066C01C7" w14:textId="77777777" w:rsidR="00580371" w:rsidRPr="0021130E" w:rsidRDefault="00580371" w:rsidP="00CA76EE">
            <w:pPr>
              <w:jc w:val="center"/>
              <w:rPr>
                <w:color w:val="000000" w:themeColor="text1"/>
                <w:sz w:val="20"/>
                <w:szCs w:val="20"/>
              </w:rPr>
            </w:pPr>
            <w:r w:rsidRPr="0021130E">
              <w:rPr>
                <w:color w:val="000000" w:themeColor="text1"/>
                <w:sz w:val="20"/>
                <w:szCs w:val="20"/>
              </w:rPr>
              <w:t>-</w:t>
            </w:r>
          </w:p>
        </w:tc>
        <w:tc>
          <w:tcPr>
            <w:tcW w:w="1659" w:type="dxa"/>
            <w:shd w:val="clear" w:color="auto" w:fill="auto"/>
          </w:tcPr>
          <w:p w14:paraId="788CEB62"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512F025D"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137A9C0E" w14:textId="77777777" w:rsidR="00580371" w:rsidRPr="0021130E" w:rsidRDefault="00580371" w:rsidP="00CA76EE">
            <w:pPr>
              <w:jc w:val="center"/>
              <w:rPr>
                <w:color w:val="000000" w:themeColor="text1"/>
                <w:sz w:val="20"/>
                <w:szCs w:val="20"/>
              </w:rPr>
            </w:pPr>
            <w:r w:rsidRPr="0021130E">
              <w:rPr>
                <w:color w:val="000000" w:themeColor="text1"/>
                <w:sz w:val="20"/>
                <w:szCs w:val="20"/>
              </w:rPr>
              <w:t>-</w:t>
            </w:r>
          </w:p>
        </w:tc>
        <w:tc>
          <w:tcPr>
            <w:tcW w:w="1659" w:type="dxa"/>
            <w:shd w:val="clear" w:color="auto" w:fill="auto"/>
          </w:tcPr>
          <w:p w14:paraId="61C178A3"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563DDDDB"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75D8817A" w14:textId="77777777" w:rsidTr="00CA76EE">
        <w:trPr>
          <w:trHeight w:val="340"/>
        </w:trPr>
        <w:tc>
          <w:tcPr>
            <w:tcW w:w="2617" w:type="dxa"/>
            <w:gridSpan w:val="2"/>
            <w:shd w:val="clear" w:color="auto" w:fill="D9D9D9" w:themeFill="background1" w:themeFillShade="D9"/>
            <w:noWrap/>
            <w:hideMark/>
          </w:tcPr>
          <w:p w14:paraId="0721669F" w14:textId="77777777" w:rsidR="00580371" w:rsidRPr="0021130E" w:rsidRDefault="00580371" w:rsidP="00CA76EE">
            <w:pPr>
              <w:rPr>
                <w:color w:val="000000" w:themeColor="text1"/>
                <w:sz w:val="20"/>
                <w:szCs w:val="20"/>
              </w:rPr>
            </w:pPr>
            <w:r w:rsidRPr="0021130E">
              <w:rPr>
                <w:color w:val="000000" w:themeColor="text1"/>
                <w:sz w:val="20"/>
                <w:szCs w:val="20"/>
              </w:rPr>
              <w:t>Luge</w:t>
            </w:r>
          </w:p>
        </w:tc>
        <w:tc>
          <w:tcPr>
            <w:tcW w:w="1899" w:type="dxa"/>
            <w:tcBorders>
              <w:left w:val="nil"/>
            </w:tcBorders>
            <w:shd w:val="clear" w:color="auto" w:fill="D9D9D9" w:themeFill="background1" w:themeFillShade="D9"/>
            <w:noWrap/>
            <w:hideMark/>
          </w:tcPr>
          <w:p w14:paraId="276A83A2" w14:textId="77777777" w:rsidR="00580371" w:rsidRPr="0021130E" w:rsidRDefault="00580371" w:rsidP="00CA76EE">
            <w:pPr>
              <w:jc w:val="center"/>
              <w:rPr>
                <w:color w:val="000000" w:themeColor="text1"/>
                <w:sz w:val="20"/>
                <w:szCs w:val="20"/>
              </w:rPr>
            </w:pPr>
            <w:r w:rsidRPr="00B45F14">
              <w:rPr>
                <w:color w:val="000000" w:themeColor="text1"/>
                <w:sz w:val="20"/>
                <w:szCs w:val="20"/>
              </w:rPr>
              <w:t>4 (3/1)</w:t>
            </w:r>
          </w:p>
        </w:tc>
        <w:tc>
          <w:tcPr>
            <w:tcW w:w="1720" w:type="dxa"/>
            <w:shd w:val="clear" w:color="auto" w:fill="D9D9D9" w:themeFill="background1" w:themeFillShade="D9"/>
            <w:noWrap/>
          </w:tcPr>
          <w:p w14:paraId="3C489539" w14:textId="77777777" w:rsidR="00580371" w:rsidRPr="0021130E" w:rsidRDefault="00580371" w:rsidP="00CA76EE">
            <w:pPr>
              <w:jc w:val="center"/>
              <w:rPr>
                <w:color w:val="000000" w:themeColor="text1"/>
                <w:sz w:val="20"/>
                <w:szCs w:val="20"/>
              </w:rPr>
            </w:pPr>
            <w:r w:rsidRPr="0021130E">
              <w:rPr>
                <w:color w:val="000000" w:themeColor="text1"/>
                <w:sz w:val="20"/>
                <w:szCs w:val="20"/>
              </w:rPr>
              <w:t>2 (2/0)</w:t>
            </w:r>
          </w:p>
        </w:tc>
        <w:tc>
          <w:tcPr>
            <w:tcW w:w="1659" w:type="dxa"/>
            <w:shd w:val="clear" w:color="auto" w:fill="D9D9D9" w:themeFill="background1" w:themeFillShade="D9"/>
          </w:tcPr>
          <w:p w14:paraId="47918E76"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D9D9D9" w:themeFill="background1" w:themeFillShade="D9"/>
          </w:tcPr>
          <w:p w14:paraId="36132E24"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D9D9D9" w:themeFill="background1" w:themeFillShade="D9"/>
          </w:tcPr>
          <w:p w14:paraId="18DDFCCA" w14:textId="77777777" w:rsidR="00580371" w:rsidRPr="0021130E" w:rsidRDefault="00580371" w:rsidP="00CA76EE">
            <w:pPr>
              <w:jc w:val="center"/>
              <w:rPr>
                <w:color w:val="000000" w:themeColor="text1"/>
                <w:sz w:val="20"/>
                <w:szCs w:val="20"/>
              </w:rPr>
            </w:pPr>
            <w:r w:rsidRPr="0021130E">
              <w:rPr>
                <w:color w:val="000000" w:themeColor="text1"/>
                <w:sz w:val="20"/>
                <w:szCs w:val="20"/>
              </w:rPr>
              <w:t>2 (2/0)</w:t>
            </w:r>
          </w:p>
        </w:tc>
        <w:tc>
          <w:tcPr>
            <w:tcW w:w="1659" w:type="dxa"/>
            <w:shd w:val="clear" w:color="auto" w:fill="D9D9D9" w:themeFill="background1" w:themeFillShade="D9"/>
          </w:tcPr>
          <w:p w14:paraId="17377F77"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D9D9D9" w:themeFill="background1" w:themeFillShade="D9"/>
          </w:tcPr>
          <w:p w14:paraId="4721C6E8"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725793AC" w14:textId="77777777" w:rsidTr="00CA76EE">
        <w:trPr>
          <w:trHeight w:val="340"/>
        </w:trPr>
        <w:tc>
          <w:tcPr>
            <w:tcW w:w="2617" w:type="dxa"/>
            <w:gridSpan w:val="2"/>
            <w:shd w:val="clear" w:color="auto" w:fill="auto"/>
            <w:noWrap/>
            <w:hideMark/>
          </w:tcPr>
          <w:p w14:paraId="0DEC254D" w14:textId="77777777" w:rsidR="00580371" w:rsidRPr="0021130E" w:rsidRDefault="00580371" w:rsidP="00CA76EE">
            <w:pPr>
              <w:rPr>
                <w:color w:val="000000" w:themeColor="text1"/>
                <w:sz w:val="20"/>
                <w:szCs w:val="20"/>
              </w:rPr>
            </w:pPr>
            <w:r w:rsidRPr="0021130E">
              <w:rPr>
                <w:color w:val="000000" w:themeColor="text1"/>
                <w:sz w:val="20"/>
                <w:szCs w:val="20"/>
              </w:rPr>
              <w:t>Short tr. sp. skating</w:t>
            </w:r>
          </w:p>
        </w:tc>
        <w:tc>
          <w:tcPr>
            <w:tcW w:w="1899" w:type="dxa"/>
            <w:tcBorders>
              <w:left w:val="nil"/>
            </w:tcBorders>
            <w:shd w:val="clear" w:color="auto" w:fill="auto"/>
            <w:noWrap/>
            <w:hideMark/>
          </w:tcPr>
          <w:p w14:paraId="375FB7BE" w14:textId="77777777" w:rsidR="00580371" w:rsidRPr="0021130E" w:rsidRDefault="00580371" w:rsidP="00CA76EE">
            <w:pPr>
              <w:jc w:val="center"/>
              <w:rPr>
                <w:color w:val="000000" w:themeColor="text1"/>
                <w:sz w:val="20"/>
                <w:szCs w:val="20"/>
              </w:rPr>
            </w:pPr>
            <w:r w:rsidRPr="0021130E">
              <w:rPr>
                <w:color w:val="000000" w:themeColor="text1"/>
                <w:sz w:val="20"/>
                <w:szCs w:val="20"/>
              </w:rPr>
              <w:t>7 (3/4)</w:t>
            </w:r>
          </w:p>
        </w:tc>
        <w:tc>
          <w:tcPr>
            <w:tcW w:w="1720" w:type="dxa"/>
            <w:shd w:val="clear" w:color="auto" w:fill="auto"/>
            <w:noWrap/>
          </w:tcPr>
          <w:p w14:paraId="6E18B369" w14:textId="77777777" w:rsidR="00580371" w:rsidRPr="0021130E" w:rsidRDefault="00580371" w:rsidP="00CA76EE">
            <w:pPr>
              <w:jc w:val="center"/>
              <w:rPr>
                <w:color w:val="000000" w:themeColor="text1"/>
                <w:sz w:val="20"/>
                <w:szCs w:val="20"/>
              </w:rPr>
            </w:pPr>
            <w:r w:rsidRPr="0021130E">
              <w:rPr>
                <w:color w:val="000000" w:themeColor="text1"/>
                <w:sz w:val="20"/>
                <w:szCs w:val="20"/>
              </w:rPr>
              <w:t>5 (3/2)</w:t>
            </w:r>
          </w:p>
        </w:tc>
        <w:tc>
          <w:tcPr>
            <w:tcW w:w="1659" w:type="dxa"/>
            <w:shd w:val="clear" w:color="auto" w:fill="auto"/>
          </w:tcPr>
          <w:p w14:paraId="44A7B69C"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71155510"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5A6D3136" w14:textId="77777777" w:rsidR="00580371" w:rsidRPr="0021130E" w:rsidRDefault="00580371" w:rsidP="00CA76EE">
            <w:pPr>
              <w:jc w:val="center"/>
              <w:rPr>
                <w:color w:val="000000" w:themeColor="text1"/>
                <w:sz w:val="20"/>
                <w:szCs w:val="20"/>
              </w:rPr>
            </w:pPr>
            <w:r w:rsidRPr="0021130E">
              <w:rPr>
                <w:color w:val="000000" w:themeColor="text1"/>
                <w:sz w:val="20"/>
                <w:szCs w:val="20"/>
              </w:rPr>
              <w:t>2 (1/1)</w:t>
            </w:r>
          </w:p>
        </w:tc>
        <w:tc>
          <w:tcPr>
            <w:tcW w:w="1659" w:type="dxa"/>
            <w:shd w:val="clear" w:color="auto" w:fill="auto"/>
          </w:tcPr>
          <w:p w14:paraId="2A05BBC3"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3900E4D5"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265D2136" w14:textId="77777777" w:rsidTr="00CA76EE">
        <w:trPr>
          <w:trHeight w:val="340"/>
        </w:trPr>
        <w:tc>
          <w:tcPr>
            <w:tcW w:w="2617" w:type="dxa"/>
            <w:gridSpan w:val="2"/>
            <w:shd w:val="clear" w:color="auto" w:fill="D9D9D9" w:themeFill="background1" w:themeFillShade="D9"/>
            <w:noWrap/>
            <w:hideMark/>
          </w:tcPr>
          <w:p w14:paraId="24C91496" w14:textId="77777777" w:rsidR="00580371" w:rsidRPr="0021130E" w:rsidRDefault="00580371" w:rsidP="00CA76EE">
            <w:pPr>
              <w:rPr>
                <w:color w:val="000000" w:themeColor="text1"/>
                <w:sz w:val="20"/>
                <w:szCs w:val="20"/>
              </w:rPr>
            </w:pPr>
            <w:r w:rsidRPr="0021130E">
              <w:rPr>
                <w:color w:val="000000" w:themeColor="text1"/>
                <w:sz w:val="20"/>
                <w:szCs w:val="20"/>
              </w:rPr>
              <w:t>Skeleton</w:t>
            </w:r>
          </w:p>
        </w:tc>
        <w:tc>
          <w:tcPr>
            <w:tcW w:w="1899" w:type="dxa"/>
            <w:tcBorders>
              <w:left w:val="nil"/>
            </w:tcBorders>
            <w:shd w:val="clear" w:color="auto" w:fill="D9D9D9" w:themeFill="background1" w:themeFillShade="D9"/>
            <w:noWrap/>
            <w:hideMark/>
          </w:tcPr>
          <w:p w14:paraId="512795EF" w14:textId="77777777" w:rsidR="00580371" w:rsidRPr="0021130E" w:rsidRDefault="00580371" w:rsidP="00CA76EE">
            <w:pPr>
              <w:jc w:val="center"/>
              <w:rPr>
                <w:color w:val="000000" w:themeColor="text1"/>
                <w:sz w:val="20"/>
                <w:szCs w:val="20"/>
              </w:rPr>
            </w:pPr>
            <w:r w:rsidRPr="0021130E">
              <w:rPr>
                <w:color w:val="000000" w:themeColor="text1"/>
                <w:sz w:val="20"/>
                <w:szCs w:val="20"/>
              </w:rPr>
              <w:t>1 (0/1)</w:t>
            </w:r>
          </w:p>
        </w:tc>
        <w:tc>
          <w:tcPr>
            <w:tcW w:w="1720" w:type="dxa"/>
            <w:shd w:val="clear" w:color="auto" w:fill="D9D9D9" w:themeFill="background1" w:themeFillShade="D9"/>
            <w:noWrap/>
          </w:tcPr>
          <w:p w14:paraId="76AFCAB0" w14:textId="77777777" w:rsidR="00580371" w:rsidRPr="0021130E" w:rsidRDefault="00580371" w:rsidP="00CA76EE">
            <w:pPr>
              <w:jc w:val="center"/>
              <w:rPr>
                <w:color w:val="000000" w:themeColor="text1"/>
                <w:sz w:val="20"/>
                <w:szCs w:val="20"/>
              </w:rPr>
            </w:pPr>
            <w:r w:rsidRPr="0021130E">
              <w:rPr>
                <w:color w:val="000000" w:themeColor="text1"/>
                <w:sz w:val="20"/>
                <w:szCs w:val="20"/>
              </w:rPr>
              <w:t>-</w:t>
            </w:r>
          </w:p>
        </w:tc>
        <w:tc>
          <w:tcPr>
            <w:tcW w:w="1659" w:type="dxa"/>
            <w:shd w:val="clear" w:color="auto" w:fill="D9D9D9" w:themeFill="background1" w:themeFillShade="D9"/>
          </w:tcPr>
          <w:p w14:paraId="50FFAC1C"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D9D9D9" w:themeFill="background1" w:themeFillShade="D9"/>
          </w:tcPr>
          <w:p w14:paraId="7B7A96D8"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D9D9D9" w:themeFill="background1" w:themeFillShade="D9"/>
          </w:tcPr>
          <w:p w14:paraId="28F9D328" w14:textId="77777777" w:rsidR="00580371" w:rsidRPr="0021130E" w:rsidRDefault="00580371" w:rsidP="00CA76EE">
            <w:pPr>
              <w:jc w:val="center"/>
              <w:rPr>
                <w:color w:val="000000" w:themeColor="text1"/>
                <w:sz w:val="20"/>
                <w:szCs w:val="20"/>
              </w:rPr>
            </w:pPr>
            <w:r w:rsidRPr="0021130E">
              <w:rPr>
                <w:color w:val="000000" w:themeColor="text1"/>
                <w:sz w:val="20"/>
                <w:szCs w:val="20"/>
              </w:rPr>
              <w:t>-</w:t>
            </w:r>
          </w:p>
        </w:tc>
        <w:tc>
          <w:tcPr>
            <w:tcW w:w="1659" w:type="dxa"/>
            <w:shd w:val="clear" w:color="auto" w:fill="D9D9D9" w:themeFill="background1" w:themeFillShade="D9"/>
          </w:tcPr>
          <w:p w14:paraId="13267495"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D9D9D9" w:themeFill="background1" w:themeFillShade="D9"/>
          </w:tcPr>
          <w:p w14:paraId="455343CE"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533C0549" w14:textId="77777777" w:rsidTr="00CA76EE">
        <w:trPr>
          <w:trHeight w:val="340"/>
        </w:trPr>
        <w:tc>
          <w:tcPr>
            <w:tcW w:w="2617" w:type="dxa"/>
            <w:gridSpan w:val="2"/>
            <w:shd w:val="clear" w:color="auto" w:fill="auto"/>
            <w:noWrap/>
            <w:hideMark/>
          </w:tcPr>
          <w:p w14:paraId="5DCFD341" w14:textId="77777777" w:rsidR="00580371" w:rsidRPr="0021130E" w:rsidRDefault="00580371" w:rsidP="00CA76EE">
            <w:pPr>
              <w:rPr>
                <w:color w:val="000000" w:themeColor="text1"/>
                <w:sz w:val="20"/>
                <w:szCs w:val="20"/>
              </w:rPr>
            </w:pPr>
            <w:r w:rsidRPr="0021130E">
              <w:rPr>
                <w:color w:val="000000" w:themeColor="text1"/>
                <w:sz w:val="20"/>
                <w:szCs w:val="20"/>
              </w:rPr>
              <w:t>Skiing: freestyle</w:t>
            </w:r>
          </w:p>
        </w:tc>
        <w:tc>
          <w:tcPr>
            <w:tcW w:w="1899" w:type="dxa"/>
            <w:tcBorders>
              <w:left w:val="nil"/>
            </w:tcBorders>
            <w:shd w:val="clear" w:color="auto" w:fill="auto"/>
            <w:noWrap/>
            <w:hideMark/>
          </w:tcPr>
          <w:p w14:paraId="08E85F20"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720" w:type="dxa"/>
            <w:shd w:val="clear" w:color="auto" w:fill="auto"/>
            <w:noWrap/>
          </w:tcPr>
          <w:p w14:paraId="5596016D"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76C19247"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auto"/>
          </w:tcPr>
          <w:p w14:paraId="7B15AC45"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auto"/>
          </w:tcPr>
          <w:p w14:paraId="097EC449"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auto"/>
          </w:tcPr>
          <w:p w14:paraId="5F3CE9AD"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auto"/>
          </w:tcPr>
          <w:p w14:paraId="3EDD84CA"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4DA4691F" w14:textId="77777777" w:rsidTr="00CA76EE">
        <w:trPr>
          <w:trHeight w:val="340"/>
        </w:trPr>
        <w:tc>
          <w:tcPr>
            <w:tcW w:w="2617" w:type="dxa"/>
            <w:gridSpan w:val="2"/>
            <w:shd w:val="clear" w:color="auto" w:fill="D9D9D9" w:themeFill="background1" w:themeFillShade="D9"/>
            <w:noWrap/>
            <w:hideMark/>
          </w:tcPr>
          <w:p w14:paraId="40A39B6F" w14:textId="77777777" w:rsidR="00580371" w:rsidRPr="0021130E" w:rsidRDefault="00580371" w:rsidP="00CA76EE">
            <w:pPr>
              <w:rPr>
                <w:color w:val="000000" w:themeColor="text1"/>
                <w:sz w:val="20"/>
                <w:szCs w:val="20"/>
              </w:rPr>
            </w:pPr>
            <w:r w:rsidRPr="0021130E">
              <w:rPr>
                <w:color w:val="000000" w:themeColor="text1"/>
                <w:sz w:val="20"/>
                <w:szCs w:val="20"/>
              </w:rPr>
              <w:t>Speed skating</w:t>
            </w:r>
          </w:p>
        </w:tc>
        <w:tc>
          <w:tcPr>
            <w:tcW w:w="1899" w:type="dxa"/>
            <w:tcBorders>
              <w:left w:val="nil"/>
            </w:tcBorders>
            <w:shd w:val="clear" w:color="auto" w:fill="D9D9D9" w:themeFill="background1" w:themeFillShade="D9"/>
            <w:noWrap/>
            <w:hideMark/>
          </w:tcPr>
          <w:p w14:paraId="5F8EC9F6" w14:textId="77777777" w:rsidR="00580371" w:rsidRPr="0021130E" w:rsidRDefault="00580371" w:rsidP="00CA76EE">
            <w:pPr>
              <w:jc w:val="center"/>
              <w:rPr>
                <w:color w:val="000000" w:themeColor="text1"/>
                <w:sz w:val="20"/>
                <w:szCs w:val="20"/>
              </w:rPr>
            </w:pPr>
            <w:r w:rsidRPr="0021130E">
              <w:rPr>
                <w:color w:val="000000" w:themeColor="text1"/>
                <w:sz w:val="20"/>
                <w:szCs w:val="20"/>
              </w:rPr>
              <w:t>2 (2/0)</w:t>
            </w:r>
          </w:p>
        </w:tc>
        <w:tc>
          <w:tcPr>
            <w:tcW w:w="1720" w:type="dxa"/>
            <w:shd w:val="clear" w:color="auto" w:fill="D9D9D9" w:themeFill="background1" w:themeFillShade="D9"/>
            <w:noWrap/>
          </w:tcPr>
          <w:p w14:paraId="03E6DE01" w14:textId="77777777" w:rsidR="00580371" w:rsidRPr="0021130E" w:rsidRDefault="00580371" w:rsidP="00CA76EE">
            <w:pPr>
              <w:jc w:val="center"/>
              <w:rPr>
                <w:color w:val="000000" w:themeColor="text1"/>
                <w:sz w:val="20"/>
                <w:szCs w:val="20"/>
              </w:rPr>
            </w:pPr>
            <w:r w:rsidRPr="0021130E">
              <w:rPr>
                <w:color w:val="000000" w:themeColor="text1"/>
                <w:sz w:val="20"/>
                <w:szCs w:val="20"/>
              </w:rPr>
              <w:t>1 (1/0)</w:t>
            </w:r>
          </w:p>
        </w:tc>
        <w:tc>
          <w:tcPr>
            <w:tcW w:w="1659" w:type="dxa"/>
            <w:shd w:val="clear" w:color="auto" w:fill="D9D9D9" w:themeFill="background1" w:themeFillShade="D9"/>
          </w:tcPr>
          <w:p w14:paraId="4ADF7499"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726" w:type="dxa"/>
            <w:shd w:val="clear" w:color="auto" w:fill="D9D9D9" w:themeFill="background1" w:themeFillShade="D9"/>
          </w:tcPr>
          <w:p w14:paraId="7989002C"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696" w:type="dxa"/>
            <w:shd w:val="clear" w:color="auto" w:fill="D9D9D9" w:themeFill="background1" w:themeFillShade="D9"/>
            <w:hideMark/>
          </w:tcPr>
          <w:p w14:paraId="17D89C16" w14:textId="77777777" w:rsidR="00580371" w:rsidRPr="0021130E" w:rsidRDefault="00580371" w:rsidP="00CA76EE">
            <w:pPr>
              <w:jc w:val="center"/>
              <w:rPr>
                <w:color w:val="000000" w:themeColor="text1"/>
                <w:sz w:val="20"/>
                <w:szCs w:val="20"/>
              </w:rPr>
            </w:pPr>
            <w:r w:rsidRPr="0021130E">
              <w:rPr>
                <w:color w:val="000000" w:themeColor="text1"/>
                <w:sz w:val="20"/>
                <w:szCs w:val="20"/>
              </w:rPr>
              <w:t>-</w:t>
            </w:r>
          </w:p>
        </w:tc>
        <w:tc>
          <w:tcPr>
            <w:tcW w:w="1659" w:type="dxa"/>
            <w:shd w:val="clear" w:color="auto" w:fill="D9D9D9" w:themeFill="background1" w:themeFillShade="D9"/>
          </w:tcPr>
          <w:p w14:paraId="6BE8B475" w14:textId="77777777" w:rsidR="00580371" w:rsidRPr="0021130E" w:rsidRDefault="00580371" w:rsidP="00CA76EE">
            <w:pPr>
              <w:jc w:val="center"/>
              <w:rPr>
                <w:color w:val="000000" w:themeColor="text1"/>
                <w:sz w:val="20"/>
                <w:szCs w:val="20"/>
              </w:rPr>
            </w:pPr>
            <w:r>
              <w:rPr>
                <w:color w:val="000000" w:themeColor="text1"/>
                <w:sz w:val="20"/>
                <w:szCs w:val="20"/>
              </w:rPr>
              <w:t>-</w:t>
            </w:r>
          </w:p>
        </w:tc>
        <w:tc>
          <w:tcPr>
            <w:tcW w:w="1860" w:type="dxa"/>
            <w:shd w:val="clear" w:color="auto" w:fill="D9D9D9" w:themeFill="background1" w:themeFillShade="D9"/>
          </w:tcPr>
          <w:p w14:paraId="595FDCBF" w14:textId="77777777" w:rsidR="00580371" w:rsidRPr="0021130E" w:rsidRDefault="00580371" w:rsidP="00CA76EE">
            <w:pPr>
              <w:jc w:val="center"/>
              <w:rPr>
                <w:color w:val="000000" w:themeColor="text1"/>
                <w:sz w:val="20"/>
                <w:szCs w:val="20"/>
              </w:rPr>
            </w:pPr>
            <w:r>
              <w:rPr>
                <w:color w:val="000000" w:themeColor="text1"/>
                <w:sz w:val="20"/>
                <w:szCs w:val="20"/>
              </w:rPr>
              <w:t>-</w:t>
            </w:r>
          </w:p>
        </w:tc>
      </w:tr>
      <w:tr w:rsidR="00580371" w:rsidRPr="0021130E" w14:paraId="2B21BAB8" w14:textId="77777777" w:rsidTr="00CA76EE">
        <w:trPr>
          <w:trHeight w:val="340"/>
        </w:trPr>
        <w:tc>
          <w:tcPr>
            <w:tcW w:w="2617" w:type="dxa"/>
            <w:gridSpan w:val="2"/>
            <w:shd w:val="clear" w:color="auto" w:fill="auto"/>
            <w:noWrap/>
            <w:hideMark/>
          </w:tcPr>
          <w:p w14:paraId="3761AD05" w14:textId="77777777" w:rsidR="00580371" w:rsidRPr="0021130E" w:rsidRDefault="00580371" w:rsidP="00CA76EE">
            <w:pPr>
              <w:rPr>
                <w:color w:val="000000" w:themeColor="text1"/>
                <w:sz w:val="20"/>
                <w:szCs w:val="20"/>
              </w:rPr>
            </w:pPr>
            <w:r w:rsidRPr="0021130E">
              <w:rPr>
                <w:color w:val="000000" w:themeColor="text1"/>
                <w:sz w:val="20"/>
                <w:szCs w:val="20"/>
              </w:rPr>
              <w:lastRenderedPageBreak/>
              <w:t>Total Summer Sports</w:t>
            </w:r>
          </w:p>
        </w:tc>
        <w:tc>
          <w:tcPr>
            <w:tcW w:w="1899" w:type="dxa"/>
            <w:tcBorders>
              <w:left w:val="nil"/>
            </w:tcBorders>
            <w:shd w:val="clear" w:color="auto" w:fill="auto"/>
            <w:noWrap/>
            <w:hideMark/>
          </w:tcPr>
          <w:p w14:paraId="39375BBA" w14:textId="77777777" w:rsidR="00580371" w:rsidRPr="0021130E" w:rsidRDefault="00580371" w:rsidP="00CA76EE">
            <w:pPr>
              <w:jc w:val="center"/>
              <w:rPr>
                <w:color w:val="000000" w:themeColor="text1"/>
                <w:sz w:val="20"/>
                <w:szCs w:val="20"/>
              </w:rPr>
            </w:pPr>
            <w:r w:rsidRPr="0021130E">
              <w:rPr>
                <w:color w:val="000000" w:themeColor="text1"/>
                <w:sz w:val="20"/>
                <w:szCs w:val="20"/>
              </w:rPr>
              <w:t>548 (320/228)</w:t>
            </w:r>
          </w:p>
        </w:tc>
        <w:tc>
          <w:tcPr>
            <w:tcW w:w="1720" w:type="dxa"/>
            <w:shd w:val="clear" w:color="auto" w:fill="auto"/>
            <w:noWrap/>
          </w:tcPr>
          <w:p w14:paraId="1BC6D048" w14:textId="77777777" w:rsidR="00580371" w:rsidRPr="0021130E" w:rsidRDefault="00580371" w:rsidP="00CA76EE">
            <w:pPr>
              <w:jc w:val="center"/>
              <w:rPr>
                <w:color w:val="000000" w:themeColor="text1"/>
                <w:sz w:val="20"/>
                <w:szCs w:val="20"/>
              </w:rPr>
            </w:pPr>
            <w:r w:rsidRPr="0021130E">
              <w:rPr>
                <w:color w:val="000000" w:themeColor="text1"/>
                <w:sz w:val="20"/>
                <w:szCs w:val="20"/>
              </w:rPr>
              <w:t>176 (99/77)</w:t>
            </w:r>
          </w:p>
        </w:tc>
        <w:tc>
          <w:tcPr>
            <w:tcW w:w="1659" w:type="dxa"/>
            <w:shd w:val="clear" w:color="auto" w:fill="auto"/>
          </w:tcPr>
          <w:p w14:paraId="3531083D" w14:textId="77777777" w:rsidR="00580371" w:rsidRPr="0021130E" w:rsidRDefault="00580371" w:rsidP="00CA76EE">
            <w:pPr>
              <w:jc w:val="center"/>
              <w:rPr>
                <w:color w:val="000000" w:themeColor="text1"/>
                <w:sz w:val="20"/>
                <w:szCs w:val="20"/>
              </w:rPr>
            </w:pPr>
            <w:r w:rsidRPr="0021130E">
              <w:rPr>
                <w:color w:val="000000" w:themeColor="text1"/>
                <w:sz w:val="20"/>
                <w:szCs w:val="20"/>
              </w:rPr>
              <w:t>32.1</w:t>
            </w:r>
          </w:p>
        </w:tc>
        <w:tc>
          <w:tcPr>
            <w:tcW w:w="1726" w:type="dxa"/>
            <w:shd w:val="clear" w:color="auto" w:fill="auto"/>
          </w:tcPr>
          <w:p w14:paraId="3515DAD6" w14:textId="77777777" w:rsidR="00580371" w:rsidRPr="0021130E" w:rsidRDefault="00580371" w:rsidP="00CA76EE">
            <w:pPr>
              <w:jc w:val="center"/>
              <w:rPr>
                <w:color w:val="000000" w:themeColor="text1"/>
                <w:sz w:val="20"/>
                <w:szCs w:val="20"/>
              </w:rPr>
            </w:pPr>
            <w:r w:rsidRPr="0021130E">
              <w:rPr>
                <w:color w:val="000000" w:themeColor="text1"/>
                <w:sz w:val="20"/>
                <w:szCs w:val="20"/>
              </w:rPr>
              <w:t>28.2 to 36.0</w:t>
            </w:r>
          </w:p>
        </w:tc>
        <w:tc>
          <w:tcPr>
            <w:tcW w:w="1696" w:type="dxa"/>
            <w:shd w:val="clear" w:color="auto" w:fill="auto"/>
          </w:tcPr>
          <w:p w14:paraId="227912F2" w14:textId="77777777" w:rsidR="00580371" w:rsidRPr="0021130E" w:rsidRDefault="00580371" w:rsidP="00CA76EE">
            <w:pPr>
              <w:jc w:val="center"/>
              <w:rPr>
                <w:color w:val="000000" w:themeColor="text1"/>
                <w:sz w:val="20"/>
                <w:szCs w:val="20"/>
              </w:rPr>
            </w:pPr>
            <w:r w:rsidRPr="0021130E">
              <w:rPr>
                <w:color w:val="000000" w:themeColor="text1"/>
                <w:sz w:val="20"/>
                <w:szCs w:val="20"/>
              </w:rPr>
              <w:t>120 (65/55)</w:t>
            </w:r>
          </w:p>
        </w:tc>
        <w:tc>
          <w:tcPr>
            <w:tcW w:w="1659" w:type="dxa"/>
            <w:shd w:val="clear" w:color="auto" w:fill="auto"/>
          </w:tcPr>
          <w:p w14:paraId="19D8812B" w14:textId="77777777" w:rsidR="00580371" w:rsidRPr="0021130E" w:rsidRDefault="00580371" w:rsidP="00CA76EE">
            <w:pPr>
              <w:jc w:val="center"/>
              <w:rPr>
                <w:color w:val="000000" w:themeColor="text1"/>
                <w:sz w:val="20"/>
                <w:szCs w:val="20"/>
              </w:rPr>
            </w:pPr>
            <w:r w:rsidRPr="0021130E">
              <w:rPr>
                <w:color w:val="000000" w:themeColor="text1"/>
                <w:sz w:val="20"/>
                <w:szCs w:val="20"/>
              </w:rPr>
              <w:t>21.9</w:t>
            </w:r>
          </w:p>
        </w:tc>
        <w:tc>
          <w:tcPr>
            <w:tcW w:w="1860" w:type="dxa"/>
            <w:shd w:val="clear" w:color="auto" w:fill="auto"/>
          </w:tcPr>
          <w:p w14:paraId="21E00B64" w14:textId="77777777" w:rsidR="00580371" w:rsidRPr="0021130E" w:rsidRDefault="00580371" w:rsidP="00CA76EE">
            <w:pPr>
              <w:jc w:val="center"/>
              <w:rPr>
                <w:color w:val="000000" w:themeColor="text1"/>
                <w:sz w:val="20"/>
                <w:szCs w:val="20"/>
              </w:rPr>
            </w:pPr>
            <w:r w:rsidRPr="0021130E">
              <w:rPr>
                <w:color w:val="000000" w:themeColor="text1"/>
                <w:sz w:val="20"/>
                <w:szCs w:val="20"/>
              </w:rPr>
              <w:t>18.4 to 25.4</w:t>
            </w:r>
          </w:p>
        </w:tc>
      </w:tr>
      <w:tr w:rsidR="00580371" w:rsidRPr="0021130E" w14:paraId="7459B64E" w14:textId="77777777" w:rsidTr="00CA76EE">
        <w:trPr>
          <w:trHeight w:val="340"/>
        </w:trPr>
        <w:tc>
          <w:tcPr>
            <w:tcW w:w="2617" w:type="dxa"/>
            <w:gridSpan w:val="2"/>
            <w:tcBorders>
              <w:bottom w:val="single" w:sz="4" w:space="0" w:color="auto"/>
            </w:tcBorders>
            <w:shd w:val="clear" w:color="auto" w:fill="D9D9D9" w:themeFill="background1" w:themeFillShade="D9"/>
            <w:noWrap/>
            <w:hideMark/>
          </w:tcPr>
          <w:p w14:paraId="4804F1F2" w14:textId="77777777" w:rsidR="00580371" w:rsidRPr="0021130E" w:rsidRDefault="00580371" w:rsidP="00CA76EE">
            <w:pPr>
              <w:rPr>
                <w:color w:val="000000" w:themeColor="text1"/>
                <w:sz w:val="20"/>
                <w:szCs w:val="20"/>
              </w:rPr>
            </w:pPr>
            <w:r w:rsidRPr="0021130E">
              <w:rPr>
                <w:color w:val="000000" w:themeColor="text1"/>
                <w:sz w:val="20"/>
                <w:szCs w:val="20"/>
              </w:rPr>
              <w:t>Total Winter Sports</w:t>
            </w:r>
          </w:p>
        </w:tc>
        <w:tc>
          <w:tcPr>
            <w:tcW w:w="1899" w:type="dxa"/>
            <w:tcBorders>
              <w:left w:val="nil"/>
              <w:bottom w:val="single" w:sz="4" w:space="0" w:color="auto"/>
            </w:tcBorders>
            <w:shd w:val="clear" w:color="auto" w:fill="D9D9D9" w:themeFill="background1" w:themeFillShade="D9"/>
            <w:noWrap/>
            <w:hideMark/>
          </w:tcPr>
          <w:p w14:paraId="00C2A73C" w14:textId="77777777" w:rsidR="00580371" w:rsidRPr="0021130E" w:rsidRDefault="00580371" w:rsidP="00CA76EE">
            <w:pPr>
              <w:jc w:val="center"/>
              <w:rPr>
                <w:color w:val="000000" w:themeColor="text1"/>
                <w:sz w:val="20"/>
                <w:szCs w:val="20"/>
              </w:rPr>
            </w:pPr>
            <w:r w:rsidRPr="0021130E">
              <w:rPr>
                <w:color w:val="000000" w:themeColor="text1"/>
                <w:sz w:val="20"/>
                <w:szCs w:val="20"/>
              </w:rPr>
              <w:t>65 (42/23)</w:t>
            </w:r>
          </w:p>
        </w:tc>
        <w:tc>
          <w:tcPr>
            <w:tcW w:w="1720" w:type="dxa"/>
            <w:tcBorders>
              <w:bottom w:val="single" w:sz="4" w:space="0" w:color="auto"/>
            </w:tcBorders>
            <w:shd w:val="clear" w:color="auto" w:fill="D9D9D9" w:themeFill="background1" w:themeFillShade="D9"/>
            <w:noWrap/>
          </w:tcPr>
          <w:p w14:paraId="469665DD" w14:textId="77777777" w:rsidR="00580371" w:rsidRPr="0021130E" w:rsidRDefault="00580371" w:rsidP="00CA76EE">
            <w:pPr>
              <w:jc w:val="center"/>
              <w:rPr>
                <w:color w:val="000000" w:themeColor="text1"/>
                <w:sz w:val="20"/>
                <w:szCs w:val="20"/>
              </w:rPr>
            </w:pPr>
            <w:r w:rsidRPr="0021130E">
              <w:rPr>
                <w:color w:val="000000" w:themeColor="text1"/>
                <w:sz w:val="20"/>
                <w:szCs w:val="20"/>
              </w:rPr>
              <w:t>21 (15/6)</w:t>
            </w:r>
          </w:p>
        </w:tc>
        <w:tc>
          <w:tcPr>
            <w:tcW w:w="1659" w:type="dxa"/>
            <w:tcBorders>
              <w:bottom w:val="single" w:sz="4" w:space="0" w:color="auto"/>
            </w:tcBorders>
            <w:shd w:val="clear" w:color="auto" w:fill="D9D9D9" w:themeFill="background1" w:themeFillShade="D9"/>
          </w:tcPr>
          <w:p w14:paraId="12CEAA8D" w14:textId="77777777" w:rsidR="00580371" w:rsidRPr="0021130E" w:rsidRDefault="00580371" w:rsidP="00CA76EE">
            <w:pPr>
              <w:jc w:val="center"/>
              <w:rPr>
                <w:color w:val="000000" w:themeColor="text1"/>
                <w:sz w:val="20"/>
                <w:szCs w:val="20"/>
              </w:rPr>
            </w:pPr>
            <w:r w:rsidRPr="0021130E">
              <w:rPr>
                <w:color w:val="000000" w:themeColor="text1"/>
                <w:sz w:val="20"/>
                <w:szCs w:val="20"/>
              </w:rPr>
              <w:t>32.3</w:t>
            </w:r>
          </w:p>
        </w:tc>
        <w:tc>
          <w:tcPr>
            <w:tcW w:w="1726" w:type="dxa"/>
            <w:tcBorders>
              <w:bottom w:val="single" w:sz="4" w:space="0" w:color="auto"/>
            </w:tcBorders>
            <w:shd w:val="clear" w:color="auto" w:fill="D9D9D9" w:themeFill="background1" w:themeFillShade="D9"/>
          </w:tcPr>
          <w:p w14:paraId="1D71AB4E" w14:textId="77777777" w:rsidR="00580371" w:rsidRPr="0021130E" w:rsidRDefault="00580371" w:rsidP="00CA76EE">
            <w:pPr>
              <w:jc w:val="center"/>
              <w:rPr>
                <w:color w:val="000000" w:themeColor="text1"/>
                <w:sz w:val="20"/>
                <w:szCs w:val="20"/>
              </w:rPr>
            </w:pPr>
            <w:r w:rsidRPr="0021130E">
              <w:rPr>
                <w:color w:val="000000" w:themeColor="text1"/>
                <w:sz w:val="20"/>
                <w:szCs w:val="20"/>
              </w:rPr>
              <w:t>20.6 to 44.0</w:t>
            </w:r>
          </w:p>
        </w:tc>
        <w:tc>
          <w:tcPr>
            <w:tcW w:w="1696" w:type="dxa"/>
            <w:tcBorders>
              <w:bottom w:val="single" w:sz="4" w:space="0" w:color="auto"/>
            </w:tcBorders>
            <w:shd w:val="clear" w:color="auto" w:fill="D9D9D9" w:themeFill="background1" w:themeFillShade="D9"/>
          </w:tcPr>
          <w:p w14:paraId="2CC59F23" w14:textId="77777777" w:rsidR="00580371" w:rsidRPr="0021130E" w:rsidRDefault="00580371" w:rsidP="00CA76EE">
            <w:pPr>
              <w:jc w:val="center"/>
              <w:rPr>
                <w:color w:val="000000" w:themeColor="text1"/>
                <w:sz w:val="20"/>
                <w:szCs w:val="20"/>
              </w:rPr>
            </w:pPr>
            <w:r w:rsidRPr="0021130E">
              <w:rPr>
                <w:color w:val="000000" w:themeColor="text1"/>
                <w:sz w:val="20"/>
                <w:szCs w:val="20"/>
              </w:rPr>
              <w:t>15 (11/4)</w:t>
            </w:r>
          </w:p>
        </w:tc>
        <w:tc>
          <w:tcPr>
            <w:tcW w:w="1659" w:type="dxa"/>
            <w:tcBorders>
              <w:bottom w:val="single" w:sz="4" w:space="0" w:color="auto"/>
            </w:tcBorders>
            <w:shd w:val="clear" w:color="auto" w:fill="D9D9D9" w:themeFill="background1" w:themeFillShade="D9"/>
          </w:tcPr>
          <w:p w14:paraId="3476C65A" w14:textId="77777777" w:rsidR="00580371" w:rsidRPr="0021130E" w:rsidRDefault="00580371" w:rsidP="00CA76EE">
            <w:pPr>
              <w:jc w:val="center"/>
              <w:rPr>
                <w:color w:val="000000" w:themeColor="text1"/>
                <w:sz w:val="20"/>
                <w:szCs w:val="20"/>
              </w:rPr>
            </w:pPr>
            <w:r w:rsidRPr="0021130E">
              <w:rPr>
                <w:color w:val="000000" w:themeColor="text1"/>
                <w:sz w:val="20"/>
                <w:szCs w:val="20"/>
              </w:rPr>
              <w:t>23.1</w:t>
            </w:r>
          </w:p>
        </w:tc>
        <w:tc>
          <w:tcPr>
            <w:tcW w:w="1860" w:type="dxa"/>
            <w:tcBorders>
              <w:bottom w:val="single" w:sz="4" w:space="0" w:color="auto"/>
            </w:tcBorders>
            <w:shd w:val="clear" w:color="auto" w:fill="D9D9D9" w:themeFill="background1" w:themeFillShade="D9"/>
            <w:hideMark/>
          </w:tcPr>
          <w:p w14:paraId="4BA42CDB" w14:textId="77777777" w:rsidR="00580371" w:rsidRPr="0021130E" w:rsidRDefault="00580371" w:rsidP="00CA76EE">
            <w:pPr>
              <w:jc w:val="center"/>
              <w:rPr>
                <w:color w:val="000000" w:themeColor="text1"/>
                <w:sz w:val="20"/>
                <w:szCs w:val="20"/>
              </w:rPr>
            </w:pPr>
            <w:r w:rsidRPr="0021130E">
              <w:rPr>
                <w:color w:val="000000" w:themeColor="text1"/>
                <w:sz w:val="20"/>
                <w:szCs w:val="20"/>
              </w:rPr>
              <w:t>12.6 to 33.6</w:t>
            </w:r>
          </w:p>
        </w:tc>
      </w:tr>
      <w:tr w:rsidR="00580371" w:rsidRPr="0021130E" w14:paraId="62046895" w14:textId="77777777" w:rsidTr="00CA76EE">
        <w:trPr>
          <w:trHeight w:val="340"/>
        </w:trPr>
        <w:tc>
          <w:tcPr>
            <w:tcW w:w="2617" w:type="dxa"/>
            <w:gridSpan w:val="2"/>
            <w:tcBorders>
              <w:top w:val="single" w:sz="4" w:space="0" w:color="auto"/>
              <w:bottom w:val="single" w:sz="4" w:space="0" w:color="auto"/>
            </w:tcBorders>
            <w:shd w:val="clear" w:color="auto" w:fill="auto"/>
            <w:noWrap/>
            <w:hideMark/>
          </w:tcPr>
          <w:p w14:paraId="30B3CBFE" w14:textId="77777777" w:rsidR="00580371" w:rsidRPr="0021130E" w:rsidRDefault="00580371" w:rsidP="00CA76EE">
            <w:pPr>
              <w:rPr>
                <w:b/>
                <w:bCs/>
                <w:color w:val="000000" w:themeColor="text1"/>
                <w:sz w:val="20"/>
                <w:szCs w:val="20"/>
              </w:rPr>
            </w:pPr>
            <w:r w:rsidRPr="0021130E">
              <w:rPr>
                <w:b/>
                <w:bCs/>
                <w:color w:val="000000" w:themeColor="text1"/>
                <w:sz w:val="20"/>
                <w:szCs w:val="20"/>
              </w:rPr>
              <w:t>Overall Total</w:t>
            </w:r>
          </w:p>
        </w:tc>
        <w:tc>
          <w:tcPr>
            <w:tcW w:w="1899" w:type="dxa"/>
            <w:tcBorders>
              <w:top w:val="single" w:sz="4" w:space="0" w:color="auto"/>
              <w:bottom w:val="single" w:sz="4" w:space="0" w:color="auto"/>
            </w:tcBorders>
            <w:shd w:val="clear" w:color="auto" w:fill="auto"/>
            <w:noWrap/>
            <w:hideMark/>
          </w:tcPr>
          <w:p w14:paraId="7CA59A46" w14:textId="77777777" w:rsidR="00580371" w:rsidRPr="0021130E" w:rsidRDefault="00580371" w:rsidP="00CA76EE">
            <w:pPr>
              <w:jc w:val="center"/>
              <w:rPr>
                <w:color w:val="000000" w:themeColor="text1"/>
                <w:sz w:val="20"/>
                <w:szCs w:val="20"/>
              </w:rPr>
            </w:pPr>
            <w:r w:rsidRPr="0021130E">
              <w:rPr>
                <w:color w:val="000000" w:themeColor="text1"/>
                <w:sz w:val="20"/>
                <w:szCs w:val="20"/>
              </w:rPr>
              <w:t>613 (362/251)</w:t>
            </w:r>
          </w:p>
        </w:tc>
        <w:tc>
          <w:tcPr>
            <w:tcW w:w="1720" w:type="dxa"/>
            <w:tcBorders>
              <w:top w:val="single" w:sz="4" w:space="0" w:color="auto"/>
              <w:bottom w:val="single" w:sz="4" w:space="0" w:color="auto"/>
            </w:tcBorders>
            <w:shd w:val="clear" w:color="auto" w:fill="auto"/>
            <w:noWrap/>
          </w:tcPr>
          <w:p w14:paraId="781C68CF" w14:textId="77777777" w:rsidR="00580371" w:rsidRPr="0021130E" w:rsidRDefault="00580371" w:rsidP="00CA76EE">
            <w:pPr>
              <w:jc w:val="center"/>
              <w:rPr>
                <w:color w:val="000000" w:themeColor="text1"/>
                <w:sz w:val="20"/>
                <w:szCs w:val="20"/>
              </w:rPr>
            </w:pPr>
            <w:r w:rsidRPr="0021130E">
              <w:rPr>
                <w:color w:val="000000" w:themeColor="text1"/>
                <w:sz w:val="20"/>
                <w:szCs w:val="20"/>
              </w:rPr>
              <w:t>197 (114/83)</w:t>
            </w:r>
          </w:p>
        </w:tc>
        <w:tc>
          <w:tcPr>
            <w:tcW w:w="1659" w:type="dxa"/>
            <w:tcBorders>
              <w:top w:val="single" w:sz="4" w:space="0" w:color="auto"/>
              <w:bottom w:val="single" w:sz="4" w:space="0" w:color="auto"/>
            </w:tcBorders>
            <w:shd w:val="clear" w:color="auto" w:fill="auto"/>
          </w:tcPr>
          <w:p w14:paraId="74EDD74A" w14:textId="77777777" w:rsidR="00580371" w:rsidRPr="0021130E" w:rsidRDefault="00580371" w:rsidP="00CA76EE">
            <w:pPr>
              <w:jc w:val="center"/>
              <w:rPr>
                <w:color w:val="000000" w:themeColor="text1"/>
                <w:sz w:val="20"/>
                <w:szCs w:val="20"/>
              </w:rPr>
            </w:pPr>
            <w:r w:rsidRPr="0021130E">
              <w:rPr>
                <w:color w:val="000000" w:themeColor="text1"/>
                <w:sz w:val="20"/>
                <w:szCs w:val="20"/>
              </w:rPr>
              <w:t>32.1</w:t>
            </w:r>
          </w:p>
        </w:tc>
        <w:tc>
          <w:tcPr>
            <w:tcW w:w="1726" w:type="dxa"/>
            <w:tcBorders>
              <w:top w:val="single" w:sz="4" w:space="0" w:color="auto"/>
              <w:bottom w:val="single" w:sz="4" w:space="0" w:color="auto"/>
            </w:tcBorders>
            <w:shd w:val="clear" w:color="auto" w:fill="auto"/>
          </w:tcPr>
          <w:p w14:paraId="63692918" w14:textId="77777777" w:rsidR="00580371" w:rsidRPr="0021130E" w:rsidRDefault="00580371" w:rsidP="00CA76EE">
            <w:pPr>
              <w:jc w:val="center"/>
              <w:rPr>
                <w:color w:val="000000" w:themeColor="text1"/>
                <w:sz w:val="20"/>
                <w:szCs w:val="20"/>
              </w:rPr>
            </w:pPr>
            <w:r w:rsidRPr="0021130E">
              <w:rPr>
                <w:color w:val="000000" w:themeColor="text1"/>
                <w:sz w:val="20"/>
                <w:szCs w:val="20"/>
              </w:rPr>
              <w:t>28.4 to 35.8</w:t>
            </w:r>
          </w:p>
        </w:tc>
        <w:tc>
          <w:tcPr>
            <w:tcW w:w="1696" w:type="dxa"/>
            <w:tcBorders>
              <w:top w:val="single" w:sz="4" w:space="0" w:color="auto"/>
              <w:bottom w:val="single" w:sz="4" w:space="0" w:color="auto"/>
            </w:tcBorders>
            <w:shd w:val="clear" w:color="auto" w:fill="auto"/>
            <w:hideMark/>
          </w:tcPr>
          <w:p w14:paraId="545A5742" w14:textId="77777777" w:rsidR="00580371" w:rsidRPr="0021130E" w:rsidRDefault="00580371" w:rsidP="00CA76EE">
            <w:pPr>
              <w:jc w:val="center"/>
              <w:rPr>
                <w:color w:val="000000" w:themeColor="text1"/>
                <w:sz w:val="20"/>
                <w:szCs w:val="20"/>
              </w:rPr>
            </w:pPr>
            <w:r w:rsidRPr="0021130E">
              <w:rPr>
                <w:color w:val="000000" w:themeColor="text1"/>
                <w:sz w:val="20"/>
                <w:szCs w:val="20"/>
              </w:rPr>
              <w:t>135 (76/59)</w:t>
            </w:r>
          </w:p>
        </w:tc>
        <w:tc>
          <w:tcPr>
            <w:tcW w:w="1659" w:type="dxa"/>
            <w:tcBorders>
              <w:top w:val="single" w:sz="4" w:space="0" w:color="auto"/>
              <w:bottom w:val="single" w:sz="4" w:space="0" w:color="auto"/>
            </w:tcBorders>
            <w:shd w:val="clear" w:color="auto" w:fill="auto"/>
          </w:tcPr>
          <w:p w14:paraId="28D25B24" w14:textId="77777777" w:rsidR="00580371" w:rsidRPr="0021130E" w:rsidRDefault="00580371" w:rsidP="00CA76EE">
            <w:pPr>
              <w:jc w:val="center"/>
              <w:rPr>
                <w:color w:val="000000" w:themeColor="text1"/>
                <w:sz w:val="20"/>
                <w:szCs w:val="20"/>
              </w:rPr>
            </w:pPr>
            <w:r w:rsidRPr="0021130E">
              <w:rPr>
                <w:color w:val="000000" w:themeColor="text1"/>
                <w:sz w:val="20"/>
                <w:szCs w:val="20"/>
              </w:rPr>
              <w:t>22.0</w:t>
            </w:r>
          </w:p>
        </w:tc>
        <w:tc>
          <w:tcPr>
            <w:tcW w:w="1860" w:type="dxa"/>
            <w:tcBorders>
              <w:top w:val="single" w:sz="4" w:space="0" w:color="auto"/>
              <w:bottom w:val="single" w:sz="4" w:space="0" w:color="auto"/>
            </w:tcBorders>
            <w:shd w:val="clear" w:color="auto" w:fill="auto"/>
            <w:hideMark/>
          </w:tcPr>
          <w:p w14:paraId="28FF3797" w14:textId="77777777" w:rsidR="00580371" w:rsidRPr="0021130E" w:rsidRDefault="00580371" w:rsidP="00CA76EE">
            <w:pPr>
              <w:jc w:val="center"/>
              <w:rPr>
                <w:color w:val="000000" w:themeColor="text1"/>
                <w:sz w:val="20"/>
                <w:szCs w:val="20"/>
              </w:rPr>
            </w:pPr>
            <w:r w:rsidRPr="0021130E">
              <w:rPr>
                <w:color w:val="000000" w:themeColor="text1"/>
                <w:sz w:val="20"/>
                <w:szCs w:val="20"/>
              </w:rPr>
              <w:t>18.7 to 25.3</w:t>
            </w:r>
          </w:p>
        </w:tc>
      </w:tr>
    </w:tbl>
    <w:p w14:paraId="06A32225" w14:textId="7DE4FCC3" w:rsidR="00493FD7" w:rsidRPr="00580371" w:rsidRDefault="00580371" w:rsidP="00580371">
      <w:pPr>
        <w:rPr>
          <w:color w:val="000000" w:themeColor="text1"/>
          <w:sz w:val="20"/>
          <w:szCs w:val="20"/>
        </w:rPr>
      </w:pPr>
      <w:r w:rsidRPr="0021130E">
        <w:rPr>
          <w:color w:val="000000" w:themeColor="text1"/>
          <w:sz w:val="20"/>
          <w:szCs w:val="20"/>
        </w:rPr>
        <w:t>*m, males; f, females. **Prevalence and confidence intervals not reported for sports with &lt;15 Olympians</w:t>
      </w:r>
      <w:r>
        <w:rPr>
          <w:color w:val="000000" w:themeColor="text1"/>
          <w:sz w:val="20"/>
          <w:szCs w:val="20"/>
        </w:rPr>
        <w:t xml:space="preserve"> and/or zero prevalence</w:t>
      </w:r>
      <w:r w:rsidRPr="0021130E">
        <w:rPr>
          <w:color w:val="000000" w:themeColor="text1"/>
          <w:sz w:val="20"/>
          <w:szCs w:val="20"/>
        </w:rPr>
        <w:t>.</w:t>
      </w:r>
    </w:p>
    <w:sectPr w:rsidR="00493FD7" w:rsidRPr="00580371" w:rsidSect="00580371">
      <w:pgSz w:w="16838" w:h="11906" w:orient="landscape"/>
      <w:pgMar w:top="1800" w:right="1440" w:bottom="180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4">
      <wne:macro wne:macroName="MENDELEYPLUGIN.MENDELEY.GETSETTING_PORT"/>
    </wne:keymap>
    <wne:keymap wne:kcmPrimary="1249">
      <wne:fci wne:fciName="InsertCitation" wne:swArg="0000"/>
    </wne:keymap>
  </wne:keymaps>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Noteworthy Light">
    <w:altName w:val="NOTEWORTHY LIGHT"/>
    <w:panose1 w:val="02000400000000000000"/>
    <w:charset w:val="4D"/>
    <w:family w:val="auto"/>
    <w:pitch w:val="variable"/>
    <w:sig w:usb0="8000006F" w:usb1="08000048" w:usb2="146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E1067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66232"/>
    <w:multiLevelType w:val="multilevel"/>
    <w:tmpl w:val="E1505D9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F6"/>
    <w:rsid w:val="00031F4E"/>
    <w:rsid w:val="00043553"/>
    <w:rsid w:val="00093678"/>
    <w:rsid w:val="000A49DA"/>
    <w:rsid w:val="000C594E"/>
    <w:rsid w:val="00120394"/>
    <w:rsid w:val="0012427D"/>
    <w:rsid w:val="00135179"/>
    <w:rsid w:val="00141BC1"/>
    <w:rsid w:val="00147833"/>
    <w:rsid w:val="001D1A23"/>
    <w:rsid w:val="001D61B4"/>
    <w:rsid w:val="001E57CA"/>
    <w:rsid w:val="00253813"/>
    <w:rsid w:val="002A0BC7"/>
    <w:rsid w:val="002F09BC"/>
    <w:rsid w:val="002F2051"/>
    <w:rsid w:val="00340B65"/>
    <w:rsid w:val="003E52A2"/>
    <w:rsid w:val="003F5908"/>
    <w:rsid w:val="004178AD"/>
    <w:rsid w:val="00493FD7"/>
    <w:rsid w:val="004F787B"/>
    <w:rsid w:val="005501F4"/>
    <w:rsid w:val="00573FB6"/>
    <w:rsid w:val="005760AF"/>
    <w:rsid w:val="00580371"/>
    <w:rsid w:val="00583545"/>
    <w:rsid w:val="005F3CE3"/>
    <w:rsid w:val="00603824"/>
    <w:rsid w:val="00634FA2"/>
    <w:rsid w:val="00636B44"/>
    <w:rsid w:val="00660E4C"/>
    <w:rsid w:val="006B1DBF"/>
    <w:rsid w:val="006C38B1"/>
    <w:rsid w:val="00707AC6"/>
    <w:rsid w:val="0072266C"/>
    <w:rsid w:val="00736BBD"/>
    <w:rsid w:val="0076474F"/>
    <w:rsid w:val="00793903"/>
    <w:rsid w:val="007A4F10"/>
    <w:rsid w:val="007B0D74"/>
    <w:rsid w:val="007B442B"/>
    <w:rsid w:val="007E016B"/>
    <w:rsid w:val="007E710D"/>
    <w:rsid w:val="00825BD5"/>
    <w:rsid w:val="008401F9"/>
    <w:rsid w:val="00856327"/>
    <w:rsid w:val="00884534"/>
    <w:rsid w:val="0089123F"/>
    <w:rsid w:val="008A3762"/>
    <w:rsid w:val="008A500D"/>
    <w:rsid w:val="008C6D0F"/>
    <w:rsid w:val="0090225C"/>
    <w:rsid w:val="00933CA5"/>
    <w:rsid w:val="00934B2B"/>
    <w:rsid w:val="00955ED2"/>
    <w:rsid w:val="009805CA"/>
    <w:rsid w:val="009868DF"/>
    <w:rsid w:val="009A4FAB"/>
    <w:rsid w:val="009B2225"/>
    <w:rsid w:val="009D7E77"/>
    <w:rsid w:val="009E43B6"/>
    <w:rsid w:val="009F7164"/>
    <w:rsid w:val="00A33C75"/>
    <w:rsid w:val="00A6654F"/>
    <w:rsid w:val="00AB057B"/>
    <w:rsid w:val="00AB5AB5"/>
    <w:rsid w:val="00AF0BED"/>
    <w:rsid w:val="00AF303D"/>
    <w:rsid w:val="00B043A0"/>
    <w:rsid w:val="00B15017"/>
    <w:rsid w:val="00B51585"/>
    <w:rsid w:val="00B54CEC"/>
    <w:rsid w:val="00B734E6"/>
    <w:rsid w:val="00BC0B20"/>
    <w:rsid w:val="00C515D0"/>
    <w:rsid w:val="00C64C9B"/>
    <w:rsid w:val="00C72E7A"/>
    <w:rsid w:val="00CD1B08"/>
    <w:rsid w:val="00CF6966"/>
    <w:rsid w:val="00D05D7C"/>
    <w:rsid w:val="00D17C34"/>
    <w:rsid w:val="00D33FF6"/>
    <w:rsid w:val="00D810D2"/>
    <w:rsid w:val="00DA1361"/>
    <w:rsid w:val="00DA16FD"/>
    <w:rsid w:val="00DF0B25"/>
    <w:rsid w:val="00E0226C"/>
    <w:rsid w:val="00E34CA1"/>
    <w:rsid w:val="00E51EFE"/>
    <w:rsid w:val="00E77969"/>
    <w:rsid w:val="00EE6721"/>
    <w:rsid w:val="00F03EE2"/>
    <w:rsid w:val="00F10841"/>
    <w:rsid w:val="00F2257F"/>
    <w:rsid w:val="00F238C5"/>
    <w:rsid w:val="00F67C67"/>
    <w:rsid w:val="00FA3C65"/>
    <w:rsid w:val="00FA6B5B"/>
    <w:rsid w:val="00FC503A"/>
    <w:rsid w:val="00FC6190"/>
    <w:rsid w:val="00FD599C"/>
    <w:rsid w:val="00FE7F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1B20B"/>
  <w14:defaultImageDpi w14:val="300"/>
  <w15:docId w15:val="{E1AE53B1-90E5-4C4F-8902-42F980DB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3" w:uiPriority="99"/>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uiPriority w:val="9"/>
    <w:qFormat/>
    <w:rsid w:val="008C6D0F"/>
    <w:pPr>
      <w:keepNext/>
      <w:keepLines/>
      <w:spacing w:before="480"/>
      <w:outlineLvl w:val="0"/>
    </w:pPr>
    <w:rPr>
      <w:rFonts w:ascii="Calibri" w:eastAsia="MS Gothic" w:hAnsi="Calibri"/>
      <w:b/>
      <w:bCs/>
      <w:color w:val="365F91"/>
      <w:sz w:val="28"/>
      <w:szCs w:val="28"/>
      <w:lang w:eastAsia="en-US"/>
    </w:rPr>
  </w:style>
  <w:style w:type="paragraph" w:styleId="Heading2">
    <w:name w:val="heading 2"/>
    <w:basedOn w:val="Normal"/>
    <w:next w:val="Normal"/>
    <w:link w:val="Heading2Char"/>
    <w:uiPriority w:val="9"/>
    <w:semiHidden/>
    <w:unhideWhenUsed/>
    <w:qFormat/>
    <w:rsid w:val="008C6D0F"/>
    <w:pPr>
      <w:keepNext/>
      <w:keepLines/>
      <w:spacing w:before="200"/>
      <w:outlineLvl w:val="1"/>
    </w:pPr>
    <w:rPr>
      <w:rFonts w:ascii="Calibri" w:eastAsia="MS Gothic" w:hAnsi="Calibri"/>
      <w:b/>
      <w:bCs/>
      <w:color w:val="4F81BD"/>
      <w:sz w:val="26"/>
      <w:szCs w:val="26"/>
      <w:lang w:eastAsia="en-US"/>
    </w:rPr>
  </w:style>
  <w:style w:type="paragraph" w:styleId="Heading3">
    <w:name w:val="heading 3"/>
    <w:basedOn w:val="Normal"/>
    <w:next w:val="Normal"/>
    <w:link w:val="Heading3Char"/>
    <w:uiPriority w:val="9"/>
    <w:semiHidden/>
    <w:unhideWhenUsed/>
    <w:qFormat/>
    <w:rsid w:val="008C6D0F"/>
    <w:pPr>
      <w:keepNext/>
      <w:keepLines/>
      <w:spacing w:before="200"/>
      <w:outlineLvl w:val="2"/>
    </w:pPr>
    <w:rPr>
      <w:rFonts w:ascii="Calibri" w:eastAsia="MS Gothic" w:hAnsi="Calibri"/>
      <w:b/>
      <w:bCs/>
      <w:color w:val="4F81BD"/>
      <w:sz w:val="20"/>
      <w:szCs w:val="20"/>
      <w:lang w:eastAsia="en-US"/>
    </w:rPr>
  </w:style>
  <w:style w:type="paragraph" w:styleId="Heading4">
    <w:name w:val="heading 4"/>
    <w:basedOn w:val="Heading3"/>
    <w:next w:val="Normal"/>
    <w:link w:val="Heading4Char"/>
    <w:semiHidden/>
    <w:unhideWhenUsed/>
    <w:qFormat/>
    <w:rsid w:val="008C6D0F"/>
    <w:pPr>
      <w:shd w:val="clear" w:color="auto" w:fill="FFFFFF"/>
      <w:spacing w:before="0" w:line="480" w:lineRule="auto"/>
      <w:outlineLvl w:val="3"/>
    </w:pPr>
    <w:rPr>
      <w:rFonts w:ascii="Arial" w:hAnsi="Arial"/>
      <w:bCs w:val="0"/>
      <w:iCs/>
      <w:color w:val="000000"/>
      <w:sz w:val="24"/>
    </w:rPr>
  </w:style>
  <w:style w:type="paragraph" w:styleId="Heading5">
    <w:name w:val="heading 5"/>
    <w:basedOn w:val="Normal"/>
    <w:next w:val="Normal"/>
    <w:link w:val="Heading5Char"/>
    <w:uiPriority w:val="9"/>
    <w:semiHidden/>
    <w:unhideWhenUsed/>
    <w:qFormat/>
    <w:rsid w:val="008C6D0F"/>
    <w:pPr>
      <w:keepNext/>
      <w:keepLines/>
      <w:spacing w:before="200"/>
      <w:outlineLvl w:val="4"/>
    </w:pPr>
    <w:rPr>
      <w:rFonts w:ascii="Calibri" w:eastAsia="MS Gothic" w:hAnsi="Calibri"/>
      <w:color w:val="243F6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D0F"/>
    <w:rPr>
      <w:rFonts w:ascii="Calibri" w:eastAsia="MS Gothic" w:hAnsi="Calibri"/>
      <w:b/>
      <w:bCs/>
      <w:color w:val="365F91"/>
      <w:sz w:val="28"/>
      <w:szCs w:val="28"/>
    </w:rPr>
  </w:style>
  <w:style w:type="character" w:customStyle="1" w:styleId="Heading2Char">
    <w:name w:val="Heading 2 Char"/>
    <w:basedOn w:val="DefaultParagraphFont"/>
    <w:link w:val="Heading2"/>
    <w:uiPriority w:val="9"/>
    <w:semiHidden/>
    <w:rsid w:val="008C6D0F"/>
    <w:rPr>
      <w:rFonts w:ascii="Calibri" w:eastAsia="MS Gothic" w:hAnsi="Calibri"/>
      <w:b/>
      <w:bCs/>
      <w:color w:val="4F81BD"/>
      <w:sz w:val="26"/>
      <w:szCs w:val="26"/>
    </w:rPr>
  </w:style>
  <w:style w:type="character" w:customStyle="1" w:styleId="Heading3Char">
    <w:name w:val="Heading 3 Char"/>
    <w:basedOn w:val="DefaultParagraphFont"/>
    <w:link w:val="Heading3"/>
    <w:uiPriority w:val="9"/>
    <w:semiHidden/>
    <w:rsid w:val="008C6D0F"/>
    <w:rPr>
      <w:rFonts w:ascii="Calibri" w:eastAsia="MS Gothic" w:hAnsi="Calibri"/>
      <w:b/>
      <w:bCs/>
      <w:color w:val="4F81BD"/>
    </w:rPr>
  </w:style>
  <w:style w:type="character" w:customStyle="1" w:styleId="Heading4Char">
    <w:name w:val="Heading 4 Char"/>
    <w:basedOn w:val="DefaultParagraphFont"/>
    <w:link w:val="Heading4"/>
    <w:semiHidden/>
    <w:rsid w:val="008C6D0F"/>
    <w:rPr>
      <w:rFonts w:ascii="Arial" w:eastAsia="MS Gothic" w:hAnsi="Arial"/>
      <w:b/>
      <w:iCs/>
      <w:color w:val="000000"/>
      <w:sz w:val="24"/>
      <w:shd w:val="clear" w:color="auto" w:fill="FFFFFF"/>
    </w:rPr>
  </w:style>
  <w:style w:type="character" w:customStyle="1" w:styleId="Heading5Char">
    <w:name w:val="Heading 5 Char"/>
    <w:basedOn w:val="DefaultParagraphFont"/>
    <w:link w:val="Heading5"/>
    <w:uiPriority w:val="9"/>
    <w:semiHidden/>
    <w:rsid w:val="008C6D0F"/>
    <w:rPr>
      <w:rFonts w:ascii="Calibri" w:eastAsia="MS Gothic" w:hAnsi="Calibri"/>
      <w:color w:val="243F60"/>
    </w:rPr>
  </w:style>
  <w:style w:type="character" w:styleId="Hyperlink">
    <w:name w:val="Hyperlink"/>
    <w:uiPriority w:val="99"/>
    <w:unhideWhenUsed/>
    <w:rsid w:val="008C6D0F"/>
    <w:rPr>
      <w:color w:val="0000FF"/>
      <w:u w:val="single"/>
    </w:rPr>
  </w:style>
  <w:style w:type="character" w:styleId="FollowedHyperlink">
    <w:name w:val="FollowedHyperlink"/>
    <w:uiPriority w:val="99"/>
    <w:unhideWhenUsed/>
    <w:rsid w:val="008C6D0F"/>
    <w:rPr>
      <w:color w:val="800080"/>
      <w:u w:val="single"/>
    </w:rPr>
  </w:style>
  <w:style w:type="paragraph" w:styleId="HTMLPreformatted">
    <w:name w:val="HTML Preformatted"/>
    <w:basedOn w:val="Normal"/>
    <w:link w:val="HTMLPreformattedChar"/>
    <w:uiPriority w:val="99"/>
    <w:unhideWhenUsed/>
    <w:rsid w:val="008C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cs="Courier"/>
      <w:sz w:val="20"/>
      <w:szCs w:val="20"/>
      <w:lang w:eastAsia="en-US"/>
    </w:rPr>
  </w:style>
  <w:style w:type="character" w:customStyle="1" w:styleId="HTMLPreformattedChar">
    <w:name w:val="HTML Preformatted Char"/>
    <w:basedOn w:val="DefaultParagraphFont"/>
    <w:link w:val="HTMLPreformatted"/>
    <w:uiPriority w:val="99"/>
    <w:rsid w:val="008C6D0F"/>
    <w:rPr>
      <w:rFonts w:ascii="Courier" w:eastAsia="Cambria" w:hAnsi="Courier" w:cs="Courier"/>
    </w:rPr>
  </w:style>
  <w:style w:type="paragraph" w:styleId="NormalWeb">
    <w:name w:val="Normal (Web)"/>
    <w:basedOn w:val="Normal"/>
    <w:uiPriority w:val="99"/>
    <w:unhideWhenUsed/>
    <w:rsid w:val="008C6D0F"/>
    <w:pPr>
      <w:spacing w:before="100" w:beforeAutospacing="1" w:after="100" w:afterAutospacing="1"/>
    </w:pPr>
    <w:rPr>
      <w:lang w:eastAsia="en-US"/>
    </w:rPr>
  </w:style>
  <w:style w:type="paragraph" w:styleId="CommentText">
    <w:name w:val="annotation text"/>
    <w:basedOn w:val="Normal"/>
    <w:link w:val="CommentTextChar"/>
    <w:uiPriority w:val="99"/>
    <w:unhideWhenUsed/>
    <w:rsid w:val="008C6D0F"/>
    <w:rPr>
      <w:rFonts w:eastAsia="Cambria"/>
      <w:lang w:eastAsia="en-US"/>
    </w:rPr>
  </w:style>
  <w:style w:type="character" w:customStyle="1" w:styleId="CommentTextChar">
    <w:name w:val="Comment Text Char"/>
    <w:basedOn w:val="DefaultParagraphFont"/>
    <w:link w:val="CommentText"/>
    <w:uiPriority w:val="99"/>
    <w:rsid w:val="008C6D0F"/>
    <w:rPr>
      <w:rFonts w:eastAsia="Cambria"/>
      <w:sz w:val="24"/>
      <w:szCs w:val="24"/>
    </w:rPr>
  </w:style>
  <w:style w:type="paragraph" w:styleId="Header">
    <w:name w:val="header"/>
    <w:basedOn w:val="Normal"/>
    <w:link w:val="HeaderChar"/>
    <w:uiPriority w:val="99"/>
    <w:unhideWhenUsed/>
    <w:rsid w:val="008C6D0F"/>
    <w:pPr>
      <w:tabs>
        <w:tab w:val="center" w:pos="4320"/>
        <w:tab w:val="right" w:pos="8640"/>
      </w:tabs>
    </w:pPr>
    <w:rPr>
      <w:lang w:eastAsia="en-US"/>
    </w:rPr>
  </w:style>
  <w:style w:type="character" w:customStyle="1" w:styleId="HeaderChar">
    <w:name w:val="Header Char"/>
    <w:basedOn w:val="DefaultParagraphFont"/>
    <w:link w:val="Header"/>
    <w:uiPriority w:val="99"/>
    <w:rsid w:val="008C6D0F"/>
    <w:rPr>
      <w:sz w:val="24"/>
      <w:szCs w:val="24"/>
    </w:rPr>
  </w:style>
  <w:style w:type="paragraph" w:styleId="Footer">
    <w:name w:val="footer"/>
    <w:basedOn w:val="Normal"/>
    <w:link w:val="FooterChar"/>
    <w:uiPriority w:val="99"/>
    <w:unhideWhenUsed/>
    <w:rsid w:val="008C6D0F"/>
    <w:pPr>
      <w:tabs>
        <w:tab w:val="center" w:pos="4320"/>
        <w:tab w:val="right" w:pos="8640"/>
      </w:tabs>
    </w:pPr>
    <w:rPr>
      <w:lang w:eastAsia="en-US"/>
    </w:rPr>
  </w:style>
  <w:style w:type="character" w:customStyle="1" w:styleId="FooterChar">
    <w:name w:val="Footer Char"/>
    <w:basedOn w:val="DefaultParagraphFont"/>
    <w:link w:val="Footer"/>
    <w:uiPriority w:val="99"/>
    <w:rsid w:val="008C6D0F"/>
    <w:rPr>
      <w:sz w:val="24"/>
      <w:szCs w:val="24"/>
    </w:rPr>
  </w:style>
  <w:style w:type="paragraph" w:styleId="BodyText3">
    <w:name w:val="Body Text 3"/>
    <w:basedOn w:val="Normal"/>
    <w:link w:val="BodyText3Char"/>
    <w:uiPriority w:val="99"/>
    <w:unhideWhenUsed/>
    <w:rsid w:val="008C6D0F"/>
    <w:pPr>
      <w:tabs>
        <w:tab w:val="left" w:pos="0"/>
      </w:tabs>
      <w:ind w:right="238"/>
      <w:jc w:val="both"/>
    </w:pPr>
    <w:rPr>
      <w:rFonts w:ascii="Arial" w:hAnsi="Arial"/>
      <w:sz w:val="20"/>
      <w:szCs w:val="28"/>
      <w:u w:color="00000A"/>
      <w:lang w:eastAsia="en-US"/>
    </w:rPr>
  </w:style>
  <w:style w:type="character" w:customStyle="1" w:styleId="BodyText3Char">
    <w:name w:val="Body Text 3 Char"/>
    <w:basedOn w:val="DefaultParagraphFont"/>
    <w:link w:val="BodyText3"/>
    <w:uiPriority w:val="99"/>
    <w:rsid w:val="008C6D0F"/>
    <w:rPr>
      <w:rFonts w:ascii="Arial" w:hAnsi="Arial"/>
      <w:szCs w:val="28"/>
      <w:u w:color="00000A"/>
    </w:rPr>
  </w:style>
  <w:style w:type="paragraph" w:styleId="CommentSubject">
    <w:name w:val="annotation subject"/>
    <w:basedOn w:val="CommentText"/>
    <w:next w:val="CommentText"/>
    <w:link w:val="CommentSubjectChar"/>
    <w:uiPriority w:val="99"/>
    <w:unhideWhenUsed/>
    <w:rsid w:val="008C6D0F"/>
    <w:rPr>
      <w:b/>
      <w:bCs/>
      <w:sz w:val="20"/>
      <w:szCs w:val="20"/>
    </w:rPr>
  </w:style>
  <w:style w:type="character" w:customStyle="1" w:styleId="CommentSubjectChar">
    <w:name w:val="Comment Subject Char"/>
    <w:basedOn w:val="CommentTextChar"/>
    <w:link w:val="CommentSubject"/>
    <w:uiPriority w:val="99"/>
    <w:rsid w:val="008C6D0F"/>
    <w:rPr>
      <w:rFonts w:eastAsia="Cambria"/>
      <w:b/>
      <w:bCs/>
      <w:sz w:val="24"/>
      <w:szCs w:val="24"/>
    </w:rPr>
  </w:style>
  <w:style w:type="paragraph" w:styleId="BalloonText">
    <w:name w:val="Balloon Text"/>
    <w:basedOn w:val="Normal"/>
    <w:link w:val="BalloonTextChar"/>
    <w:uiPriority w:val="99"/>
    <w:unhideWhenUsed/>
    <w:rsid w:val="008C6D0F"/>
    <w:rPr>
      <w:rFonts w:ascii="Lucida Grande" w:eastAsia="Cambria" w:hAnsi="Lucida Grande"/>
      <w:sz w:val="18"/>
      <w:szCs w:val="18"/>
      <w:lang w:eastAsia="en-US"/>
    </w:rPr>
  </w:style>
  <w:style w:type="character" w:customStyle="1" w:styleId="BalloonTextChar">
    <w:name w:val="Balloon Text Char"/>
    <w:basedOn w:val="DefaultParagraphFont"/>
    <w:link w:val="BalloonText"/>
    <w:uiPriority w:val="99"/>
    <w:rsid w:val="008C6D0F"/>
    <w:rPr>
      <w:rFonts w:ascii="Lucida Grande" w:eastAsia="Cambria" w:hAnsi="Lucida Grande"/>
      <w:sz w:val="18"/>
      <w:szCs w:val="18"/>
    </w:rPr>
  </w:style>
  <w:style w:type="paragraph" w:styleId="ListParagraph">
    <w:name w:val="List Paragraph"/>
    <w:basedOn w:val="Normal"/>
    <w:uiPriority w:val="34"/>
    <w:qFormat/>
    <w:rsid w:val="008C6D0F"/>
    <w:pPr>
      <w:ind w:left="720"/>
      <w:contextualSpacing/>
    </w:pPr>
    <w:rPr>
      <w:lang w:eastAsia="en-US"/>
    </w:rPr>
  </w:style>
  <w:style w:type="character" w:customStyle="1" w:styleId="TextChar">
    <w:name w:val="_Text Char"/>
    <w:link w:val="Text"/>
    <w:semiHidden/>
    <w:locked/>
    <w:rsid w:val="008C6D0F"/>
    <w:rPr>
      <w:rFonts w:ascii="Arial" w:hAnsi="Arial" w:cs="Arial"/>
      <w:u w:color="00000A"/>
      <w:lang w:eastAsia="en-GB"/>
    </w:rPr>
  </w:style>
  <w:style w:type="paragraph" w:customStyle="1" w:styleId="Text">
    <w:name w:val="_Text"/>
    <w:basedOn w:val="Normal"/>
    <w:link w:val="TextChar"/>
    <w:semiHidden/>
    <w:qFormat/>
    <w:rsid w:val="008C6D0F"/>
    <w:pPr>
      <w:spacing w:line="480" w:lineRule="auto"/>
      <w:jc w:val="both"/>
    </w:pPr>
    <w:rPr>
      <w:rFonts w:ascii="Arial" w:hAnsi="Arial" w:cs="Arial"/>
      <w:sz w:val="20"/>
      <w:szCs w:val="20"/>
      <w:u w:color="00000A"/>
    </w:rPr>
  </w:style>
  <w:style w:type="character" w:customStyle="1" w:styleId="CaptionChar">
    <w:name w:val="_Caption Char"/>
    <w:link w:val="Caption"/>
    <w:semiHidden/>
    <w:locked/>
    <w:rsid w:val="008C6D0F"/>
    <w:rPr>
      <w:b/>
      <w:u w:color="00000A"/>
    </w:rPr>
  </w:style>
  <w:style w:type="paragraph" w:customStyle="1" w:styleId="Caption">
    <w:name w:val="_Caption"/>
    <w:basedOn w:val="Normal"/>
    <w:link w:val="CaptionChar"/>
    <w:semiHidden/>
    <w:qFormat/>
    <w:rsid w:val="008C6D0F"/>
    <w:pPr>
      <w:spacing w:before="240"/>
      <w:jc w:val="both"/>
    </w:pPr>
    <w:rPr>
      <w:b/>
      <w:sz w:val="20"/>
      <w:szCs w:val="20"/>
      <w:u w:color="00000A"/>
      <w:lang w:eastAsia="en-US"/>
    </w:rPr>
  </w:style>
  <w:style w:type="paragraph" w:customStyle="1" w:styleId="xmsonormal">
    <w:name w:val="x_msonormal"/>
    <w:basedOn w:val="Normal"/>
    <w:uiPriority w:val="99"/>
    <w:semiHidden/>
    <w:rsid w:val="008C6D0F"/>
    <w:pPr>
      <w:spacing w:before="100" w:beforeAutospacing="1" w:after="100" w:afterAutospacing="1"/>
    </w:pPr>
    <w:rPr>
      <w:lang w:eastAsia="en-US"/>
    </w:rPr>
  </w:style>
  <w:style w:type="paragraph" w:customStyle="1" w:styleId="metadata--citation">
    <w:name w:val="metadata--citation"/>
    <w:basedOn w:val="Normal"/>
    <w:uiPriority w:val="99"/>
    <w:semiHidden/>
    <w:rsid w:val="008C6D0F"/>
    <w:pPr>
      <w:spacing w:before="100" w:beforeAutospacing="1" w:after="100" w:afterAutospacing="1"/>
    </w:pPr>
    <w:rPr>
      <w:lang w:eastAsia="en-US"/>
    </w:rPr>
  </w:style>
  <w:style w:type="paragraph" w:customStyle="1" w:styleId="q-text">
    <w:name w:val="q-text"/>
    <w:basedOn w:val="Normal"/>
    <w:uiPriority w:val="99"/>
    <w:semiHidden/>
    <w:rsid w:val="008C6D0F"/>
    <w:pPr>
      <w:spacing w:before="100" w:beforeAutospacing="1" w:after="100" w:afterAutospacing="1"/>
    </w:pPr>
    <w:rPr>
      <w:lang w:eastAsia="en-US"/>
    </w:rPr>
  </w:style>
  <w:style w:type="paragraph" w:customStyle="1" w:styleId="p">
    <w:name w:val="p"/>
    <w:basedOn w:val="Normal"/>
    <w:uiPriority w:val="99"/>
    <w:semiHidden/>
    <w:rsid w:val="008C6D0F"/>
    <w:pPr>
      <w:spacing w:before="100" w:beforeAutospacing="1" w:after="100" w:afterAutospacing="1"/>
    </w:pPr>
  </w:style>
  <w:style w:type="character" w:customStyle="1" w:styleId="HTMLPreformattedChar1">
    <w:name w:val="HTML Preformatted Char1"/>
    <w:uiPriority w:val="99"/>
    <w:semiHidden/>
    <w:rsid w:val="008C6D0F"/>
    <w:rPr>
      <w:rFonts w:ascii="Consolas" w:eastAsia="Times New Roman" w:hAnsi="Consolas" w:cs="Consolas" w:hint="default"/>
      <w:sz w:val="20"/>
      <w:szCs w:val="20"/>
      <w:lang w:val="en-GB" w:eastAsia="en-GB"/>
    </w:rPr>
  </w:style>
  <w:style w:type="character" w:customStyle="1" w:styleId="CommentTextChar1">
    <w:name w:val="Comment Text Char1"/>
    <w:uiPriority w:val="99"/>
    <w:semiHidden/>
    <w:rsid w:val="008C6D0F"/>
    <w:rPr>
      <w:rFonts w:ascii="Times New Roman" w:eastAsia="Times New Roman" w:hAnsi="Times New Roman" w:cs="Times New Roman" w:hint="default"/>
      <w:sz w:val="20"/>
      <w:szCs w:val="20"/>
      <w:lang w:val="en-GB" w:eastAsia="en-GB"/>
    </w:rPr>
  </w:style>
  <w:style w:type="character" w:customStyle="1" w:styleId="HeaderChar1">
    <w:name w:val="Header Char1"/>
    <w:uiPriority w:val="99"/>
    <w:semiHidden/>
    <w:rsid w:val="008C6D0F"/>
    <w:rPr>
      <w:rFonts w:ascii="Times New Roman" w:eastAsia="Times New Roman" w:hAnsi="Times New Roman" w:cs="Times New Roman" w:hint="default"/>
      <w:lang w:val="en-GB" w:eastAsia="en-GB"/>
    </w:rPr>
  </w:style>
  <w:style w:type="character" w:customStyle="1" w:styleId="FooterChar1">
    <w:name w:val="Footer Char1"/>
    <w:uiPriority w:val="99"/>
    <w:semiHidden/>
    <w:rsid w:val="008C6D0F"/>
    <w:rPr>
      <w:rFonts w:ascii="Times New Roman" w:eastAsia="Times New Roman" w:hAnsi="Times New Roman" w:cs="Times New Roman" w:hint="default"/>
      <w:lang w:val="en-GB" w:eastAsia="en-GB"/>
    </w:rPr>
  </w:style>
  <w:style w:type="character" w:customStyle="1" w:styleId="BodyText3Char1">
    <w:name w:val="Body Text 3 Char1"/>
    <w:uiPriority w:val="99"/>
    <w:semiHidden/>
    <w:rsid w:val="008C6D0F"/>
    <w:rPr>
      <w:rFonts w:ascii="Times New Roman" w:eastAsia="Times New Roman" w:hAnsi="Times New Roman" w:cs="Times New Roman" w:hint="default"/>
      <w:sz w:val="16"/>
      <w:szCs w:val="16"/>
      <w:lang w:val="en-GB" w:eastAsia="en-GB"/>
    </w:rPr>
  </w:style>
  <w:style w:type="character" w:customStyle="1" w:styleId="CommentSubjectChar1">
    <w:name w:val="Comment Subject Char1"/>
    <w:uiPriority w:val="99"/>
    <w:semiHidden/>
    <w:rsid w:val="008C6D0F"/>
    <w:rPr>
      <w:rFonts w:ascii="Times New Roman" w:eastAsia="Times New Roman" w:hAnsi="Times New Roman" w:cs="Times New Roman" w:hint="default"/>
      <w:b/>
      <w:bCs/>
      <w:sz w:val="20"/>
      <w:szCs w:val="20"/>
      <w:lang w:val="en-GB" w:eastAsia="en-GB"/>
    </w:rPr>
  </w:style>
  <w:style w:type="character" w:customStyle="1" w:styleId="BalloonTextChar1">
    <w:name w:val="Balloon Text Char1"/>
    <w:uiPriority w:val="99"/>
    <w:semiHidden/>
    <w:rsid w:val="008C6D0F"/>
    <w:rPr>
      <w:rFonts w:ascii="Times New Roman" w:eastAsia="Times New Roman" w:hAnsi="Times New Roman" w:cs="Times New Roman" w:hint="default"/>
      <w:sz w:val="18"/>
      <w:szCs w:val="18"/>
      <w:lang w:val="en-GB" w:eastAsia="en-GB"/>
    </w:rPr>
  </w:style>
  <w:style w:type="character" w:customStyle="1" w:styleId="metadata--author-name">
    <w:name w:val="metadata--author-name"/>
    <w:rsid w:val="008C6D0F"/>
  </w:style>
  <w:style w:type="character" w:customStyle="1" w:styleId="action">
    <w:name w:val="action"/>
    <w:rsid w:val="008C6D0F"/>
  </w:style>
  <w:style w:type="character" w:customStyle="1" w:styleId="metadata--source-title">
    <w:name w:val="metadata--source-title"/>
    <w:rsid w:val="008C6D0F"/>
  </w:style>
  <w:style w:type="character" w:customStyle="1" w:styleId="metadata--doi">
    <w:name w:val="metadata--doi"/>
    <w:rsid w:val="008C6D0F"/>
  </w:style>
  <w:style w:type="character" w:customStyle="1" w:styleId="apple-converted-space">
    <w:name w:val="apple-converted-space"/>
    <w:rsid w:val="008C6D0F"/>
  </w:style>
  <w:style w:type="character" w:customStyle="1" w:styleId="orcid-id-https">
    <w:name w:val="orcid-id-https"/>
    <w:rsid w:val="008C6D0F"/>
  </w:style>
  <w:style w:type="table" w:styleId="TableGrid">
    <w:name w:val="Table Grid"/>
    <w:basedOn w:val="TableNormal"/>
    <w:uiPriority w:val="59"/>
    <w:rsid w:val="008C6D0F"/>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776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25</Pages>
  <Words>29767</Words>
  <Characters>169673</Characters>
  <Application>Microsoft Office Word</Application>
  <DocSecurity>0</DocSecurity>
  <Lines>1413</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Mendeley Ltd.</dc:creator>
  <cp:keywords/>
  <dc:description/>
  <cp:lastModifiedBy>Cooper, Dale</cp:lastModifiedBy>
  <cp:revision>40</cp:revision>
  <dcterms:created xsi:type="dcterms:W3CDTF">2021-08-18T22:18:00Z</dcterms:created>
  <dcterms:modified xsi:type="dcterms:W3CDTF">2021-10-03T12:52:00Z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7c709f1d-f943-3665-b952-4ca6c37ca123</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