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1C41" w14:textId="4871EEB1" w:rsidR="00CA5ECD" w:rsidRPr="00D7142A" w:rsidRDefault="00984D8E" w:rsidP="0054246E">
      <w:pPr>
        <w:spacing w:line="480" w:lineRule="auto"/>
        <w:rPr>
          <w:rFonts w:eastAsia="Arial Unicode MS"/>
        </w:rPr>
      </w:pPr>
      <w:r w:rsidRPr="00D7142A">
        <w:rPr>
          <w:rFonts w:eastAsia="Arial Unicode MS"/>
          <w:b/>
        </w:rPr>
        <w:t>Transnatio</w:t>
      </w:r>
      <w:r w:rsidR="000908BD" w:rsidRPr="00D7142A">
        <w:rPr>
          <w:rFonts w:eastAsia="Arial Unicode MS"/>
          <w:b/>
        </w:rPr>
        <w:t>nal healthcare</w:t>
      </w:r>
      <w:r w:rsidR="00CA5ECD" w:rsidRPr="00D7142A">
        <w:rPr>
          <w:rFonts w:eastAsia="Arial Unicode MS"/>
          <w:b/>
        </w:rPr>
        <w:t xml:space="preserve"> preferences among EU nationals in the UK: a qualitative assessment</w:t>
      </w:r>
    </w:p>
    <w:p w14:paraId="2DFA13B8" w14:textId="77777777" w:rsidR="006907A5" w:rsidRPr="00D7142A" w:rsidRDefault="006907A5" w:rsidP="008908DA">
      <w:pPr>
        <w:rPr>
          <w:rFonts w:eastAsia="Arial Unicode MS"/>
        </w:rPr>
      </w:pPr>
    </w:p>
    <w:p w14:paraId="7B51074A" w14:textId="3836EB9F" w:rsidR="008908DA" w:rsidRPr="00D7142A" w:rsidRDefault="008908DA" w:rsidP="008908DA">
      <w:pPr>
        <w:rPr>
          <w:b/>
          <w:bCs/>
        </w:rPr>
      </w:pPr>
      <w:r w:rsidRPr="00D7142A">
        <w:rPr>
          <w:b/>
          <w:bCs/>
        </w:rPr>
        <w:t>Abstract</w:t>
      </w:r>
    </w:p>
    <w:p w14:paraId="64997103" w14:textId="672A5F8C" w:rsidR="008908DA" w:rsidRPr="00D7142A" w:rsidRDefault="00D3647B" w:rsidP="008908DA">
      <w:pPr>
        <w:pStyle w:val="Acknowledgements"/>
      </w:pPr>
      <w:r w:rsidRPr="00D7142A">
        <w:t>This article</w:t>
      </w:r>
      <w:r w:rsidR="00167154" w:rsidRPr="00D7142A">
        <w:t xml:space="preserve"> explores the motivational factors behind preferences for medical care in the country of</w:t>
      </w:r>
      <w:r w:rsidR="009659E4" w:rsidRPr="00D7142A">
        <w:t xml:space="preserve"> </w:t>
      </w:r>
      <w:r w:rsidR="00167154" w:rsidRPr="00D7142A">
        <w:t xml:space="preserve">residence or the country of origin among EU nationals living in the UK. Undertaking a thematic analysis on a large-N qualitative dataset, the article aims to establish a </w:t>
      </w:r>
      <w:r w:rsidR="00893B75" w:rsidRPr="00D7142A">
        <w:t xml:space="preserve">data-driven </w:t>
      </w:r>
      <w:r w:rsidR="00167154" w:rsidRPr="00D7142A">
        <w:t xml:space="preserve">typology of motivations inductively. This provides an intermediary analysis between qualitative depth and quantitative operationalizability, </w:t>
      </w:r>
      <w:r w:rsidR="00893B75" w:rsidRPr="00D7142A">
        <w:t>contributing</w:t>
      </w:r>
      <w:r w:rsidR="00167154" w:rsidRPr="00D7142A">
        <w:t xml:space="preserve"> to the existing literature on healthcare location preferences among transnationally connected social groups. The article finds that preferences for medical care in the country of origin are driven overwhelmingly by quality considerations, while preferences for the UK have more to do with convenience and financing. These perceptions result from negative personal experiences, lack of trust and often concealed cultural differences, and the analysis identifies various nuances and connections between attitudes that previous in-depth qualitative studies could not systematize.</w:t>
      </w:r>
      <w:r w:rsidR="001E0F0C" w:rsidRPr="00D7142A">
        <w:t xml:space="preserve"> </w:t>
      </w:r>
    </w:p>
    <w:p w14:paraId="70EB1D26" w14:textId="4EAE5E16" w:rsidR="00E82DF1" w:rsidRPr="00D7142A" w:rsidRDefault="00E82DF1" w:rsidP="00892791">
      <w:pPr>
        <w:sectPr w:rsidR="00E82DF1" w:rsidRPr="00D7142A" w:rsidSect="006907A5">
          <w:footerReference w:type="default" r:id="rId8"/>
          <w:type w:val="continuous"/>
          <w:pgSz w:w="11906" w:h="16838" w:code="9"/>
          <w:pgMar w:top="1134" w:right="1474" w:bottom="1247" w:left="1418" w:header="709" w:footer="709" w:gutter="0"/>
          <w:cols w:sep="1" w:space="720"/>
          <w:docGrid w:linePitch="360"/>
        </w:sectPr>
      </w:pPr>
    </w:p>
    <w:p w14:paraId="406BE140" w14:textId="77777777" w:rsidR="00E83B56" w:rsidRPr="00D7142A" w:rsidRDefault="00E83B56" w:rsidP="00811112">
      <w:pPr>
        <w:pStyle w:val="Heading1"/>
      </w:pPr>
      <w:r w:rsidRPr="00D7142A">
        <w:t>Introduction</w:t>
      </w:r>
    </w:p>
    <w:p w14:paraId="06B04829" w14:textId="0678F52F" w:rsidR="00B44E0D" w:rsidRPr="00D7142A" w:rsidRDefault="004E4EDE" w:rsidP="00CF38E8">
      <w:pPr>
        <w:spacing w:line="480" w:lineRule="auto"/>
        <w:rPr>
          <w:rFonts w:eastAsia="Arial Unicode MS"/>
        </w:rPr>
      </w:pPr>
      <w:r w:rsidRPr="00D7142A">
        <w:rPr>
          <w:rFonts w:eastAsia="Arial Unicode MS"/>
        </w:rPr>
        <w:t xml:space="preserve">Migration scholars have long been interested in how </w:t>
      </w:r>
      <w:proofErr w:type="gramStart"/>
      <w:r w:rsidRPr="00D7142A">
        <w:rPr>
          <w:rFonts w:eastAsia="Arial Unicode MS"/>
        </w:rPr>
        <w:t>migrants</w:t>
      </w:r>
      <w:proofErr w:type="gramEnd"/>
      <w:r w:rsidRPr="00D7142A">
        <w:rPr>
          <w:rFonts w:eastAsia="Arial Unicode MS"/>
        </w:rPr>
        <w:t xml:space="preserve"> access and utilize healthcare services </w:t>
      </w:r>
      <w:r w:rsidR="0014028A" w:rsidRPr="00D7142A">
        <w:rPr>
          <w:rFonts w:eastAsia="Arial Unicode MS"/>
          <w:noProof/>
        </w:rPr>
        <w:t>(</w:t>
      </w:r>
      <w:r w:rsidR="00CD43DA" w:rsidRPr="00D7142A">
        <w:rPr>
          <w:rFonts w:eastAsia="Arial Unicode MS"/>
          <w:noProof/>
        </w:rPr>
        <w:t>Nagi and Haavio-Mannila, 1980</w:t>
      </w:r>
      <w:r w:rsidR="0014028A" w:rsidRPr="00D7142A">
        <w:rPr>
          <w:rFonts w:eastAsia="Arial Unicode MS"/>
          <w:noProof/>
        </w:rPr>
        <w:t>)</w:t>
      </w:r>
      <w:r w:rsidR="007542C4" w:rsidRPr="00D7142A">
        <w:rPr>
          <w:rFonts w:eastAsia="Arial Unicode MS"/>
        </w:rPr>
        <w:t xml:space="preserve">. </w:t>
      </w:r>
      <w:r w:rsidR="00B44E0D" w:rsidRPr="00D7142A">
        <w:rPr>
          <w:rFonts w:eastAsia="Arial Unicode MS"/>
        </w:rPr>
        <w:t xml:space="preserve">It has been observed that difficulties in accessing healthcare in their countries of residence often lead migrants to ‘make trips to their homelands for the express purpose of receiving medical services’, what </w:t>
      </w:r>
      <w:r w:rsidR="00CD43DA" w:rsidRPr="00D7142A">
        <w:rPr>
          <w:rFonts w:eastAsia="Arial Unicode MS"/>
          <w:noProof/>
        </w:rPr>
        <w:t>Horton and Cole (2011: 1846)</w:t>
      </w:r>
      <w:r w:rsidR="00B44E0D" w:rsidRPr="00D7142A">
        <w:rPr>
          <w:rFonts w:eastAsia="Arial Unicode MS"/>
        </w:rPr>
        <w:t xml:space="preserve"> refer to as ‘medical returns’. Recent research agendas have turned to documenting in greater detail the complexity of migrants’ healthcare-seeking behaviour within the broader ‘transnational social spaces’ they inhabit </w:t>
      </w:r>
      <w:r w:rsidR="00B44E0D" w:rsidRPr="00D7142A">
        <w:rPr>
          <w:rFonts w:eastAsia="Arial Unicode MS"/>
          <w:noProof/>
        </w:rPr>
        <w:t>(</w:t>
      </w:r>
      <w:r w:rsidR="00CD43DA" w:rsidRPr="00D7142A">
        <w:rPr>
          <w:rFonts w:eastAsia="Arial Unicode MS"/>
          <w:noProof/>
        </w:rPr>
        <w:t>Villa-Torres et al., 2017</w:t>
      </w:r>
      <w:r w:rsidR="00B44E0D" w:rsidRPr="00D7142A">
        <w:rPr>
          <w:rFonts w:eastAsia="Arial Unicode MS"/>
          <w:noProof/>
        </w:rPr>
        <w:t>)</w:t>
      </w:r>
      <w:r w:rsidR="00B44E0D" w:rsidRPr="00D7142A">
        <w:rPr>
          <w:rFonts w:eastAsia="Arial Unicode MS"/>
        </w:rPr>
        <w:t xml:space="preserve">. From this socially situated perspective, motivations for ‘medical returns’ </w:t>
      </w:r>
      <w:r w:rsidR="00F82DCC" w:rsidRPr="00D7142A">
        <w:rPr>
          <w:rFonts w:eastAsia="Arial Unicode MS"/>
        </w:rPr>
        <w:t>go beyond access difficulties</w:t>
      </w:r>
      <w:r w:rsidR="002F0889" w:rsidRPr="00D7142A">
        <w:rPr>
          <w:rFonts w:eastAsia="Arial Unicode MS"/>
        </w:rPr>
        <w:t xml:space="preserve"> and </w:t>
      </w:r>
      <w:r w:rsidR="00B44E0D" w:rsidRPr="00D7142A">
        <w:rPr>
          <w:rFonts w:eastAsia="Arial Unicode MS"/>
        </w:rPr>
        <w:t xml:space="preserve">are deeply embedded ‘within individual </w:t>
      </w:r>
      <w:proofErr w:type="gramStart"/>
      <w:r w:rsidR="00B44E0D" w:rsidRPr="00D7142A">
        <w:rPr>
          <w:rFonts w:eastAsia="Arial Unicode MS"/>
        </w:rPr>
        <w:t>biographies’</w:t>
      </w:r>
      <w:proofErr w:type="gramEnd"/>
      <w:r w:rsidR="00B44E0D" w:rsidRPr="00D7142A">
        <w:rPr>
          <w:rFonts w:eastAsia="Arial Unicode MS"/>
        </w:rPr>
        <w:t xml:space="preserve"> and familial relationships </w:t>
      </w:r>
      <w:r w:rsidR="00E34E1A" w:rsidRPr="00D7142A">
        <w:rPr>
          <w:rFonts w:eastAsia="Arial Unicode MS"/>
          <w:noProof/>
        </w:rPr>
        <w:t>(</w:t>
      </w:r>
      <w:r w:rsidR="00CD43DA" w:rsidRPr="00D7142A">
        <w:rPr>
          <w:rFonts w:eastAsia="Arial Unicode MS"/>
          <w:noProof/>
        </w:rPr>
        <w:t>Osipovič, 2013: 110</w:t>
      </w:r>
      <w:r w:rsidR="00E34E1A" w:rsidRPr="00D7142A">
        <w:rPr>
          <w:rFonts w:eastAsia="Arial Unicode MS"/>
          <w:noProof/>
        </w:rPr>
        <w:t>)</w:t>
      </w:r>
      <w:r w:rsidR="00B44E0D" w:rsidRPr="00D7142A">
        <w:rPr>
          <w:rFonts w:eastAsia="Arial Unicode MS"/>
        </w:rPr>
        <w:t xml:space="preserve">, marking ‘a more complex cultural bond’ </w:t>
      </w:r>
      <w:r w:rsidR="00E34E1A" w:rsidRPr="00D7142A">
        <w:rPr>
          <w:rFonts w:eastAsia="Arial Unicode MS"/>
          <w:noProof/>
        </w:rPr>
        <w:t>(</w:t>
      </w:r>
      <w:r w:rsidR="00CD43DA" w:rsidRPr="00D7142A">
        <w:rPr>
          <w:rFonts w:eastAsia="Arial Unicode MS"/>
          <w:noProof/>
        </w:rPr>
        <w:t>Hanefeld et al., 2015: 357</w:t>
      </w:r>
      <w:r w:rsidR="00E34E1A" w:rsidRPr="00D7142A">
        <w:rPr>
          <w:rFonts w:eastAsia="Arial Unicode MS"/>
          <w:noProof/>
        </w:rPr>
        <w:t>)</w:t>
      </w:r>
      <w:r w:rsidR="00B44E0D" w:rsidRPr="00D7142A">
        <w:rPr>
          <w:rFonts w:eastAsia="Arial Unicode MS"/>
        </w:rPr>
        <w:t xml:space="preserve"> and often also fulfilling various social functions not immediately related to healthcare </w:t>
      </w:r>
      <w:r w:rsidR="00391072" w:rsidRPr="00D7142A">
        <w:rPr>
          <w:rFonts w:eastAsia="Arial Unicode MS"/>
          <w:noProof/>
        </w:rPr>
        <w:t>(</w:t>
      </w:r>
      <w:r w:rsidR="00CD43DA" w:rsidRPr="00D7142A">
        <w:rPr>
          <w:rFonts w:eastAsia="Arial Unicode MS"/>
          <w:noProof/>
        </w:rPr>
        <w:t>Horton, 2013</w:t>
      </w:r>
      <w:r w:rsidR="00391072" w:rsidRPr="00D7142A">
        <w:rPr>
          <w:rFonts w:eastAsia="Arial Unicode MS"/>
          <w:noProof/>
        </w:rPr>
        <w:t>)</w:t>
      </w:r>
      <w:r w:rsidR="00B44E0D" w:rsidRPr="00D7142A">
        <w:rPr>
          <w:rFonts w:eastAsia="Arial Unicode MS"/>
        </w:rPr>
        <w:t>.</w:t>
      </w:r>
    </w:p>
    <w:p w14:paraId="5EDD5568" w14:textId="45D33CEB" w:rsidR="00A852A7" w:rsidRPr="00D7142A" w:rsidRDefault="00B44E0D" w:rsidP="00CF38E8">
      <w:pPr>
        <w:spacing w:line="480" w:lineRule="auto"/>
        <w:rPr>
          <w:rFonts w:eastAsia="Arial Unicode MS"/>
        </w:rPr>
      </w:pPr>
      <w:r w:rsidRPr="00D7142A">
        <w:rPr>
          <w:rFonts w:eastAsia="Arial Unicode MS"/>
        </w:rPr>
        <w:tab/>
        <w:t xml:space="preserve">Against the backdrop of this scholarship, the present article examines the reasons why EU ‘migrants’ in the United Kingdom would choose to engage in ‘medical returns’ to their countries of origin. The case in question is a subset of intra-EU mobility, where the majority of those moving </w:t>
      </w:r>
      <w:r w:rsidRPr="00D7142A">
        <w:rPr>
          <w:rFonts w:eastAsia="Arial Unicode MS"/>
        </w:rPr>
        <w:lastRenderedPageBreak/>
        <w:t xml:space="preserve">between EU member states enjoy widespread social citizenship rights in their countries of residence </w:t>
      </w:r>
      <w:r w:rsidR="00E34E1A" w:rsidRPr="00D7142A">
        <w:rPr>
          <w:rFonts w:eastAsia="Arial Unicode MS"/>
          <w:noProof/>
        </w:rPr>
        <w:t>(</w:t>
      </w:r>
      <w:r w:rsidR="00CD43DA" w:rsidRPr="00D7142A">
        <w:rPr>
          <w:rFonts w:eastAsia="Arial Unicode MS"/>
          <w:noProof/>
        </w:rPr>
        <w:t>Mainil, Commers, and Michelsen, 2013</w:t>
      </w:r>
      <w:r w:rsidR="00E34E1A" w:rsidRPr="00D7142A">
        <w:rPr>
          <w:rFonts w:eastAsia="Arial Unicode MS"/>
          <w:noProof/>
        </w:rPr>
        <w:t>)</w:t>
      </w:r>
      <w:r w:rsidRPr="00D7142A">
        <w:rPr>
          <w:rFonts w:eastAsia="Arial Unicode MS"/>
        </w:rPr>
        <w:t xml:space="preserve">. </w:t>
      </w:r>
      <w:r w:rsidR="007C6D7E" w:rsidRPr="00D7142A">
        <w:rPr>
          <w:rFonts w:eastAsia="Arial Unicode MS"/>
        </w:rPr>
        <w:t xml:space="preserve">Despite </w:t>
      </w:r>
      <w:r w:rsidR="00E16249" w:rsidRPr="00D7142A">
        <w:rPr>
          <w:rFonts w:eastAsia="Arial Unicode MS"/>
        </w:rPr>
        <w:t xml:space="preserve">a burgeoning literature </w:t>
      </w:r>
      <w:r w:rsidR="00696E53" w:rsidRPr="00D7142A">
        <w:rPr>
          <w:rFonts w:eastAsia="Arial Unicode MS"/>
        </w:rPr>
        <w:t xml:space="preserve">contributing to </w:t>
      </w:r>
      <w:r w:rsidR="009E5D3C" w:rsidRPr="00D7142A">
        <w:rPr>
          <w:rFonts w:eastAsia="Arial Unicode MS"/>
        </w:rPr>
        <w:t xml:space="preserve">our understanding of the motivations behind EU migrants’ </w:t>
      </w:r>
      <w:r w:rsidR="00472855" w:rsidRPr="00D7142A">
        <w:rPr>
          <w:rFonts w:eastAsia="Arial Unicode MS"/>
        </w:rPr>
        <w:t xml:space="preserve">transnational healthcare practices </w:t>
      </w:r>
      <w:r w:rsidR="00E34E1A" w:rsidRPr="00D7142A">
        <w:rPr>
          <w:rFonts w:eastAsia="Arial Unicode MS"/>
          <w:noProof/>
        </w:rPr>
        <w:t>(</w:t>
      </w:r>
      <w:r w:rsidR="00CD43DA" w:rsidRPr="00D7142A">
        <w:rPr>
          <w:rFonts w:eastAsia="Arial Unicode MS"/>
          <w:noProof/>
        </w:rPr>
        <w:t>Ehata and Seeleib-Kaiser, 2017</w:t>
      </w:r>
      <w:r w:rsidR="00E34E1A" w:rsidRPr="00D7142A">
        <w:rPr>
          <w:rFonts w:eastAsia="Arial Unicode MS"/>
          <w:noProof/>
        </w:rPr>
        <w:t xml:space="preserve">; </w:t>
      </w:r>
      <w:r w:rsidR="00CD43DA" w:rsidRPr="00D7142A">
        <w:rPr>
          <w:rFonts w:eastAsia="Arial Unicode MS"/>
          <w:noProof/>
        </w:rPr>
        <w:t>Goodwin, Polek, and Goodwin, 2013</w:t>
      </w:r>
      <w:r w:rsidR="00E34E1A" w:rsidRPr="00D7142A">
        <w:rPr>
          <w:rFonts w:eastAsia="Arial Unicode MS"/>
          <w:noProof/>
        </w:rPr>
        <w:t xml:space="preserve">; </w:t>
      </w:r>
      <w:r w:rsidR="00CD43DA" w:rsidRPr="00D7142A">
        <w:rPr>
          <w:rFonts w:eastAsia="Arial Unicode MS"/>
          <w:noProof/>
        </w:rPr>
        <w:t>Guma, 2018</w:t>
      </w:r>
      <w:r w:rsidR="00E34E1A" w:rsidRPr="00D7142A">
        <w:rPr>
          <w:rFonts w:eastAsia="Arial Unicode MS"/>
          <w:noProof/>
        </w:rPr>
        <w:t xml:space="preserve">; </w:t>
      </w:r>
      <w:r w:rsidR="00CD43DA" w:rsidRPr="00D7142A">
        <w:rPr>
          <w:rFonts w:eastAsia="Arial Unicode MS"/>
          <w:noProof/>
        </w:rPr>
        <w:t>Legido-Quigley, McKee, and Green, 2014</w:t>
      </w:r>
      <w:r w:rsidR="00E34E1A" w:rsidRPr="00D7142A">
        <w:rPr>
          <w:rFonts w:eastAsia="Arial Unicode MS"/>
          <w:noProof/>
        </w:rPr>
        <w:t xml:space="preserve">; </w:t>
      </w:r>
      <w:r w:rsidR="00CD43DA" w:rsidRPr="00D7142A">
        <w:rPr>
          <w:rFonts w:eastAsia="Arial Unicode MS"/>
          <w:noProof/>
        </w:rPr>
        <w:t>Migge and Gilmartin, 2011</w:t>
      </w:r>
      <w:r w:rsidR="00E34E1A" w:rsidRPr="00D7142A">
        <w:rPr>
          <w:rFonts w:eastAsia="Arial Unicode MS"/>
          <w:noProof/>
        </w:rPr>
        <w:t xml:space="preserve">; </w:t>
      </w:r>
      <w:r w:rsidR="00CD43DA" w:rsidRPr="00D7142A">
        <w:rPr>
          <w:rFonts w:eastAsia="Arial Unicode MS"/>
          <w:noProof/>
        </w:rPr>
        <w:t>Osipovič, 2013</w:t>
      </w:r>
      <w:r w:rsidR="00E34E1A" w:rsidRPr="00D7142A">
        <w:rPr>
          <w:rFonts w:eastAsia="Arial Unicode MS"/>
          <w:noProof/>
        </w:rPr>
        <w:t xml:space="preserve">; </w:t>
      </w:r>
      <w:r w:rsidR="00CD43DA" w:rsidRPr="00D7142A">
        <w:rPr>
          <w:rFonts w:eastAsia="Arial Unicode MS"/>
          <w:noProof/>
        </w:rPr>
        <w:t>Sime, 2014</w:t>
      </w:r>
      <w:r w:rsidR="00E34E1A" w:rsidRPr="00D7142A">
        <w:rPr>
          <w:rFonts w:eastAsia="Arial Unicode MS"/>
          <w:noProof/>
        </w:rPr>
        <w:t xml:space="preserve">; </w:t>
      </w:r>
      <w:r w:rsidR="00CD43DA" w:rsidRPr="00D7142A">
        <w:rPr>
          <w:rFonts w:eastAsia="Arial Unicode MS"/>
          <w:noProof/>
        </w:rPr>
        <w:t>Stan, 2015</w:t>
      </w:r>
      <w:r w:rsidR="00E34E1A" w:rsidRPr="00D7142A">
        <w:rPr>
          <w:rFonts w:eastAsia="Arial Unicode MS"/>
          <w:noProof/>
        </w:rPr>
        <w:t>)</w:t>
      </w:r>
      <w:r w:rsidR="00C23F32" w:rsidRPr="00D7142A">
        <w:rPr>
          <w:rFonts w:eastAsia="Arial Unicode MS"/>
        </w:rPr>
        <w:t>,</w:t>
      </w:r>
      <w:r w:rsidR="004117C9" w:rsidRPr="00D7142A">
        <w:rPr>
          <w:rFonts w:eastAsia="Arial Unicode MS"/>
        </w:rPr>
        <w:t xml:space="preserve"> </w:t>
      </w:r>
      <w:r w:rsidR="00FA6BAB" w:rsidRPr="00D7142A">
        <w:rPr>
          <w:rFonts w:eastAsia="Arial Unicode MS"/>
        </w:rPr>
        <w:t xml:space="preserve">these rich qualitative studies </w:t>
      </w:r>
      <w:r w:rsidR="00A90851" w:rsidRPr="00D7142A">
        <w:rPr>
          <w:rFonts w:eastAsia="Arial Unicode MS"/>
        </w:rPr>
        <w:t xml:space="preserve">tend to focus on a </w:t>
      </w:r>
      <w:r w:rsidR="001638A1" w:rsidRPr="00D7142A">
        <w:rPr>
          <w:rFonts w:eastAsia="Arial Unicode MS"/>
        </w:rPr>
        <w:t xml:space="preserve">relatively </w:t>
      </w:r>
      <w:r w:rsidR="00A90851" w:rsidRPr="00D7142A">
        <w:rPr>
          <w:rFonts w:eastAsia="Arial Unicode MS"/>
        </w:rPr>
        <w:t xml:space="preserve">small number of </w:t>
      </w:r>
      <w:r w:rsidR="00F5038F" w:rsidRPr="00D7142A">
        <w:rPr>
          <w:rFonts w:eastAsia="Arial Unicode MS"/>
        </w:rPr>
        <w:t>cases</w:t>
      </w:r>
      <w:r w:rsidR="005B7BE3" w:rsidRPr="00D7142A">
        <w:rPr>
          <w:rFonts w:eastAsia="Arial Unicode MS"/>
        </w:rPr>
        <w:t xml:space="preserve">, which </w:t>
      </w:r>
      <w:r w:rsidR="00B5182B" w:rsidRPr="00D7142A">
        <w:rPr>
          <w:rFonts w:eastAsia="Arial Unicode MS"/>
        </w:rPr>
        <w:t>does not allow</w:t>
      </w:r>
      <w:r w:rsidR="005B7BE3" w:rsidRPr="00D7142A">
        <w:rPr>
          <w:rFonts w:eastAsia="Arial Unicode MS"/>
        </w:rPr>
        <w:t xml:space="preserve"> a systematic overview</w:t>
      </w:r>
      <w:r w:rsidR="003868E0" w:rsidRPr="00D7142A">
        <w:rPr>
          <w:rFonts w:eastAsia="Arial Unicode MS"/>
        </w:rPr>
        <w:t xml:space="preserve"> </w:t>
      </w:r>
      <w:r w:rsidR="001A06DD" w:rsidRPr="00D7142A">
        <w:rPr>
          <w:rFonts w:eastAsia="Arial Unicode MS"/>
        </w:rPr>
        <w:t xml:space="preserve">leading to a </w:t>
      </w:r>
      <w:r w:rsidR="00ED2A73" w:rsidRPr="00D7142A">
        <w:rPr>
          <w:rFonts w:eastAsia="Arial Unicode MS"/>
        </w:rPr>
        <w:t>more comprehensive typology of</w:t>
      </w:r>
      <w:r w:rsidR="00DD0E62" w:rsidRPr="00D7142A">
        <w:rPr>
          <w:rFonts w:eastAsia="Arial Unicode MS"/>
        </w:rPr>
        <w:t xml:space="preserve"> preferences and practices</w:t>
      </w:r>
      <w:r w:rsidR="005B4500" w:rsidRPr="00D7142A">
        <w:rPr>
          <w:rFonts w:eastAsia="Arial Unicode MS"/>
        </w:rPr>
        <w:t xml:space="preserve"> </w:t>
      </w:r>
      <w:r w:rsidR="008118BA" w:rsidRPr="00D7142A">
        <w:rPr>
          <w:rFonts w:eastAsia="Arial Unicode MS"/>
        </w:rPr>
        <w:t>such</w:t>
      </w:r>
      <w:r w:rsidR="006415F7" w:rsidRPr="00D7142A">
        <w:rPr>
          <w:rFonts w:eastAsia="Arial Unicode MS"/>
        </w:rPr>
        <w:t xml:space="preserve"> as those identified in respect to broader </w:t>
      </w:r>
      <w:r w:rsidR="00EF5FE3" w:rsidRPr="00D7142A">
        <w:rPr>
          <w:rFonts w:eastAsia="Arial Unicode MS"/>
        </w:rPr>
        <w:t xml:space="preserve">phenomena of ‘cross-border patient mobility’ </w:t>
      </w:r>
      <w:r w:rsidR="00125240" w:rsidRPr="00D7142A">
        <w:rPr>
          <w:rFonts w:eastAsia="Arial Unicode MS"/>
        </w:rPr>
        <w:t>(</w:t>
      </w:r>
      <w:proofErr w:type="spellStart"/>
      <w:r w:rsidR="00125240" w:rsidRPr="00D7142A">
        <w:rPr>
          <w:rFonts w:eastAsia="Arial Unicode MS"/>
        </w:rPr>
        <w:t>Glinos</w:t>
      </w:r>
      <w:proofErr w:type="spellEnd"/>
      <w:r w:rsidR="00125240" w:rsidRPr="00D7142A">
        <w:rPr>
          <w:rFonts w:eastAsia="Arial Unicode MS"/>
        </w:rPr>
        <w:t xml:space="preserve"> et al., 2010)</w:t>
      </w:r>
      <w:r w:rsidR="00F60E53" w:rsidRPr="00D7142A">
        <w:rPr>
          <w:rFonts w:eastAsia="Arial Unicode MS"/>
        </w:rPr>
        <w:t xml:space="preserve">. </w:t>
      </w:r>
      <w:r w:rsidR="00865289" w:rsidRPr="00D7142A">
        <w:rPr>
          <w:rFonts w:eastAsia="Arial Unicode MS"/>
        </w:rPr>
        <w:t xml:space="preserve">Addressing </w:t>
      </w:r>
      <w:r w:rsidR="0028310E" w:rsidRPr="00D7142A">
        <w:rPr>
          <w:rFonts w:eastAsia="Arial Unicode MS"/>
        </w:rPr>
        <w:t xml:space="preserve">this gap, </w:t>
      </w:r>
      <w:r w:rsidR="00865289" w:rsidRPr="00D7142A">
        <w:rPr>
          <w:rFonts w:eastAsia="Arial Unicode MS"/>
        </w:rPr>
        <w:t>we</w:t>
      </w:r>
      <w:r w:rsidR="00BE7B9E" w:rsidRPr="00D7142A">
        <w:rPr>
          <w:rFonts w:eastAsia="Arial Unicode MS"/>
        </w:rPr>
        <w:t xml:space="preserve"> aim to </w:t>
      </w:r>
      <w:r w:rsidR="00865289" w:rsidRPr="00D7142A">
        <w:rPr>
          <w:rFonts w:eastAsia="Arial Unicode MS"/>
        </w:rPr>
        <w:t xml:space="preserve">identify </w:t>
      </w:r>
      <w:r w:rsidRPr="00D7142A">
        <w:rPr>
          <w:rFonts w:eastAsia="Arial Unicode MS"/>
        </w:rPr>
        <w:t>the factors motivat</w:t>
      </w:r>
      <w:r w:rsidR="00A37AF2" w:rsidRPr="00D7142A">
        <w:rPr>
          <w:rFonts w:eastAsia="Arial Unicode MS"/>
        </w:rPr>
        <w:t>ing</w:t>
      </w:r>
      <w:r w:rsidRPr="00D7142A">
        <w:rPr>
          <w:rFonts w:eastAsia="Arial Unicode MS"/>
        </w:rPr>
        <w:t xml:space="preserve"> cross-border mobility or immobility among a relatively large pool of EU </w:t>
      </w:r>
      <w:r w:rsidR="00197A31" w:rsidRPr="00D7142A">
        <w:rPr>
          <w:rFonts w:eastAsia="Arial Unicode MS"/>
        </w:rPr>
        <w:t>migrants and</w:t>
      </w:r>
      <w:r w:rsidRPr="00D7142A">
        <w:rPr>
          <w:rFonts w:eastAsia="Arial Unicode MS"/>
        </w:rPr>
        <w:t xml:space="preserve"> </w:t>
      </w:r>
      <w:r w:rsidR="00A45061" w:rsidRPr="00D7142A">
        <w:rPr>
          <w:rFonts w:eastAsia="Arial Unicode MS"/>
        </w:rPr>
        <w:t>construct</w:t>
      </w:r>
      <w:r w:rsidRPr="00D7142A">
        <w:rPr>
          <w:rFonts w:eastAsia="Arial Unicode MS"/>
        </w:rPr>
        <w:t xml:space="preserve"> a </w:t>
      </w:r>
      <w:r w:rsidR="000F4D8E" w:rsidRPr="00D7142A">
        <w:rPr>
          <w:rFonts w:eastAsia="Arial Unicode MS"/>
        </w:rPr>
        <w:t xml:space="preserve">qualitative </w:t>
      </w:r>
      <w:r w:rsidRPr="00D7142A">
        <w:rPr>
          <w:rFonts w:eastAsia="Arial Unicode MS"/>
        </w:rPr>
        <w:t xml:space="preserve">typology that could be operationalised for a </w:t>
      </w:r>
      <w:r w:rsidR="00476689" w:rsidRPr="00D7142A">
        <w:rPr>
          <w:rFonts w:eastAsia="Arial Unicode MS"/>
        </w:rPr>
        <w:t>quantitative analysis</w:t>
      </w:r>
      <w:r w:rsidRPr="00D7142A">
        <w:rPr>
          <w:rFonts w:eastAsia="Arial Unicode MS"/>
        </w:rPr>
        <w:t xml:space="preserve">. </w:t>
      </w:r>
    </w:p>
    <w:p w14:paraId="0D2103D5" w14:textId="5F04C47C" w:rsidR="00B44E0D" w:rsidRPr="00D7142A" w:rsidRDefault="00B44E0D" w:rsidP="00A852A7">
      <w:pPr>
        <w:spacing w:line="480" w:lineRule="auto"/>
        <w:ind w:firstLine="720"/>
        <w:rPr>
          <w:rFonts w:eastAsia="Arial Unicode MS"/>
        </w:rPr>
      </w:pPr>
      <w:r w:rsidRPr="00D7142A">
        <w:rPr>
          <w:rFonts w:eastAsia="Arial Unicode MS"/>
        </w:rPr>
        <w:t xml:space="preserve">Our empirical data originate from an online survey conducted in 2016. </w:t>
      </w:r>
      <w:r w:rsidR="006D2451" w:rsidRPr="00D7142A">
        <w:rPr>
          <w:rFonts w:eastAsia="Arial Unicode MS"/>
        </w:rPr>
        <w:t>The survey sample consist</w:t>
      </w:r>
      <w:r w:rsidR="002F319A" w:rsidRPr="00D7142A">
        <w:rPr>
          <w:rFonts w:eastAsia="Arial Unicode MS"/>
        </w:rPr>
        <w:t>ed</w:t>
      </w:r>
      <w:r w:rsidR="006D2451" w:rsidRPr="00D7142A">
        <w:rPr>
          <w:rFonts w:eastAsia="Arial Unicode MS"/>
        </w:rPr>
        <w:t xml:space="preserve"> of </w:t>
      </w:r>
      <w:r w:rsidR="007E75E9" w:rsidRPr="00D7142A">
        <w:rPr>
          <w:rFonts w:eastAsia="Arial Unicode MS"/>
        </w:rPr>
        <w:t>1,656</w:t>
      </w:r>
      <w:r w:rsidR="002F319A" w:rsidRPr="00D7142A">
        <w:rPr>
          <w:rFonts w:eastAsia="Arial Unicode MS"/>
        </w:rPr>
        <w:t xml:space="preserve"> respondents</w:t>
      </w:r>
      <w:r w:rsidR="006643DB" w:rsidRPr="00D7142A">
        <w:rPr>
          <w:rFonts w:eastAsia="Arial Unicode MS"/>
        </w:rPr>
        <w:t xml:space="preserve"> from ten countries of origin</w:t>
      </w:r>
      <w:r w:rsidR="002F319A" w:rsidRPr="00D7142A">
        <w:rPr>
          <w:rFonts w:eastAsia="Arial Unicode MS"/>
        </w:rPr>
        <w:t xml:space="preserve">, </w:t>
      </w:r>
      <w:r w:rsidR="00C23A00" w:rsidRPr="00D7142A">
        <w:rPr>
          <w:rFonts w:eastAsia="Arial Unicode MS"/>
        </w:rPr>
        <w:t xml:space="preserve">the majority </w:t>
      </w:r>
      <w:r w:rsidR="000F2967" w:rsidRPr="00D7142A">
        <w:rPr>
          <w:rFonts w:eastAsia="Arial Unicode MS"/>
        </w:rPr>
        <w:t>from Poland</w:t>
      </w:r>
      <w:r w:rsidR="00D0083C" w:rsidRPr="00D7142A">
        <w:rPr>
          <w:rFonts w:eastAsia="Arial Unicode MS"/>
        </w:rPr>
        <w:t xml:space="preserve"> (60%)</w:t>
      </w:r>
      <w:r w:rsidR="000F2967" w:rsidRPr="00D7142A">
        <w:rPr>
          <w:rFonts w:eastAsia="Arial Unicode MS"/>
        </w:rPr>
        <w:t xml:space="preserve">, </w:t>
      </w:r>
      <w:r w:rsidR="00201E19" w:rsidRPr="00D7142A">
        <w:rPr>
          <w:rFonts w:eastAsia="Arial Unicode MS"/>
        </w:rPr>
        <w:t>Hungary (</w:t>
      </w:r>
      <w:r w:rsidR="00FE5CD7" w:rsidRPr="00D7142A">
        <w:rPr>
          <w:rFonts w:eastAsia="Arial Unicode MS"/>
        </w:rPr>
        <w:t>8</w:t>
      </w:r>
      <w:r w:rsidR="00410B08" w:rsidRPr="00D7142A">
        <w:rPr>
          <w:rFonts w:eastAsia="Arial Unicode MS"/>
        </w:rPr>
        <w:t>.6%), Portugal (8.5%), Romania (</w:t>
      </w:r>
      <w:r w:rsidR="00EF0D6C" w:rsidRPr="00D7142A">
        <w:rPr>
          <w:rFonts w:eastAsia="Arial Unicode MS"/>
        </w:rPr>
        <w:t>8.3%) and Germany (5.2%)</w:t>
      </w:r>
      <w:r w:rsidR="0076743E" w:rsidRPr="00D7142A">
        <w:rPr>
          <w:rFonts w:eastAsia="Arial Unicode MS"/>
        </w:rPr>
        <w:t xml:space="preserve"> (see Table 2 for details). </w:t>
      </w:r>
      <w:r w:rsidRPr="00D7142A">
        <w:rPr>
          <w:rFonts w:eastAsia="Arial Unicode MS"/>
        </w:rPr>
        <w:t xml:space="preserve">We focus here particularly on the qualitative answers (N=511) given to an open-ended survey question. </w:t>
      </w:r>
      <w:r w:rsidR="00E55181" w:rsidRPr="00D7142A">
        <w:rPr>
          <w:rFonts w:eastAsia="Arial Unicode MS"/>
        </w:rPr>
        <w:t>T</w:t>
      </w:r>
      <w:r w:rsidRPr="00D7142A">
        <w:rPr>
          <w:rFonts w:eastAsia="Arial Unicode MS"/>
        </w:rPr>
        <w:t xml:space="preserve">he qualitative richness of the data highlights the distinctive and shared experiences of a wider population than that featured in previous research, thus providing a sense of scale, while the classification of motivations arrived at has already demonstrated its explanatory potential in subsequent statistical testing </w:t>
      </w:r>
      <w:r w:rsidRPr="00D7142A">
        <w:rPr>
          <w:rFonts w:eastAsia="Arial Unicode MS"/>
          <w:noProof/>
        </w:rPr>
        <w:t>(</w:t>
      </w:r>
      <w:r w:rsidR="005D2D75" w:rsidRPr="005D2D75">
        <w:rPr>
          <w:rFonts w:eastAsia="Arial Unicode MS"/>
          <w:noProof/>
        </w:rPr>
        <w:t>Moreh, McGhee and Vlachantoni, 2018</w:t>
      </w:r>
      <w:r w:rsidRPr="00D7142A">
        <w:rPr>
          <w:rFonts w:eastAsia="Arial Unicode MS"/>
          <w:noProof/>
        </w:rPr>
        <w:t>)</w:t>
      </w:r>
      <w:r w:rsidRPr="00D7142A">
        <w:rPr>
          <w:rFonts w:eastAsia="Arial Unicode MS"/>
        </w:rPr>
        <w:t xml:space="preserve">. </w:t>
      </w:r>
      <w:r w:rsidR="00700BF6" w:rsidRPr="00D7142A">
        <w:rPr>
          <w:rFonts w:eastAsia="Arial Unicode MS"/>
        </w:rPr>
        <w:t>The main contribution of the article is thus to provide an intermediary analysis between qualitative depth and quantitative operationalizability.</w:t>
      </w:r>
      <w:r w:rsidR="005B4C6C" w:rsidRPr="00D7142A">
        <w:rPr>
          <w:rFonts w:eastAsia="Arial Unicode MS"/>
        </w:rPr>
        <w:t xml:space="preserve"> </w:t>
      </w:r>
      <w:r w:rsidRPr="00D7142A">
        <w:rPr>
          <w:rFonts w:eastAsia="Arial Unicode MS"/>
        </w:rPr>
        <w:t xml:space="preserve">Before discussing our methodology and </w:t>
      </w:r>
      <w:r w:rsidR="004F00A7" w:rsidRPr="00D7142A">
        <w:rPr>
          <w:rFonts w:eastAsia="Arial Unicode MS"/>
        </w:rPr>
        <w:t xml:space="preserve">presenting our </w:t>
      </w:r>
      <w:r w:rsidRPr="00D7142A">
        <w:rPr>
          <w:rFonts w:eastAsia="Arial Unicode MS"/>
        </w:rPr>
        <w:t xml:space="preserve">results in more detail, we briefly review the </w:t>
      </w:r>
      <w:r w:rsidR="003C4D47" w:rsidRPr="00D7142A">
        <w:rPr>
          <w:rFonts w:eastAsia="Arial Unicode MS"/>
        </w:rPr>
        <w:t xml:space="preserve">broader </w:t>
      </w:r>
      <w:r w:rsidRPr="00D7142A">
        <w:rPr>
          <w:rFonts w:eastAsia="Arial Unicode MS"/>
        </w:rPr>
        <w:t xml:space="preserve">literature dealing with motivations for </w:t>
      </w:r>
      <w:r w:rsidR="001E795E" w:rsidRPr="00D7142A">
        <w:rPr>
          <w:rFonts w:eastAsia="Arial Unicode MS"/>
        </w:rPr>
        <w:t>healthcare-related mobility in the EU</w:t>
      </w:r>
      <w:r w:rsidR="009B1633" w:rsidRPr="00D7142A">
        <w:rPr>
          <w:rFonts w:eastAsia="Arial Unicode MS"/>
        </w:rPr>
        <w:t>,</w:t>
      </w:r>
      <w:r w:rsidR="007C5284" w:rsidRPr="00D7142A">
        <w:rPr>
          <w:rFonts w:eastAsia="Arial Unicode MS"/>
        </w:rPr>
        <w:t xml:space="preserve"> and the UK </w:t>
      </w:r>
      <w:proofErr w:type="gramStart"/>
      <w:r w:rsidR="009B1633" w:rsidRPr="00D7142A">
        <w:rPr>
          <w:rFonts w:eastAsia="Arial Unicode MS"/>
        </w:rPr>
        <w:t>context</w:t>
      </w:r>
      <w:r w:rsidR="007C1B2A" w:rsidRPr="00D7142A">
        <w:rPr>
          <w:rFonts w:eastAsia="Arial Unicode MS"/>
        </w:rPr>
        <w:t xml:space="preserve"> in particular</w:t>
      </w:r>
      <w:proofErr w:type="gramEnd"/>
      <w:r w:rsidR="007C5284" w:rsidRPr="00D7142A">
        <w:rPr>
          <w:rFonts w:eastAsia="Arial Unicode MS"/>
        </w:rPr>
        <w:t>.</w:t>
      </w:r>
    </w:p>
    <w:p w14:paraId="469CC66A" w14:textId="77777777" w:rsidR="00B44E0D" w:rsidRPr="00D7142A" w:rsidRDefault="00B44E0D" w:rsidP="00811112">
      <w:pPr>
        <w:pStyle w:val="Heading1"/>
      </w:pPr>
      <w:r w:rsidRPr="00D7142A">
        <w:t>Intra-European mobility and motivational typologies of transnational healthcare</w:t>
      </w:r>
    </w:p>
    <w:p w14:paraId="36415421" w14:textId="340E8902" w:rsidR="004C4B96" w:rsidRPr="00D7142A" w:rsidRDefault="00B44E0D" w:rsidP="00CF38E8">
      <w:pPr>
        <w:spacing w:line="480" w:lineRule="auto"/>
        <w:rPr>
          <w:rFonts w:eastAsia="Arial Unicode MS"/>
        </w:rPr>
      </w:pPr>
      <w:r w:rsidRPr="00D7142A">
        <w:rPr>
          <w:rFonts w:eastAsia="Arial Unicode MS"/>
        </w:rPr>
        <w:t xml:space="preserve">The EU provides a special institutional context for both transnational migration and what is commonly referred to as ‘medical tourism’ or ‘patient mobility’ </w:t>
      </w:r>
      <w:r w:rsidR="00E34E1A" w:rsidRPr="00D7142A">
        <w:rPr>
          <w:rFonts w:eastAsia="Arial Unicode MS"/>
          <w:noProof/>
        </w:rPr>
        <w:t>(</w:t>
      </w:r>
      <w:r w:rsidR="00CD43DA" w:rsidRPr="00D7142A">
        <w:rPr>
          <w:rFonts w:eastAsia="Arial Unicode MS"/>
          <w:noProof/>
        </w:rPr>
        <w:t>Glinos et al., 2010</w:t>
      </w:r>
      <w:r w:rsidR="00E34E1A" w:rsidRPr="00D7142A">
        <w:rPr>
          <w:rFonts w:eastAsia="Arial Unicode MS"/>
          <w:noProof/>
        </w:rPr>
        <w:t xml:space="preserve">; </w:t>
      </w:r>
      <w:r w:rsidR="00CD43DA" w:rsidRPr="00D7142A">
        <w:rPr>
          <w:rFonts w:eastAsia="Arial Unicode MS"/>
          <w:noProof/>
        </w:rPr>
        <w:t>Horsfall, 2019</w:t>
      </w:r>
      <w:r w:rsidR="00E34E1A" w:rsidRPr="00D7142A">
        <w:rPr>
          <w:rFonts w:eastAsia="Arial Unicode MS"/>
          <w:noProof/>
        </w:rPr>
        <w:t xml:space="preserve">; </w:t>
      </w:r>
      <w:r w:rsidR="00CD43DA" w:rsidRPr="00D7142A">
        <w:rPr>
          <w:rFonts w:eastAsia="Arial Unicode MS"/>
          <w:noProof/>
        </w:rPr>
        <w:t xml:space="preserve">Mainil, </w:t>
      </w:r>
      <w:r w:rsidR="00CD43DA" w:rsidRPr="00D7142A">
        <w:rPr>
          <w:rFonts w:eastAsia="Arial Unicode MS"/>
          <w:noProof/>
        </w:rPr>
        <w:lastRenderedPageBreak/>
        <w:t>Commers, and Michelsen, 2013</w:t>
      </w:r>
      <w:r w:rsidR="00E34E1A" w:rsidRPr="00D7142A">
        <w:rPr>
          <w:rFonts w:eastAsia="Arial Unicode MS"/>
          <w:noProof/>
        </w:rPr>
        <w:t>)</w:t>
      </w:r>
      <w:r w:rsidRPr="00D7142A">
        <w:rPr>
          <w:rFonts w:eastAsia="Arial Unicode MS"/>
        </w:rPr>
        <w:t xml:space="preserve">. While in the wider purview of the latter long-term international migrants are assigned a secondary role as ‘diaspora patients’ </w:t>
      </w:r>
      <w:r w:rsidR="00E34E1A" w:rsidRPr="00D7142A">
        <w:rPr>
          <w:rFonts w:eastAsia="Arial Unicode MS"/>
          <w:noProof/>
        </w:rPr>
        <w:t>(</w:t>
      </w:r>
      <w:r w:rsidR="00CD43DA" w:rsidRPr="00D7142A">
        <w:rPr>
          <w:rFonts w:eastAsia="Arial Unicode MS"/>
          <w:noProof/>
        </w:rPr>
        <w:t>Hanefeld et al., 2015: 357</w:t>
      </w:r>
      <w:r w:rsidR="00E34E1A" w:rsidRPr="00D7142A">
        <w:rPr>
          <w:rFonts w:eastAsia="Arial Unicode MS"/>
          <w:noProof/>
        </w:rPr>
        <w:t>)</w:t>
      </w:r>
      <w:r w:rsidRPr="00D7142A">
        <w:rPr>
          <w:rFonts w:eastAsia="Arial Unicode MS"/>
        </w:rPr>
        <w:t xml:space="preserve">, within the European context they take primacy. As </w:t>
      </w:r>
      <w:r w:rsidR="00CD43DA" w:rsidRPr="00D7142A">
        <w:rPr>
          <w:rFonts w:eastAsia="Arial Unicode MS"/>
          <w:noProof/>
        </w:rPr>
        <w:t>Mainil, Commers, and Michelsen (2013: 132)</w:t>
      </w:r>
      <w:r w:rsidRPr="00D7142A">
        <w:rPr>
          <w:rFonts w:eastAsia="Arial Unicode MS"/>
        </w:rPr>
        <w:t xml:space="preserve"> point out, EU regulations facilitating access to healthcare across borders mostly target ‘those who become patients while abroad’. The lens of ‘medical tourism’ can also inadvertently mask more strictly migratory phenomena, and </w:t>
      </w:r>
      <w:r w:rsidR="00CD43DA" w:rsidRPr="00D7142A">
        <w:rPr>
          <w:rFonts w:eastAsia="Arial Unicode MS"/>
          <w:noProof/>
        </w:rPr>
        <w:t>Horsfall (2019)</w:t>
      </w:r>
      <w:r w:rsidRPr="00D7142A">
        <w:rPr>
          <w:rFonts w:eastAsia="Arial Unicode MS"/>
        </w:rPr>
        <w:t xml:space="preserve"> shows how </w:t>
      </w:r>
      <w:proofErr w:type="gramStart"/>
      <w:r w:rsidRPr="00D7142A">
        <w:rPr>
          <w:rFonts w:eastAsia="Arial Unicode MS"/>
        </w:rPr>
        <w:t>the overwhelming majority of</w:t>
      </w:r>
      <w:proofErr w:type="gramEnd"/>
      <w:r w:rsidRPr="00D7142A">
        <w:rPr>
          <w:rFonts w:eastAsia="Arial Unicode MS"/>
        </w:rPr>
        <w:t xml:space="preserve"> medical exits from the UK registered in official statistics are undertaken by non-UK nationals travelling back to their countries of origin, </w:t>
      </w:r>
      <w:r w:rsidR="00EC2B72" w:rsidRPr="00D7142A">
        <w:rPr>
          <w:rFonts w:eastAsia="Arial Unicode MS"/>
        </w:rPr>
        <w:t xml:space="preserve">while travel within the EU’s institutional arrangements </w:t>
      </w:r>
      <w:r w:rsidR="0066708D" w:rsidRPr="00D7142A">
        <w:rPr>
          <w:rFonts w:eastAsia="Arial Unicode MS"/>
        </w:rPr>
        <w:t>for cross-border healthcare is rare.</w:t>
      </w:r>
    </w:p>
    <w:p w14:paraId="3F2535D0" w14:textId="335A4E01" w:rsidR="00AF3293" w:rsidRPr="00D7142A" w:rsidRDefault="00786503" w:rsidP="00CF38E8">
      <w:pPr>
        <w:spacing w:line="480" w:lineRule="auto"/>
        <w:rPr>
          <w:rFonts w:eastAsia="Arial Unicode MS"/>
        </w:rPr>
      </w:pPr>
      <w:r w:rsidRPr="00D7142A">
        <w:rPr>
          <w:rFonts w:eastAsia="Arial Unicode MS"/>
        </w:rPr>
        <w:tab/>
      </w:r>
      <w:r w:rsidR="00043C0A" w:rsidRPr="00D7142A">
        <w:rPr>
          <w:rFonts w:eastAsia="Arial Unicode MS"/>
        </w:rPr>
        <w:t>Consequently</w:t>
      </w:r>
      <w:r w:rsidR="0025613C" w:rsidRPr="00D7142A">
        <w:rPr>
          <w:rFonts w:eastAsia="Arial Unicode MS"/>
        </w:rPr>
        <w:t xml:space="preserve">, </w:t>
      </w:r>
      <w:r w:rsidR="007C6A3A" w:rsidRPr="00D7142A">
        <w:rPr>
          <w:rFonts w:eastAsia="Arial Unicode MS"/>
        </w:rPr>
        <w:t xml:space="preserve">the various </w:t>
      </w:r>
      <w:r w:rsidR="0017613A" w:rsidRPr="00D7142A">
        <w:rPr>
          <w:rFonts w:eastAsia="Arial Unicode MS"/>
        </w:rPr>
        <w:t>conceptual and empirical t</w:t>
      </w:r>
      <w:r w:rsidR="00E632C2" w:rsidRPr="00D7142A">
        <w:rPr>
          <w:rFonts w:eastAsia="Arial Unicode MS"/>
        </w:rPr>
        <w:t>y</w:t>
      </w:r>
      <w:r w:rsidR="00DA5FA6" w:rsidRPr="00D7142A">
        <w:rPr>
          <w:rFonts w:eastAsia="Arial Unicode MS"/>
        </w:rPr>
        <w:t xml:space="preserve">pologies </w:t>
      </w:r>
      <w:r w:rsidR="00EB5636" w:rsidRPr="00D7142A">
        <w:rPr>
          <w:rFonts w:eastAsia="Arial Unicode MS"/>
        </w:rPr>
        <w:t>designed</w:t>
      </w:r>
      <w:r w:rsidR="00DA5FA6" w:rsidRPr="00D7142A">
        <w:rPr>
          <w:rFonts w:eastAsia="Arial Unicode MS"/>
        </w:rPr>
        <w:t xml:space="preserve"> </w:t>
      </w:r>
      <w:r w:rsidR="00757995" w:rsidRPr="00D7142A">
        <w:rPr>
          <w:rFonts w:eastAsia="Arial Unicode MS"/>
        </w:rPr>
        <w:t xml:space="preserve">to </w:t>
      </w:r>
      <w:r w:rsidR="00865C2E" w:rsidRPr="00D7142A">
        <w:rPr>
          <w:rFonts w:eastAsia="Arial Unicode MS"/>
        </w:rPr>
        <w:t xml:space="preserve">identify and </w:t>
      </w:r>
      <w:r w:rsidR="00757995" w:rsidRPr="00D7142A">
        <w:rPr>
          <w:rFonts w:eastAsia="Arial Unicode MS"/>
        </w:rPr>
        <w:t>categorise</w:t>
      </w:r>
      <w:r w:rsidR="005D32D3" w:rsidRPr="00D7142A">
        <w:rPr>
          <w:rFonts w:eastAsia="Arial Unicode MS"/>
        </w:rPr>
        <w:t xml:space="preserve"> forms of</w:t>
      </w:r>
      <w:r w:rsidR="00757995" w:rsidRPr="00D7142A">
        <w:rPr>
          <w:rFonts w:eastAsia="Arial Unicode MS"/>
        </w:rPr>
        <w:t xml:space="preserve"> </w:t>
      </w:r>
      <w:r w:rsidR="00F64D17" w:rsidRPr="00D7142A">
        <w:rPr>
          <w:rFonts w:eastAsia="Arial Unicode MS"/>
        </w:rPr>
        <w:t>patient</w:t>
      </w:r>
      <w:r w:rsidR="006D7A55" w:rsidRPr="00D7142A">
        <w:rPr>
          <w:rFonts w:eastAsia="Arial Unicode MS"/>
        </w:rPr>
        <w:t xml:space="preserve"> mobility within the EU have combined the individual perspective of patients’ motivations with the regulatory frameworks and structural factors that stimulate or hinder such practices</w:t>
      </w:r>
      <w:r w:rsidR="0080611D" w:rsidRPr="00D7142A">
        <w:rPr>
          <w:rFonts w:eastAsia="Arial Unicode MS"/>
        </w:rPr>
        <w:t xml:space="preserve"> </w:t>
      </w:r>
      <w:r w:rsidR="00E34E1A" w:rsidRPr="00D7142A">
        <w:rPr>
          <w:rFonts w:eastAsia="Arial Unicode MS"/>
          <w:noProof/>
        </w:rPr>
        <w:t>(</w:t>
      </w:r>
      <w:r w:rsidR="00CD43DA" w:rsidRPr="00D7142A">
        <w:rPr>
          <w:rFonts w:eastAsia="Arial Unicode MS"/>
          <w:noProof/>
        </w:rPr>
        <w:t>Carrera and Lunt, 2010</w:t>
      </w:r>
      <w:r w:rsidR="00E34E1A" w:rsidRPr="00D7142A">
        <w:rPr>
          <w:rFonts w:eastAsia="Arial Unicode MS"/>
          <w:noProof/>
        </w:rPr>
        <w:t xml:space="preserve">; </w:t>
      </w:r>
      <w:r w:rsidR="00CD43DA" w:rsidRPr="00D7142A">
        <w:rPr>
          <w:rFonts w:eastAsia="Arial Unicode MS"/>
          <w:noProof/>
        </w:rPr>
        <w:t>Glinos et al., 2010</w:t>
      </w:r>
      <w:r w:rsidR="00E34E1A" w:rsidRPr="00D7142A">
        <w:rPr>
          <w:rFonts w:eastAsia="Arial Unicode MS"/>
          <w:noProof/>
        </w:rPr>
        <w:t xml:space="preserve">; </w:t>
      </w:r>
      <w:r w:rsidR="00CD43DA" w:rsidRPr="00D7142A">
        <w:rPr>
          <w:rFonts w:eastAsia="Arial Unicode MS"/>
          <w:noProof/>
        </w:rPr>
        <w:t>Hanefeld et al., 2015</w:t>
      </w:r>
      <w:r w:rsidR="00E34E1A" w:rsidRPr="00D7142A">
        <w:rPr>
          <w:rFonts w:eastAsia="Arial Unicode MS"/>
          <w:noProof/>
        </w:rPr>
        <w:t xml:space="preserve">; </w:t>
      </w:r>
      <w:r w:rsidR="00CD43DA" w:rsidRPr="00D7142A">
        <w:rPr>
          <w:rFonts w:eastAsia="Arial Unicode MS"/>
          <w:noProof/>
        </w:rPr>
        <w:t>Laugesen and Vargas-Bustamante, 2010</w:t>
      </w:r>
      <w:r w:rsidR="00E34E1A" w:rsidRPr="00D7142A">
        <w:rPr>
          <w:rFonts w:eastAsia="Arial Unicode MS"/>
          <w:noProof/>
        </w:rPr>
        <w:t>)</w:t>
      </w:r>
      <w:r w:rsidR="0080611D" w:rsidRPr="00D7142A">
        <w:rPr>
          <w:rFonts w:eastAsia="Arial Unicode MS"/>
        </w:rPr>
        <w:t>.</w:t>
      </w:r>
      <w:r w:rsidR="00F6199E" w:rsidRPr="00D7142A">
        <w:rPr>
          <w:rFonts w:eastAsia="Arial Unicode MS"/>
        </w:rPr>
        <w:t xml:space="preserve"> </w:t>
      </w:r>
      <w:r w:rsidR="00CD43DA" w:rsidRPr="00D7142A">
        <w:rPr>
          <w:rFonts w:eastAsia="Arial Unicode MS"/>
          <w:noProof/>
        </w:rPr>
        <w:t>Glinos et al. (2010)</w:t>
      </w:r>
      <w:r w:rsidR="00EB5636" w:rsidRPr="00D7142A">
        <w:rPr>
          <w:rFonts w:eastAsia="Arial Unicode MS"/>
        </w:rPr>
        <w:t>,</w:t>
      </w:r>
      <w:r w:rsidR="006D7A55" w:rsidRPr="00D7142A">
        <w:rPr>
          <w:rFonts w:eastAsia="Arial Unicode MS"/>
        </w:rPr>
        <w:t xml:space="preserve"> for </w:t>
      </w:r>
      <w:r w:rsidR="00EB5636" w:rsidRPr="00D7142A">
        <w:rPr>
          <w:rFonts w:eastAsia="Arial Unicode MS"/>
        </w:rPr>
        <w:t>instance,</w:t>
      </w:r>
      <w:r w:rsidR="006D7A55" w:rsidRPr="00D7142A">
        <w:rPr>
          <w:rFonts w:eastAsia="Arial Unicode MS"/>
        </w:rPr>
        <w:t xml:space="preserve"> have identified the </w:t>
      </w:r>
      <w:r w:rsidR="006D7A55" w:rsidRPr="00D7142A">
        <w:rPr>
          <w:rFonts w:eastAsia="Arial Unicode MS"/>
          <w:i/>
        </w:rPr>
        <w:t>availability</w:t>
      </w:r>
      <w:r w:rsidR="006D7A55" w:rsidRPr="00D7142A">
        <w:rPr>
          <w:rFonts w:eastAsia="Arial Unicode MS"/>
        </w:rPr>
        <w:t xml:space="preserve"> (in terms of </w:t>
      </w:r>
      <w:r w:rsidR="006D7A55" w:rsidRPr="00D7142A">
        <w:rPr>
          <w:rFonts w:eastAsia="Arial Unicode MS"/>
          <w:i/>
        </w:rPr>
        <w:t>quantity</w:t>
      </w:r>
      <w:r w:rsidR="006D7A55" w:rsidRPr="00D7142A">
        <w:rPr>
          <w:rFonts w:eastAsia="Arial Unicode MS"/>
        </w:rPr>
        <w:t xml:space="preserve"> and </w:t>
      </w:r>
      <w:r w:rsidR="006D7A55" w:rsidRPr="00D7142A">
        <w:rPr>
          <w:rFonts w:eastAsia="Arial Unicode MS"/>
          <w:i/>
        </w:rPr>
        <w:t>type</w:t>
      </w:r>
      <w:r w:rsidR="006D7A55" w:rsidRPr="00D7142A">
        <w:rPr>
          <w:rFonts w:eastAsia="Arial Unicode MS"/>
        </w:rPr>
        <w:t xml:space="preserve">) and </w:t>
      </w:r>
      <w:r w:rsidR="006D7A55" w:rsidRPr="00D7142A">
        <w:rPr>
          <w:rFonts w:eastAsia="Arial Unicode MS"/>
          <w:i/>
        </w:rPr>
        <w:t>affordability</w:t>
      </w:r>
      <w:r w:rsidR="006D7A55" w:rsidRPr="00D7142A">
        <w:rPr>
          <w:rFonts w:eastAsia="Arial Unicode MS"/>
        </w:rPr>
        <w:t xml:space="preserve"> of services, patients’ </w:t>
      </w:r>
      <w:r w:rsidR="006D7A55" w:rsidRPr="00D7142A">
        <w:rPr>
          <w:rFonts w:eastAsia="Arial Unicode MS"/>
          <w:i/>
        </w:rPr>
        <w:t>familiarity</w:t>
      </w:r>
      <w:r w:rsidR="006D7A55" w:rsidRPr="00D7142A">
        <w:rPr>
          <w:rFonts w:eastAsia="Arial Unicode MS"/>
        </w:rPr>
        <w:t xml:space="preserve"> with the healthcare system and the latter’s </w:t>
      </w:r>
      <w:r w:rsidR="006D7A55" w:rsidRPr="00D7142A">
        <w:rPr>
          <w:rFonts w:eastAsia="Arial Unicode MS"/>
          <w:i/>
        </w:rPr>
        <w:t>perceived quality</w:t>
      </w:r>
      <w:r w:rsidR="006D7A55" w:rsidRPr="00D7142A">
        <w:rPr>
          <w:rFonts w:eastAsia="Arial Unicode MS"/>
        </w:rPr>
        <w:t xml:space="preserve"> as the four main motivational factors, and have coupled these with two </w:t>
      </w:r>
      <w:r w:rsidR="004C1DAB" w:rsidRPr="00D7142A">
        <w:rPr>
          <w:rFonts w:eastAsia="Arial Unicode MS"/>
        </w:rPr>
        <w:t xml:space="preserve">forms </w:t>
      </w:r>
      <w:r w:rsidR="00567F1D" w:rsidRPr="00D7142A">
        <w:rPr>
          <w:rFonts w:eastAsia="Arial Unicode MS"/>
        </w:rPr>
        <w:t xml:space="preserve">of </w:t>
      </w:r>
      <w:r w:rsidR="006D7A55" w:rsidRPr="00D7142A">
        <w:rPr>
          <w:rFonts w:eastAsia="Arial Unicode MS"/>
        </w:rPr>
        <w:t>funding (</w:t>
      </w:r>
      <w:r w:rsidR="006D7A55" w:rsidRPr="00D7142A">
        <w:rPr>
          <w:rFonts w:eastAsia="Arial Unicode MS"/>
          <w:i/>
        </w:rPr>
        <w:t>with</w:t>
      </w:r>
      <w:r w:rsidR="006D7A55" w:rsidRPr="00D7142A">
        <w:rPr>
          <w:rFonts w:eastAsia="Arial Unicode MS"/>
        </w:rPr>
        <w:t xml:space="preserve"> and </w:t>
      </w:r>
      <w:r w:rsidR="006D7A55" w:rsidRPr="00D7142A">
        <w:rPr>
          <w:rFonts w:eastAsia="Arial Unicode MS"/>
          <w:i/>
        </w:rPr>
        <w:t>without</w:t>
      </w:r>
      <w:r w:rsidR="006D7A55" w:rsidRPr="00D7142A">
        <w:rPr>
          <w:rFonts w:eastAsia="Arial Unicode MS"/>
        </w:rPr>
        <w:t xml:space="preserve"> healthcare cover) to describe the reasons and financing of transnational healthcare choices. </w:t>
      </w:r>
      <w:r w:rsidR="00CD43DA" w:rsidRPr="00D7142A">
        <w:rPr>
          <w:rFonts w:eastAsia="Arial Unicode MS"/>
          <w:noProof/>
        </w:rPr>
        <w:t>Mainil, Commers, and Michelsen (2013)</w:t>
      </w:r>
      <w:r w:rsidR="003B4015" w:rsidRPr="00D7142A">
        <w:rPr>
          <w:rFonts w:eastAsia="Arial Unicode MS"/>
        </w:rPr>
        <w:t xml:space="preserve"> add to these considerations the importance of </w:t>
      </w:r>
      <w:r w:rsidR="003B4015" w:rsidRPr="00D7142A">
        <w:rPr>
          <w:rFonts w:eastAsia="Arial Unicode MS"/>
          <w:i/>
          <w:iCs/>
        </w:rPr>
        <w:t>distance</w:t>
      </w:r>
      <w:r w:rsidR="003B4015" w:rsidRPr="00D7142A">
        <w:rPr>
          <w:rFonts w:eastAsia="Arial Unicode MS"/>
        </w:rPr>
        <w:t xml:space="preserve"> – geographical, </w:t>
      </w:r>
      <w:proofErr w:type="gramStart"/>
      <w:r w:rsidR="003B4015" w:rsidRPr="00D7142A">
        <w:rPr>
          <w:rFonts w:eastAsia="Arial Unicode MS"/>
        </w:rPr>
        <w:t>cultural</w:t>
      </w:r>
      <w:proofErr w:type="gramEnd"/>
      <w:r w:rsidR="003B4015" w:rsidRPr="00D7142A">
        <w:rPr>
          <w:rFonts w:eastAsia="Arial Unicode MS"/>
        </w:rPr>
        <w:t xml:space="preserve"> and even financial </w:t>
      </w:r>
      <w:r w:rsidR="003B4015" w:rsidRPr="00D7142A">
        <w:rPr>
          <w:rFonts w:eastAsia="Arial Unicode MS"/>
          <w:i/>
        </w:rPr>
        <w:t xml:space="preserve">– </w:t>
      </w:r>
      <w:r w:rsidR="003B4015" w:rsidRPr="00D7142A">
        <w:rPr>
          <w:rFonts w:eastAsia="Arial Unicode MS"/>
        </w:rPr>
        <w:t xml:space="preserve">and the level of </w:t>
      </w:r>
      <w:r w:rsidR="003B4015" w:rsidRPr="00D7142A">
        <w:rPr>
          <w:rFonts w:eastAsia="Arial Unicode MS"/>
          <w:i/>
          <w:iCs/>
        </w:rPr>
        <w:t>searching effort</w:t>
      </w:r>
      <w:r w:rsidR="003B4015" w:rsidRPr="00D7142A">
        <w:rPr>
          <w:rFonts w:eastAsia="Arial Unicode MS"/>
        </w:rPr>
        <w:t xml:space="preserve"> required, which</w:t>
      </w:r>
      <w:r w:rsidR="00D07A7F" w:rsidRPr="00D7142A">
        <w:rPr>
          <w:rFonts w:eastAsia="Arial Unicode MS"/>
        </w:rPr>
        <w:t>, they note,</w:t>
      </w:r>
      <w:r w:rsidR="003B4015" w:rsidRPr="00D7142A">
        <w:rPr>
          <w:rFonts w:eastAsia="Arial Unicode MS"/>
        </w:rPr>
        <w:t xml:space="preserve"> ties into aspects of familiarity and availability.</w:t>
      </w:r>
      <w:r w:rsidR="00D07A7F" w:rsidRPr="00D7142A">
        <w:rPr>
          <w:rFonts w:eastAsia="Arial Unicode MS"/>
        </w:rPr>
        <w:t xml:space="preserve"> </w:t>
      </w:r>
      <w:r w:rsidR="00CD43DA" w:rsidRPr="00D7142A">
        <w:rPr>
          <w:rFonts w:eastAsia="Arial Unicode MS"/>
          <w:noProof/>
        </w:rPr>
        <w:t>Laugesen and Vargas-Bustamante (2010)</w:t>
      </w:r>
      <w:r w:rsidR="003803D4" w:rsidRPr="00D7142A">
        <w:rPr>
          <w:rFonts w:eastAsia="Arial Unicode MS"/>
        </w:rPr>
        <w:t xml:space="preserve"> have placed more emphasis on the type of medical service sought when distinguishing between ‘primary exits’ (i.e. exiting one’s country of residence because healthcare there is unaffordable), ‘complementary exits’ (seeking services that are not fully covered domestically), ‘duplicative exits’ (for faster or better quality treatment than the domestic offer) and ‘institutionalised exits’ </w:t>
      </w:r>
      <w:r w:rsidR="00695BD9" w:rsidRPr="00D7142A">
        <w:rPr>
          <w:rFonts w:eastAsia="Arial Unicode MS"/>
        </w:rPr>
        <w:t xml:space="preserve">taking place against the formal mobility policies devised primarily within the EU. </w:t>
      </w:r>
      <w:r w:rsidR="00CD43DA" w:rsidRPr="00D7142A">
        <w:rPr>
          <w:rFonts w:eastAsia="Arial Unicode MS"/>
          <w:noProof/>
        </w:rPr>
        <w:t>Hanefeld et al. (2015)</w:t>
      </w:r>
      <w:r w:rsidR="0080611D" w:rsidRPr="00D7142A">
        <w:rPr>
          <w:rFonts w:eastAsia="Arial Unicode MS"/>
        </w:rPr>
        <w:t xml:space="preserve"> </w:t>
      </w:r>
      <w:r w:rsidR="00382B38" w:rsidRPr="00D7142A">
        <w:rPr>
          <w:rFonts w:eastAsia="Arial Unicode MS"/>
        </w:rPr>
        <w:t xml:space="preserve">have focused </w:t>
      </w:r>
      <w:r w:rsidR="00382B38" w:rsidRPr="00D7142A">
        <w:rPr>
          <w:rFonts w:eastAsia="Arial Unicode MS"/>
        </w:rPr>
        <w:lastRenderedPageBreak/>
        <w:t>on</w:t>
      </w:r>
      <w:r w:rsidR="00237B2E" w:rsidRPr="00D7142A">
        <w:rPr>
          <w:rFonts w:eastAsia="Arial Unicode MS"/>
        </w:rPr>
        <w:t xml:space="preserve"> the type of</w:t>
      </w:r>
      <w:r w:rsidR="00382B38" w:rsidRPr="00D7142A">
        <w:rPr>
          <w:rFonts w:eastAsia="Arial Unicode MS"/>
        </w:rPr>
        <w:t xml:space="preserve"> treatment </w:t>
      </w:r>
      <w:r w:rsidR="00712FF6" w:rsidRPr="00D7142A">
        <w:rPr>
          <w:rFonts w:eastAsia="Arial Unicode MS"/>
        </w:rPr>
        <w:t>sought</w:t>
      </w:r>
      <w:r w:rsidR="00382B38" w:rsidRPr="00D7142A">
        <w:rPr>
          <w:rFonts w:eastAsia="Arial Unicode MS"/>
        </w:rPr>
        <w:t xml:space="preserve"> from a different angle when distinguishing between travel for </w:t>
      </w:r>
      <w:r w:rsidR="00F07262" w:rsidRPr="00D7142A">
        <w:rPr>
          <w:rFonts w:eastAsia="Arial Unicode MS"/>
        </w:rPr>
        <w:t xml:space="preserve">‘fertility’, </w:t>
      </w:r>
      <w:r w:rsidR="00382B38" w:rsidRPr="00D7142A">
        <w:rPr>
          <w:rFonts w:eastAsia="Arial Unicode MS"/>
        </w:rPr>
        <w:t>‘bariatric’</w:t>
      </w:r>
      <w:r w:rsidR="00F07262" w:rsidRPr="00D7142A">
        <w:rPr>
          <w:rFonts w:eastAsia="Arial Unicode MS"/>
        </w:rPr>
        <w:t>, ‘dental’</w:t>
      </w:r>
      <w:r w:rsidR="0055525A" w:rsidRPr="00D7142A">
        <w:rPr>
          <w:rFonts w:eastAsia="Arial Unicode MS"/>
        </w:rPr>
        <w:t xml:space="preserve">, </w:t>
      </w:r>
      <w:r w:rsidR="00F07262" w:rsidRPr="00D7142A">
        <w:rPr>
          <w:rFonts w:eastAsia="Arial Unicode MS"/>
        </w:rPr>
        <w:t>‘cosmetic’</w:t>
      </w:r>
      <w:r w:rsidR="0055525A" w:rsidRPr="00D7142A">
        <w:rPr>
          <w:rFonts w:eastAsia="Arial Unicode MS"/>
        </w:rPr>
        <w:t xml:space="preserve"> and ‘other’</w:t>
      </w:r>
      <w:r w:rsidR="00F07262" w:rsidRPr="00D7142A">
        <w:rPr>
          <w:rFonts w:eastAsia="Arial Unicode MS"/>
        </w:rPr>
        <w:t xml:space="preserve"> procedures.</w:t>
      </w:r>
    </w:p>
    <w:p w14:paraId="62C68E62" w14:textId="6432E2C5" w:rsidR="00E56D31" w:rsidRPr="00D7142A" w:rsidRDefault="009334F4" w:rsidP="00CF38E8">
      <w:pPr>
        <w:spacing w:line="480" w:lineRule="auto"/>
        <w:ind w:firstLine="720"/>
        <w:rPr>
          <w:rFonts w:eastAsia="Arial Unicode MS"/>
        </w:rPr>
      </w:pPr>
      <w:r w:rsidRPr="00D7142A">
        <w:rPr>
          <w:rFonts w:eastAsia="Arial Unicode MS"/>
        </w:rPr>
        <w:t xml:space="preserve">The </w:t>
      </w:r>
      <w:r w:rsidR="00CB7EA1" w:rsidRPr="00D7142A">
        <w:rPr>
          <w:rFonts w:eastAsia="Arial Unicode MS"/>
        </w:rPr>
        <w:t>transnational healthcare practices</w:t>
      </w:r>
      <w:r w:rsidRPr="00D7142A">
        <w:rPr>
          <w:rFonts w:eastAsia="Arial Unicode MS"/>
        </w:rPr>
        <w:t xml:space="preserve"> of </w:t>
      </w:r>
      <w:r w:rsidR="000A21AF" w:rsidRPr="00D7142A">
        <w:rPr>
          <w:rFonts w:eastAsia="Arial Unicode MS"/>
        </w:rPr>
        <w:t xml:space="preserve">intra-EU migrants engaged in ‘medical returns’ sit </w:t>
      </w:r>
      <w:r w:rsidR="00590F96" w:rsidRPr="00D7142A">
        <w:rPr>
          <w:rFonts w:eastAsia="Arial Unicode MS"/>
        </w:rPr>
        <w:t xml:space="preserve">somewhat </w:t>
      </w:r>
      <w:r w:rsidR="00C6453E" w:rsidRPr="00D7142A">
        <w:rPr>
          <w:rFonts w:eastAsia="Arial Unicode MS"/>
        </w:rPr>
        <w:t>uncomfortably within these schemata</w:t>
      </w:r>
      <w:r w:rsidR="00F939A1" w:rsidRPr="00D7142A">
        <w:rPr>
          <w:rFonts w:eastAsia="Arial Unicode MS"/>
        </w:rPr>
        <w:t xml:space="preserve">, although it is not hard to see how </w:t>
      </w:r>
      <w:r w:rsidR="00FC06F6" w:rsidRPr="00D7142A">
        <w:rPr>
          <w:rFonts w:eastAsia="Arial Unicode MS"/>
        </w:rPr>
        <w:t>many</w:t>
      </w:r>
      <w:r w:rsidR="00F939A1" w:rsidRPr="00D7142A">
        <w:rPr>
          <w:rFonts w:eastAsia="Arial Unicode MS"/>
        </w:rPr>
        <w:t xml:space="preserve"> of the motivational factors identified for </w:t>
      </w:r>
      <w:r w:rsidR="00682383" w:rsidRPr="00D7142A">
        <w:rPr>
          <w:rFonts w:eastAsia="Arial Unicode MS"/>
        </w:rPr>
        <w:t xml:space="preserve">‘patient mobility’ in general also </w:t>
      </w:r>
      <w:r w:rsidR="00C16D7F" w:rsidRPr="00D7142A">
        <w:rPr>
          <w:rFonts w:eastAsia="Arial Unicode MS"/>
        </w:rPr>
        <w:t>apply to migrants returning to their countries of origin for medical treatment.</w:t>
      </w:r>
      <w:r w:rsidR="008E20DC" w:rsidRPr="00D7142A">
        <w:rPr>
          <w:rFonts w:eastAsia="Arial Unicode MS"/>
        </w:rPr>
        <w:t xml:space="preserve"> </w:t>
      </w:r>
      <w:r w:rsidR="00CD43DA" w:rsidRPr="00D7142A">
        <w:rPr>
          <w:rFonts w:eastAsia="Arial Unicode MS"/>
          <w:noProof/>
        </w:rPr>
        <w:t>Migge and Gilmartin (2011)</w:t>
      </w:r>
      <w:r w:rsidR="00227D0A" w:rsidRPr="00D7142A">
        <w:rPr>
          <w:rFonts w:eastAsia="Arial Unicode MS"/>
        </w:rPr>
        <w:t xml:space="preserve"> set out specifically </w:t>
      </w:r>
      <w:r w:rsidR="001234B1" w:rsidRPr="00D7142A">
        <w:rPr>
          <w:rFonts w:eastAsia="Arial Unicode MS"/>
        </w:rPr>
        <w:t xml:space="preserve">to </w:t>
      </w:r>
      <w:r w:rsidR="00933903" w:rsidRPr="00D7142A">
        <w:rPr>
          <w:rFonts w:eastAsia="Arial Unicode MS"/>
        </w:rPr>
        <w:t>test the validity of</w:t>
      </w:r>
      <w:r w:rsidR="00542F7B" w:rsidRPr="00D7142A">
        <w:t xml:space="preserve"> </w:t>
      </w:r>
      <w:proofErr w:type="spellStart"/>
      <w:r w:rsidR="00542F7B" w:rsidRPr="00D7142A">
        <w:rPr>
          <w:rFonts w:eastAsia="Arial Unicode MS"/>
        </w:rPr>
        <w:t>Glinos</w:t>
      </w:r>
      <w:proofErr w:type="spellEnd"/>
      <w:r w:rsidR="00542F7B" w:rsidRPr="00D7142A">
        <w:rPr>
          <w:rFonts w:eastAsia="Arial Unicode MS"/>
        </w:rPr>
        <w:t xml:space="preserve"> et al.’s </w:t>
      </w:r>
      <w:r w:rsidR="00542F7B" w:rsidRPr="00D7142A">
        <w:rPr>
          <w:rFonts w:eastAsia="Arial Unicode MS"/>
          <w:noProof/>
        </w:rPr>
        <w:t>(</w:t>
      </w:r>
      <w:r w:rsidR="00CD43DA" w:rsidRPr="00D7142A">
        <w:rPr>
          <w:rFonts w:eastAsia="Arial Unicode MS"/>
          <w:noProof/>
        </w:rPr>
        <w:t>2010</w:t>
      </w:r>
      <w:r w:rsidR="00542F7B" w:rsidRPr="00D7142A">
        <w:rPr>
          <w:rFonts w:eastAsia="Arial Unicode MS"/>
          <w:noProof/>
        </w:rPr>
        <w:t>)</w:t>
      </w:r>
      <w:r w:rsidR="00933903" w:rsidRPr="00D7142A">
        <w:rPr>
          <w:rFonts w:eastAsia="Arial Unicode MS"/>
        </w:rPr>
        <w:t xml:space="preserve"> typology in respect to </w:t>
      </w:r>
      <w:r w:rsidR="00C94437" w:rsidRPr="00D7142A">
        <w:rPr>
          <w:rFonts w:eastAsia="Arial Unicode MS"/>
        </w:rPr>
        <w:t>recent</w:t>
      </w:r>
      <w:r w:rsidR="00626F5B" w:rsidRPr="00D7142A">
        <w:rPr>
          <w:rFonts w:eastAsia="Arial Unicode MS"/>
        </w:rPr>
        <w:t xml:space="preserve"> (mostly EU)</w:t>
      </w:r>
      <w:r w:rsidR="00C94437" w:rsidRPr="00D7142A">
        <w:rPr>
          <w:rFonts w:eastAsia="Arial Unicode MS"/>
        </w:rPr>
        <w:t xml:space="preserve"> </w:t>
      </w:r>
      <w:r w:rsidR="00626F5B" w:rsidRPr="00D7142A">
        <w:rPr>
          <w:rFonts w:eastAsia="Arial Unicode MS"/>
        </w:rPr>
        <w:t xml:space="preserve">migrants in </w:t>
      </w:r>
      <w:r w:rsidR="00BB2FFF" w:rsidRPr="00D7142A">
        <w:rPr>
          <w:rFonts w:eastAsia="Arial Unicode MS"/>
        </w:rPr>
        <w:t>Ireland and</w:t>
      </w:r>
      <w:r w:rsidR="00133AB9" w:rsidRPr="00D7142A">
        <w:rPr>
          <w:rFonts w:eastAsia="Arial Unicode MS"/>
        </w:rPr>
        <w:t xml:space="preserve"> </w:t>
      </w:r>
      <w:r w:rsidR="00003EE3" w:rsidRPr="00D7142A">
        <w:rPr>
          <w:rFonts w:eastAsia="Arial Unicode MS"/>
        </w:rPr>
        <w:t>conclude</w:t>
      </w:r>
      <w:r w:rsidR="00133AB9" w:rsidRPr="00D7142A">
        <w:rPr>
          <w:rFonts w:eastAsia="Arial Unicode MS"/>
        </w:rPr>
        <w:t>d</w:t>
      </w:r>
      <w:r w:rsidR="00B836EE" w:rsidRPr="00D7142A">
        <w:rPr>
          <w:rFonts w:eastAsia="Arial Unicode MS"/>
        </w:rPr>
        <w:t xml:space="preserve"> t</w:t>
      </w:r>
      <w:r w:rsidR="00BF7FAB" w:rsidRPr="00D7142A">
        <w:rPr>
          <w:rFonts w:eastAsia="Arial Unicode MS"/>
        </w:rPr>
        <w:t xml:space="preserve">hat </w:t>
      </w:r>
      <w:r w:rsidR="00F23F62" w:rsidRPr="00D7142A">
        <w:rPr>
          <w:rFonts w:eastAsia="Arial Unicode MS"/>
        </w:rPr>
        <w:t xml:space="preserve">while the </w:t>
      </w:r>
      <w:r w:rsidR="00BF7FAB" w:rsidRPr="00D7142A">
        <w:rPr>
          <w:rFonts w:eastAsia="Arial Unicode MS"/>
        </w:rPr>
        <w:t xml:space="preserve">motivational </w:t>
      </w:r>
      <w:r w:rsidR="00F23F62" w:rsidRPr="00D7142A">
        <w:rPr>
          <w:rFonts w:eastAsia="Arial Unicode MS"/>
        </w:rPr>
        <w:t>framework is</w:t>
      </w:r>
      <w:r w:rsidR="00DB4681" w:rsidRPr="00D7142A">
        <w:rPr>
          <w:rFonts w:eastAsia="Arial Unicode MS"/>
        </w:rPr>
        <w:t xml:space="preserve"> generally useful, issues of </w:t>
      </w:r>
      <w:r w:rsidR="00BF7FAB" w:rsidRPr="00D7142A">
        <w:rPr>
          <w:rFonts w:eastAsia="Arial Unicode MS"/>
          <w:i/>
          <w:iCs/>
        </w:rPr>
        <w:t>availability</w:t>
      </w:r>
      <w:r w:rsidR="00BF7FAB" w:rsidRPr="00D7142A">
        <w:rPr>
          <w:rFonts w:eastAsia="Arial Unicode MS"/>
        </w:rPr>
        <w:t xml:space="preserve"> and </w:t>
      </w:r>
      <w:r w:rsidR="00BF7FAB" w:rsidRPr="00D7142A">
        <w:rPr>
          <w:rFonts w:eastAsia="Arial Unicode MS"/>
          <w:i/>
          <w:iCs/>
        </w:rPr>
        <w:t>familiarity</w:t>
      </w:r>
      <w:r w:rsidR="00BF7FAB" w:rsidRPr="00D7142A">
        <w:rPr>
          <w:rFonts w:eastAsia="Arial Unicode MS"/>
        </w:rPr>
        <w:t xml:space="preserve"> re</w:t>
      </w:r>
      <w:r w:rsidR="008141FC" w:rsidRPr="00D7142A">
        <w:rPr>
          <w:rFonts w:eastAsia="Arial Unicode MS"/>
        </w:rPr>
        <w:t xml:space="preserve">quire further elaboration </w:t>
      </w:r>
      <w:r w:rsidR="00B83A78" w:rsidRPr="00D7142A">
        <w:rPr>
          <w:rFonts w:eastAsia="Arial Unicode MS"/>
        </w:rPr>
        <w:t>to</w:t>
      </w:r>
      <w:r w:rsidR="008141FC" w:rsidRPr="00D7142A">
        <w:rPr>
          <w:rFonts w:eastAsia="Arial Unicode MS"/>
        </w:rPr>
        <w:t xml:space="preserve"> </w:t>
      </w:r>
      <w:r w:rsidR="00CA30D0" w:rsidRPr="00D7142A">
        <w:rPr>
          <w:rFonts w:eastAsia="Arial Unicode MS"/>
        </w:rPr>
        <w:t>comprehend</w:t>
      </w:r>
      <w:r w:rsidR="008141FC" w:rsidRPr="00D7142A">
        <w:rPr>
          <w:rFonts w:eastAsia="Arial Unicode MS"/>
        </w:rPr>
        <w:t xml:space="preserve"> the complexities of </w:t>
      </w:r>
      <w:r w:rsidR="0096698D" w:rsidRPr="00D7142A">
        <w:rPr>
          <w:rFonts w:eastAsia="Arial Unicode MS"/>
        </w:rPr>
        <w:t>migrants’</w:t>
      </w:r>
      <w:r w:rsidR="00CA30D0" w:rsidRPr="00D7142A">
        <w:rPr>
          <w:rFonts w:eastAsia="Arial Unicode MS"/>
        </w:rPr>
        <w:t xml:space="preserve"> </w:t>
      </w:r>
      <w:r w:rsidR="005D4F38" w:rsidRPr="00D7142A">
        <w:rPr>
          <w:rFonts w:eastAsia="Arial Unicode MS"/>
        </w:rPr>
        <w:t>medical return practices.</w:t>
      </w:r>
      <w:r w:rsidR="00D95D5E" w:rsidRPr="00D7142A">
        <w:rPr>
          <w:rFonts w:eastAsia="Arial Unicode MS"/>
        </w:rPr>
        <w:t xml:space="preserve"> </w:t>
      </w:r>
      <w:r w:rsidR="00D9779F" w:rsidRPr="00D7142A">
        <w:rPr>
          <w:rFonts w:eastAsia="Arial Unicode MS"/>
        </w:rPr>
        <w:t>The authors</w:t>
      </w:r>
      <w:r w:rsidR="00D95D5E" w:rsidRPr="00D7142A">
        <w:rPr>
          <w:rFonts w:eastAsia="Arial Unicode MS"/>
        </w:rPr>
        <w:t xml:space="preserve"> argue that while actual barrier</w:t>
      </w:r>
      <w:r w:rsidR="00B242FF" w:rsidRPr="00D7142A">
        <w:rPr>
          <w:rFonts w:eastAsia="Arial Unicode MS"/>
        </w:rPr>
        <w:t>s</w:t>
      </w:r>
      <w:r w:rsidR="00D95D5E" w:rsidRPr="00D7142A">
        <w:rPr>
          <w:rFonts w:eastAsia="Arial Unicode MS"/>
        </w:rPr>
        <w:t xml:space="preserve"> </w:t>
      </w:r>
      <w:r w:rsidR="00FB7EFD" w:rsidRPr="00D7142A">
        <w:rPr>
          <w:rFonts w:eastAsia="Arial Unicode MS"/>
        </w:rPr>
        <w:t>to acces</w:t>
      </w:r>
      <w:r w:rsidR="00024D69" w:rsidRPr="00D7142A">
        <w:rPr>
          <w:rFonts w:eastAsia="Arial Unicode MS"/>
        </w:rPr>
        <w:t>sing</w:t>
      </w:r>
      <w:r w:rsidR="00D95D5E" w:rsidRPr="00D7142A">
        <w:rPr>
          <w:rFonts w:eastAsia="Arial Unicode MS"/>
        </w:rPr>
        <w:t xml:space="preserve"> </w:t>
      </w:r>
      <w:r w:rsidR="007E7DAC" w:rsidRPr="00D7142A">
        <w:rPr>
          <w:rFonts w:eastAsia="Arial Unicode MS"/>
        </w:rPr>
        <w:t>care</w:t>
      </w:r>
      <w:r w:rsidR="00B242FF" w:rsidRPr="00D7142A">
        <w:rPr>
          <w:rFonts w:eastAsia="Arial Unicode MS"/>
        </w:rPr>
        <w:t xml:space="preserve"> </w:t>
      </w:r>
      <w:r w:rsidR="00024D69" w:rsidRPr="00D7142A">
        <w:rPr>
          <w:rFonts w:eastAsia="Arial Unicode MS"/>
        </w:rPr>
        <w:t>might</w:t>
      </w:r>
      <w:r w:rsidR="00EA4213" w:rsidRPr="00D7142A">
        <w:rPr>
          <w:rFonts w:eastAsia="Arial Unicode MS"/>
        </w:rPr>
        <w:t xml:space="preserve"> still exist for EU migrants</w:t>
      </w:r>
      <w:r w:rsidR="00993278" w:rsidRPr="00D7142A">
        <w:rPr>
          <w:rFonts w:eastAsia="Arial Unicode MS"/>
        </w:rPr>
        <w:t xml:space="preserve">, it is </w:t>
      </w:r>
      <w:r w:rsidR="00D75FBC" w:rsidRPr="00D7142A">
        <w:rPr>
          <w:rFonts w:eastAsia="Arial Unicode MS"/>
        </w:rPr>
        <w:t xml:space="preserve">‘perceptions of availability’ </w:t>
      </w:r>
      <w:r w:rsidR="00E04BFE" w:rsidRPr="00D7142A">
        <w:rPr>
          <w:rFonts w:eastAsia="Arial Unicode MS"/>
        </w:rPr>
        <w:t xml:space="preserve">shaped by lacking or distorted information </w:t>
      </w:r>
      <w:r w:rsidR="00B608A5" w:rsidRPr="00D7142A">
        <w:rPr>
          <w:rFonts w:eastAsia="Arial Unicode MS"/>
        </w:rPr>
        <w:t>that</w:t>
      </w:r>
      <w:r w:rsidR="00D75FBC" w:rsidRPr="00D7142A">
        <w:rPr>
          <w:rFonts w:eastAsia="Arial Unicode MS"/>
        </w:rPr>
        <w:t xml:space="preserve"> </w:t>
      </w:r>
      <w:r w:rsidR="00E04BFE" w:rsidRPr="00D7142A">
        <w:rPr>
          <w:rFonts w:eastAsia="Arial Unicode MS"/>
        </w:rPr>
        <w:t>affects</w:t>
      </w:r>
      <w:r w:rsidR="00D75FBC" w:rsidRPr="00D7142A">
        <w:rPr>
          <w:rFonts w:eastAsia="Arial Unicode MS"/>
        </w:rPr>
        <w:t xml:space="preserve"> </w:t>
      </w:r>
      <w:r w:rsidR="002A36BE" w:rsidRPr="00D7142A">
        <w:rPr>
          <w:rFonts w:eastAsia="Arial Unicode MS"/>
        </w:rPr>
        <w:t xml:space="preserve">migrants’ opinions and decision-making </w:t>
      </w:r>
      <w:r w:rsidR="000563B6" w:rsidRPr="00D7142A">
        <w:rPr>
          <w:rFonts w:eastAsia="Arial Unicode MS"/>
        </w:rPr>
        <w:t xml:space="preserve">to </w:t>
      </w:r>
      <w:r w:rsidR="00E04BFE" w:rsidRPr="00D7142A">
        <w:rPr>
          <w:rFonts w:eastAsia="Arial Unicode MS"/>
        </w:rPr>
        <w:t xml:space="preserve">a </w:t>
      </w:r>
      <w:r w:rsidR="000563B6" w:rsidRPr="00D7142A">
        <w:rPr>
          <w:rFonts w:eastAsia="Arial Unicode MS"/>
        </w:rPr>
        <w:t xml:space="preserve">greater degree </w:t>
      </w:r>
      <w:r w:rsidR="00E34E1A" w:rsidRPr="00D7142A">
        <w:rPr>
          <w:rFonts w:eastAsia="Arial Unicode MS"/>
          <w:noProof/>
        </w:rPr>
        <w:t>(</w:t>
      </w:r>
      <w:r w:rsidR="00CD43DA" w:rsidRPr="00D7142A">
        <w:rPr>
          <w:rFonts w:eastAsia="Arial Unicode MS"/>
          <w:noProof/>
        </w:rPr>
        <w:t>Migge and Gilmartin, 2011: 1145</w:t>
      </w:r>
      <w:r w:rsidR="00E34E1A" w:rsidRPr="00D7142A">
        <w:rPr>
          <w:rFonts w:eastAsia="Arial Unicode MS"/>
          <w:noProof/>
        </w:rPr>
        <w:t>)</w:t>
      </w:r>
      <w:r w:rsidR="0059683D" w:rsidRPr="00D7142A">
        <w:rPr>
          <w:rFonts w:eastAsia="Arial Unicode MS"/>
        </w:rPr>
        <w:t>.</w:t>
      </w:r>
      <w:r w:rsidR="0096257B" w:rsidRPr="00D7142A">
        <w:rPr>
          <w:rFonts w:eastAsia="Arial Unicode MS"/>
        </w:rPr>
        <w:t xml:space="preserve"> </w:t>
      </w:r>
    </w:p>
    <w:p w14:paraId="49A0D352" w14:textId="5BFB17D1" w:rsidR="00C72EE6" w:rsidRPr="00D7142A" w:rsidRDefault="007B0E64" w:rsidP="00B05568">
      <w:pPr>
        <w:spacing w:line="480" w:lineRule="auto"/>
        <w:rPr>
          <w:rFonts w:eastAsia="Arial Unicode MS"/>
        </w:rPr>
      </w:pPr>
      <w:r w:rsidRPr="00D7142A">
        <w:rPr>
          <w:rFonts w:eastAsia="Arial Unicode MS"/>
          <w:color w:val="FF0000"/>
        </w:rPr>
        <w:tab/>
      </w:r>
      <w:r w:rsidR="0019500F" w:rsidRPr="00D7142A">
        <w:rPr>
          <w:rFonts w:eastAsia="Arial Unicode MS"/>
        </w:rPr>
        <w:t>Several</w:t>
      </w:r>
      <w:r w:rsidR="00B04D7B" w:rsidRPr="00D7142A">
        <w:rPr>
          <w:rFonts w:eastAsia="Arial Unicode MS"/>
        </w:rPr>
        <w:t xml:space="preserve"> studies have </w:t>
      </w:r>
      <w:r w:rsidR="004F6D3A" w:rsidRPr="00D7142A">
        <w:rPr>
          <w:rFonts w:eastAsia="Arial Unicode MS"/>
        </w:rPr>
        <w:t>identified similar issues in the UK context</w:t>
      </w:r>
      <w:r w:rsidR="00F40CA3" w:rsidRPr="00D7142A">
        <w:rPr>
          <w:rFonts w:eastAsia="Arial Unicode MS"/>
        </w:rPr>
        <w:t xml:space="preserve"> </w:t>
      </w:r>
      <w:r w:rsidR="00FA3A22" w:rsidRPr="00D7142A">
        <w:rPr>
          <w:rFonts w:eastAsia="Arial Unicode MS"/>
          <w:noProof/>
        </w:rPr>
        <w:t>(</w:t>
      </w:r>
      <w:r w:rsidR="00831512">
        <w:rPr>
          <w:rFonts w:eastAsia="Arial Unicode MS"/>
          <w:noProof/>
        </w:rPr>
        <w:t>Troccoli et al. 2021</w:t>
      </w:r>
      <w:r w:rsidR="00FA3A22" w:rsidRPr="00D7142A">
        <w:rPr>
          <w:rFonts w:eastAsia="Arial Unicode MS"/>
          <w:noProof/>
        </w:rPr>
        <w:t xml:space="preserve">; </w:t>
      </w:r>
      <w:r w:rsidR="00CD43DA" w:rsidRPr="00D7142A">
        <w:rPr>
          <w:rFonts w:eastAsia="Arial Unicode MS"/>
          <w:noProof/>
        </w:rPr>
        <w:t>Ehata and Seeleib-Kaiser, 2017</w:t>
      </w:r>
      <w:r w:rsidR="00FA3A22" w:rsidRPr="00D7142A">
        <w:rPr>
          <w:rFonts w:eastAsia="Arial Unicode MS"/>
          <w:noProof/>
        </w:rPr>
        <w:t xml:space="preserve">; </w:t>
      </w:r>
      <w:r w:rsidR="00CD43DA" w:rsidRPr="00D7142A">
        <w:rPr>
          <w:rFonts w:eastAsia="Arial Unicode MS"/>
          <w:noProof/>
        </w:rPr>
        <w:t>Goodwin, Polek, and Goodwin, 2013</w:t>
      </w:r>
      <w:r w:rsidR="00FA3A22" w:rsidRPr="00D7142A">
        <w:rPr>
          <w:rFonts w:eastAsia="Arial Unicode MS"/>
          <w:noProof/>
        </w:rPr>
        <w:t xml:space="preserve">; </w:t>
      </w:r>
      <w:r w:rsidR="00CD43DA" w:rsidRPr="00D7142A">
        <w:rPr>
          <w:rFonts w:eastAsia="Arial Unicode MS"/>
          <w:noProof/>
        </w:rPr>
        <w:t>Guma, 2018</w:t>
      </w:r>
      <w:r w:rsidR="00FA3A22" w:rsidRPr="00D7142A">
        <w:rPr>
          <w:rFonts w:eastAsia="Arial Unicode MS"/>
          <w:noProof/>
        </w:rPr>
        <w:t xml:space="preserve">; </w:t>
      </w:r>
      <w:r w:rsidR="00CD43DA" w:rsidRPr="00D7142A">
        <w:rPr>
          <w:rFonts w:eastAsia="Arial Unicode MS"/>
          <w:noProof/>
        </w:rPr>
        <w:t>Osipovič, 2013</w:t>
      </w:r>
      <w:r w:rsidR="00FA3A22" w:rsidRPr="00D7142A">
        <w:rPr>
          <w:rFonts w:eastAsia="Arial Unicode MS"/>
          <w:noProof/>
        </w:rPr>
        <w:t xml:space="preserve">; </w:t>
      </w:r>
      <w:r w:rsidR="00CD43DA" w:rsidRPr="00D7142A">
        <w:rPr>
          <w:rFonts w:eastAsia="Arial Unicode MS"/>
          <w:noProof/>
        </w:rPr>
        <w:t>Sime, 2014</w:t>
      </w:r>
      <w:r w:rsidR="00FA3A22" w:rsidRPr="00D7142A">
        <w:rPr>
          <w:rFonts w:eastAsia="Arial Unicode MS"/>
          <w:noProof/>
        </w:rPr>
        <w:t>)</w:t>
      </w:r>
      <w:r w:rsidR="009350B4" w:rsidRPr="00D7142A">
        <w:rPr>
          <w:rFonts w:eastAsia="Arial Unicode MS"/>
        </w:rPr>
        <w:t xml:space="preserve">. </w:t>
      </w:r>
      <w:r w:rsidR="00F94C13" w:rsidRPr="00D7142A">
        <w:rPr>
          <w:rFonts w:eastAsia="Arial Unicode MS"/>
        </w:rPr>
        <w:t>Their f</w:t>
      </w:r>
      <w:r w:rsidR="009350B4" w:rsidRPr="00D7142A">
        <w:rPr>
          <w:rFonts w:eastAsia="Arial Unicode MS"/>
        </w:rPr>
        <w:t xml:space="preserve">indings </w:t>
      </w:r>
      <w:r w:rsidR="00202A67" w:rsidRPr="00D7142A">
        <w:rPr>
          <w:rFonts w:eastAsia="Arial Unicode MS"/>
        </w:rPr>
        <w:t xml:space="preserve">show </w:t>
      </w:r>
      <w:r w:rsidR="00657B07" w:rsidRPr="00D7142A">
        <w:rPr>
          <w:rFonts w:eastAsia="Arial Unicode MS"/>
        </w:rPr>
        <w:t>that</w:t>
      </w:r>
      <w:r w:rsidR="003E17D7" w:rsidRPr="00D7142A">
        <w:rPr>
          <w:rFonts w:eastAsia="Arial Unicode MS"/>
        </w:rPr>
        <w:t xml:space="preserve"> </w:t>
      </w:r>
      <w:r w:rsidR="00EB2C3E" w:rsidRPr="00D7142A">
        <w:rPr>
          <w:rFonts w:eastAsia="Arial Unicode MS"/>
        </w:rPr>
        <w:t xml:space="preserve">knowledge gaps </w:t>
      </w:r>
      <w:r w:rsidR="00902698" w:rsidRPr="00D7142A">
        <w:rPr>
          <w:rFonts w:eastAsia="Arial Unicode MS"/>
        </w:rPr>
        <w:t xml:space="preserve">and </w:t>
      </w:r>
      <w:r w:rsidR="00353979" w:rsidRPr="00D7142A">
        <w:rPr>
          <w:rFonts w:eastAsia="Arial Unicode MS"/>
        </w:rPr>
        <w:t>language barrier</w:t>
      </w:r>
      <w:r w:rsidR="000B5FE7" w:rsidRPr="00D7142A">
        <w:rPr>
          <w:rFonts w:eastAsia="Arial Unicode MS"/>
        </w:rPr>
        <w:t>s</w:t>
      </w:r>
      <w:r w:rsidR="003E17D7" w:rsidRPr="00D7142A">
        <w:rPr>
          <w:rFonts w:eastAsia="Arial Unicode MS"/>
        </w:rPr>
        <w:t xml:space="preserve"> </w:t>
      </w:r>
      <w:r w:rsidR="00353979" w:rsidRPr="00D7142A">
        <w:rPr>
          <w:rFonts w:eastAsia="Arial Unicode MS"/>
        </w:rPr>
        <w:t>hinder</w:t>
      </w:r>
      <w:r w:rsidR="008F7EA3" w:rsidRPr="00D7142A">
        <w:rPr>
          <w:rFonts w:eastAsia="Arial Unicode MS"/>
        </w:rPr>
        <w:t xml:space="preserve"> EU migrants</w:t>
      </w:r>
      <w:r w:rsidR="00353979" w:rsidRPr="00D7142A">
        <w:rPr>
          <w:rFonts w:eastAsia="Arial Unicode MS"/>
        </w:rPr>
        <w:t>’</w:t>
      </w:r>
      <w:r w:rsidR="008F7EA3" w:rsidRPr="00D7142A">
        <w:rPr>
          <w:rFonts w:eastAsia="Arial Unicode MS"/>
        </w:rPr>
        <w:t xml:space="preserve"> access</w:t>
      </w:r>
      <w:r w:rsidR="00353979" w:rsidRPr="00D7142A">
        <w:rPr>
          <w:rFonts w:eastAsia="Arial Unicode MS"/>
        </w:rPr>
        <w:t xml:space="preserve"> to</w:t>
      </w:r>
      <w:r w:rsidR="008F7EA3" w:rsidRPr="00D7142A">
        <w:rPr>
          <w:rFonts w:eastAsia="Arial Unicode MS"/>
        </w:rPr>
        <w:t xml:space="preserve"> medical services</w:t>
      </w:r>
      <w:r w:rsidR="00FA50B1" w:rsidRPr="00D7142A">
        <w:rPr>
          <w:rFonts w:eastAsia="Arial Unicode MS"/>
        </w:rPr>
        <w:t xml:space="preserve">, leading to </w:t>
      </w:r>
      <w:r w:rsidR="00BB58BA" w:rsidRPr="00D7142A">
        <w:rPr>
          <w:rFonts w:eastAsia="Arial Unicode MS"/>
        </w:rPr>
        <w:t xml:space="preserve">negative subjective perceptions and attitudes towards the quality of healthcare in </w:t>
      </w:r>
      <w:r w:rsidR="0070355B" w:rsidRPr="00D7142A">
        <w:rPr>
          <w:rFonts w:eastAsia="Arial Unicode MS"/>
        </w:rPr>
        <w:t xml:space="preserve">the </w:t>
      </w:r>
      <w:r w:rsidR="008D3422" w:rsidRPr="00D7142A">
        <w:rPr>
          <w:rFonts w:eastAsia="Arial Unicode MS"/>
        </w:rPr>
        <w:t>UK</w:t>
      </w:r>
      <w:r w:rsidR="003F3509" w:rsidRPr="00D7142A">
        <w:rPr>
          <w:rFonts w:eastAsia="Arial Unicode MS"/>
        </w:rPr>
        <w:t xml:space="preserve"> and therefore a preference for medical treatment in the countries of origin</w:t>
      </w:r>
      <w:r w:rsidR="00511BDF" w:rsidRPr="00D7142A">
        <w:rPr>
          <w:rFonts w:eastAsia="Arial Unicode MS"/>
        </w:rPr>
        <w:t xml:space="preserve"> </w:t>
      </w:r>
      <w:r w:rsidR="00A21860" w:rsidRPr="00D7142A">
        <w:rPr>
          <w:rFonts w:eastAsia="Arial Unicode MS"/>
          <w:noProof/>
        </w:rPr>
        <w:t>(</w:t>
      </w:r>
      <w:r w:rsidR="00CD43DA" w:rsidRPr="00D7142A">
        <w:rPr>
          <w:rFonts w:eastAsia="Arial Unicode MS"/>
          <w:noProof/>
        </w:rPr>
        <w:t>Ehata and Seeleib-Kaiser, 2017</w:t>
      </w:r>
      <w:r w:rsidR="00A21860" w:rsidRPr="00D7142A">
        <w:rPr>
          <w:rFonts w:eastAsia="Arial Unicode MS"/>
          <w:noProof/>
        </w:rPr>
        <w:t xml:space="preserve">; </w:t>
      </w:r>
      <w:r w:rsidR="00CD43DA" w:rsidRPr="00D7142A">
        <w:rPr>
          <w:rFonts w:eastAsia="Arial Unicode MS"/>
          <w:noProof/>
        </w:rPr>
        <w:t>Goodwin, Polek, and Goodwin, 2013</w:t>
      </w:r>
      <w:r w:rsidR="00A21860" w:rsidRPr="00D7142A">
        <w:rPr>
          <w:rFonts w:eastAsia="Arial Unicode MS"/>
          <w:noProof/>
        </w:rPr>
        <w:t xml:space="preserve">; </w:t>
      </w:r>
      <w:r w:rsidR="00CD43DA" w:rsidRPr="00D7142A">
        <w:rPr>
          <w:rFonts w:eastAsia="Arial Unicode MS"/>
          <w:noProof/>
        </w:rPr>
        <w:t>Sime, 2014</w:t>
      </w:r>
      <w:r w:rsidR="00A21860" w:rsidRPr="00D7142A">
        <w:rPr>
          <w:rFonts w:eastAsia="Arial Unicode MS"/>
          <w:noProof/>
        </w:rPr>
        <w:t>)</w:t>
      </w:r>
      <w:r w:rsidR="00F719F0" w:rsidRPr="00D7142A">
        <w:rPr>
          <w:rFonts w:eastAsia="Arial Unicode MS"/>
        </w:rPr>
        <w:t xml:space="preserve">. </w:t>
      </w:r>
      <w:r w:rsidR="00D17166" w:rsidRPr="00D7142A">
        <w:rPr>
          <w:rFonts w:eastAsia="Arial Unicode MS"/>
        </w:rPr>
        <w:t xml:space="preserve">These preferences are shaped </w:t>
      </w:r>
      <w:r w:rsidR="00D83B2B" w:rsidRPr="00D7142A">
        <w:rPr>
          <w:rFonts w:eastAsia="Arial Unicode MS"/>
        </w:rPr>
        <w:t>at</w:t>
      </w:r>
      <w:r w:rsidR="00455A24" w:rsidRPr="00D7142A">
        <w:rPr>
          <w:rFonts w:eastAsia="Arial Unicode MS"/>
        </w:rPr>
        <w:t xml:space="preserve"> the intersection of micro-level interpersonal experiences and macro-level structural factors </w:t>
      </w:r>
      <w:r w:rsidR="00BE7B0D" w:rsidRPr="00D7142A">
        <w:rPr>
          <w:rFonts w:eastAsia="Arial Unicode MS"/>
        </w:rPr>
        <w:t xml:space="preserve">relating to the institutional characteristics of </w:t>
      </w:r>
      <w:r w:rsidR="00C65C4E" w:rsidRPr="00D7142A">
        <w:rPr>
          <w:rFonts w:eastAsia="Arial Unicode MS"/>
        </w:rPr>
        <w:t xml:space="preserve">the </w:t>
      </w:r>
      <w:r w:rsidR="00F60D3B" w:rsidRPr="00D7142A">
        <w:rPr>
          <w:rFonts w:eastAsia="Arial Unicode MS"/>
        </w:rPr>
        <w:t xml:space="preserve">British and other European healthcare systems. </w:t>
      </w:r>
      <w:r w:rsidR="00BF5D2A" w:rsidRPr="00D7142A">
        <w:rPr>
          <w:rFonts w:eastAsia="Arial Unicode MS"/>
        </w:rPr>
        <w:t xml:space="preserve">In respect to the latter, </w:t>
      </w:r>
      <w:r w:rsidR="004F01C7" w:rsidRPr="00D7142A">
        <w:rPr>
          <w:rFonts w:eastAsia="Arial Unicode MS"/>
        </w:rPr>
        <w:t>t</w:t>
      </w:r>
      <w:r w:rsidR="00C84412" w:rsidRPr="00D7142A">
        <w:rPr>
          <w:rFonts w:eastAsia="Arial Unicode MS"/>
        </w:rPr>
        <w:t xml:space="preserve">he free movement of people across states with either universal residence-based healthcare systems – such as the UK, Ireland, Finland, </w:t>
      </w:r>
      <w:proofErr w:type="gramStart"/>
      <w:r w:rsidR="00C84412" w:rsidRPr="00D7142A">
        <w:rPr>
          <w:rFonts w:eastAsia="Arial Unicode MS"/>
        </w:rPr>
        <w:t>Italy</w:t>
      </w:r>
      <w:proofErr w:type="gramEnd"/>
      <w:r w:rsidR="00C84412" w:rsidRPr="00D7142A">
        <w:rPr>
          <w:rFonts w:eastAsia="Arial Unicode MS"/>
        </w:rPr>
        <w:t xml:space="preserve"> or Portugal – or reliant on insurance contributions – like Germany, the Netherlands, Poland or Romania – further complicates the question of intra-EU migrants’ access, attitudes and practices of transnational healthcare seeking </w:t>
      </w:r>
      <w:r w:rsidR="002C10B8" w:rsidRPr="00D7142A">
        <w:rPr>
          <w:rFonts w:eastAsia="Arial Unicode MS"/>
          <w:noProof/>
        </w:rPr>
        <w:t>(</w:t>
      </w:r>
      <w:r w:rsidR="00CD43DA" w:rsidRPr="00D7142A">
        <w:rPr>
          <w:rFonts w:eastAsia="Arial Unicode MS"/>
          <w:noProof/>
        </w:rPr>
        <w:t>Juravle et al., 2013</w:t>
      </w:r>
      <w:r w:rsidR="002C10B8" w:rsidRPr="00D7142A">
        <w:rPr>
          <w:rFonts w:eastAsia="Arial Unicode MS"/>
          <w:noProof/>
        </w:rPr>
        <w:t>)</w:t>
      </w:r>
      <w:r w:rsidR="002C10B8" w:rsidRPr="00D7142A">
        <w:rPr>
          <w:rFonts w:eastAsia="Arial Unicode MS"/>
        </w:rPr>
        <w:t>.</w:t>
      </w:r>
      <w:r w:rsidR="007339EE" w:rsidRPr="00D7142A">
        <w:rPr>
          <w:rFonts w:eastAsia="Arial Unicode MS"/>
        </w:rPr>
        <w:t xml:space="preserve"> </w:t>
      </w:r>
      <w:r w:rsidR="00C76CC4" w:rsidRPr="00D7142A">
        <w:rPr>
          <w:rFonts w:eastAsia="Arial Unicode MS"/>
        </w:rPr>
        <w:t xml:space="preserve">While </w:t>
      </w:r>
      <w:r w:rsidR="00203388" w:rsidRPr="00D7142A">
        <w:rPr>
          <w:rFonts w:eastAsia="Arial Unicode MS"/>
        </w:rPr>
        <w:t>the British</w:t>
      </w:r>
      <w:r w:rsidR="00460704" w:rsidRPr="00D7142A">
        <w:rPr>
          <w:rFonts w:eastAsia="Arial Unicode MS"/>
        </w:rPr>
        <w:t xml:space="preserve"> National Health Service</w:t>
      </w:r>
      <w:r w:rsidR="00203388" w:rsidRPr="00D7142A">
        <w:rPr>
          <w:rFonts w:eastAsia="Arial Unicode MS"/>
        </w:rPr>
        <w:t xml:space="preserve"> </w:t>
      </w:r>
      <w:r w:rsidR="00460704" w:rsidRPr="00D7142A">
        <w:rPr>
          <w:rFonts w:eastAsia="Arial Unicode MS"/>
        </w:rPr>
        <w:t>(</w:t>
      </w:r>
      <w:r w:rsidR="00203388" w:rsidRPr="00D7142A">
        <w:rPr>
          <w:rFonts w:eastAsia="Arial Unicode MS"/>
        </w:rPr>
        <w:t>NHS</w:t>
      </w:r>
      <w:r w:rsidR="00460704" w:rsidRPr="00D7142A">
        <w:rPr>
          <w:rFonts w:eastAsia="Arial Unicode MS"/>
        </w:rPr>
        <w:t>)</w:t>
      </w:r>
      <w:r w:rsidR="00C76CC4" w:rsidRPr="00D7142A">
        <w:rPr>
          <w:rFonts w:eastAsia="Arial Unicode MS"/>
        </w:rPr>
        <w:t xml:space="preserve"> </w:t>
      </w:r>
      <w:r w:rsidR="001B1BF1" w:rsidRPr="00D7142A">
        <w:rPr>
          <w:rFonts w:eastAsia="Arial Unicode MS"/>
        </w:rPr>
        <w:t xml:space="preserve">provides free </w:t>
      </w:r>
      <w:r w:rsidR="007868CF" w:rsidRPr="00D7142A">
        <w:rPr>
          <w:rFonts w:eastAsia="Arial Unicode MS"/>
        </w:rPr>
        <w:t>care</w:t>
      </w:r>
      <w:r w:rsidR="0074206D" w:rsidRPr="00D7142A">
        <w:rPr>
          <w:rFonts w:eastAsia="Arial Unicode MS"/>
        </w:rPr>
        <w:t xml:space="preserve"> </w:t>
      </w:r>
      <w:r w:rsidR="00CE0F16" w:rsidRPr="00D7142A">
        <w:rPr>
          <w:rFonts w:eastAsia="Arial Unicode MS"/>
        </w:rPr>
        <w:t xml:space="preserve">at the point of use to </w:t>
      </w:r>
      <w:r w:rsidR="00F13E5D" w:rsidRPr="00D7142A">
        <w:rPr>
          <w:rFonts w:eastAsia="Arial Unicode MS"/>
        </w:rPr>
        <w:t>resident EU nationals</w:t>
      </w:r>
      <w:r w:rsidR="00D26B57" w:rsidRPr="00D7142A">
        <w:rPr>
          <w:rFonts w:eastAsia="Arial Unicode MS"/>
        </w:rPr>
        <w:t xml:space="preserve">, </w:t>
      </w:r>
      <w:r w:rsidR="00F838D9" w:rsidRPr="00D7142A">
        <w:rPr>
          <w:rFonts w:eastAsia="Arial Unicode MS"/>
        </w:rPr>
        <w:t xml:space="preserve">this </w:t>
      </w:r>
      <w:r w:rsidR="00F838D9" w:rsidRPr="00D7142A">
        <w:rPr>
          <w:rFonts w:eastAsia="Arial Unicode MS"/>
        </w:rPr>
        <w:lastRenderedPageBreak/>
        <w:t xml:space="preserve">may not be commonly </w:t>
      </w:r>
      <w:r w:rsidR="00A73406" w:rsidRPr="00D7142A">
        <w:rPr>
          <w:rFonts w:eastAsia="Arial Unicode MS"/>
        </w:rPr>
        <w:t>appreciated</w:t>
      </w:r>
      <w:r w:rsidR="00F838D9" w:rsidRPr="00D7142A">
        <w:rPr>
          <w:rFonts w:eastAsia="Arial Unicode MS"/>
        </w:rPr>
        <w:t xml:space="preserve"> by </w:t>
      </w:r>
      <w:r w:rsidR="00810A4D" w:rsidRPr="00D7142A">
        <w:rPr>
          <w:rFonts w:eastAsia="Arial Unicode MS"/>
        </w:rPr>
        <w:t xml:space="preserve">migrants from countries </w:t>
      </w:r>
      <w:r w:rsidR="00C625BC" w:rsidRPr="00D7142A">
        <w:rPr>
          <w:rFonts w:eastAsia="Arial Unicode MS"/>
        </w:rPr>
        <w:t xml:space="preserve">with insurance-based healthcare systems. </w:t>
      </w:r>
      <w:r w:rsidR="00267599" w:rsidRPr="00D7142A">
        <w:rPr>
          <w:rFonts w:eastAsia="Arial Unicode MS"/>
        </w:rPr>
        <w:t xml:space="preserve">For instance, </w:t>
      </w:r>
      <w:proofErr w:type="spellStart"/>
      <w:r w:rsidR="006B5361" w:rsidRPr="00D7142A">
        <w:rPr>
          <w:rFonts w:eastAsia="Arial Unicode MS"/>
        </w:rPr>
        <w:t>Ehata</w:t>
      </w:r>
      <w:proofErr w:type="spellEnd"/>
      <w:r w:rsidR="006B5361" w:rsidRPr="00D7142A">
        <w:rPr>
          <w:rFonts w:eastAsia="Arial Unicode MS"/>
        </w:rPr>
        <w:t xml:space="preserve"> and </w:t>
      </w:r>
      <w:proofErr w:type="spellStart"/>
      <w:r w:rsidR="006B5361" w:rsidRPr="00D7142A">
        <w:rPr>
          <w:rFonts w:eastAsia="Arial Unicode MS"/>
        </w:rPr>
        <w:t>Seeleib</w:t>
      </w:r>
      <w:proofErr w:type="spellEnd"/>
      <w:r w:rsidR="006B5361" w:rsidRPr="00D7142A">
        <w:rPr>
          <w:rFonts w:eastAsia="Arial Unicode MS"/>
        </w:rPr>
        <w:t xml:space="preserve">-Kaiser (2017) report </w:t>
      </w:r>
      <w:r w:rsidR="00C7409F" w:rsidRPr="00D7142A">
        <w:rPr>
          <w:rFonts w:eastAsia="Arial Unicode MS"/>
        </w:rPr>
        <w:t xml:space="preserve">how some </w:t>
      </w:r>
      <w:r w:rsidR="00B05568" w:rsidRPr="00D7142A">
        <w:rPr>
          <w:rFonts w:eastAsia="Arial Unicode MS"/>
        </w:rPr>
        <w:t>‘</w:t>
      </w:r>
      <w:r w:rsidR="00C7409F" w:rsidRPr="00D7142A">
        <w:rPr>
          <w:rFonts w:eastAsia="Arial Unicode MS"/>
        </w:rPr>
        <w:t>German</w:t>
      </w:r>
      <w:r w:rsidR="00B05568" w:rsidRPr="00D7142A">
        <w:rPr>
          <w:rFonts w:eastAsia="Arial Unicode MS"/>
        </w:rPr>
        <w:t xml:space="preserve"> </w:t>
      </w:r>
      <w:r w:rsidR="00C7409F" w:rsidRPr="00D7142A">
        <w:rPr>
          <w:rFonts w:eastAsia="Arial Unicode MS"/>
        </w:rPr>
        <w:t xml:space="preserve">participants </w:t>
      </w:r>
      <w:r w:rsidR="005C57AA" w:rsidRPr="00D7142A">
        <w:rPr>
          <w:rFonts w:eastAsia="Arial Unicode MS"/>
        </w:rPr>
        <w:t>…</w:t>
      </w:r>
      <w:r w:rsidR="00C7409F" w:rsidRPr="00D7142A">
        <w:rPr>
          <w:rFonts w:eastAsia="Arial Unicode MS"/>
        </w:rPr>
        <w:t xml:space="preserve"> struggled to believe that they would be able to use the NHS</w:t>
      </w:r>
      <w:r w:rsidR="00B05568" w:rsidRPr="00D7142A">
        <w:rPr>
          <w:rFonts w:eastAsia="Arial Unicode MS"/>
        </w:rPr>
        <w:t xml:space="preserve"> “</w:t>
      </w:r>
      <w:r w:rsidR="00C7409F" w:rsidRPr="00D7142A">
        <w:rPr>
          <w:rFonts w:eastAsia="Arial Unicode MS"/>
        </w:rPr>
        <w:t>for free</w:t>
      </w:r>
      <w:r w:rsidR="00B05568" w:rsidRPr="00D7142A">
        <w:rPr>
          <w:rFonts w:eastAsia="Arial Unicode MS"/>
        </w:rPr>
        <w:t>”</w:t>
      </w:r>
      <w:r w:rsidR="00C7409F" w:rsidRPr="00D7142A">
        <w:rPr>
          <w:rFonts w:eastAsia="Arial Unicode MS"/>
        </w:rPr>
        <w:t>, as they were required to enrol in statutory health insurance schemes in Germany</w:t>
      </w:r>
      <w:r w:rsidR="00DF3F03" w:rsidRPr="00D7142A">
        <w:rPr>
          <w:rFonts w:eastAsia="Arial Unicode MS"/>
        </w:rPr>
        <w:t>’ (2017: 5).</w:t>
      </w:r>
      <w:r w:rsidR="00A93B30" w:rsidRPr="00D7142A">
        <w:rPr>
          <w:rFonts w:eastAsia="Arial Unicode MS"/>
        </w:rPr>
        <w:t xml:space="preserve"> The </w:t>
      </w:r>
      <w:r w:rsidR="001B31F6" w:rsidRPr="00D7142A">
        <w:rPr>
          <w:rFonts w:eastAsia="Arial Unicode MS"/>
        </w:rPr>
        <w:t>role of NHS General Practitioners (GPs) as gat</w:t>
      </w:r>
      <w:r w:rsidR="00660597" w:rsidRPr="00D7142A">
        <w:rPr>
          <w:rFonts w:eastAsia="Arial Unicode MS"/>
        </w:rPr>
        <w:t>e</w:t>
      </w:r>
      <w:r w:rsidR="001B31F6" w:rsidRPr="00D7142A">
        <w:rPr>
          <w:rFonts w:eastAsia="Arial Unicode MS"/>
        </w:rPr>
        <w:t xml:space="preserve">keepers to secondary-care services </w:t>
      </w:r>
      <w:r w:rsidR="00616BB2" w:rsidRPr="00D7142A">
        <w:rPr>
          <w:rFonts w:eastAsia="Arial Unicode MS"/>
        </w:rPr>
        <w:t>is also a source of misunderstanding for many migrants</w:t>
      </w:r>
      <w:r w:rsidR="00A34B97" w:rsidRPr="00D7142A">
        <w:rPr>
          <w:rFonts w:eastAsia="Arial Unicode MS"/>
        </w:rPr>
        <w:t xml:space="preserve">, who </w:t>
      </w:r>
      <w:r w:rsidR="0080034E" w:rsidRPr="00D7142A">
        <w:rPr>
          <w:rFonts w:eastAsia="Arial Unicode MS"/>
        </w:rPr>
        <w:t>often feel that those services are in effect unavailable to them</w:t>
      </w:r>
      <w:r w:rsidR="003C66E1" w:rsidRPr="00D7142A">
        <w:rPr>
          <w:rFonts w:eastAsia="Arial Unicode MS"/>
        </w:rPr>
        <w:t xml:space="preserve"> (Madden et al., 2017).</w:t>
      </w:r>
      <w:r w:rsidR="0080034E" w:rsidRPr="00D7142A">
        <w:rPr>
          <w:rFonts w:eastAsia="Arial Unicode MS"/>
        </w:rPr>
        <w:t xml:space="preserve"> </w:t>
      </w:r>
      <w:r w:rsidR="00EA5512" w:rsidRPr="00D7142A">
        <w:rPr>
          <w:rFonts w:eastAsia="Arial Unicode MS"/>
        </w:rPr>
        <w:t>In turn, a</w:t>
      </w:r>
      <w:r w:rsidR="003C66E1" w:rsidRPr="00D7142A">
        <w:rPr>
          <w:rFonts w:eastAsia="Arial Unicode MS"/>
        </w:rPr>
        <w:t>s Madden et al</w:t>
      </w:r>
      <w:r w:rsidR="0035618A" w:rsidRPr="00D7142A">
        <w:rPr>
          <w:rFonts w:eastAsia="Arial Unicode MS"/>
        </w:rPr>
        <w:t>.</w:t>
      </w:r>
      <w:r w:rsidR="003C66E1" w:rsidRPr="00D7142A">
        <w:rPr>
          <w:rFonts w:eastAsia="Arial Unicode MS"/>
        </w:rPr>
        <w:t xml:space="preserve"> (2017</w:t>
      </w:r>
      <w:r w:rsidR="00C82E3B" w:rsidRPr="00D7142A">
        <w:rPr>
          <w:rFonts w:eastAsia="Arial Unicode MS"/>
        </w:rPr>
        <w:t xml:space="preserve">: </w:t>
      </w:r>
      <w:r w:rsidR="0094117A" w:rsidRPr="00D7142A">
        <w:rPr>
          <w:rFonts w:eastAsia="Arial Unicode MS"/>
        </w:rPr>
        <w:t>2</w:t>
      </w:r>
      <w:r w:rsidR="007326C2" w:rsidRPr="00D7142A">
        <w:rPr>
          <w:rFonts w:eastAsia="Arial Unicode MS"/>
        </w:rPr>
        <w:t>) have found</w:t>
      </w:r>
      <w:r w:rsidR="003C66E1" w:rsidRPr="00D7142A">
        <w:rPr>
          <w:rFonts w:eastAsia="Arial Unicode MS"/>
        </w:rPr>
        <w:t>, a ‘lack of understanding of the system can lead to dissatisfaction, frustration and distrust in the NHS, and the GP in particular’.</w:t>
      </w:r>
      <w:r w:rsidR="0094117A" w:rsidRPr="00D7142A">
        <w:rPr>
          <w:rFonts w:eastAsia="Arial Unicode MS"/>
        </w:rPr>
        <w:t xml:space="preserve"> </w:t>
      </w:r>
      <w:r w:rsidR="00EA5512" w:rsidRPr="00D7142A">
        <w:rPr>
          <w:rFonts w:eastAsia="Arial Unicode MS"/>
        </w:rPr>
        <w:t>O</w:t>
      </w:r>
      <w:r w:rsidR="008A652F" w:rsidRPr="00D7142A">
        <w:rPr>
          <w:rFonts w:eastAsia="Arial Unicode MS"/>
        </w:rPr>
        <w:t xml:space="preserve">n the other hand, </w:t>
      </w:r>
      <w:r w:rsidR="008F54F4" w:rsidRPr="00D7142A">
        <w:rPr>
          <w:rFonts w:eastAsia="Arial Unicode MS"/>
        </w:rPr>
        <w:t>intra-EU migrants’ access to social security benefits and free healthcare ha</w:t>
      </w:r>
      <w:r w:rsidR="000D696E" w:rsidRPr="00D7142A">
        <w:rPr>
          <w:rFonts w:eastAsia="Arial Unicode MS"/>
        </w:rPr>
        <w:t>d</w:t>
      </w:r>
      <w:r w:rsidR="008F54F4" w:rsidRPr="00D7142A">
        <w:rPr>
          <w:rFonts w:eastAsia="Arial Unicode MS"/>
        </w:rPr>
        <w:t xml:space="preserve"> become a politically salient topic in </w:t>
      </w:r>
      <w:r w:rsidR="000D696E" w:rsidRPr="00D7142A">
        <w:rPr>
          <w:rFonts w:eastAsia="Arial Unicode MS"/>
        </w:rPr>
        <w:t>the years leading up to the 2016 EU Referendum</w:t>
      </w:r>
      <w:r w:rsidR="002C4AFC" w:rsidRPr="00D7142A">
        <w:rPr>
          <w:rFonts w:eastAsia="Arial Unicode MS"/>
        </w:rPr>
        <w:t xml:space="preserve">, </w:t>
      </w:r>
      <w:r w:rsidR="008F54F4" w:rsidRPr="00D7142A">
        <w:rPr>
          <w:rFonts w:eastAsia="Arial Unicode MS"/>
        </w:rPr>
        <w:t>with various measures taken by the government to impose access restrictions</w:t>
      </w:r>
      <w:r w:rsidR="00FC0448" w:rsidRPr="00D7142A">
        <w:rPr>
          <w:rFonts w:eastAsia="Arial Unicode MS"/>
        </w:rPr>
        <w:t xml:space="preserve"> </w:t>
      </w:r>
      <w:r w:rsidR="00FC0448" w:rsidRPr="00D7142A">
        <w:rPr>
          <w:rFonts w:eastAsia="Arial Unicode MS"/>
          <w:noProof/>
        </w:rPr>
        <w:t>(</w:t>
      </w:r>
      <w:r w:rsidR="00CD43DA" w:rsidRPr="00D7142A">
        <w:rPr>
          <w:rFonts w:eastAsia="Arial Unicode MS"/>
          <w:noProof/>
        </w:rPr>
        <w:t>Harris, 2016</w:t>
      </w:r>
      <w:r w:rsidR="00FC0448" w:rsidRPr="00D7142A">
        <w:rPr>
          <w:rFonts w:eastAsia="Arial Unicode MS"/>
          <w:noProof/>
        </w:rPr>
        <w:t>)</w:t>
      </w:r>
      <w:r w:rsidR="00FC0448" w:rsidRPr="00D7142A">
        <w:rPr>
          <w:rFonts w:eastAsia="Arial Unicode MS"/>
        </w:rPr>
        <w:t>.</w:t>
      </w:r>
      <w:r w:rsidR="008F54F4" w:rsidRPr="00D7142A">
        <w:rPr>
          <w:rFonts w:eastAsia="Arial Unicode MS"/>
        </w:rPr>
        <w:t xml:space="preserve"> </w:t>
      </w:r>
      <w:r w:rsidR="00EB7FF6" w:rsidRPr="00D7142A">
        <w:rPr>
          <w:rFonts w:eastAsia="Arial Unicode MS"/>
        </w:rPr>
        <w:t xml:space="preserve">As part of these measures, healthcare professionals are increasingly </w:t>
      </w:r>
      <w:r w:rsidR="00025145" w:rsidRPr="00D7142A">
        <w:rPr>
          <w:rFonts w:eastAsia="Arial Unicode MS"/>
        </w:rPr>
        <w:t xml:space="preserve">tasked with </w:t>
      </w:r>
      <w:r w:rsidR="00BC0060" w:rsidRPr="00D7142A">
        <w:rPr>
          <w:rFonts w:eastAsia="Arial Unicode MS"/>
        </w:rPr>
        <w:t xml:space="preserve">policing </w:t>
      </w:r>
      <w:r w:rsidR="00831AB3" w:rsidRPr="00D7142A">
        <w:rPr>
          <w:rFonts w:eastAsia="Arial Unicode MS"/>
        </w:rPr>
        <w:t xml:space="preserve">the </w:t>
      </w:r>
      <w:r w:rsidR="00BC0060" w:rsidRPr="00D7142A">
        <w:rPr>
          <w:rFonts w:eastAsia="Arial Unicode MS"/>
        </w:rPr>
        <w:t xml:space="preserve">entitlement to free healthcare at the frontline of the system </w:t>
      </w:r>
      <w:r w:rsidR="00A8249A" w:rsidRPr="00D7142A">
        <w:rPr>
          <w:rFonts w:eastAsia="Arial Unicode MS"/>
          <w:noProof/>
        </w:rPr>
        <w:t>(</w:t>
      </w:r>
      <w:r w:rsidR="00CD43DA" w:rsidRPr="00D7142A">
        <w:rPr>
          <w:rFonts w:eastAsia="Arial Unicode MS"/>
          <w:noProof/>
        </w:rPr>
        <w:t>Department of Health and Social Care, 2017</w:t>
      </w:r>
      <w:r w:rsidR="00A8249A" w:rsidRPr="00D7142A">
        <w:rPr>
          <w:rFonts w:eastAsia="Arial Unicode MS"/>
          <w:noProof/>
        </w:rPr>
        <w:t>)</w:t>
      </w:r>
      <w:r w:rsidR="00A8249A" w:rsidRPr="00D7142A">
        <w:rPr>
          <w:rFonts w:eastAsia="Arial Unicode MS"/>
        </w:rPr>
        <w:t>.</w:t>
      </w:r>
      <w:r w:rsidR="00010B4A" w:rsidRPr="00D7142A">
        <w:rPr>
          <w:rFonts w:eastAsia="Arial Unicode MS"/>
        </w:rPr>
        <w:t xml:space="preserve"> With the UK having left the EU</w:t>
      </w:r>
      <w:r w:rsidR="007D68C0" w:rsidRPr="00D7142A">
        <w:rPr>
          <w:rFonts w:eastAsia="Arial Unicode MS"/>
        </w:rPr>
        <w:t xml:space="preserve">, </w:t>
      </w:r>
      <w:r w:rsidR="00CD3416" w:rsidRPr="00D7142A">
        <w:rPr>
          <w:rFonts w:eastAsia="Arial Unicode MS"/>
        </w:rPr>
        <w:t xml:space="preserve">such checks are likely to present </w:t>
      </w:r>
      <w:r w:rsidR="007E387E" w:rsidRPr="00D7142A">
        <w:rPr>
          <w:rFonts w:eastAsia="Arial Unicode MS"/>
        </w:rPr>
        <w:t>challenges</w:t>
      </w:r>
      <w:r w:rsidR="00CD3416" w:rsidRPr="00D7142A">
        <w:rPr>
          <w:rFonts w:eastAsia="Arial Unicode MS"/>
        </w:rPr>
        <w:t xml:space="preserve"> </w:t>
      </w:r>
      <w:r w:rsidR="007E387E" w:rsidRPr="00D7142A">
        <w:rPr>
          <w:rFonts w:eastAsia="Arial Unicode MS"/>
        </w:rPr>
        <w:t xml:space="preserve">in </w:t>
      </w:r>
      <w:r w:rsidR="00CD3416" w:rsidRPr="00D7142A">
        <w:rPr>
          <w:rFonts w:eastAsia="Arial Unicode MS"/>
        </w:rPr>
        <w:t xml:space="preserve">the years ahead for </w:t>
      </w:r>
      <w:r w:rsidR="00614174" w:rsidRPr="00D7142A">
        <w:rPr>
          <w:rFonts w:eastAsia="Arial Unicode MS"/>
        </w:rPr>
        <w:t xml:space="preserve">those </w:t>
      </w:r>
      <w:r w:rsidR="007D68C0" w:rsidRPr="00D7142A">
        <w:rPr>
          <w:rFonts w:eastAsia="Arial Unicode MS"/>
        </w:rPr>
        <w:t xml:space="preserve">resident EU nationals </w:t>
      </w:r>
      <w:r w:rsidR="00614174" w:rsidRPr="00D7142A">
        <w:rPr>
          <w:rFonts w:eastAsia="Arial Unicode MS"/>
        </w:rPr>
        <w:t>who</w:t>
      </w:r>
      <w:r w:rsidR="007D68C0" w:rsidRPr="00D7142A">
        <w:rPr>
          <w:rFonts w:eastAsia="Arial Unicode MS"/>
        </w:rPr>
        <w:t xml:space="preserve"> obtained </w:t>
      </w:r>
      <w:r w:rsidR="00381CCF" w:rsidRPr="00D7142A">
        <w:rPr>
          <w:rFonts w:eastAsia="Arial Unicode MS"/>
        </w:rPr>
        <w:t xml:space="preserve">the so-called </w:t>
      </w:r>
      <w:r w:rsidR="005F7F09" w:rsidRPr="00D7142A">
        <w:rPr>
          <w:rFonts w:eastAsia="Arial Unicode MS"/>
        </w:rPr>
        <w:t xml:space="preserve">Settled Status </w:t>
      </w:r>
      <w:r w:rsidR="00614174" w:rsidRPr="00D7142A">
        <w:rPr>
          <w:rFonts w:eastAsia="Arial Unicode MS"/>
        </w:rPr>
        <w:t xml:space="preserve">in the country but do </w:t>
      </w:r>
      <w:r w:rsidR="00D470FA" w:rsidRPr="00D7142A">
        <w:rPr>
          <w:rFonts w:eastAsia="Arial Unicode MS"/>
        </w:rPr>
        <w:t>not possess</w:t>
      </w:r>
      <w:r w:rsidR="00EE659E" w:rsidRPr="00D7142A">
        <w:rPr>
          <w:rFonts w:eastAsia="Arial Unicode MS"/>
        </w:rPr>
        <w:t xml:space="preserve"> physical evidence of their </w:t>
      </w:r>
      <w:r w:rsidR="00EA590C" w:rsidRPr="00D7142A">
        <w:rPr>
          <w:rFonts w:eastAsia="Arial Unicode MS"/>
        </w:rPr>
        <w:t>rights</w:t>
      </w:r>
      <w:r w:rsidR="008669F2" w:rsidRPr="00D7142A">
        <w:rPr>
          <w:rFonts w:eastAsia="Arial Unicode MS"/>
        </w:rPr>
        <w:t>.</w:t>
      </w:r>
    </w:p>
    <w:p w14:paraId="0CD21E58" w14:textId="5515BCCF" w:rsidR="00D470FA" w:rsidRPr="00D7142A" w:rsidRDefault="00D470FA" w:rsidP="00331302">
      <w:pPr>
        <w:spacing w:line="480" w:lineRule="auto"/>
        <w:rPr>
          <w:rFonts w:eastAsia="Arial Unicode MS"/>
        </w:rPr>
      </w:pPr>
      <w:r w:rsidRPr="00D7142A">
        <w:rPr>
          <w:rFonts w:eastAsia="Arial Unicode MS"/>
        </w:rPr>
        <w:tab/>
      </w:r>
      <w:r w:rsidR="00945497" w:rsidRPr="00D7142A">
        <w:rPr>
          <w:rFonts w:eastAsia="Arial Unicode MS"/>
        </w:rPr>
        <w:t xml:space="preserve">Unfamiliarity and mistrust of the system are often exacerbated by micro-level </w:t>
      </w:r>
      <w:r w:rsidR="003F4437" w:rsidRPr="00D7142A">
        <w:rPr>
          <w:rFonts w:eastAsia="Arial Unicode MS"/>
        </w:rPr>
        <w:t xml:space="preserve">interactions with healthcare professionals due to language barriers that </w:t>
      </w:r>
      <w:r w:rsidR="00E33BAB" w:rsidRPr="00D7142A">
        <w:rPr>
          <w:rFonts w:eastAsia="Arial Unicode MS"/>
        </w:rPr>
        <w:t xml:space="preserve">may result in </w:t>
      </w:r>
      <w:r w:rsidR="001F45D9" w:rsidRPr="00D7142A">
        <w:rPr>
          <w:rFonts w:eastAsia="Arial Unicode MS"/>
        </w:rPr>
        <w:t>miscommunications</w:t>
      </w:r>
      <w:r w:rsidR="00FD2155" w:rsidRPr="00D7142A">
        <w:rPr>
          <w:rFonts w:eastAsia="Arial Unicode MS"/>
        </w:rPr>
        <w:t xml:space="preserve"> </w:t>
      </w:r>
      <w:r w:rsidR="009546D1" w:rsidRPr="00D7142A">
        <w:rPr>
          <w:rFonts w:eastAsia="Arial Unicode MS"/>
          <w:noProof/>
        </w:rPr>
        <w:t>(</w:t>
      </w:r>
      <w:r w:rsidR="00CD43DA" w:rsidRPr="00D7142A">
        <w:rPr>
          <w:rFonts w:eastAsia="Arial Unicode MS"/>
          <w:noProof/>
        </w:rPr>
        <w:t>Gorman and Porteous, 2018</w:t>
      </w:r>
      <w:r w:rsidR="009546D1" w:rsidRPr="00D7142A">
        <w:rPr>
          <w:rFonts w:eastAsia="Arial Unicode MS"/>
          <w:noProof/>
        </w:rPr>
        <w:t xml:space="preserve">; </w:t>
      </w:r>
      <w:r w:rsidR="00CD43DA" w:rsidRPr="00D7142A">
        <w:rPr>
          <w:rFonts w:eastAsia="Arial Unicode MS"/>
          <w:noProof/>
        </w:rPr>
        <w:t>Roberts et al., 2005</w:t>
      </w:r>
      <w:r w:rsidR="009546D1" w:rsidRPr="00D7142A">
        <w:rPr>
          <w:rFonts w:eastAsia="Arial Unicode MS"/>
          <w:noProof/>
        </w:rPr>
        <w:t xml:space="preserve">; </w:t>
      </w:r>
      <w:r w:rsidR="00CD43DA" w:rsidRPr="00D7142A">
        <w:rPr>
          <w:rFonts w:eastAsia="Arial Unicode MS"/>
          <w:noProof/>
        </w:rPr>
        <w:t>Sime, 2014</w:t>
      </w:r>
      <w:r w:rsidR="009546D1" w:rsidRPr="00D7142A">
        <w:rPr>
          <w:rFonts w:eastAsia="Arial Unicode MS"/>
          <w:noProof/>
        </w:rPr>
        <w:t>)</w:t>
      </w:r>
      <w:r w:rsidR="00D553AF" w:rsidRPr="00D7142A">
        <w:rPr>
          <w:rFonts w:eastAsia="Arial Unicode MS"/>
        </w:rPr>
        <w:t>.</w:t>
      </w:r>
      <w:r w:rsidR="007D64EC" w:rsidRPr="00D7142A">
        <w:rPr>
          <w:rFonts w:eastAsia="Arial Unicode MS"/>
        </w:rPr>
        <w:t xml:space="preserve"> </w:t>
      </w:r>
      <w:r w:rsidR="006D43FE" w:rsidRPr="00D7142A">
        <w:rPr>
          <w:rFonts w:eastAsia="Arial Unicode MS"/>
        </w:rPr>
        <w:t xml:space="preserve">In a qualitative study of primary care consultations in multilingual settings, </w:t>
      </w:r>
      <w:r w:rsidR="001350BE" w:rsidRPr="00D7142A">
        <w:rPr>
          <w:rFonts w:eastAsia="Arial Unicode MS"/>
        </w:rPr>
        <w:t xml:space="preserve">Roberts et al. (2005) have found that </w:t>
      </w:r>
      <w:r w:rsidR="0079018B" w:rsidRPr="00D7142A">
        <w:rPr>
          <w:rFonts w:eastAsia="Arial Unicode MS"/>
        </w:rPr>
        <w:t xml:space="preserve">language and cultural differences caused misunderstandings in 20% of </w:t>
      </w:r>
      <w:r w:rsidR="00775FBB" w:rsidRPr="00D7142A">
        <w:rPr>
          <w:rFonts w:eastAsia="Arial Unicode MS"/>
        </w:rPr>
        <w:t xml:space="preserve">the </w:t>
      </w:r>
      <w:r w:rsidR="0079018B" w:rsidRPr="00D7142A">
        <w:rPr>
          <w:rFonts w:eastAsia="Arial Unicode MS"/>
        </w:rPr>
        <w:t xml:space="preserve">consultations examined. </w:t>
      </w:r>
      <w:r w:rsidR="0062062A" w:rsidRPr="00D7142A">
        <w:rPr>
          <w:rFonts w:eastAsia="Arial Unicode MS"/>
        </w:rPr>
        <w:t xml:space="preserve">Gorman </w:t>
      </w:r>
      <w:r w:rsidR="00C70CD5" w:rsidRPr="00D7142A">
        <w:rPr>
          <w:rFonts w:eastAsia="Arial Unicode MS"/>
        </w:rPr>
        <w:t xml:space="preserve">and </w:t>
      </w:r>
      <w:r w:rsidR="0062062A" w:rsidRPr="00D7142A">
        <w:rPr>
          <w:rFonts w:eastAsia="Arial Unicode MS"/>
        </w:rPr>
        <w:t>Porteous</w:t>
      </w:r>
      <w:r w:rsidR="00C70CD5" w:rsidRPr="00D7142A">
        <w:rPr>
          <w:rFonts w:eastAsia="Arial Unicode MS"/>
        </w:rPr>
        <w:t xml:space="preserve"> (</w:t>
      </w:r>
      <w:r w:rsidR="0062062A" w:rsidRPr="00D7142A">
        <w:rPr>
          <w:rFonts w:eastAsia="Arial Unicode MS"/>
        </w:rPr>
        <w:t>2018</w:t>
      </w:r>
      <w:r w:rsidR="00C70CD5" w:rsidRPr="00D7142A">
        <w:rPr>
          <w:rFonts w:eastAsia="Arial Unicode MS"/>
        </w:rPr>
        <w:t>)</w:t>
      </w:r>
      <w:r w:rsidR="00607F17" w:rsidRPr="00D7142A">
        <w:rPr>
          <w:rFonts w:eastAsia="Arial Unicode MS"/>
        </w:rPr>
        <w:t xml:space="preserve"> have </w:t>
      </w:r>
      <w:r w:rsidR="00E05EEE" w:rsidRPr="00D7142A">
        <w:rPr>
          <w:rFonts w:eastAsia="Arial Unicode MS"/>
        </w:rPr>
        <w:t xml:space="preserve">further shown how </w:t>
      </w:r>
      <w:r w:rsidR="00DE1D0E" w:rsidRPr="00D7142A">
        <w:rPr>
          <w:rFonts w:eastAsia="Arial Unicode MS"/>
        </w:rPr>
        <w:t>women are at particular risk</w:t>
      </w:r>
      <w:r w:rsidR="00157BD5" w:rsidRPr="00D7142A">
        <w:rPr>
          <w:rFonts w:eastAsia="Arial Unicode MS"/>
        </w:rPr>
        <w:t xml:space="preserve">, as such misunderstandings may </w:t>
      </w:r>
      <w:r w:rsidR="00E355B7" w:rsidRPr="00D7142A">
        <w:rPr>
          <w:rFonts w:eastAsia="Arial Unicode MS"/>
        </w:rPr>
        <w:t xml:space="preserve">affect </w:t>
      </w:r>
      <w:r w:rsidR="00FF0F94" w:rsidRPr="00D7142A">
        <w:rPr>
          <w:rFonts w:eastAsia="Arial Unicode MS"/>
        </w:rPr>
        <w:t xml:space="preserve">their participation </w:t>
      </w:r>
      <w:r w:rsidR="00D60950" w:rsidRPr="00D7142A">
        <w:rPr>
          <w:rFonts w:eastAsia="Arial Unicode MS"/>
        </w:rPr>
        <w:t xml:space="preserve">in </w:t>
      </w:r>
      <w:r w:rsidR="00116F4D" w:rsidRPr="00D7142A">
        <w:rPr>
          <w:rFonts w:eastAsia="Arial Unicode MS"/>
        </w:rPr>
        <w:t>potentially life-changing preventive care</w:t>
      </w:r>
      <w:r w:rsidR="00331302" w:rsidRPr="00D7142A">
        <w:rPr>
          <w:rFonts w:eastAsia="Arial Unicode MS"/>
        </w:rPr>
        <w:t xml:space="preserve"> </w:t>
      </w:r>
      <w:r w:rsidR="00595C2F" w:rsidRPr="00D7142A">
        <w:rPr>
          <w:rFonts w:eastAsia="Arial Unicode MS"/>
        </w:rPr>
        <w:t xml:space="preserve">initiatives </w:t>
      </w:r>
      <w:r w:rsidR="00331302" w:rsidRPr="00D7142A">
        <w:rPr>
          <w:rFonts w:eastAsia="Arial Unicode MS"/>
        </w:rPr>
        <w:t>such as cancer</w:t>
      </w:r>
      <w:r w:rsidR="00116F4D" w:rsidRPr="00D7142A">
        <w:rPr>
          <w:rFonts w:eastAsia="Arial Unicode MS"/>
        </w:rPr>
        <w:t xml:space="preserve"> </w:t>
      </w:r>
      <w:r w:rsidR="00331302" w:rsidRPr="00D7142A">
        <w:rPr>
          <w:rFonts w:eastAsia="Arial Unicode MS"/>
        </w:rPr>
        <w:t>screening programmes</w:t>
      </w:r>
      <w:r w:rsidR="002D11DB" w:rsidRPr="00D7142A">
        <w:rPr>
          <w:rFonts w:eastAsia="Arial Unicode MS"/>
        </w:rPr>
        <w:t>.</w:t>
      </w:r>
      <w:r w:rsidR="00C04F4E" w:rsidRPr="00D7142A">
        <w:rPr>
          <w:rFonts w:eastAsia="Arial Unicode MS"/>
        </w:rPr>
        <w:t xml:space="preserve"> </w:t>
      </w:r>
      <w:r w:rsidR="00CD43DA" w:rsidRPr="00D7142A">
        <w:rPr>
          <w:rFonts w:eastAsia="Arial Unicode MS"/>
          <w:noProof/>
        </w:rPr>
        <w:t>Pemberton and Doos (2017)</w:t>
      </w:r>
      <w:r w:rsidR="00111E5E" w:rsidRPr="00D7142A">
        <w:rPr>
          <w:rFonts w:eastAsia="Arial Unicode MS"/>
        </w:rPr>
        <w:t xml:space="preserve"> have </w:t>
      </w:r>
      <w:r w:rsidR="00D41046" w:rsidRPr="00D7142A">
        <w:rPr>
          <w:rFonts w:eastAsia="Arial Unicode MS"/>
        </w:rPr>
        <w:t xml:space="preserve">also noted how </w:t>
      </w:r>
      <w:r w:rsidR="000C1C0C" w:rsidRPr="00D7142A">
        <w:rPr>
          <w:rFonts w:eastAsia="Arial Unicode MS"/>
        </w:rPr>
        <w:t>language issues</w:t>
      </w:r>
      <w:r w:rsidR="005D4956" w:rsidRPr="00D7142A">
        <w:rPr>
          <w:rFonts w:eastAsia="Arial Unicode MS"/>
        </w:rPr>
        <w:t xml:space="preserve"> </w:t>
      </w:r>
      <w:r w:rsidR="000F72AE" w:rsidRPr="00D7142A">
        <w:rPr>
          <w:rFonts w:eastAsia="Arial Unicode MS"/>
        </w:rPr>
        <w:t>have often led to perceptions of being discriminated against.</w:t>
      </w:r>
      <w:r w:rsidR="0038453C" w:rsidRPr="00D7142A">
        <w:rPr>
          <w:rFonts w:eastAsia="Arial Unicode MS"/>
        </w:rPr>
        <w:t xml:space="preserve"> </w:t>
      </w:r>
      <w:r w:rsidR="00C04F4E" w:rsidRPr="00D7142A">
        <w:rPr>
          <w:rFonts w:eastAsia="Arial Unicode MS"/>
        </w:rPr>
        <w:t xml:space="preserve">EU migrants with limited English language </w:t>
      </w:r>
      <w:r w:rsidR="002E47E8" w:rsidRPr="00D7142A">
        <w:rPr>
          <w:rFonts w:eastAsia="Arial Unicode MS"/>
        </w:rPr>
        <w:t xml:space="preserve">proficiency are therefore </w:t>
      </w:r>
      <w:r w:rsidR="00DC4377" w:rsidRPr="00D7142A">
        <w:rPr>
          <w:rFonts w:eastAsia="Arial Unicode MS"/>
        </w:rPr>
        <w:t>more likely of being either cut out from healthcare o</w:t>
      </w:r>
      <w:r w:rsidR="008B2463" w:rsidRPr="00D7142A">
        <w:rPr>
          <w:rFonts w:eastAsia="Arial Unicode MS"/>
        </w:rPr>
        <w:t xml:space="preserve">r forced to </w:t>
      </w:r>
      <w:r w:rsidR="00A9149E" w:rsidRPr="00D7142A">
        <w:rPr>
          <w:rFonts w:eastAsia="Arial Unicode MS"/>
        </w:rPr>
        <w:t>seek care in their countries of origi</w:t>
      </w:r>
      <w:r w:rsidR="00602374" w:rsidRPr="00D7142A">
        <w:rPr>
          <w:rFonts w:eastAsia="Arial Unicode MS"/>
        </w:rPr>
        <w:t>n.</w:t>
      </w:r>
    </w:p>
    <w:p w14:paraId="0D31E122" w14:textId="03AAEC50" w:rsidR="007446FD" w:rsidRPr="00D7142A" w:rsidRDefault="00CA3D0B" w:rsidP="00331302">
      <w:pPr>
        <w:spacing w:line="480" w:lineRule="auto"/>
        <w:rPr>
          <w:rFonts w:eastAsia="Arial Unicode MS"/>
          <w:bCs/>
        </w:rPr>
      </w:pPr>
      <w:r w:rsidRPr="00D7142A">
        <w:rPr>
          <w:rFonts w:eastAsia="Arial Unicode MS"/>
        </w:rPr>
        <w:lastRenderedPageBreak/>
        <w:tab/>
        <w:t xml:space="preserve">The existing literature does not provide a clear sense </w:t>
      </w:r>
      <w:r w:rsidR="00D07801" w:rsidRPr="00D7142A">
        <w:rPr>
          <w:rFonts w:eastAsia="Arial Unicode MS"/>
        </w:rPr>
        <w:t>of who is more likely to engage in transnational healthcare practices.</w:t>
      </w:r>
      <w:r w:rsidR="00CC770B" w:rsidRPr="00D7142A">
        <w:rPr>
          <w:rFonts w:eastAsia="Arial Unicode MS"/>
        </w:rPr>
        <w:t xml:space="preserve"> </w:t>
      </w:r>
      <w:r w:rsidR="007446FD" w:rsidRPr="00D7142A">
        <w:rPr>
          <w:rFonts w:eastAsia="Arial Unicode MS"/>
        </w:rPr>
        <w:t xml:space="preserve">There is evidence that </w:t>
      </w:r>
      <w:r w:rsidR="003C2373" w:rsidRPr="00D7142A">
        <w:rPr>
          <w:rFonts w:eastAsia="Arial Unicode MS"/>
        </w:rPr>
        <w:t xml:space="preserve">more recent </w:t>
      </w:r>
      <w:r w:rsidR="00DB1FDD" w:rsidRPr="00D7142A">
        <w:rPr>
          <w:rFonts w:eastAsia="Arial Unicode MS"/>
        </w:rPr>
        <w:t xml:space="preserve">migrants, the </w:t>
      </w:r>
      <w:r w:rsidR="00C30C92" w:rsidRPr="00D7142A">
        <w:rPr>
          <w:rFonts w:eastAsia="Arial Unicode MS"/>
        </w:rPr>
        <w:t>middle-aged</w:t>
      </w:r>
      <w:r w:rsidR="00FE0F46" w:rsidRPr="00D7142A">
        <w:rPr>
          <w:rFonts w:eastAsia="Arial Unicode MS"/>
        </w:rPr>
        <w:t>, those with limited language abilities, women</w:t>
      </w:r>
      <w:r w:rsidR="00AE68F3" w:rsidRPr="00D7142A">
        <w:rPr>
          <w:rFonts w:eastAsia="Arial Unicode MS"/>
        </w:rPr>
        <w:t xml:space="preserve">, </w:t>
      </w:r>
      <w:r w:rsidR="00FA73B1" w:rsidRPr="00D7142A">
        <w:rPr>
          <w:rFonts w:eastAsia="Arial Unicode MS"/>
        </w:rPr>
        <w:t xml:space="preserve">and those with lower incomes </w:t>
      </w:r>
      <w:r w:rsidR="002C7353" w:rsidRPr="00D7142A">
        <w:rPr>
          <w:rFonts w:eastAsia="Arial Unicode MS"/>
        </w:rPr>
        <w:t>have reduced levels of trust in the NHS</w:t>
      </w:r>
      <w:r w:rsidR="00AF3530" w:rsidRPr="00D7142A">
        <w:rPr>
          <w:rFonts w:eastAsia="Arial Unicode MS"/>
        </w:rPr>
        <w:t xml:space="preserve"> </w:t>
      </w:r>
      <w:r w:rsidR="00941814" w:rsidRPr="00D7142A">
        <w:rPr>
          <w:rFonts w:eastAsia="Arial Unicode MS"/>
          <w:noProof/>
        </w:rPr>
        <w:t>(</w:t>
      </w:r>
      <w:r w:rsidR="00CD43DA" w:rsidRPr="00D7142A">
        <w:rPr>
          <w:rFonts w:eastAsia="Arial Unicode MS"/>
          <w:noProof/>
        </w:rPr>
        <w:t>Pemberton and Isakjee, 2017</w:t>
      </w:r>
      <w:r w:rsidR="00941814" w:rsidRPr="00D7142A">
        <w:rPr>
          <w:rFonts w:eastAsia="Arial Unicode MS"/>
          <w:noProof/>
        </w:rPr>
        <w:t>)</w:t>
      </w:r>
      <w:r w:rsidR="00941814" w:rsidRPr="00D7142A">
        <w:rPr>
          <w:rFonts w:eastAsia="Arial Unicode MS"/>
        </w:rPr>
        <w:t xml:space="preserve">, </w:t>
      </w:r>
      <w:r w:rsidR="002C7353" w:rsidRPr="00D7142A">
        <w:rPr>
          <w:rFonts w:eastAsia="Arial Unicode MS"/>
        </w:rPr>
        <w:t xml:space="preserve">which </w:t>
      </w:r>
      <w:r w:rsidR="00B57CB3" w:rsidRPr="00D7142A">
        <w:rPr>
          <w:rFonts w:eastAsia="Arial Unicode MS"/>
        </w:rPr>
        <w:t xml:space="preserve">in turn can </w:t>
      </w:r>
      <w:r w:rsidR="00BE7B4C" w:rsidRPr="00D7142A">
        <w:rPr>
          <w:rFonts w:eastAsia="Arial Unicode MS"/>
        </w:rPr>
        <w:t xml:space="preserve">motivate </w:t>
      </w:r>
      <w:r w:rsidR="003B6B4C" w:rsidRPr="00D7142A">
        <w:rPr>
          <w:rFonts w:eastAsia="Arial Unicode MS"/>
        </w:rPr>
        <w:t xml:space="preserve">‘medical </w:t>
      </w:r>
      <w:proofErr w:type="gramStart"/>
      <w:r w:rsidR="003B6B4C" w:rsidRPr="00D7142A">
        <w:rPr>
          <w:rFonts w:eastAsia="Arial Unicode MS"/>
        </w:rPr>
        <w:t>returns’</w:t>
      </w:r>
      <w:proofErr w:type="gramEnd"/>
      <w:r w:rsidR="003B6B4C" w:rsidRPr="00D7142A">
        <w:rPr>
          <w:rFonts w:eastAsia="Arial Unicode MS"/>
        </w:rPr>
        <w:t>.</w:t>
      </w:r>
      <w:r w:rsidR="003C68DA" w:rsidRPr="00D7142A">
        <w:rPr>
          <w:rFonts w:eastAsia="Arial Unicode MS"/>
        </w:rPr>
        <w:t xml:space="preserve"> On the other hand, </w:t>
      </w:r>
      <w:r w:rsidR="00823E03" w:rsidRPr="00D7142A">
        <w:rPr>
          <w:rFonts w:eastAsia="Arial Unicode MS"/>
        </w:rPr>
        <w:t xml:space="preserve">we know that </w:t>
      </w:r>
      <w:r w:rsidR="00823E03" w:rsidRPr="00D7142A">
        <w:rPr>
          <w:bCs/>
        </w:rPr>
        <w:t>transnational healthcare practices are often intertwined with social dynamics of ‘status’ positioning</w:t>
      </w:r>
      <w:r w:rsidR="003C36A2" w:rsidRPr="00D7142A">
        <w:rPr>
          <w:bCs/>
        </w:rPr>
        <w:t xml:space="preserve">, and thus </w:t>
      </w:r>
      <w:r w:rsidR="00891230" w:rsidRPr="00D7142A">
        <w:rPr>
          <w:bCs/>
        </w:rPr>
        <w:t>tend to involve those with higher incomes</w:t>
      </w:r>
      <w:r w:rsidR="00823E03" w:rsidRPr="00D7142A">
        <w:rPr>
          <w:bCs/>
        </w:rPr>
        <w:t xml:space="preserve"> </w:t>
      </w:r>
      <w:r w:rsidR="00823E03" w:rsidRPr="00D7142A">
        <w:rPr>
          <w:rFonts w:eastAsia="Arial Unicode MS"/>
          <w:bCs/>
          <w:noProof/>
        </w:rPr>
        <w:t>(</w:t>
      </w:r>
      <w:r w:rsidR="00CD43DA" w:rsidRPr="00D7142A">
        <w:rPr>
          <w:rFonts w:eastAsia="Arial Unicode MS"/>
          <w:bCs/>
          <w:noProof/>
        </w:rPr>
        <w:t>Sime, 2014</w:t>
      </w:r>
      <w:r w:rsidR="00823E03" w:rsidRPr="00D7142A">
        <w:rPr>
          <w:rFonts w:eastAsia="Arial Unicode MS"/>
          <w:bCs/>
          <w:noProof/>
        </w:rPr>
        <w:t>)</w:t>
      </w:r>
      <w:r w:rsidR="00823E03" w:rsidRPr="00D7142A">
        <w:rPr>
          <w:rFonts w:eastAsia="Arial Unicode MS"/>
          <w:bCs/>
        </w:rPr>
        <w:t xml:space="preserve">. As Sime (2014: 91) described, ‘[t]he increased available financial capital of some migrants meant also that they would return to their homeland able to pay for private healthcare, seen as a marker of status, but also as a perceived guarantee of better care’. </w:t>
      </w:r>
      <w:r w:rsidR="00A9764E" w:rsidRPr="00D7142A">
        <w:rPr>
          <w:rFonts w:eastAsia="Arial Unicode MS"/>
          <w:bCs/>
        </w:rPr>
        <w:t xml:space="preserve">In any case, the existing qualitative literature </w:t>
      </w:r>
      <w:r w:rsidR="00C46F94" w:rsidRPr="00D7142A">
        <w:rPr>
          <w:rFonts w:eastAsia="Arial Unicode MS"/>
          <w:bCs/>
        </w:rPr>
        <w:t xml:space="preserve">agrees that </w:t>
      </w:r>
      <w:r w:rsidR="00823E03" w:rsidRPr="00D7142A">
        <w:rPr>
          <w:rFonts w:eastAsia="Arial Unicode MS"/>
        </w:rPr>
        <w:t xml:space="preserve">transnational healthcare seeking is rarely a zero-sum choice, with migrants’ often combining different treatment locations and services </w:t>
      </w:r>
      <w:r w:rsidR="008F2BCE" w:rsidRPr="00D7142A">
        <w:rPr>
          <w:rFonts w:eastAsia="Arial Unicode MS"/>
          <w:noProof/>
        </w:rPr>
        <w:t>(</w:t>
      </w:r>
      <w:r w:rsidR="00831512">
        <w:rPr>
          <w:rFonts w:eastAsia="Arial Unicode MS"/>
          <w:noProof/>
        </w:rPr>
        <w:t>Troccoli et al., 2021</w:t>
      </w:r>
      <w:r w:rsidR="008F2BCE" w:rsidRPr="00D7142A">
        <w:rPr>
          <w:rFonts w:eastAsia="Arial Unicode MS"/>
          <w:noProof/>
        </w:rPr>
        <w:t xml:space="preserve">; </w:t>
      </w:r>
      <w:r w:rsidR="00CD43DA" w:rsidRPr="00D7142A">
        <w:rPr>
          <w:rFonts w:eastAsia="Arial Unicode MS"/>
          <w:noProof/>
        </w:rPr>
        <w:t>Bilecen and Barglowski, 2015</w:t>
      </w:r>
      <w:r w:rsidR="008F2BCE" w:rsidRPr="00D7142A">
        <w:rPr>
          <w:rFonts w:eastAsia="Arial Unicode MS"/>
          <w:noProof/>
        </w:rPr>
        <w:t xml:space="preserve">; </w:t>
      </w:r>
      <w:r w:rsidR="00CD43DA" w:rsidRPr="00D7142A">
        <w:rPr>
          <w:rFonts w:eastAsia="Arial Unicode MS"/>
          <w:noProof/>
        </w:rPr>
        <w:t>Osipovič, 2013</w:t>
      </w:r>
      <w:r w:rsidR="008F2BCE" w:rsidRPr="00D7142A">
        <w:rPr>
          <w:rFonts w:eastAsia="Arial Unicode MS"/>
          <w:noProof/>
        </w:rPr>
        <w:t xml:space="preserve">; </w:t>
      </w:r>
      <w:r w:rsidR="00CD43DA" w:rsidRPr="00D7142A">
        <w:rPr>
          <w:rFonts w:eastAsia="Arial Unicode MS"/>
          <w:noProof/>
        </w:rPr>
        <w:t>Phillimore et al., 2018</w:t>
      </w:r>
      <w:r w:rsidR="008F2BCE" w:rsidRPr="00D7142A">
        <w:rPr>
          <w:rFonts w:eastAsia="Arial Unicode MS"/>
          <w:noProof/>
        </w:rPr>
        <w:t>)</w:t>
      </w:r>
      <w:r w:rsidR="00823E03" w:rsidRPr="00D7142A">
        <w:t>.</w:t>
      </w:r>
    </w:p>
    <w:p w14:paraId="030291A9" w14:textId="22A4DD7F" w:rsidR="00264414" w:rsidRPr="00D7142A" w:rsidRDefault="00390440" w:rsidP="007D29D0">
      <w:pPr>
        <w:spacing w:line="480" w:lineRule="auto"/>
        <w:rPr>
          <w:rFonts w:eastAsia="Arial Unicode MS"/>
        </w:rPr>
      </w:pPr>
      <w:r w:rsidRPr="00D7142A">
        <w:tab/>
      </w:r>
      <w:r w:rsidR="004E32DE" w:rsidRPr="00D7142A">
        <w:t>Building on these insights, t</w:t>
      </w:r>
      <w:r w:rsidR="008E241A" w:rsidRPr="00D7142A">
        <w:rPr>
          <w:rFonts w:eastAsia="Arial Unicode MS"/>
        </w:rPr>
        <w:t>his article</w:t>
      </w:r>
      <w:r w:rsidR="009E3FC1" w:rsidRPr="00D7142A">
        <w:rPr>
          <w:rFonts w:eastAsia="Arial Unicode MS"/>
        </w:rPr>
        <w:t xml:space="preserve"> </w:t>
      </w:r>
      <w:r w:rsidR="007D29D0" w:rsidRPr="00D7142A">
        <w:rPr>
          <w:rFonts w:eastAsia="Arial Unicode MS"/>
        </w:rPr>
        <w:t xml:space="preserve">aims </w:t>
      </w:r>
      <w:r w:rsidR="00D33600" w:rsidRPr="00D7142A">
        <w:rPr>
          <w:rFonts w:eastAsia="Arial Unicode MS"/>
        </w:rPr>
        <w:t xml:space="preserve">to </w:t>
      </w:r>
      <w:r w:rsidR="007D29D0" w:rsidRPr="00D7142A">
        <w:rPr>
          <w:rFonts w:eastAsia="Arial Unicode MS"/>
        </w:rPr>
        <w:t>establish</w:t>
      </w:r>
      <w:r w:rsidR="00D33600" w:rsidRPr="00D7142A">
        <w:rPr>
          <w:rFonts w:eastAsia="Arial Unicode MS"/>
        </w:rPr>
        <w:t xml:space="preserve"> a </w:t>
      </w:r>
      <w:r w:rsidR="00DB61B0" w:rsidRPr="00D7142A">
        <w:rPr>
          <w:rFonts w:eastAsia="Arial Unicode MS"/>
        </w:rPr>
        <w:t>t</w:t>
      </w:r>
      <w:r w:rsidR="006C339D" w:rsidRPr="00D7142A">
        <w:rPr>
          <w:rFonts w:eastAsia="Arial Unicode MS"/>
        </w:rPr>
        <w:t>y</w:t>
      </w:r>
      <w:r w:rsidR="00DB61B0" w:rsidRPr="00D7142A">
        <w:rPr>
          <w:rFonts w:eastAsia="Arial Unicode MS"/>
        </w:rPr>
        <w:t>pology</w:t>
      </w:r>
      <w:r w:rsidR="00D33600" w:rsidRPr="00D7142A">
        <w:rPr>
          <w:rFonts w:eastAsia="Arial Unicode MS"/>
        </w:rPr>
        <w:t xml:space="preserve"> </w:t>
      </w:r>
      <w:r w:rsidR="00DB61B0" w:rsidRPr="00D7142A">
        <w:rPr>
          <w:rFonts w:eastAsia="Arial Unicode MS"/>
        </w:rPr>
        <w:t>of motivations inductively</w:t>
      </w:r>
      <w:r w:rsidR="008414BA" w:rsidRPr="00D7142A">
        <w:rPr>
          <w:rFonts w:eastAsia="Arial Unicode MS"/>
        </w:rPr>
        <w:t xml:space="preserve"> </w:t>
      </w:r>
      <w:r w:rsidR="00D200D9" w:rsidRPr="00D7142A">
        <w:rPr>
          <w:rFonts w:eastAsia="Arial Unicode MS"/>
        </w:rPr>
        <w:t>to</w:t>
      </w:r>
      <w:r w:rsidR="008414BA" w:rsidRPr="00D7142A">
        <w:rPr>
          <w:rFonts w:eastAsia="Arial Unicode MS"/>
        </w:rPr>
        <w:t xml:space="preserve"> </w:t>
      </w:r>
      <w:r w:rsidR="00125D23" w:rsidRPr="00D7142A">
        <w:rPr>
          <w:rFonts w:eastAsia="Arial Unicode MS"/>
        </w:rPr>
        <w:t xml:space="preserve">draw a </w:t>
      </w:r>
      <w:r w:rsidR="008414BA" w:rsidRPr="00D7142A">
        <w:t>broad picture of the thematic complexity underlying healthcare location choices</w:t>
      </w:r>
      <w:r w:rsidR="00125D23" w:rsidRPr="00D7142A">
        <w:t>.</w:t>
      </w:r>
    </w:p>
    <w:p w14:paraId="2C6CC47F" w14:textId="5CA2BC3E" w:rsidR="007078AC" w:rsidRPr="00D7142A" w:rsidRDefault="00707DDF" w:rsidP="00811112">
      <w:pPr>
        <w:pStyle w:val="Heading1"/>
      </w:pPr>
      <w:r w:rsidRPr="00D7142A">
        <w:t>Data and methods</w:t>
      </w:r>
    </w:p>
    <w:p w14:paraId="1E2DB21B" w14:textId="6DA16541" w:rsidR="009F22E4" w:rsidRPr="00D7142A" w:rsidRDefault="00EE6800" w:rsidP="00CF38E8">
      <w:pPr>
        <w:spacing w:line="480" w:lineRule="auto"/>
      </w:pPr>
      <w:r w:rsidRPr="00D7142A">
        <w:t xml:space="preserve">The data originate from an online survey conducted </w:t>
      </w:r>
      <w:r w:rsidR="00707DDF" w:rsidRPr="00D7142A">
        <w:t>during March–June</w:t>
      </w:r>
      <w:r w:rsidRPr="00D7142A">
        <w:t xml:space="preserve"> </w:t>
      </w:r>
      <w:r w:rsidR="00640CB4" w:rsidRPr="00D7142A">
        <w:t>2016</w:t>
      </w:r>
      <w:r w:rsidR="006A6E26" w:rsidRPr="00D7142A">
        <w:t xml:space="preserve">, as part of a broader project examining attitudes towards mobility, </w:t>
      </w:r>
      <w:proofErr w:type="gramStart"/>
      <w:r w:rsidR="006A6E26" w:rsidRPr="00D7142A">
        <w:t>citizenship</w:t>
      </w:r>
      <w:proofErr w:type="gramEnd"/>
      <w:r w:rsidR="006A6E26" w:rsidRPr="00D7142A">
        <w:t xml:space="preserve"> and transnational social rights among</w:t>
      </w:r>
      <w:r w:rsidR="007F127C" w:rsidRPr="00D7142A">
        <w:t xml:space="preserve"> EU migrants in the UK</w:t>
      </w:r>
      <w:r w:rsidR="001050CD" w:rsidRPr="00D7142A">
        <w:t xml:space="preserve"> in the </w:t>
      </w:r>
      <w:r w:rsidR="001D6194" w:rsidRPr="00D7142A">
        <w:t>run</w:t>
      </w:r>
      <w:r w:rsidR="00093CEE" w:rsidRPr="00D7142A">
        <w:t>-</w:t>
      </w:r>
      <w:r w:rsidR="001D6194" w:rsidRPr="00D7142A">
        <w:t>up to the referendum on EU membership</w:t>
      </w:r>
      <w:r w:rsidR="007F127C" w:rsidRPr="00D7142A">
        <w:t xml:space="preserve"> </w:t>
      </w:r>
      <w:r w:rsidR="001F3649" w:rsidRPr="00D7142A">
        <w:t>(</w:t>
      </w:r>
      <w:r w:rsidR="004068EC" w:rsidRPr="00D7142A">
        <w:t>‘</w:t>
      </w:r>
      <w:proofErr w:type="spellStart"/>
      <w:r w:rsidR="006F7034" w:rsidRPr="00D7142A">
        <w:t>EUinUK</w:t>
      </w:r>
      <w:proofErr w:type="spellEnd"/>
      <w:r w:rsidR="006F7034" w:rsidRPr="00D7142A">
        <w:t xml:space="preserve"> 2016</w:t>
      </w:r>
      <w:r w:rsidR="004068EC" w:rsidRPr="00D7142A">
        <w:t>’</w:t>
      </w:r>
      <w:r w:rsidR="006F7034" w:rsidRPr="00D7142A">
        <w:t>)</w:t>
      </w:r>
      <w:r w:rsidR="0041275C" w:rsidRPr="00D7142A">
        <w:t xml:space="preserve">. </w:t>
      </w:r>
      <w:r w:rsidR="00F9476E" w:rsidRPr="00D7142A">
        <w:t xml:space="preserve">Aiming </w:t>
      </w:r>
      <w:r w:rsidR="00CA4700" w:rsidRPr="00D7142A">
        <w:t xml:space="preserve">to reach both recent and established </w:t>
      </w:r>
      <w:r w:rsidR="007A3B79" w:rsidRPr="00D7142A">
        <w:t xml:space="preserve">migrants representing some of the </w:t>
      </w:r>
      <w:r w:rsidR="00A80D4F" w:rsidRPr="00D7142A">
        <w:t>largest</w:t>
      </w:r>
      <w:r w:rsidR="007A3B79" w:rsidRPr="00D7142A">
        <w:t xml:space="preserve"> </w:t>
      </w:r>
      <w:r w:rsidR="00516358" w:rsidRPr="00D7142A">
        <w:t xml:space="preserve">EU </w:t>
      </w:r>
      <w:r w:rsidR="007A3B79" w:rsidRPr="00D7142A">
        <w:t>nationality groups</w:t>
      </w:r>
      <w:r w:rsidR="00E17437" w:rsidRPr="00D7142A">
        <w:t>,</w:t>
      </w:r>
      <w:r w:rsidR="00456E82" w:rsidRPr="00D7142A">
        <w:t xml:space="preserve"> the survey </w:t>
      </w:r>
      <w:r w:rsidR="001B4891" w:rsidRPr="00D7142A">
        <w:t>adopted an</w:t>
      </w:r>
      <w:r w:rsidR="00511ABC" w:rsidRPr="00D7142A">
        <w:t xml:space="preserve"> active</w:t>
      </w:r>
      <w:r w:rsidR="00940293" w:rsidRPr="00D7142A">
        <w:t xml:space="preserve"> </w:t>
      </w:r>
      <w:r w:rsidR="001B4891" w:rsidRPr="00D7142A">
        <w:t>targetin</w:t>
      </w:r>
      <w:r w:rsidR="00940293" w:rsidRPr="00D7142A">
        <w:t>g</w:t>
      </w:r>
      <w:r w:rsidR="001B4891" w:rsidRPr="00D7142A">
        <w:t xml:space="preserve"> strategy by directly seeking out nationalit</w:t>
      </w:r>
      <w:r w:rsidR="00B644C1" w:rsidRPr="00D7142A">
        <w:t xml:space="preserve">ies </w:t>
      </w:r>
      <w:r w:rsidR="001B4891" w:rsidRPr="00D7142A">
        <w:t xml:space="preserve">of interest in online social media communities </w:t>
      </w:r>
      <w:r w:rsidR="00AB16E9" w:rsidRPr="00D7142A">
        <w:t xml:space="preserve">(primarily Facebook </w:t>
      </w:r>
      <w:proofErr w:type="gramStart"/>
      <w:r w:rsidR="00AB16E9" w:rsidRPr="00D7142A">
        <w:t>groups)</w:t>
      </w:r>
      <w:r w:rsidR="0014028A" w:rsidRPr="00D7142A">
        <w:rPr>
          <w:noProof/>
        </w:rPr>
        <w:t>(</w:t>
      </w:r>
      <w:proofErr w:type="gramEnd"/>
      <w:r w:rsidR="00CD43DA" w:rsidRPr="00D7142A">
        <w:rPr>
          <w:noProof/>
        </w:rPr>
        <w:t>see Miller and Sønderlund, 2010</w:t>
      </w:r>
      <w:r w:rsidR="0014028A" w:rsidRPr="00D7142A">
        <w:rPr>
          <w:noProof/>
        </w:rPr>
        <w:t>)</w:t>
      </w:r>
      <w:r w:rsidR="001B4891" w:rsidRPr="00D7142A">
        <w:t xml:space="preserve">. This method of participant recruitment was chosen for its proven efficiency in accessing hard-to-reach populations while reducing self-selectivity and increasing geographical representativeness </w:t>
      </w:r>
      <w:r w:rsidR="00E34E1A" w:rsidRPr="00D7142A">
        <w:rPr>
          <w:noProof/>
        </w:rPr>
        <w:t>(</w:t>
      </w:r>
      <w:r w:rsidR="00CD43DA" w:rsidRPr="00D7142A">
        <w:rPr>
          <w:noProof/>
        </w:rPr>
        <w:t>Sue and Ritter, 2012: 10–11</w:t>
      </w:r>
      <w:r w:rsidR="00E34E1A" w:rsidRPr="00D7142A">
        <w:rPr>
          <w:noProof/>
        </w:rPr>
        <w:t>)</w:t>
      </w:r>
      <w:r w:rsidR="001B4891" w:rsidRPr="00D7142A">
        <w:t xml:space="preserve">. </w:t>
      </w:r>
      <w:r w:rsidR="004A5E44" w:rsidRPr="00D7142A">
        <w:t xml:space="preserve">Targeted online surveys have also been shown to </w:t>
      </w:r>
      <w:r w:rsidR="007764DE" w:rsidRPr="00D7142A">
        <w:t xml:space="preserve">achieve </w:t>
      </w:r>
      <w:r w:rsidR="00844718" w:rsidRPr="00D7142A">
        <w:t xml:space="preserve">better socio-demographic </w:t>
      </w:r>
      <w:r w:rsidR="007764DE" w:rsidRPr="00D7142A">
        <w:lastRenderedPageBreak/>
        <w:t xml:space="preserve">representativeness </w:t>
      </w:r>
      <w:r w:rsidR="004A6AB8" w:rsidRPr="00D7142A">
        <w:t xml:space="preserve">than traditional methods </w:t>
      </w:r>
      <w:r w:rsidR="00DD04D4" w:rsidRPr="00D7142A">
        <w:t>for subpopulations in</w:t>
      </w:r>
      <w:r w:rsidR="00844718" w:rsidRPr="00D7142A">
        <w:t xml:space="preserve"> certain context</w:t>
      </w:r>
      <w:r w:rsidR="004E1D4E" w:rsidRPr="00D7142A">
        <w:t xml:space="preserve">s </w:t>
      </w:r>
      <w:r w:rsidR="00E34E1A" w:rsidRPr="00D7142A">
        <w:rPr>
          <w:noProof/>
        </w:rPr>
        <w:t>(</w:t>
      </w:r>
      <w:r w:rsidR="00CD43DA" w:rsidRPr="00D7142A">
        <w:rPr>
          <w:noProof/>
        </w:rPr>
        <w:t>Miller and Sønderlund, 2010: 1563</w:t>
      </w:r>
      <w:r w:rsidR="00E34E1A" w:rsidRPr="00D7142A">
        <w:rPr>
          <w:noProof/>
        </w:rPr>
        <w:t>)</w:t>
      </w:r>
      <w:r w:rsidR="004A5E44" w:rsidRPr="00D7142A">
        <w:t>.</w:t>
      </w:r>
      <w:r w:rsidR="00E82ECC" w:rsidRPr="00D7142A">
        <w:t xml:space="preserve"> </w:t>
      </w:r>
    </w:p>
    <w:p w14:paraId="0047D74B" w14:textId="53BF4FDE" w:rsidR="001B4891" w:rsidRPr="00D7142A" w:rsidRDefault="00C62DF2" w:rsidP="00CF38E8">
      <w:pPr>
        <w:spacing w:line="480" w:lineRule="auto"/>
        <w:ind w:firstLine="720"/>
      </w:pPr>
      <w:r w:rsidRPr="00D7142A">
        <w:t>T</w:t>
      </w:r>
      <w:r w:rsidR="000A49C8" w:rsidRPr="00D7142A">
        <w:t>o reduce selectivity bias based on linguistic competence, six nationality groups were targeted with translated questionnaires (in Hungarian, Italian, Polish, Portuguese, Romanian and Spanish) while other nationality groups were approached with the English-language questionnaire in nationality-specific or general-interest online communities. The qualitative data were thus obtained in seven different languages and translated into English for the analysis.</w:t>
      </w:r>
      <w:r w:rsidR="004377EA" w:rsidRPr="00D7142A">
        <w:t xml:space="preserve"> </w:t>
      </w:r>
    </w:p>
    <w:p w14:paraId="67260021" w14:textId="2498AAF4" w:rsidR="005A4165" w:rsidRPr="00D7142A" w:rsidRDefault="00AE6FE8" w:rsidP="00E74C0A">
      <w:pPr>
        <w:spacing w:line="480" w:lineRule="auto"/>
        <w:ind w:firstLine="720"/>
      </w:pPr>
      <w:r w:rsidRPr="00D7142A">
        <w:t>T</w:t>
      </w:r>
      <w:r w:rsidR="00F67E04" w:rsidRPr="00D7142A">
        <w:t xml:space="preserve">his article focuses particularly on </w:t>
      </w:r>
      <w:r w:rsidRPr="00D7142A">
        <w:t xml:space="preserve">data from </w:t>
      </w:r>
      <w:r w:rsidR="00F67E04" w:rsidRPr="00D7142A">
        <w:t xml:space="preserve">one survey question: </w:t>
      </w:r>
      <w:r w:rsidR="00F67E04" w:rsidRPr="00D7142A">
        <w:rPr>
          <w:i/>
        </w:rPr>
        <w:t>If you ever needed medical treatment, where would you rather have it?</w:t>
      </w:r>
      <w:r w:rsidR="00F67E04" w:rsidRPr="00D7142A">
        <w:t xml:space="preserve"> The question had four answer options (‘In the UK’, ‘In my country of origin/citizenship’, ‘In another country’, and ‘Do not know’). It also provided an optional open-answer box to elaborate on the reasons behind the choice: </w:t>
      </w:r>
      <w:r w:rsidR="00F67E04" w:rsidRPr="00D7142A">
        <w:rPr>
          <w:i/>
        </w:rPr>
        <w:t>Please explain why (optional)</w:t>
      </w:r>
      <w:r w:rsidR="00F67E04" w:rsidRPr="00D7142A">
        <w:t xml:space="preserve">. </w:t>
      </w:r>
      <w:r w:rsidR="00851A9A" w:rsidRPr="00D7142A">
        <w:t>T</w:t>
      </w:r>
      <w:r w:rsidR="000E5CE7" w:rsidRPr="00D7142A">
        <w:t xml:space="preserve">he richness of the answers provided </w:t>
      </w:r>
      <w:r w:rsidR="00851A9A" w:rsidRPr="00D7142A">
        <w:t xml:space="preserve">to this open question </w:t>
      </w:r>
      <w:r w:rsidR="006108F3" w:rsidRPr="00D7142A">
        <w:t xml:space="preserve">has </w:t>
      </w:r>
      <w:r w:rsidR="009941B9" w:rsidRPr="00D7142A">
        <w:t>made the issue of transnational healthcare</w:t>
      </w:r>
      <w:r w:rsidR="00FB70F4" w:rsidRPr="00D7142A">
        <w:t xml:space="preserve"> the main unanticipated emergen</w:t>
      </w:r>
      <w:r w:rsidR="000F6BF3" w:rsidRPr="00D7142A">
        <w:t>t theme of the project</w:t>
      </w:r>
      <w:r w:rsidR="00D07C65" w:rsidRPr="00D7142A">
        <w:t>.</w:t>
      </w:r>
      <w:r w:rsidR="00956949" w:rsidRPr="00D7142A">
        <w:t xml:space="preserve"> </w:t>
      </w:r>
    </w:p>
    <w:p w14:paraId="35671FB2" w14:textId="3CC2CBCE" w:rsidR="00F67E04" w:rsidRPr="00D7142A" w:rsidRDefault="00F6181E" w:rsidP="002923B1">
      <w:pPr>
        <w:spacing w:line="480" w:lineRule="auto"/>
        <w:ind w:firstLine="720"/>
      </w:pPr>
      <w:r w:rsidRPr="00D7142A">
        <w:t>In</w:t>
      </w:r>
      <w:r w:rsidR="001B6564" w:rsidRPr="00D7142A">
        <w:t xml:space="preserve"> this article </w:t>
      </w:r>
      <w:r w:rsidRPr="00D7142A">
        <w:t>we</w:t>
      </w:r>
      <w:r w:rsidR="001B6564" w:rsidRPr="00D7142A">
        <w:t xml:space="preserve"> undertake an exploratory qualitative analysis</w:t>
      </w:r>
      <w:r w:rsidR="00E4789D" w:rsidRPr="00D7142A">
        <w:t xml:space="preserve"> of the</w:t>
      </w:r>
      <w:r w:rsidR="00C242F2" w:rsidRPr="00D7142A">
        <w:t xml:space="preserve"> reported motivations </w:t>
      </w:r>
      <w:r w:rsidR="002C6C93" w:rsidRPr="00D7142A">
        <w:t xml:space="preserve">for </w:t>
      </w:r>
      <w:r w:rsidR="00E4789D" w:rsidRPr="00D7142A">
        <w:t>transnational healthcare preferences.</w:t>
      </w:r>
      <w:r w:rsidR="002923B1" w:rsidRPr="00D7142A">
        <w:t xml:space="preserve"> We </w:t>
      </w:r>
      <w:r w:rsidR="003F52F2" w:rsidRPr="00D7142A">
        <w:t xml:space="preserve">include in the analysis respondents from </w:t>
      </w:r>
      <w:r w:rsidR="008733FB" w:rsidRPr="00D7142A">
        <w:t>the eleven</w:t>
      </w:r>
      <w:r w:rsidR="003F52F2" w:rsidRPr="00D7142A">
        <w:t xml:space="preserve"> nationality groups with at least ten part</w:t>
      </w:r>
      <w:r w:rsidR="00236CC9" w:rsidRPr="00D7142A">
        <w:t>icipants answering the target survey question.</w:t>
      </w:r>
      <w:r w:rsidR="006C3399" w:rsidRPr="00D7142A">
        <w:t xml:space="preserve"> Our analytic sample therefore includes</w:t>
      </w:r>
      <w:r w:rsidR="00853144" w:rsidRPr="00D7142A">
        <w:t xml:space="preserve"> a</w:t>
      </w:r>
      <w:r w:rsidR="00F67E04" w:rsidRPr="00D7142A">
        <w:t xml:space="preserve"> total of 1,6</w:t>
      </w:r>
      <w:r w:rsidR="00C03133" w:rsidRPr="00D7142A">
        <w:t>56</w:t>
      </w:r>
      <w:r w:rsidR="00F67E04" w:rsidRPr="00D7142A">
        <w:t xml:space="preserve"> respondents from </w:t>
      </w:r>
      <w:r w:rsidR="003E1DA1" w:rsidRPr="00D7142A">
        <w:t>eleven</w:t>
      </w:r>
      <w:r w:rsidR="00F67E04" w:rsidRPr="00D7142A">
        <w:t xml:space="preserve"> countries of origin, </w:t>
      </w:r>
      <w:r w:rsidR="008A4201" w:rsidRPr="00D7142A">
        <w:t xml:space="preserve">of which </w:t>
      </w:r>
      <w:r w:rsidR="00F67E04" w:rsidRPr="00D7142A">
        <w:t>5</w:t>
      </w:r>
      <w:r w:rsidR="00620C8A" w:rsidRPr="00D7142A">
        <w:t>11</w:t>
      </w:r>
      <w:r w:rsidR="00F67E04" w:rsidRPr="00D7142A">
        <w:t xml:space="preserve"> (31%) have provided additional qualitative explanations in the open-answer box. Table 1 </w:t>
      </w:r>
      <w:r w:rsidR="00952D0B" w:rsidRPr="00D7142A">
        <w:t>summarises some basic socio-demographic characteristics of the sample</w:t>
      </w:r>
      <w:r w:rsidR="006C1744" w:rsidRPr="00D7142A">
        <w:t>, while Table</w:t>
      </w:r>
      <w:r w:rsidR="00450E8A" w:rsidRPr="00D7142A">
        <w:t xml:space="preserve"> 2 below </w:t>
      </w:r>
      <w:r w:rsidR="000F325A" w:rsidRPr="00D7142A">
        <w:t>lists</w:t>
      </w:r>
      <w:r w:rsidR="00450E8A" w:rsidRPr="00D7142A">
        <w:t xml:space="preserve"> the </w:t>
      </w:r>
      <w:r w:rsidR="000F325A" w:rsidRPr="00D7142A">
        <w:t xml:space="preserve">included </w:t>
      </w:r>
      <w:r w:rsidR="00450E8A" w:rsidRPr="00D7142A">
        <w:t>nationality groups alongside their response</w:t>
      </w:r>
      <w:r w:rsidR="00BA536F" w:rsidRPr="00D7142A">
        <w:t xml:space="preserve"> choices to the target survey question.</w:t>
      </w:r>
      <w:r w:rsidR="005577BB" w:rsidRPr="00D7142A">
        <w:t xml:space="preserve"> </w:t>
      </w:r>
      <w:r w:rsidR="00827738" w:rsidRPr="00D7142A">
        <w:t xml:space="preserve">As the largest </w:t>
      </w:r>
      <w:r w:rsidR="00BA0F64" w:rsidRPr="00D7142A">
        <w:t xml:space="preserve">EU migrant group in the UK, </w:t>
      </w:r>
      <w:r w:rsidR="00C82667" w:rsidRPr="00D7142A">
        <w:t>most of</w:t>
      </w:r>
      <w:r w:rsidR="00756C47" w:rsidRPr="00D7142A">
        <w:t xml:space="preserve"> our respondents were Polish nationals (</w:t>
      </w:r>
      <w:r w:rsidR="002421AC" w:rsidRPr="00D7142A">
        <w:t>60%)</w:t>
      </w:r>
      <w:r w:rsidR="0047066D" w:rsidRPr="00D7142A">
        <w:t>, and the majority were female (</w:t>
      </w:r>
      <w:r w:rsidR="00F669A0" w:rsidRPr="00D7142A">
        <w:t>65%)</w:t>
      </w:r>
      <w:r w:rsidR="00FB5ADA" w:rsidRPr="00D7142A">
        <w:t>.</w:t>
      </w:r>
      <w:r w:rsidR="005F6641" w:rsidRPr="00D7142A">
        <w:t xml:space="preserve"> </w:t>
      </w:r>
      <w:r w:rsidR="00B212D0" w:rsidRPr="00D7142A">
        <w:t xml:space="preserve">Since our </w:t>
      </w:r>
      <w:r w:rsidR="00FF7170" w:rsidRPr="00D7142A">
        <w:t xml:space="preserve">aim here is to draw a </w:t>
      </w:r>
      <w:r w:rsidR="007332C8" w:rsidRPr="00D7142A">
        <w:t xml:space="preserve">broad </w:t>
      </w:r>
      <w:r w:rsidR="00FF7170" w:rsidRPr="00D7142A">
        <w:t xml:space="preserve">picture of the thematic complexity </w:t>
      </w:r>
      <w:r w:rsidR="00187194" w:rsidRPr="00D7142A">
        <w:t xml:space="preserve">underlying healthcare </w:t>
      </w:r>
      <w:r w:rsidR="007332C8" w:rsidRPr="00D7142A">
        <w:t>location choices,</w:t>
      </w:r>
      <w:r w:rsidR="00AB36A7" w:rsidRPr="00D7142A">
        <w:t xml:space="preserve"> th</w:t>
      </w:r>
      <w:r w:rsidR="008434A8" w:rsidRPr="00D7142A">
        <w:t xml:space="preserve">ese imbalances in our data should not have a </w:t>
      </w:r>
      <w:r w:rsidR="00AC1806" w:rsidRPr="00D7142A">
        <w:t xml:space="preserve">negative impact on our thematic findings, apart from </w:t>
      </w:r>
      <w:r w:rsidR="0027717C" w:rsidRPr="00D7142A">
        <w:t>overemp</w:t>
      </w:r>
      <w:r w:rsidR="00C852F1" w:rsidRPr="00D7142A">
        <w:t xml:space="preserve">hasizing certain group-specific experiences. Nevertheless, we will </w:t>
      </w:r>
      <w:r w:rsidR="001C41B9" w:rsidRPr="00D7142A">
        <w:t>reflect on the limitations this</w:t>
      </w:r>
      <w:r w:rsidR="00A72E3A" w:rsidRPr="00D7142A">
        <w:t xml:space="preserve"> imposes on </w:t>
      </w:r>
      <w:r w:rsidR="00264579" w:rsidRPr="00D7142A">
        <w:t>possible interpretations in the conclusion section.</w:t>
      </w:r>
    </w:p>
    <w:p w14:paraId="5037BD70" w14:textId="77777777" w:rsidR="00F67E04" w:rsidRPr="00D7142A" w:rsidRDefault="00F67E04" w:rsidP="00CF38E8">
      <w:pPr>
        <w:pStyle w:val="Quote"/>
        <w:spacing w:line="480" w:lineRule="auto"/>
      </w:pPr>
      <w:r w:rsidRPr="00D7142A">
        <w:lastRenderedPageBreak/>
        <w:t>Table 1 here</w:t>
      </w:r>
    </w:p>
    <w:p w14:paraId="78EC31CC" w14:textId="7DA8D797" w:rsidR="00392CA4" w:rsidRPr="00D7142A" w:rsidRDefault="007C4FBE" w:rsidP="00CF38E8">
      <w:pPr>
        <w:pStyle w:val="Newparagraph"/>
        <w:spacing w:line="480" w:lineRule="auto"/>
        <w:ind w:firstLine="0"/>
      </w:pPr>
      <w:r w:rsidRPr="00D7142A">
        <w:tab/>
      </w:r>
      <w:r w:rsidR="00763493" w:rsidRPr="00D7142A">
        <w:t>I</w:t>
      </w:r>
      <w:r w:rsidRPr="00D7142A">
        <w:t xml:space="preserve">n this article </w:t>
      </w:r>
      <w:r w:rsidR="00763493" w:rsidRPr="00D7142A">
        <w:t xml:space="preserve">we </w:t>
      </w:r>
      <w:r w:rsidR="00F22FF6" w:rsidRPr="00D7142A">
        <w:t>focus primarily on the results</w:t>
      </w:r>
      <w:r w:rsidR="003108B3" w:rsidRPr="00D7142A">
        <w:t xml:space="preserve"> from a </w:t>
      </w:r>
      <w:r w:rsidR="00E0077E" w:rsidRPr="00D7142A">
        <w:t>thematic analysis o</w:t>
      </w:r>
      <w:r w:rsidR="003108B3" w:rsidRPr="00D7142A">
        <w:t>f</w:t>
      </w:r>
      <w:r w:rsidR="00346A00" w:rsidRPr="00D7142A">
        <w:t xml:space="preserve"> </w:t>
      </w:r>
      <w:r w:rsidR="00677A14" w:rsidRPr="00D7142A">
        <w:t xml:space="preserve">the qualitative </w:t>
      </w:r>
      <w:r w:rsidR="00D56A0F" w:rsidRPr="00D7142A">
        <w:t>sample</w:t>
      </w:r>
      <w:r w:rsidR="00677A14" w:rsidRPr="00D7142A">
        <w:t xml:space="preserve"> (N=5</w:t>
      </w:r>
      <w:r w:rsidR="00D56A0F" w:rsidRPr="00D7142A">
        <w:t>11</w:t>
      </w:r>
      <w:r w:rsidR="00346A00" w:rsidRPr="00D7142A">
        <w:t>)</w:t>
      </w:r>
      <w:r w:rsidR="00EA247E" w:rsidRPr="00D7142A">
        <w:t xml:space="preserve">. The analysis </w:t>
      </w:r>
      <w:r w:rsidR="00346A00" w:rsidRPr="00D7142A">
        <w:t>generat</w:t>
      </w:r>
      <w:r w:rsidR="007D6DB4" w:rsidRPr="00D7142A">
        <w:t>ed</w:t>
      </w:r>
      <w:r w:rsidR="004C0A2A" w:rsidRPr="00D7142A">
        <w:t xml:space="preserve"> </w:t>
      </w:r>
      <w:r w:rsidR="00346A00" w:rsidRPr="00D7142A">
        <w:t xml:space="preserve">a unified coding framework to allow a structured assessment of the reasons behind our respondents’ choices in respect to their preferred country for medical treatment </w:t>
      </w:r>
      <w:r w:rsidR="0060618F" w:rsidRPr="00D7142A">
        <w:rPr>
          <w:rFonts w:eastAsia="Arial Unicode MS"/>
          <w:noProof/>
        </w:rPr>
        <w:t>(</w:t>
      </w:r>
      <w:r w:rsidR="00CD43DA" w:rsidRPr="00D7142A">
        <w:rPr>
          <w:rFonts w:eastAsia="Arial Unicode MS"/>
          <w:noProof/>
        </w:rPr>
        <w:t>see Boyatzis, 1998</w:t>
      </w:r>
      <w:r w:rsidR="0060618F" w:rsidRPr="00D7142A">
        <w:rPr>
          <w:rFonts w:eastAsia="Arial Unicode MS"/>
          <w:noProof/>
        </w:rPr>
        <w:t>)</w:t>
      </w:r>
      <w:r w:rsidR="00346A00" w:rsidRPr="00D7142A">
        <w:rPr>
          <w:rFonts w:eastAsia="Arial Unicode MS"/>
        </w:rPr>
        <w:t xml:space="preserve">. </w:t>
      </w:r>
      <w:r w:rsidR="00C86733" w:rsidRPr="00D7142A">
        <w:rPr>
          <w:rFonts w:eastAsia="Arial Unicode MS"/>
        </w:rPr>
        <w:t>T</w:t>
      </w:r>
      <w:r w:rsidR="00517A75" w:rsidRPr="00D7142A">
        <w:t>he thematic coding</w:t>
      </w:r>
      <w:r w:rsidR="00CF69A8" w:rsidRPr="00D7142A">
        <w:t>,</w:t>
      </w:r>
      <w:r w:rsidR="00517A75" w:rsidRPr="00D7142A">
        <w:t xml:space="preserve"> performed using NVIVO11</w:t>
      </w:r>
      <w:r w:rsidR="004D480E" w:rsidRPr="00D7142A">
        <w:t xml:space="preserve">, </w:t>
      </w:r>
      <w:r w:rsidR="00517A75" w:rsidRPr="00D7142A">
        <w:t>allow</w:t>
      </w:r>
      <w:r w:rsidR="005E198D" w:rsidRPr="00D7142A">
        <w:t xml:space="preserve">ed </w:t>
      </w:r>
      <w:r w:rsidR="004D480E" w:rsidRPr="00D7142A">
        <w:t>the</w:t>
      </w:r>
      <w:r w:rsidR="00517A75" w:rsidRPr="00D7142A">
        <w:t xml:space="preserve"> </w:t>
      </w:r>
      <w:r w:rsidR="0026676D" w:rsidRPr="00D7142A">
        <w:t>identifi</w:t>
      </w:r>
      <w:r w:rsidR="004D480E" w:rsidRPr="00D7142A">
        <w:t xml:space="preserve">cation of </w:t>
      </w:r>
      <w:r w:rsidR="00517A75" w:rsidRPr="00D7142A">
        <w:t>multiple codes in each open-ended response</w:t>
      </w:r>
      <w:r w:rsidR="0026676D" w:rsidRPr="00D7142A">
        <w:t xml:space="preserve"> and </w:t>
      </w:r>
      <w:r w:rsidR="00BB753A" w:rsidRPr="00D7142A">
        <w:t xml:space="preserve">helped </w:t>
      </w:r>
      <w:r w:rsidR="00517A75" w:rsidRPr="00D7142A">
        <w:t>explor</w:t>
      </w:r>
      <w:r w:rsidR="00BB753A" w:rsidRPr="00D7142A">
        <w:t>e</w:t>
      </w:r>
      <w:r w:rsidR="00517A75" w:rsidRPr="00D7142A">
        <w:t xml:space="preserve"> the interrelationships between the various reasons given by respondents regarding their preferred country of medical </w:t>
      </w:r>
      <w:r w:rsidR="000118BB" w:rsidRPr="00D7142A">
        <w:t>treatment.</w:t>
      </w:r>
      <w:r w:rsidR="00F2508B" w:rsidRPr="00D7142A">
        <w:t xml:space="preserve"> Following a brief overview of </w:t>
      </w:r>
      <w:r w:rsidR="00E20B85" w:rsidRPr="00D7142A">
        <w:t xml:space="preserve">quantitative descriptive results, we turn to discussing </w:t>
      </w:r>
      <w:r w:rsidR="005F7D74" w:rsidRPr="00D7142A">
        <w:t xml:space="preserve">the results from this thematic analysis and its </w:t>
      </w:r>
      <w:r w:rsidR="006B5876" w:rsidRPr="00D7142A">
        <w:t xml:space="preserve">relationship to the broader literature </w:t>
      </w:r>
      <w:r w:rsidR="000D608F" w:rsidRPr="00D7142A">
        <w:t>reviewed</w:t>
      </w:r>
      <w:r w:rsidR="006B5876" w:rsidRPr="00D7142A">
        <w:t xml:space="preserve"> earlier. </w:t>
      </w:r>
    </w:p>
    <w:p w14:paraId="58211B68" w14:textId="60A118D6" w:rsidR="00A92D13" w:rsidRPr="00D7142A" w:rsidRDefault="001C472A" w:rsidP="00811112">
      <w:pPr>
        <w:pStyle w:val="Heading1"/>
      </w:pPr>
      <w:r w:rsidRPr="00D7142A">
        <w:t>Overview of d</w:t>
      </w:r>
      <w:r w:rsidR="005805EB" w:rsidRPr="00D7142A">
        <w:t>escriptive results</w:t>
      </w:r>
    </w:p>
    <w:p w14:paraId="0816CB1B" w14:textId="15BE47A9" w:rsidR="004710D5" w:rsidRPr="00D7142A" w:rsidRDefault="00FB32CB" w:rsidP="00CF38E8">
      <w:pPr>
        <w:pStyle w:val="Newparagraph"/>
        <w:spacing w:line="480" w:lineRule="auto"/>
        <w:ind w:firstLine="0"/>
        <w:rPr>
          <w:rFonts w:eastAsia="Arial Unicode MS"/>
        </w:rPr>
      </w:pPr>
      <w:r w:rsidRPr="00D7142A">
        <w:rPr>
          <w:rFonts w:eastAsia="Arial Unicode MS"/>
        </w:rPr>
        <w:t>We have found</w:t>
      </w:r>
      <w:r w:rsidR="007C2414" w:rsidRPr="00D7142A">
        <w:rPr>
          <w:rFonts w:eastAsia="Arial Unicode MS"/>
        </w:rPr>
        <w:t xml:space="preserve"> that fewer respondents preferred undertaking medical treatment in the UK (36%) than in their </w:t>
      </w:r>
      <w:r w:rsidR="002A68B6" w:rsidRPr="00D7142A">
        <w:rPr>
          <w:rFonts w:eastAsia="Arial Unicode MS"/>
        </w:rPr>
        <w:t>country of origin (</w:t>
      </w:r>
      <w:proofErr w:type="spellStart"/>
      <w:r w:rsidR="007C2414" w:rsidRPr="00D7142A">
        <w:rPr>
          <w:rFonts w:eastAsia="Arial Unicode MS"/>
        </w:rPr>
        <w:t>C</w:t>
      </w:r>
      <w:r w:rsidR="002A68B6" w:rsidRPr="00D7142A">
        <w:rPr>
          <w:rFonts w:eastAsia="Arial Unicode MS"/>
        </w:rPr>
        <w:t>o</w:t>
      </w:r>
      <w:r w:rsidR="007C2414" w:rsidRPr="00D7142A">
        <w:rPr>
          <w:rFonts w:eastAsia="Arial Unicode MS"/>
        </w:rPr>
        <w:t>O</w:t>
      </w:r>
      <w:proofErr w:type="spellEnd"/>
      <w:r w:rsidR="002A68B6" w:rsidRPr="00D7142A">
        <w:rPr>
          <w:rFonts w:eastAsia="Arial Unicode MS"/>
        </w:rPr>
        <w:t>)</w:t>
      </w:r>
      <w:r w:rsidR="007C2414" w:rsidRPr="00D7142A">
        <w:rPr>
          <w:rFonts w:eastAsia="Arial Unicode MS"/>
        </w:rPr>
        <w:t xml:space="preserve"> (46%). </w:t>
      </w:r>
      <w:r w:rsidR="00D31E39" w:rsidRPr="00D7142A">
        <w:rPr>
          <w:rFonts w:eastAsia="Arial Unicode MS"/>
        </w:rPr>
        <w:t xml:space="preserve">A small number (1%) would prefer a third </w:t>
      </w:r>
      <w:r w:rsidR="00677A14" w:rsidRPr="00D7142A">
        <w:rPr>
          <w:rFonts w:eastAsia="Arial Unicode MS"/>
        </w:rPr>
        <w:t>country</w:t>
      </w:r>
      <w:r w:rsidR="00D31E39" w:rsidRPr="00D7142A">
        <w:rPr>
          <w:rFonts w:eastAsia="Arial Unicode MS"/>
        </w:rPr>
        <w:t xml:space="preserve"> and a more significant share (17%) did not have a clear preference</w:t>
      </w:r>
      <w:r w:rsidR="00677A14" w:rsidRPr="00D7142A">
        <w:rPr>
          <w:rFonts w:eastAsia="Arial Unicode MS"/>
        </w:rPr>
        <w:t xml:space="preserve">. Table </w:t>
      </w:r>
      <w:r w:rsidR="0067694C" w:rsidRPr="00D7142A">
        <w:rPr>
          <w:rFonts w:eastAsia="Arial Unicode MS"/>
        </w:rPr>
        <w:t>2</w:t>
      </w:r>
      <w:r w:rsidR="00677A14" w:rsidRPr="00D7142A">
        <w:rPr>
          <w:rFonts w:eastAsia="Arial Unicode MS"/>
        </w:rPr>
        <w:t xml:space="preserve"> highlights that there </w:t>
      </w:r>
      <w:r w:rsidR="00FA5900" w:rsidRPr="00D7142A">
        <w:rPr>
          <w:rFonts w:eastAsia="Arial Unicode MS"/>
        </w:rPr>
        <w:t>are</w:t>
      </w:r>
      <w:r w:rsidR="00677A14" w:rsidRPr="00D7142A">
        <w:rPr>
          <w:rFonts w:eastAsia="Arial Unicode MS"/>
        </w:rPr>
        <w:t xml:space="preserve"> also noticeable nationality-based differences in these preferences.</w:t>
      </w:r>
      <w:r w:rsidR="0024655F" w:rsidRPr="00D7142A">
        <w:rPr>
          <w:rFonts w:eastAsia="Arial Unicode MS"/>
        </w:rPr>
        <w:t xml:space="preserve"> </w:t>
      </w:r>
      <w:r w:rsidR="00735A3A" w:rsidRPr="00D7142A">
        <w:rPr>
          <w:rFonts w:eastAsia="Arial Unicode MS"/>
        </w:rPr>
        <w:t>T</w:t>
      </w:r>
      <w:r w:rsidR="0024655F" w:rsidRPr="00D7142A">
        <w:rPr>
          <w:rFonts w:eastAsia="Arial Unicode MS"/>
        </w:rPr>
        <w:t xml:space="preserve">his distribution also </w:t>
      </w:r>
      <w:r w:rsidR="00735A3A" w:rsidRPr="00D7142A">
        <w:rPr>
          <w:rFonts w:eastAsia="Arial Unicode MS"/>
        </w:rPr>
        <w:t>hints to the fact that</w:t>
      </w:r>
      <w:r w:rsidR="009F048C" w:rsidRPr="00D7142A">
        <w:rPr>
          <w:rFonts w:eastAsia="Arial Unicode MS"/>
        </w:rPr>
        <w:t xml:space="preserve"> ‘medical tourism’</w:t>
      </w:r>
      <w:r w:rsidR="00BA393B" w:rsidRPr="00D7142A">
        <w:rPr>
          <w:rFonts w:eastAsia="Arial Unicode MS"/>
        </w:rPr>
        <w:t xml:space="preserve"> </w:t>
      </w:r>
      <w:r w:rsidR="008D65D7" w:rsidRPr="00D7142A">
        <w:rPr>
          <w:rFonts w:eastAsia="Arial Unicode MS"/>
        </w:rPr>
        <w:t xml:space="preserve">strictly conceived is a more limited phenomenon </w:t>
      </w:r>
      <w:r w:rsidR="00F41C37" w:rsidRPr="00D7142A">
        <w:rPr>
          <w:rFonts w:eastAsia="Arial Unicode MS"/>
        </w:rPr>
        <w:t>tha</w:t>
      </w:r>
      <w:r w:rsidR="00AA43CB" w:rsidRPr="00D7142A">
        <w:rPr>
          <w:rFonts w:eastAsia="Arial Unicode MS"/>
        </w:rPr>
        <w:t>n</w:t>
      </w:r>
      <w:r w:rsidR="00F41C37" w:rsidRPr="00D7142A">
        <w:rPr>
          <w:rFonts w:eastAsia="Arial Unicode MS"/>
        </w:rPr>
        <w:t xml:space="preserve"> </w:t>
      </w:r>
      <w:r w:rsidR="00CE0D8A" w:rsidRPr="00D7142A">
        <w:rPr>
          <w:rFonts w:eastAsia="Arial Unicode MS"/>
        </w:rPr>
        <w:t xml:space="preserve">mobility related to </w:t>
      </w:r>
      <w:r w:rsidR="00F41C37" w:rsidRPr="00D7142A">
        <w:rPr>
          <w:rFonts w:eastAsia="Arial Unicode MS"/>
        </w:rPr>
        <w:t>the ‘migrant</w:t>
      </w:r>
      <w:r w:rsidR="00190199" w:rsidRPr="00D7142A">
        <w:rPr>
          <w:rFonts w:eastAsia="Arial Unicode MS"/>
        </w:rPr>
        <w:t>’</w:t>
      </w:r>
      <w:r w:rsidR="00F41C37" w:rsidRPr="00D7142A">
        <w:rPr>
          <w:rFonts w:eastAsia="Arial Unicode MS"/>
        </w:rPr>
        <w:t xml:space="preserve"> </w:t>
      </w:r>
      <w:r w:rsidR="00CE0D8A" w:rsidRPr="00D7142A">
        <w:rPr>
          <w:rFonts w:eastAsia="Arial Unicode MS"/>
        </w:rPr>
        <w:t>condition</w:t>
      </w:r>
      <w:r w:rsidR="009811F2" w:rsidRPr="00D7142A">
        <w:rPr>
          <w:rFonts w:eastAsia="Arial Unicode MS"/>
        </w:rPr>
        <w:t xml:space="preserve"> </w:t>
      </w:r>
      <w:r w:rsidR="00E34E1A" w:rsidRPr="00D7142A">
        <w:rPr>
          <w:rFonts w:eastAsia="Arial Unicode MS"/>
          <w:noProof/>
        </w:rPr>
        <w:t>(</w:t>
      </w:r>
      <w:r w:rsidR="00CD43DA" w:rsidRPr="00D7142A">
        <w:rPr>
          <w:rFonts w:eastAsia="Arial Unicode MS"/>
          <w:noProof/>
        </w:rPr>
        <w:t>Horsfall, 2019</w:t>
      </w:r>
      <w:r w:rsidR="00E34E1A" w:rsidRPr="00D7142A">
        <w:rPr>
          <w:rFonts w:eastAsia="Arial Unicode MS"/>
          <w:noProof/>
        </w:rPr>
        <w:t xml:space="preserve">; </w:t>
      </w:r>
      <w:r w:rsidR="00CD43DA" w:rsidRPr="00D7142A">
        <w:rPr>
          <w:rFonts w:eastAsia="Arial Unicode MS"/>
          <w:noProof/>
        </w:rPr>
        <w:t>Mainil, Commers, and Michelsen, 2013</w:t>
      </w:r>
      <w:r w:rsidR="00E34E1A" w:rsidRPr="00D7142A">
        <w:rPr>
          <w:rFonts w:eastAsia="Arial Unicode MS"/>
          <w:noProof/>
        </w:rPr>
        <w:t>)</w:t>
      </w:r>
      <w:r w:rsidR="00D06475" w:rsidRPr="00D7142A">
        <w:rPr>
          <w:rFonts w:eastAsia="Arial Unicode MS"/>
        </w:rPr>
        <w:t xml:space="preserve">, and </w:t>
      </w:r>
      <w:r w:rsidR="002E7F4E" w:rsidRPr="00D7142A">
        <w:rPr>
          <w:rFonts w:eastAsia="Arial Unicode MS"/>
        </w:rPr>
        <w:t xml:space="preserve">as the closer inspection of the qualitative </w:t>
      </w:r>
      <w:r w:rsidR="006E73BF" w:rsidRPr="00D7142A">
        <w:rPr>
          <w:rFonts w:eastAsia="Arial Unicode MS"/>
        </w:rPr>
        <w:t>comments</w:t>
      </w:r>
      <w:r w:rsidR="002E7F4E" w:rsidRPr="00D7142A">
        <w:rPr>
          <w:rFonts w:eastAsia="Arial Unicode MS"/>
        </w:rPr>
        <w:t xml:space="preserve"> of </w:t>
      </w:r>
      <w:r w:rsidR="00131AEC" w:rsidRPr="00D7142A">
        <w:rPr>
          <w:rFonts w:eastAsia="Arial Unicode MS"/>
        </w:rPr>
        <w:t>the nine</w:t>
      </w:r>
      <w:r w:rsidR="00E93C56" w:rsidRPr="00D7142A">
        <w:rPr>
          <w:rFonts w:eastAsia="Arial Unicode MS"/>
        </w:rPr>
        <w:t xml:space="preserve"> respondents </w:t>
      </w:r>
      <w:r w:rsidR="002E7F4E" w:rsidRPr="00D7142A">
        <w:rPr>
          <w:rFonts w:eastAsia="Arial Unicode MS"/>
        </w:rPr>
        <w:t xml:space="preserve">who </w:t>
      </w:r>
      <w:r w:rsidR="000C1423" w:rsidRPr="00D7142A">
        <w:rPr>
          <w:rFonts w:eastAsia="Arial Unicode MS"/>
        </w:rPr>
        <w:t xml:space="preserve">explained their preference </w:t>
      </w:r>
      <w:r w:rsidR="00EB1285" w:rsidRPr="00D7142A">
        <w:rPr>
          <w:rFonts w:eastAsia="Arial Unicode MS"/>
        </w:rPr>
        <w:t>for a</w:t>
      </w:r>
      <w:r w:rsidR="00E93C56" w:rsidRPr="00D7142A">
        <w:rPr>
          <w:rFonts w:eastAsia="Arial Unicode MS"/>
        </w:rPr>
        <w:t xml:space="preserve"> third country reveals, </w:t>
      </w:r>
      <w:r w:rsidR="00265BD9" w:rsidRPr="00D7142A">
        <w:rPr>
          <w:rFonts w:eastAsia="Arial Unicode MS"/>
        </w:rPr>
        <w:t xml:space="preserve">these are usually countries </w:t>
      </w:r>
      <w:r w:rsidR="00E83AF7" w:rsidRPr="00D7142A">
        <w:rPr>
          <w:rFonts w:eastAsia="Arial Unicode MS"/>
        </w:rPr>
        <w:t>to</w:t>
      </w:r>
      <w:r w:rsidR="00265BD9" w:rsidRPr="00D7142A">
        <w:rPr>
          <w:rFonts w:eastAsia="Arial Unicode MS"/>
        </w:rPr>
        <w:t xml:space="preserve"> which the respondent </w:t>
      </w:r>
      <w:r w:rsidR="00EB1285" w:rsidRPr="00D7142A">
        <w:rPr>
          <w:rFonts w:eastAsia="Arial Unicode MS"/>
        </w:rPr>
        <w:t>was</w:t>
      </w:r>
      <w:r w:rsidR="00E83AF7" w:rsidRPr="00D7142A">
        <w:rPr>
          <w:rFonts w:eastAsia="Arial Unicode MS"/>
        </w:rPr>
        <w:t xml:space="preserve"> connected through</w:t>
      </w:r>
      <w:r w:rsidR="00265BD9" w:rsidRPr="00D7142A">
        <w:rPr>
          <w:rFonts w:eastAsia="Arial Unicode MS"/>
        </w:rPr>
        <w:t xml:space="preserve"> </w:t>
      </w:r>
      <w:r w:rsidR="00EB1285" w:rsidRPr="00D7142A">
        <w:rPr>
          <w:rFonts w:eastAsia="Arial Unicode MS"/>
        </w:rPr>
        <w:t xml:space="preserve">a </w:t>
      </w:r>
      <w:r w:rsidR="00265BD9" w:rsidRPr="00D7142A">
        <w:rPr>
          <w:rFonts w:eastAsia="Arial Unicode MS"/>
        </w:rPr>
        <w:t xml:space="preserve">previous </w:t>
      </w:r>
      <w:r w:rsidR="000C6B0B" w:rsidRPr="00D7142A">
        <w:rPr>
          <w:rFonts w:eastAsia="Arial Unicode MS"/>
        </w:rPr>
        <w:t>migratory</w:t>
      </w:r>
      <w:r w:rsidR="00E83AF7" w:rsidRPr="00D7142A">
        <w:rPr>
          <w:rFonts w:eastAsia="Arial Unicode MS"/>
        </w:rPr>
        <w:t xml:space="preserve"> experience.</w:t>
      </w:r>
    </w:p>
    <w:p w14:paraId="35A09C71" w14:textId="586A0095" w:rsidR="00DA1D8E" w:rsidRPr="00D7142A" w:rsidRDefault="00DA1D8E" w:rsidP="00CF38E8">
      <w:pPr>
        <w:pStyle w:val="Quote"/>
        <w:spacing w:line="480" w:lineRule="auto"/>
      </w:pPr>
      <w:r w:rsidRPr="00D7142A">
        <w:t xml:space="preserve">Table </w:t>
      </w:r>
      <w:r w:rsidR="00D06992" w:rsidRPr="00D7142A">
        <w:t>2</w:t>
      </w:r>
      <w:r w:rsidRPr="00D7142A">
        <w:t xml:space="preserve"> here</w:t>
      </w:r>
    </w:p>
    <w:p w14:paraId="1061DA95" w14:textId="5202DB93" w:rsidR="00550771" w:rsidRPr="00D7142A" w:rsidRDefault="00CC4E0D" w:rsidP="00CF38E8">
      <w:pPr>
        <w:pStyle w:val="Newparagraph"/>
        <w:spacing w:line="480" w:lineRule="auto"/>
        <w:ind w:firstLine="0"/>
        <w:rPr>
          <w:rFonts w:eastAsia="Arial Unicode MS"/>
        </w:rPr>
      </w:pPr>
      <w:r w:rsidRPr="00D7142A">
        <w:rPr>
          <w:rFonts w:eastAsia="Arial Unicode MS"/>
        </w:rPr>
        <w:t xml:space="preserve">Our </w:t>
      </w:r>
      <w:r w:rsidR="00223AAF" w:rsidRPr="00D7142A">
        <w:rPr>
          <w:rFonts w:eastAsia="Arial Unicode MS"/>
        </w:rPr>
        <w:t xml:space="preserve">closer </w:t>
      </w:r>
      <w:r w:rsidRPr="00D7142A">
        <w:rPr>
          <w:rFonts w:eastAsia="Arial Unicode MS"/>
        </w:rPr>
        <w:t xml:space="preserve">analysis will focus on the qualitative </w:t>
      </w:r>
      <w:r w:rsidR="002B39D2" w:rsidRPr="00D7142A">
        <w:rPr>
          <w:rFonts w:eastAsia="Arial Unicode MS"/>
        </w:rPr>
        <w:t xml:space="preserve">explanations </w:t>
      </w:r>
      <w:r w:rsidR="0060011D" w:rsidRPr="00D7142A">
        <w:rPr>
          <w:rFonts w:eastAsia="Arial Unicode MS"/>
        </w:rPr>
        <w:t xml:space="preserve">concerning </w:t>
      </w:r>
      <w:r w:rsidR="00B457A1" w:rsidRPr="00D7142A">
        <w:rPr>
          <w:rFonts w:eastAsia="Arial Unicode MS"/>
        </w:rPr>
        <w:t xml:space="preserve">the reasons for preferring either the </w:t>
      </w:r>
      <w:r w:rsidR="00CB01E7" w:rsidRPr="00D7142A">
        <w:rPr>
          <w:rFonts w:eastAsia="Arial Unicode MS"/>
        </w:rPr>
        <w:t>UK</w:t>
      </w:r>
      <w:r w:rsidR="00B457A1" w:rsidRPr="00D7142A">
        <w:rPr>
          <w:rFonts w:eastAsia="Arial Unicode MS"/>
        </w:rPr>
        <w:t xml:space="preserve"> or the </w:t>
      </w:r>
      <w:proofErr w:type="spellStart"/>
      <w:r w:rsidR="00CB01E7" w:rsidRPr="00D7142A">
        <w:rPr>
          <w:rFonts w:eastAsia="Arial Unicode MS"/>
        </w:rPr>
        <w:t>CoO</w:t>
      </w:r>
      <w:proofErr w:type="spellEnd"/>
      <w:r w:rsidR="00B457A1" w:rsidRPr="00D7142A">
        <w:rPr>
          <w:rFonts w:eastAsia="Arial Unicode MS"/>
        </w:rPr>
        <w:t xml:space="preserve"> for potential medical treatment</w:t>
      </w:r>
      <w:r w:rsidR="0060011D" w:rsidRPr="00D7142A">
        <w:rPr>
          <w:rFonts w:eastAsia="Arial Unicode MS"/>
        </w:rPr>
        <w:t>.</w:t>
      </w:r>
      <w:r w:rsidR="00CB01E7" w:rsidRPr="00D7142A">
        <w:rPr>
          <w:rFonts w:eastAsia="Arial Unicode MS"/>
        </w:rPr>
        <w:t xml:space="preserve"> </w:t>
      </w:r>
      <w:r w:rsidR="003F4F89" w:rsidRPr="00D7142A">
        <w:rPr>
          <w:rFonts w:eastAsia="Arial Unicode MS"/>
        </w:rPr>
        <w:t>Overall,</w:t>
      </w:r>
      <w:r w:rsidR="00500EF9" w:rsidRPr="00D7142A">
        <w:rPr>
          <w:rFonts w:eastAsia="Arial Unicode MS"/>
        </w:rPr>
        <w:t xml:space="preserve"> </w:t>
      </w:r>
      <w:r w:rsidR="003F4F89" w:rsidRPr="00D7142A">
        <w:rPr>
          <w:rFonts w:eastAsia="Arial Unicode MS"/>
        </w:rPr>
        <w:t>17</w:t>
      </w:r>
      <w:r w:rsidR="00DC4050" w:rsidRPr="00D7142A">
        <w:rPr>
          <w:rFonts w:eastAsia="Arial Unicode MS"/>
        </w:rPr>
        <w:t>9</w:t>
      </w:r>
      <w:r w:rsidR="003F4F89" w:rsidRPr="00D7142A">
        <w:rPr>
          <w:rFonts w:eastAsia="Arial Unicode MS"/>
        </w:rPr>
        <w:t xml:space="preserve"> participants preferring the UK and </w:t>
      </w:r>
      <w:r w:rsidR="000C1423" w:rsidRPr="00D7142A">
        <w:rPr>
          <w:rFonts w:eastAsia="Arial Unicode MS"/>
        </w:rPr>
        <w:t>32</w:t>
      </w:r>
      <w:r w:rsidR="00DC4050" w:rsidRPr="00D7142A">
        <w:rPr>
          <w:rFonts w:eastAsia="Arial Unicode MS"/>
        </w:rPr>
        <w:t>3</w:t>
      </w:r>
      <w:r w:rsidR="00ED4803" w:rsidRPr="00D7142A">
        <w:rPr>
          <w:rFonts w:eastAsia="Arial Unicode MS"/>
        </w:rPr>
        <w:t xml:space="preserve"> favouring the </w:t>
      </w:r>
      <w:proofErr w:type="spellStart"/>
      <w:r w:rsidR="00ED4803" w:rsidRPr="00D7142A">
        <w:rPr>
          <w:rFonts w:eastAsia="Arial Unicode MS"/>
        </w:rPr>
        <w:t>CoO</w:t>
      </w:r>
      <w:proofErr w:type="spellEnd"/>
      <w:r w:rsidR="00ED4803" w:rsidRPr="00D7142A">
        <w:rPr>
          <w:rFonts w:eastAsia="Arial Unicode MS"/>
        </w:rPr>
        <w:t xml:space="preserve"> have provided qua</w:t>
      </w:r>
      <w:r w:rsidR="00AE3CB8" w:rsidRPr="00D7142A">
        <w:rPr>
          <w:rFonts w:eastAsia="Arial Unicode MS"/>
        </w:rPr>
        <w:t xml:space="preserve">litative responses. </w:t>
      </w:r>
      <w:r w:rsidR="00751AE4" w:rsidRPr="00D7142A">
        <w:rPr>
          <w:rFonts w:eastAsia="Arial Unicode MS"/>
        </w:rPr>
        <w:t>Following a thematic</w:t>
      </w:r>
      <w:r w:rsidR="00861AF0" w:rsidRPr="00D7142A">
        <w:rPr>
          <w:rFonts w:eastAsia="Arial Unicode MS"/>
        </w:rPr>
        <w:t xml:space="preserve"> coding </w:t>
      </w:r>
      <w:r w:rsidR="00A63211" w:rsidRPr="00D7142A">
        <w:rPr>
          <w:rFonts w:eastAsia="Arial Unicode MS"/>
        </w:rPr>
        <w:t>which identified</w:t>
      </w:r>
      <w:r w:rsidR="00DE5937" w:rsidRPr="00D7142A">
        <w:rPr>
          <w:rFonts w:eastAsia="Arial Unicode MS"/>
        </w:rPr>
        <w:t xml:space="preserve"> one or more themes at different levels of </w:t>
      </w:r>
      <w:r w:rsidR="006A345C" w:rsidRPr="00D7142A">
        <w:rPr>
          <w:rFonts w:eastAsia="Arial Unicode MS"/>
        </w:rPr>
        <w:t>coding detail in each of the</w:t>
      </w:r>
      <w:r w:rsidR="00F71BB5" w:rsidRPr="00D7142A">
        <w:rPr>
          <w:rFonts w:eastAsia="Arial Unicode MS"/>
        </w:rPr>
        <w:t>se</w:t>
      </w:r>
      <w:r w:rsidR="006A345C" w:rsidRPr="00D7142A">
        <w:rPr>
          <w:rFonts w:eastAsia="Arial Unicode MS"/>
        </w:rPr>
        <w:t xml:space="preserve"> </w:t>
      </w:r>
      <w:r w:rsidR="00D21616" w:rsidRPr="00D7142A">
        <w:rPr>
          <w:rFonts w:eastAsia="Arial Unicode MS"/>
        </w:rPr>
        <w:t xml:space="preserve">open-ended </w:t>
      </w:r>
      <w:r w:rsidR="00D21616" w:rsidRPr="00D7142A">
        <w:rPr>
          <w:rFonts w:eastAsia="Arial Unicode MS"/>
        </w:rPr>
        <w:lastRenderedPageBreak/>
        <w:t>explanations, w</w:t>
      </w:r>
      <w:r w:rsidR="00B457A1" w:rsidRPr="00D7142A">
        <w:rPr>
          <w:rFonts w:eastAsia="Arial Unicode MS"/>
        </w:rPr>
        <w:t xml:space="preserve">e </w:t>
      </w:r>
      <w:r w:rsidR="004710D5" w:rsidRPr="00D7142A">
        <w:rPr>
          <w:rFonts w:eastAsia="Arial Unicode MS"/>
        </w:rPr>
        <w:t xml:space="preserve">have </w:t>
      </w:r>
      <w:r w:rsidR="00B457A1" w:rsidRPr="00D7142A">
        <w:rPr>
          <w:rFonts w:eastAsia="Arial Unicode MS"/>
        </w:rPr>
        <w:t xml:space="preserve">identified </w:t>
      </w:r>
      <w:r w:rsidR="00F70AE5" w:rsidRPr="00D7142A">
        <w:rPr>
          <w:rFonts w:eastAsia="Arial Unicode MS"/>
        </w:rPr>
        <w:t>five</w:t>
      </w:r>
      <w:r w:rsidR="00B457A1" w:rsidRPr="00D7142A">
        <w:rPr>
          <w:rFonts w:eastAsia="Arial Unicode MS"/>
        </w:rPr>
        <w:t xml:space="preserve"> broad </w:t>
      </w:r>
      <w:r w:rsidR="00171E56" w:rsidRPr="00D7142A">
        <w:rPr>
          <w:rFonts w:eastAsia="Arial Unicode MS"/>
        </w:rPr>
        <w:t>thematic groups</w:t>
      </w:r>
      <w:r w:rsidR="00B457A1" w:rsidRPr="00D7142A">
        <w:rPr>
          <w:rFonts w:eastAsia="Arial Unicode MS"/>
        </w:rPr>
        <w:t xml:space="preserve"> </w:t>
      </w:r>
      <w:r w:rsidR="00F70AE5" w:rsidRPr="00D7142A">
        <w:rPr>
          <w:rFonts w:eastAsia="Arial Unicode MS"/>
        </w:rPr>
        <w:t>containing</w:t>
      </w:r>
      <w:r w:rsidR="00241A1D" w:rsidRPr="00D7142A">
        <w:rPr>
          <w:rFonts w:eastAsia="Arial Unicode MS"/>
        </w:rPr>
        <w:t xml:space="preserve"> a total of</w:t>
      </w:r>
      <w:r w:rsidR="00B457A1" w:rsidRPr="00D7142A">
        <w:rPr>
          <w:rFonts w:eastAsia="Arial Unicode MS"/>
        </w:rPr>
        <w:t xml:space="preserve"> </w:t>
      </w:r>
      <w:r w:rsidR="002B0984" w:rsidRPr="00D7142A">
        <w:rPr>
          <w:rFonts w:eastAsia="Arial Unicode MS"/>
        </w:rPr>
        <w:t>598</w:t>
      </w:r>
      <w:r w:rsidR="00B457A1" w:rsidRPr="00D7142A">
        <w:rPr>
          <w:rFonts w:eastAsia="Arial Unicode MS"/>
        </w:rPr>
        <w:t xml:space="preserve"> </w:t>
      </w:r>
      <w:r w:rsidR="00D8184E" w:rsidRPr="00D7142A">
        <w:rPr>
          <w:rFonts w:eastAsia="Arial Unicode MS"/>
        </w:rPr>
        <w:t>lower-level</w:t>
      </w:r>
      <w:r w:rsidR="004C2352" w:rsidRPr="00D7142A">
        <w:rPr>
          <w:rFonts w:eastAsia="Arial Unicode MS"/>
        </w:rPr>
        <w:t xml:space="preserve"> </w:t>
      </w:r>
      <w:r w:rsidR="00910FB5" w:rsidRPr="00D7142A">
        <w:rPr>
          <w:rFonts w:eastAsia="Arial Unicode MS"/>
        </w:rPr>
        <w:t>coded</w:t>
      </w:r>
      <w:r w:rsidR="00B457A1" w:rsidRPr="00D7142A">
        <w:rPr>
          <w:rFonts w:eastAsia="Arial Unicode MS"/>
        </w:rPr>
        <w:t xml:space="preserve"> mentions (Table </w:t>
      </w:r>
      <w:r w:rsidR="004705EB" w:rsidRPr="00D7142A">
        <w:rPr>
          <w:rFonts w:eastAsia="Arial Unicode MS"/>
        </w:rPr>
        <w:t>3</w:t>
      </w:r>
      <w:r w:rsidR="00B457A1" w:rsidRPr="00D7142A">
        <w:rPr>
          <w:rFonts w:eastAsia="Arial Unicode MS"/>
        </w:rPr>
        <w:t>). The largest</w:t>
      </w:r>
      <w:r w:rsidR="00BA05F5" w:rsidRPr="00D7142A">
        <w:rPr>
          <w:rFonts w:eastAsia="Arial Unicode MS"/>
        </w:rPr>
        <w:t xml:space="preserve"> </w:t>
      </w:r>
      <w:r w:rsidR="00131E4C" w:rsidRPr="00D7142A">
        <w:rPr>
          <w:rFonts w:eastAsia="Arial Unicode MS"/>
        </w:rPr>
        <w:t xml:space="preserve">thematic </w:t>
      </w:r>
      <w:r w:rsidR="00BA05F5" w:rsidRPr="00D7142A">
        <w:rPr>
          <w:rFonts w:eastAsia="Arial Unicode MS"/>
        </w:rPr>
        <w:t>group of</w:t>
      </w:r>
      <w:r w:rsidR="00B457A1" w:rsidRPr="00D7142A">
        <w:rPr>
          <w:rFonts w:eastAsia="Arial Unicode MS"/>
        </w:rPr>
        <w:t xml:space="preserve"> </w:t>
      </w:r>
      <w:r w:rsidR="00D24579" w:rsidRPr="00D7142A">
        <w:rPr>
          <w:rFonts w:eastAsia="Arial Unicode MS"/>
        </w:rPr>
        <w:t>mid-</w:t>
      </w:r>
      <w:r w:rsidR="00131E4C" w:rsidRPr="00D7142A">
        <w:rPr>
          <w:rFonts w:eastAsia="Arial Unicode MS"/>
        </w:rPr>
        <w:t xml:space="preserve">level </w:t>
      </w:r>
      <w:r w:rsidR="00B457A1" w:rsidRPr="00D7142A">
        <w:rPr>
          <w:rFonts w:eastAsia="Arial Unicode MS"/>
        </w:rPr>
        <w:t>theme</w:t>
      </w:r>
      <w:r w:rsidR="00BA05F5" w:rsidRPr="00D7142A">
        <w:rPr>
          <w:rFonts w:eastAsia="Arial Unicode MS"/>
        </w:rPr>
        <w:t>s</w:t>
      </w:r>
      <w:r w:rsidR="00B457A1" w:rsidRPr="00D7142A">
        <w:rPr>
          <w:rFonts w:eastAsia="Arial Unicode MS"/>
        </w:rPr>
        <w:t xml:space="preserve"> relates to perceived differences in the </w:t>
      </w:r>
      <w:r w:rsidR="00B457A1" w:rsidRPr="00D7142A">
        <w:rPr>
          <w:rFonts w:eastAsia="Arial Unicode MS"/>
          <w:i/>
          <w:iCs/>
        </w:rPr>
        <w:t>quality</w:t>
      </w:r>
      <w:r w:rsidR="00B457A1" w:rsidRPr="00D7142A">
        <w:rPr>
          <w:rFonts w:eastAsia="Arial Unicode MS"/>
        </w:rPr>
        <w:t xml:space="preserve"> of healthcare between the </w:t>
      </w:r>
      <w:proofErr w:type="spellStart"/>
      <w:r w:rsidR="00B457A1" w:rsidRPr="00D7142A">
        <w:rPr>
          <w:rFonts w:eastAsia="Arial Unicode MS"/>
        </w:rPr>
        <w:t>C</w:t>
      </w:r>
      <w:r w:rsidR="00953034" w:rsidRPr="00D7142A">
        <w:rPr>
          <w:rFonts w:eastAsia="Arial Unicode MS"/>
        </w:rPr>
        <w:t>o</w:t>
      </w:r>
      <w:r w:rsidR="00B457A1" w:rsidRPr="00D7142A">
        <w:rPr>
          <w:rFonts w:eastAsia="Arial Unicode MS"/>
        </w:rPr>
        <w:t>Os</w:t>
      </w:r>
      <w:proofErr w:type="spellEnd"/>
      <w:r w:rsidR="00B457A1" w:rsidRPr="00D7142A">
        <w:rPr>
          <w:rFonts w:eastAsia="Arial Unicode MS"/>
        </w:rPr>
        <w:t xml:space="preserve"> and the UK, </w:t>
      </w:r>
      <w:r w:rsidR="00DE189F" w:rsidRPr="00D7142A">
        <w:rPr>
          <w:rFonts w:eastAsia="Arial Unicode MS"/>
        </w:rPr>
        <w:t>with 67% of individual codes relating to various aspects of quality</w:t>
      </w:r>
      <w:r w:rsidR="00234E56" w:rsidRPr="00D7142A">
        <w:rPr>
          <w:rFonts w:eastAsia="Arial Unicode MS"/>
        </w:rPr>
        <w:t xml:space="preserve">, and </w:t>
      </w:r>
      <w:r w:rsidR="00AF388A" w:rsidRPr="00D7142A">
        <w:rPr>
          <w:rFonts w:eastAsia="Arial Unicode MS"/>
        </w:rPr>
        <w:t xml:space="preserve">68% of participants in the qualitative sample mentioning quality aspects </w:t>
      </w:r>
      <w:r w:rsidR="00E0380E" w:rsidRPr="00D7142A">
        <w:rPr>
          <w:rFonts w:eastAsia="Arial Unicode MS"/>
        </w:rPr>
        <w:t>as a reason</w:t>
      </w:r>
      <w:r w:rsidR="00BA3A45" w:rsidRPr="00D7142A">
        <w:rPr>
          <w:rFonts w:eastAsia="Arial Unicode MS"/>
        </w:rPr>
        <w:t xml:space="preserve"> (not calculated in Table 2)</w:t>
      </w:r>
      <w:r w:rsidR="00DE189F" w:rsidRPr="00D7142A">
        <w:rPr>
          <w:rFonts w:eastAsia="Arial Unicode MS"/>
        </w:rPr>
        <w:t xml:space="preserve">. </w:t>
      </w:r>
      <w:r w:rsidR="00B457A1" w:rsidRPr="00D7142A">
        <w:rPr>
          <w:rFonts w:eastAsia="Arial Unicode MS"/>
        </w:rPr>
        <w:t xml:space="preserve">However, perceived </w:t>
      </w:r>
      <w:r w:rsidR="004F7447" w:rsidRPr="00D7142A">
        <w:rPr>
          <w:rFonts w:eastAsia="Arial Unicode MS"/>
        </w:rPr>
        <w:t xml:space="preserve">higher </w:t>
      </w:r>
      <w:r w:rsidR="00B457A1" w:rsidRPr="00D7142A">
        <w:rPr>
          <w:rFonts w:eastAsia="Arial Unicode MS"/>
        </w:rPr>
        <w:t xml:space="preserve">quality </w:t>
      </w:r>
      <w:r w:rsidR="004F7447" w:rsidRPr="00D7142A">
        <w:rPr>
          <w:rFonts w:eastAsia="Arial Unicode MS"/>
        </w:rPr>
        <w:t xml:space="preserve">of healthcare </w:t>
      </w:r>
      <w:r w:rsidR="00AC20FD" w:rsidRPr="00D7142A">
        <w:rPr>
          <w:rFonts w:eastAsia="Arial Unicode MS"/>
        </w:rPr>
        <w:t>was</w:t>
      </w:r>
      <w:r w:rsidR="00B457A1" w:rsidRPr="00D7142A">
        <w:rPr>
          <w:rFonts w:eastAsia="Arial Unicode MS"/>
        </w:rPr>
        <w:t xml:space="preserve"> </w:t>
      </w:r>
      <w:r w:rsidR="00B53993" w:rsidRPr="00D7142A">
        <w:rPr>
          <w:rFonts w:eastAsia="Arial Unicode MS"/>
        </w:rPr>
        <w:t>more widespread</w:t>
      </w:r>
      <w:r w:rsidR="00B457A1" w:rsidRPr="00D7142A">
        <w:rPr>
          <w:rFonts w:eastAsia="Arial Unicode MS"/>
        </w:rPr>
        <w:t xml:space="preserve"> among those who would opt for treatment in their </w:t>
      </w:r>
      <w:proofErr w:type="spellStart"/>
      <w:r w:rsidR="00B457A1" w:rsidRPr="00D7142A">
        <w:rPr>
          <w:rFonts w:eastAsia="Arial Unicode MS"/>
        </w:rPr>
        <w:t>C</w:t>
      </w:r>
      <w:r w:rsidR="00630F31" w:rsidRPr="00D7142A">
        <w:rPr>
          <w:rFonts w:eastAsia="Arial Unicode MS"/>
        </w:rPr>
        <w:t>o</w:t>
      </w:r>
      <w:r w:rsidR="00B457A1" w:rsidRPr="00D7142A">
        <w:rPr>
          <w:rFonts w:eastAsia="Arial Unicode MS"/>
        </w:rPr>
        <w:t>O</w:t>
      </w:r>
      <w:proofErr w:type="spellEnd"/>
      <w:r w:rsidR="00842C9E" w:rsidRPr="00D7142A">
        <w:rPr>
          <w:rFonts w:eastAsia="Arial Unicode MS"/>
        </w:rPr>
        <w:t xml:space="preserve"> on </w:t>
      </w:r>
      <w:r w:rsidR="003F4C96" w:rsidRPr="00D7142A">
        <w:rPr>
          <w:rFonts w:eastAsia="Arial Unicode MS"/>
        </w:rPr>
        <w:t>all</w:t>
      </w:r>
      <w:r w:rsidR="00842C9E" w:rsidRPr="00D7142A">
        <w:rPr>
          <w:rFonts w:eastAsia="Arial Unicode MS"/>
        </w:rPr>
        <w:t xml:space="preserve"> the identified mid-level</w:t>
      </w:r>
      <w:r w:rsidR="00FC1008" w:rsidRPr="00D7142A">
        <w:rPr>
          <w:rFonts w:eastAsia="Arial Unicode MS"/>
        </w:rPr>
        <w:t xml:space="preserve"> themes</w:t>
      </w:r>
      <w:r w:rsidR="00BE72E8" w:rsidRPr="00D7142A">
        <w:rPr>
          <w:rFonts w:eastAsia="Arial Unicode MS"/>
        </w:rPr>
        <w:t xml:space="preserve">, and particularly in respect </w:t>
      </w:r>
      <w:r w:rsidR="00D8651F" w:rsidRPr="00D7142A">
        <w:rPr>
          <w:rFonts w:eastAsia="Arial Unicode MS"/>
        </w:rPr>
        <w:t xml:space="preserve">to overall standards of care (31%), </w:t>
      </w:r>
      <w:r w:rsidR="00156240" w:rsidRPr="00D7142A">
        <w:rPr>
          <w:rFonts w:eastAsia="Arial Unicode MS"/>
        </w:rPr>
        <w:t xml:space="preserve">the </w:t>
      </w:r>
      <w:r w:rsidR="00D669D8" w:rsidRPr="00D7142A">
        <w:rPr>
          <w:rFonts w:eastAsia="Arial Unicode MS"/>
        </w:rPr>
        <w:t xml:space="preserve">professional expertise of doctors (19%) and </w:t>
      </w:r>
      <w:r w:rsidR="009B45AD" w:rsidRPr="00D7142A">
        <w:rPr>
          <w:rFonts w:eastAsia="Arial Unicode MS"/>
        </w:rPr>
        <w:t xml:space="preserve">timely </w:t>
      </w:r>
      <w:r w:rsidR="00D669D8" w:rsidRPr="00D7142A">
        <w:rPr>
          <w:rFonts w:eastAsia="Arial Unicode MS"/>
        </w:rPr>
        <w:t>access</w:t>
      </w:r>
      <w:r w:rsidR="00377D2D" w:rsidRPr="00D7142A">
        <w:rPr>
          <w:rFonts w:eastAsia="Arial Unicode MS"/>
        </w:rPr>
        <w:t xml:space="preserve"> to treatment</w:t>
      </w:r>
      <w:r w:rsidR="00E0596E" w:rsidRPr="00D7142A">
        <w:rPr>
          <w:rFonts w:eastAsia="Arial Unicode MS"/>
        </w:rPr>
        <w:t>s</w:t>
      </w:r>
      <w:r w:rsidR="009B45AD" w:rsidRPr="00D7142A">
        <w:rPr>
          <w:rFonts w:eastAsia="Arial Unicode MS"/>
        </w:rPr>
        <w:t xml:space="preserve"> and</w:t>
      </w:r>
      <w:r w:rsidR="00E0596E" w:rsidRPr="00D7142A">
        <w:rPr>
          <w:rFonts w:eastAsia="Arial Unicode MS"/>
        </w:rPr>
        <w:t xml:space="preserve"> specialis</w:t>
      </w:r>
      <w:r w:rsidR="009B45AD" w:rsidRPr="00D7142A">
        <w:rPr>
          <w:rFonts w:eastAsia="Arial Unicode MS"/>
        </w:rPr>
        <w:t>ts (9</w:t>
      </w:r>
      <w:r w:rsidR="00342700" w:rsidRPr="00D7142A">
        <w:rPr>
          <w:rFonts w:eastAsia="Arial Unicode MS"/>
        </w:rPr>
        <w:t>%)</w:t>
      </w:r>
      <w:r w:rsidR="00B203FE" w:rsidRPr="00D7142A">
        <w:rPr>
          <w:rFonts w:eastAsia="Arial Unicode MS"/>
        </w:rPr>
        <w:t>.</w:t>
      </w:r>
      <w:r w:rsidR="004C535D" w:rsidRPr="00D7142A">
        <w:rPr>
          <w:rFonts w:eastAsia="Arial Unicode MS"/>
        </w:rPr>
        <w:t xml:space="preserve"> </w:t>
      </w:r>
      <w:r w:rsidR="00E63E65" w:rsidRPr="00D7142A">
        <w:rPr>
          <w:rFonts w:eastAsia="Arial Unicode MS"/>
        </w:rPr>
        <w:t xml:space="preserve">For </w:t>
      </w:r>
      <w:r w:rsidR="00B457A1" w:rsidRPr="00D7142A">
        <w:rPr>
          <w:rFonts w:eastAsia="Arial Unicode MS"/>
        </w:rPr>
        <w:t xml:space="preserve">those </w:t>
      </w:r>
      <w:r w:rsidR="00E63E65" w:rsidRPr="00D7142A">
        <w:rPr>
          <w:rFonts w:eastAsia="Arial Unicode MS"/>
        </w:rPr>
        <w:t>preferring</w:t>
      </w:r>
      <w:r w:rsidR="00B457A1" w:rsidRPr="00D7142A">
        <w:rPr>
          <w:rFonts w:eastAsia="Arial Unicode MS"/>
        </w:rPr>
        <w:t xml:space="preserve"> the UK</w:t>
      </w:r>
      <w:r w:rsidR="0057681B" w:rsidRPr="00D7142A">
        <w:rPr>
          <w:rFonts w:eastAsia="Arial Unicode MS"/>
        </w:rPr>
        <w:t xml:space="preserve">, </w:t>
      </w:r>
      <w:r w:rsidR="0057681B" w:rsidRPr="00D7142A">
        <w:rPr>
          <w:rFonts w:eastAsia="Arial Unicode MS"/>
          <w:i/>
          <w:iCs/>
        </w:rPr>
        <w:t>convenience</w:t>
      </w:r>
      <w:r w:rsidR="0057681B" w:rsidRPr="00D7142A">
        <w:rPr>
          <w:rFonts w:eastAsia="Arial Unicode MS"/>
        </w:rPr>
        <w:t xml:space="preserve"> was an equally important factor (37</w:t>
      </w:r>
      <w:r w:rsidR="003422ED" w:rsidRPr="00D7142A">
        <w:rPr>
          <w:rFonts w:eastAsia="Arial Unicode MS"/>
        </w:rPr>
        <w:t>%)</w:t>
      </w:r>
      <w:r w:rsidR="00957A43" w:rsidRPr="00D7142A">
        <w:rPr>
          <w:rFonts w:eastAsia="Arial Unicode MS"/>
        </w:rPr>
        <w:t xml:space="preserve">, followed by </w:t>
      </w:r>
      <w:r w:rsidR="00843863" w:rsidRPr="00D7142A">
        <w:rPr>
          <w:rFonts w:eastAsia="Arial Unicode MS"/>
        </w:rPr>
        <w:t xml:space="preserve">financial considerations </w:t>
      </w:r>
      <w:r w:rsidR="003853D3" w:rsidRPr="00D7142A">
        <w:rPr>
          <w:rFonts w:eastAsia="Arial Unicode MS"/>
        </w:rPr>
        <w:t>(1</w:t>
      </w:r>
      <w:r w:rsidR="00D11B45" w:rsidRPr="00D7142A">
        <w:rPr>
          <w:rFonts w:eastAsia="Arial Unicode MS"/>
        </w:rPr>
        <w:t>5</w:t>
      </w:r>
      <w:r w:rsidR="003853D3" w:rsidRPr="00D7142A">
        <w:rPr>
          <w:rFonts w:eastAsia="Arial Unicode MS"/>
        </w:rPr>
        <w:t xml:space="preserve">%). </w:t>
      </w:r>
      <w:r w:rsidR="00B73C40" w:rsidRPr="00D7142A">
        <w:rPr>
          <w:rFonts w:eastAsia="Arial Unicode MS"/>
        </w:rPr>
        <w:t>M</w:t>
      </w:r>
      <w:r w:rsidR="00D11B45" w:rsidRPr="00D7142A">
        <w:rPr>
          <w:rFonts w:eastAsia="Arial Unicode MS"/>
        </w:rPr>
        <w:t xml:space="preserve">ix-matching services and procedures across the two locations, denoted as ‘bricolage’ following </w:t>
      </w:r>
      <w:r w:rsidR="00CD43DA" w:rsidRPr="00D7142A">
        <w:rPr>
          <w:rFonts w:eastAsia="Arial Unicode MS"/>
          <w:noProof/>
        </w:rPr>
        <w:t>Phillimore et al. (2018)</w:t>
      </w:r>
      <w:r w:rsidR="00B73C40" w:rsidRPr="00D7142A">
        <w:rPr>
          <w:rFonts w:eastAsia="Arial Unicode MS"/>
        </w:rPr>
        <w:t xml:space="preserve">, </w:t>
      </w:r>
      <w:r w:rsidR="00413ADB" w:rsidRPr="00D7142A">
        <w:rPr>
          <w:rFonts w:eastAsia="Arial Unicode MS"/>
        </w:rPr>
        <w:t xml:space="preserve">has </w:t>
      </w:r>
      <w:r w:rsidR="00E57433" w:rsidRPr="00D7142A">
        <w:rPr>
          <w:rFonts w:eastAsia="Arial Unicode MS"/>
        </w:rPr>
        <w:t xml:space="preserve">emerged </w:t>
      </w:r>
      <w:r w:rsidR="00413ADB" w:rsidRPr="00D7142A">
        <w:rPr>
          <w:rFonts w:eastAsia="Arial Unicode MS"/>
        </w:rPr>
        <w:t xml:space="preserve">sporadically </w:t>
      </w:r>
      <w:r w:rsidR="00250B70" w:rsidRPr="00D7142A">
        <w:rPr>
          <w:rFonts w:eastAsia="Arial Unicode MS"/>
        </w:rPr>
        <w:t xml:space="preserve">in </w:t>
      </w:r>
      <w:r w:rsidR="005026F1" w:rsidRPr="00D7142A">
        <w:rPr>
          <w:rFonts w:eastAsia="Arial Unicode MS"/>
        </w:rPr>
        <w:t>the answers of both</w:t>
      </w:r>
      <w:r w:rsidR="00250B70" w:rsidRPr="00D7142A">
        <w:rPr>
          <w:rFonts w:eastAsia="Arial Unicode MS"/>
        </w:rPr>
        <w:t xml:space="preserve"> </w:t>
      </w:r>
      <w:r w:rsidR="005026F1" w:rsidRPr="00D7142A">
        <w:rPr>
          <w:rFonts w:eastAsia="Arial Unicode MS"/>
        </w:rPr>
        <w:t>preference-base</w:t>
      </w:r>
      <w:r w:rsidR="00250B70" w:rsidRPr="00D7142A">
        <w:rPr>
          <w:rFonts w:eastAsia="Arial Unicode MS"/>
        </w:rPr>
        <w:t>d groups</w:t>
      </w:r>
      <w:r w:rsidR="005026F1" w:rsidRPr="00D7142A">
        <w:rPr>
          <w:rFonts w:eastAsia="Arial Unicode MS"/>
        </w:rPr>
        <w:t>.</w:t>
      </w:r>
    </w:p>
    <w:p w14:paraId="2A4E1AAA" w14:textId="549453D7" w:rsidR="00E91545" w:rsidRPr="00D7142A" w:rsidRDefault="00466C09" w:rsidP="00CF38E8">
      <w:pPr>
        <w:pStyle w:val="Quote"/>
        <w:spacing w:line="480" w:lineRule="auto"/>
      </w:pPr>
      <w:r w:rsidRPr="00D7142A">
        <w:t xml:space="preserve">Table </w:t>
      </w:r>
      <w:r w:rsidR="00BA05F5" w:rsidRPr="00D7142A">
        <w:t>3</w:t>
      </w:r>
      <w:r w:rsidRPr="00D7142A">
        <w:t xml:space="preserve"> here</w:t>
      </w:r>
    </w:p>
    <w:p w14:paraId="539869C1" w14:textId="07B47DAA" w:rsidR="00140FAC" w:rsidRPr="00D7142A" w:rsidRDefault="0089519E" w:rsidP="00CF38E8">
      <w:pPr>
        <w:spacing w:line="480" w:lineRule="auto"/>
      </w:pPr>
      <w:r w:rsidRPr="00D7142A">
        <w:rPr>
          <w:rFonts w:eastAsia="Arial Unicode MS"/>
          <w:bCs/>
        </w:rPr>
        <w:t>The thematic groups</w:t>
      </w:r>
      <w:r w:rsidR="00541D60" w:rsidRPr="00D7142A">
        <w:rPr>
          <w:rFonts w:eastAsia="Arial Unicode MS"/>
          <w:bCs/>
        </w:rPr>
        <w:t xml:space="preserve"> </w:t>
      </w:r>
      <w:r w:rsidRPr="00D7142A">
        <w:rPr>
          <w:rFonts w:eastAsia="Arial Unicode MS"/>
          <w:bCs/>
        </w:rPr>
        <w:t xml:space="preserve">were designed </w:t>
      </w:r>
      <w:r w:rsidR="00DD2B70" w:rsidRPr="00D7142A">
        <w:rPr>
          <w:rFonts w:eastAsia="Arial Unicode MS"/>
          <w:bCs/>
        </w:rPr>
        <w:t xml:space="preserve">to capture </w:t>
      </w:r>
      <w:r w:rsidR="001037EF" w:rsidRPr="00D7142A">
        <w:rPr>
          <w:rFonts w:eastAsia="Arial Unicode MS"/>
          <w:bCs/>
        </w:rPr>
        <w:t>some shared aspect</w:t>
      </w:r>
      <w:r w:rsidR="00F5712E" w:rsidRPr="00D7142A">
        <w:rPr>
          <w:rFonts w:eastAsia="Arial Unicode MS"/>
          <w:bCs/>
        </w:rPr>
        <w:t>s</w:t>
      </w:r>
      <w:r w:rsidR="001037EF" w:rsidRPr="00D7142A">
        <w:rPr>
          <w:rFonts w:eastAsia="Arial Unicode MS"/>
          <w:bCs/>
        </w:rPr>
        <w:t xml:space="preserve"> of </w:t>
      </w:r>
      <w:r w:rsidR="00BA7D9D" w:rsidRPr="00D7142A">
        <w:rPr>
          <w:rFonts w:eastAsia="Arial Unicode MS"/>
          <w:bCs/>
        </w:rPr>
        <w:t>the preferences for either location</w:t>
      </w:r>
      <w:r w:rsidR="00943C67" w:rsidRPr="00D7142A">
        <w:rPr>
          <w:rFonts w:eastAsia="Arial Unicode MS"/>
          <w:bCs/>
        </w:rPr>
        <w:t>, which</w:t>
      </w:r>
      <w:r w:rsidR="005C2ECF" w:rsidRPr="00D7142A">
        <w:rPr>
          <w:rFonts w:eastAsia="Arial Unicode MS"/>
          <w:bCs/>
        </w:rPr>
        <w:t xml:space="preserve"> </w:t>
      </w:r>
      <w:r w:rsidR="00404A86" w:rsidRPr="00D7142A">
        <w:rPr>
          <w:rFonts w:eastAsia="Arial Unicode MS"/>
          <w:bCs/>
        </w:rPr>
        <w:t xml:space="preserve">can </w:t>
      </w:r>
      <w:r w:rsidR="00A71946" w:rsidRPr="00D7142A">
        <w:rPr>
          <w:rFonts w:eastAsia="Arial Unicode MS"/>
          <w:bCs/>
        </w:rPr>
        <w:t xml:space="preserve">also </w:t>
      </w:r>
      <w:r w:rsidR="00404A86" w:rsidRPr="00D7142A">
        <w:rPr>
          <w:rFonts w:eastAsia="Arial Unicode MS"/>
          <w:bCs/>
        </w:rPr>
        <w:t>facilitate a</w:t>
      </w:r>
      <w:r w:rsidR="005C2ECF" w:rsidRPr="00D7142A">
        <w:rPr>
          <w:rFonts w:eastAsia="Arial Unicode MS"/>
          <w:bCs/>
        </w:rPr>
        <w:t xml:space="preserve"> </w:t>
      </w:r>
      <w:r w:rsidR="00404A86" w:rsidRPr="00D7142A">
        <w:rPr>
          <w:rFonts w:eastAsia="Arial Unicode MS"/>
          <w:bCs/>
        </w:rPr>
        <w:t xml:space="preserve">statistical analysis </w:t>
      </w:r>
      <w:r w:rsidR="009C53A5" w:rsidRPr="00D7142A">
        <w:rPr>
          <w:rFonts w:eastAsia="Arial Unicode MS"/>
          <w:bCs/>
        </w:rPr>
        <w:t xml:space="preserve">of the effect of various socio-demographic </w:t>
      </w:r>
      <w:r w:rsidR="00EA27E6" w:rsidRPr="00D7142A">
        <w:rPr>
          <w:rFonts w:eastAsia="Arial Unicode MS"/>
          <w:bCs/>
        </w:rPr>
        <w:t xml:space="preserve">factors on preferences and </w:t>
      </w:r>
      <w:r w:rsidR="007C2CE9" w:rsidRPr="00D7142A">
        <w:rPr>
          <w:rFonts w:eastAsia="Arial Unicode MS"/>
          <w:bCs/>
        </w:rPr>
        <w:t>attitudes</w:t>
      </w:r>
      <w:r w:rsidR="009C53A5" w:rsidRPr="00D7142A">
        <w:rPr>
          <w:rFonts w:eastAsia="Arial Unicode MS"/>
          <w:bCs/>
        </w:rPr>
        <w:t xml:space="preserve"> </w:t>
      </w:r>
      <w:r w:rsidR="007C2CE9" w:rsidRPr="00D7142A">
        <w:rPr>
          <w:rFonts w:eastAsia="Arial Unicode MS"/>
          <w:bCs/>
          <w:noProof/>
        </w:rPr>
        <w:t>(</w:t>
      </w:r>
      <w:r w:rsidR="00CD43DA" w:rsidRPr="00D7142A">
        <w:rPr>
          <w:rFonts w:eastAsia="Arial Unicode MS"/>
          <w:bCs/>
          <w:noProof/>
        </w:rPr>
        <w:t xml:space="preserve">see </w:t>
      </w:r>
      <w:r w:rsidR="00831512">
        <w:rPr>
          <w:rFonts w:eastAsia="Arial Unicode MS"/>
          <w:bCs/>
          <w:noProof/>
        </w:rPr>
        <w:t>Moreh, McGhee and Vlachantoni, 2018</w:t>
      </w:r>
      <w:r w:rsidR="007C2CE9" w:rsidRPr="00D7142A">
        <w:rPr>
          <w:rFonts w:eastAsia="Arial Unicode MS"/>
          <w:bCs/>
          <w:noProof/>
        </w:rPr>
        <w:t>)</w:t>
      </w:r>
      <w:r w:rsidR="00F47079" w:rsidRPr="00D7142A">
        <w:rPr>
          <w:rFonts w:eastAsia="Arial Unicode MS"/>
          <w:bCs/>
        </w:rPr>
        <w:t xml:space="preserve">. Here, instead, we </w:t>
      </w:r>
      <w:r w:rsidR="00B92B94" w:rsidRPr="00D7142A">
        <w:t>dwell</w:t>
      </w:r>
      <w:r w:rsidR="00140FAC" w:rsidRPr="00D7142A">
        <w:t xml:space="preserve"> on the qualitative dept</w:t>
      </w:r>
      <w:r w:rsidR="006C65BA" w:rsidRPr="00D7142A">
        <w:t>h</w:t>
      </w:r>
      <w:r w:rsidR="00140FAC" w:rsidRPr="00D7142A">
        <w:t xml:space="preserve"> behind this </w:t>
      </w:r>
      <w:r w:rsidR="00F550B7" w:rsidRPr="00D7142A">
        <w:t xml:space="preserve">thematic </w:t>
      </w:r>
      <w:r w:rsidR="00140FAC" w:rsidRPr="00D7142A">
        <w:t>classification</w:t>
      </w:r>
      <w:r w:rsidR="001D7988" w:rsidRPr="00D7142A">
        <w:t xml:space="preserve"> </w:t>
      </w:r>
      <w:r w:rsidR="000F5398" w:rsidRPr="00D7142A">
        <w:t>to</w:t>
      </w:r>
      <w:r w:rsidR="001D7988" w:rsidRPr="00D7142A">
        <w:t xml:space="preserve"> better understand the </w:t>
      </w:r>
      <w:r w:rsidR="005E1F00" w:rsidRPr="00D7142A">
        <w:t>complexity of</w:t>
      </w:r>
      <w:r w:rsidR="001152D3" w:rsidRPr="00D7142A">
        <w:t xml:space="preserve"> attitudes </w:t>
      </w:r>
      <w:r w:rsidR="000F5398" w:rsidRPr="00D7142A">
        <w:t>and the personal experiences underpinning them.</w:t>
      </w:r>
    </w:p>
    <w:p w14:paraId="2FBC5BFC" w14:textId="0579A1CB" w:rsidR="00A92D13" w:rsidRPr="00D7142A" w:rsidRDefault="005805EB" w:rsidP="00811112">
      <w:pPr>
        <w:pStyle w:val="Heading1"/>
      </w:pPr>
      <w:r w:rsidRPr="00D7142A">
        <w:t>Results of thematic analysis</w:t>
      </w:r>
    </w:p>
    <w:p w14:paraId="4BA9CE2F" w14:textId="42CC3C52" w:rsidR="0039107A" w:rsidRPr="00D7142A" w:rsidRDefault="00B04A19" w:rsidP="00CF38E8">
      <w:pPr>
        <w:spacing w:line="480" w:lineRule="auto"/>
      </w:pPr>
      <w:r w:rsidRPr="00D7142A">
        <w:t>Table 4 present</w:t>
      </w:r>
      <w:r w:rsidR="00E56D73" w:rsidRPr="00D7142A">
        <w:t>s</w:t>
      </w:r>
      <w:r w:rsidRPr="00D7142A">
        <w:t xml:space="preserve"> a more detailed </w:t>
      </w:r>
      <w:r w:rsidR="00541148" w:rsidRPr="00D7142A">
        <w:t xml:space="preserve">lower-level </w:t>
      </w:r>
      <w:r w:rsidRPr="00D7142A">
        <w:t>coding</w:t>
      </w:r>
      <w:r w:rsidR="004709CE" w:rsidRPr="00D7142A">
        <w:t xml:space="preserve">. </w:t>
      </w:r>
      <w:r w:rsidR="00C44CC8" w:rsidRPr="00D7142A">
        <w:t xml:space="preserve">We </w:t>
      </w:r>
      <w:r w:rsidR="00C8100A" w:rsidRPr="00D7142A">
        <w:t xml:space="preserve">find, for example, that </w:t>
      </w:r>
      <w:r w:rsidR="00AC12DF" w:rsidRPr="00D7142A">
        <w:t>expression</w:t>
      </w:r>
      <w:r w:rsidR="0001334B" w:rsidRPr="00D7142A">
        <w:t>s</w:t>
      </w:r>
      <w:r w:rsidR="00AC12DF" w:rsidRPr="00D7142A">
        <w:t xml:space="preserve"> of </w:t>
      </w:r>
      <w:r w:rsidR="00471B41" w:rsidRPr="00D7142A">
        <w:t>opinion on</w:t>
      </w:r>
      <w:r w:rsidR="00C8100A" w:rsidRPr="00D7142A">
        <w:t xml:space="preserve"> </w:t>
      </w:r>
      <w:r w:rsidR="00AE67E8" w:rsidRPr="00D7142A">
        <w:t>health</w:t>
      </w:r>
      <w:r w:rsidR="00C8100A" w:rsidRPr="00D7142A">
        <w:t>care standards</w:t>
      </w:r>
      <w:r w:rsidR="0005050A" w:rsidRPr="00D7142A">
        <w:t xml:space="preserve"> could </w:t>
      </w:r>
      <w:r w:rsidR="0001334B" w:rsidRPr="00D7142A">
        <w:t xml:space="preserve">entail various </w:t>
      </w:r>
      <w:r w:rsidR="008E3469" w:rsidRPr="00D7142A">
        <w:t xml:space="preserve">subtleties </w:t>
      </w:r>
      <w:r w:rsidR="00720D2E" w:rsidRPr="00D7142A">
        <w:t>allow</w:t>
      </w:r>
      <w:r w:rsidR="008E3469" w:rsidRPr="00D7142A">
        <w:t>ing</w:t>
      </w:r>
      <w:r w:rsidR="00720D2E" w:rsidRPr="00D7142A">
        <w:t xml:space="preserve"> a more nuanced understanding </w:t>
      </w:r>
      <w:r w:rsidR="00BA6CFA" w:rsidRPr="00D7142A">
        <w:t>of attitudes</w:t>
      </w:r>
      <w:r w:rsidR="00B31BD3" w:rsidRPr="00D7142A">
        <w:t xml:space="preserve">; </w:t>
      </w:r>
      <w:r w:rsidR="002812F9" w:rsidRPr="00D7142A">
        <w:t xml:space="preserve">it may not be </w:t>
      </w:r>
      <w:r w:rsidR="00C4474F" w:rsidRPr="00D7142A">
        <w:t xml:space="preserve">irrelevant </w:t>
      </w:r>
      <w:r w:rsidR="009B3C3C" w:rsidRPr="00D7142A">
        <w:t xml:space="preserve">that a positive appreciation of standards in the UK is made </w:t>
      </w:r>
      <w:r w:rsidR="009C54A3" w:rsidRPr="00D7142A">
        <w:t xml:space="preserve">in comparison to standards in the </w:t>
      </w:r>
      <w:proofErr w:type="spellStart"/>
      <w:r w:rsidR="009C54A3" w:rsidRPr="00D7142A">
        <w:t>CoO</w:t>
      </w:r>
      <w:proofErr w:type="spellEnd"/>
      <w:r w:rsidR="009C54A3" w:rsidRPr="00D7142A">
        <w:t xml:space="preserve"> or </w:t>
      </w:r>
      <w:r w:rsidR="00B5596D" w:rsidRPr="00D7142A">
        <w:t>non-comparatively</w:t>
      </w:r>
      <w:r w:rsidR="00BF19A9" w:rsidRPr="00D7142A">
        <w:t xml:space="preserve">, as in the </w:t>
      </w:r>
      <w:r w:rsidR="00B5596D" w:rsidRPr="00D7142A">
        <w:t>latter</w:t>
      </w:r>
      <w:r w:rsidR="00BF19A9" w:rsidRPr="00D7142A">
        <w:t xml:space="preserve"> case</w:t>
      </w:r>
      <w:r w:rsidR="00B5596D" w:rsidRPr="00D7142A">
        <w:t xml:space="preserve"> </w:t>
      </w:r>
      <w:r w:rsidR="00CF14E5" w:rsidRPr="00D7142A">
        <w:t>it</w:t>
      </w:r>
      <w:r w:rsidR="00322C8D" w:rsidRPr="00D7142A">
        <w:t xml:space="preserve">s decision-influencing potential is likely to be mediated by the </w:t>
      </w:r>
      <w:r w:rsidR="006F5C23" w:rsidRPr="00D7142A">
        <w:rPr>
          <w:i/>
          <w:iCs/>
        </w:rPr>
        <w:t>convenience</w:t>
      </w:r>
      <w:r w:rsidR="006F5C23" w:rsidRPr="00D7142A">
        <w:t xml:space="preserve"> of residence in the UK.</w:t>
      </w:r>
      <w:r w:rsidR="007D6C68" w:rsidRPr="00D7142A">
        <w:t xml:space="preserve"> </w:t>
      </w:r>
      <w:r w:rsidR="00764948" w:rsidRPr="00D7142A">
        <w:t>T</w:t>
      </w:r>
      <w:r w:rsidR="00A51EB7" w:rsidRPr="00D7142A">
        <w:t xml:space="preserve">he most </w:t>
      </w:r>
      <w:r w:rsidR="0093247B" w:rsidRPr="00D7142A">
        <w:t xml:space="preserve">common lower-level theme associated with </w:t>
      </w:r>
      <w:r w:rsidR="00A86849" w:rsidRPr="00D7142A">
        <w:t xml:space="preserve">a </w:t>
      </w:r>
      <w:r w:rsidR="0093247B" w:rsidRPr="00D7142A">
        <w:t xml:space="preserve">preference for treatment in the </w:t>
      </w:r>
      <w:proofErr w:type="spellStart"/>
      <w:r w:rsidR="0093247B" w:rsidRPr="00D7142A">
        <w:t>CoO</w:t>
      </w:r>
      <w:proofErr w:type="spellEnd"/>
      <w:r w:rsidR="0093247B" w:rsidRPr="00D7142A">
        <w:t xml:space="preserve"> </w:t>
      </w:r>
      <w:r w:rsidR="00F07A5B" w:rsidRPr="00D7142A">
        <w:t>was</w:t>
      </w:r>
      <w:r w:rsidR="005A2205" w:rsidRPr="00D7142A">
        <w:t xml:space="preserve"> the higher standards of </w:t>
      </w:r>
      <w:r w:rsidR="00A86849" w:rsidRPr="00D7142A">
        <w:t>care</w:t>
      </w:r>
      <w:r w:rsidR="005A2205" w:rsidRPr="00D7142A">
        <w:t xml:space="preserve"> </w:t>
      </w:r>
      <w:r w:rsidR="005A2205" w:rsidRPr="00D7142A">
        <w:lastRenderedPageBreak/>
        <w:t xml:space="preserve">there </w:t>
      </w:r>
      <w:r w:rsidR="00F07A5B" w:rsidRPr="00D7142A">
        <w:t xml:space="preserve">compared to the UK </w:t>
      </w:r>
      <w:r w:rsidR="005A2205" w:rsidRPr="00D7142A">
        <w:t>(</w:t>
      </w:r>
      <w:r w:rsidR="00740D0B" w:rsidRPr="00D7142A">
        <w:t>33%</w:t>
      </w:r>
      <w:r w:rsidR="001C3E47" w:rsidRPr="00D7142A">
        <w:t xml:space="preserve"> </w:t>
      </w:r>
      <w:r w:rsidR="00C92FD9" w:rsidRPr="00D7142A">
        <w:t>expressed this opinion)</w:t>
      </w:r>
      <w:r w:rsidR="00CA4E47" w:rsidRPr="00D7142A">
        <w:t xml:space="preserve">, </w:t>
      </w:r>
      <w:r w:rsidR="00061326" w:rsidRPr="00D7142A">
        <w:t xml:space="preserve">while </w:t>
      </w:r>
      <w:r w:rsidR="00D943F0" w:rsidRPr="00D7142A">
        <w:t>preference</w:t>
      </w:r>
      <w:r w:rsidR="00061326" w:rsidRPr="00D7142A">
        <w:t xml:space="preserve"> for the UK was determined by the </w:t>
      </w:r>
      <w:r w:rsidR="00D943F0" w:rsidRPr="00D7142A">
        <w:t>factual reality of residence</w:t>
      </w:r>
      <w:r w:rsidR="00AF0ECE" w:rsidRPr="00D7142A">
        <w:t xml:space="preserve"> for 29% of the respondents.</w:t>
      </w:r>
    </w:p>
    <w:p w14:paraId="034938E1" w14:textId="77777777" w:rsidR="00F0089B" w:rsidRPr="00D7142A" w:rsidRDefault="00F0089B" w:rsidP="00F0089B">
      <w:pPr>
        <w:pStyle w:val="Quote"/>
        <w:spacing w:line="480" w:lineRule="auto"/>
      </w:pPr>
      <w:r w:rsidRPr="00D7142A">
        <w:t>Table 4 here</w:t>
      </w:r>
    </w:p>
    <w:p w14:paraId="170F7B34" w14:textId="45B508BE" w:rsidR="000D3ED1" w:rsidRPr="00D7142A" w:rsidRDefault="0011438B" w:rsidP="00905E22">
      <w:pPr>
        <w:spacing w:line="480" w:lineRule="auto"/>
        <w:ind w:firstLine="720"/>
      </w:pPr>
      <w:r w:rsidRPr="00D7142A">
        <w:t xml:space="preserve">The following discussion of these results </w:t>
      </w:r>
      <w:r w:rsidR="0003244A" w:rsidRPr="00D7142A">
        <w:t xml:space="preserve">is organised </w:t>
      </w:r>
      <w:r w:rsidR="007715E3" w:rsidRPr="00D7142A">
        <w:t>in</w:t>
      </w:r>
      <w:r w:rsidR="007A0900" w:rsidRPr="00D7142A">
        <w:t>to four subsections</w:t>
      </w:r>
      <w:r w:rsidR="00832708" w:rsidRPr="00D7142A">
        <w:t>: the first three</w:t>
      </w:r>
      <w:r w:rsidR="00200285" w:rsidRPr="00D7142A">
        <w:t xml:space="preserve"> </w:t>
      </w:r>
      <w:r w:rsidR="00AF7528" w:rsidRPr="00D7142A">
        <w:t xml:space="preserve">aim to better explain </w:t>
      </w:r>
      <w:r w:rsidR="00C10608" w:rsidRPr="00D7142A">
        <w:t xml:space="preserve">the dominance of </w:t>
      </w:r>
      <w:r w:rsidR="00DB077C" w:rsidRPr="00D7142A">
        <w:t>quality-related motivations</w:t>
      </w:r>
      <w:r w:rsidR="00FC1D3D" w:rsidRPr="00D7142A">
        <w:t xml:space="preserve"> as they emerge from detailed </w:t>
      </w:r>
      <w:r w:rsidR="009302A1" w:rsidRPr="00D7142A">
        <w:t xml:space="preserve">descriptions of personal experiences, the </w:t>
      </w:r>
      <w:r w:rsidR="00C3493A" w:rsidRPr="00D7142A">
        <w:t xml:space="preserve">social </w:t>
      </w:r>
      <w:r w:rsidR="00925E3B" w:rsidRPr="00D7142A">
        <w:t xml:space="preserve">mechanism of trust and </w:t>
      </w:r>
      <w:r w:rsidR="00217076" w:rsidRPr="00D7142A">
        <w:t>cultural expectations</w:t>
      </w:r>
      <w:r w:rsidR="008E2337" w:rsidRPr="00D7142A">
        <w:t>; the fourth section</w:t>
      </w:r>
      <w:r w:rsidR="00925E3B" w:rsidRPr="00D7142A">
        <w:t xml:space="preserve"> </w:t>
      </w:r>
      <w:r w:rsidR="00F87635" w:rsidRPr="00D7142A">
        <w:t>aims to disentangle the comple</w:t>
      </w:r>
      <w:r w:rsidR="005C7C7E" w:rsidRPr="00D7142A">
        <w:t>xity of factors making one treatment location more convenient</w:t>
      </w:r>
      <w:r w:rsidR="005E3BC8" w:rsidRPr="00D7142A">
        <w:t xml:space="preserve"> or cheaper </w:t>
      </w:r>
      <w:r w:rsidR="00F52B0F" w:rsidRPr="00D7142A">
        <w:t xml:space="preserve">– </w:t>
      </w:r>
      <w:r w:rsidR="005E3BC8" w:rsidRPr="00D7142A">
        <w:t>overall or for specific purposes</w:t>
      </w:r>
      <w:r w:rsidR="00F52B0F" w:rsidRPr="00D7142A">
        <w:t xml:space="preserve"> – than the other.</w:t>
      </w:r>
    </w:p>
    <w:p w14:paraId="239DE58E" w14:textId="3F717933" w:rsidR="00581750" w:rsidRPr="00D7142A" w:rsidRDefault="00802D49" w:rsidP="00811112">
      <w:pPr>
        <w:pStyle w:val="Heading2"/>
      </w:pPr>
      <w:r w:rsidRPr="00D7142A">
        <w:t xml:space="preserve">5.1. </w:t>
      </w:r>
      <w:r w:rsidR="00593B2B" w:rsidRPr="00D7142A">
        <w:t>The depth of experience</w:t>
      </w:r>
    </w:p>
    <w:p w14:paraId="7833BDD3" w14:textId="0B55A227" w:rsidR="000B51B9" w:rsidRPr="00D7142A" w:rsidRDefault="00B2211E" w:rsidP="00CF38E8">
      <w:pPr>
        <w:pStyle w:val="Newparagraph"/>
        <w:spacing w:line="480" w:lineRule="auto"/>
        <w:rPr>
          <w:rFonts w:eastAsia="Arial Unicode MS"/>
        </w:rPr>
      </w:pPr>
      <w:r w:rsidRPr="00D7142A">
        <w:rPr>
          <w:rFonts w:eastAsia="Arial Unicode MS"/>
        </w:rPr>
        <w:t xml:space="preserve">The richness of detail provided by each response differed considerably, </w:t>
      </w:r>
      <w:r w:rsidR="00B85B75" w:rsidRPr="00D7142A">
        <w:rPr>
          <w:rFonts w:eastAsia="Arial Unicode MS"/>
        </w:rPr>
        <w:t>with</w:t>
      </w:r>
      <w:r w:rsidRPr="00D7142A">
        <w:rPr>
          <w:rFonts w:eastAsia="Arial Unicode MS"/>
        </w:rPr>
        <w:t xml:space="preserve"> those</w:t>
      </w:r>
      <w:r w:rsidR="00B85B75" w:rsidRPr="00D7142A">
        <w:rPr>
          <w:rFonts w:eastAsia="Arial Unicode MS"/>
        </w:rPr>
        <w:t xml:space="preserve"> describing actual experiences with healthcare services</w:t>
      </w:r>
      <w:r w:rsidR="005D033E" w:rsidRPr="00D7142A">
        <w:rPr>
          <w:rFonts w:eastAsia="Arial Unicode MS"/>
        </w:rPr>
        <w:t xml:space="preserve"> </w:t>
      </w:r>
      <w:r w:rsidR="00834191" w:rsidRPr="00D7142A">
        <w:rPr>
          <w:rFonts w:eastAsia="Arial Unicode MS"/>
        </w:rPr>
        <w:t xml:space="preserve">allowing </w:t>
      </w:r>
      <w:r w:rsidR="00470332" w:rsidRPr="00D7142A">
        <w:rPr>
          <w:rFonts w:eastAsia="Arial Unicode MS"/>
        </w:rPr>
        <w:t xml:space="preserve">for the most in-depth </w:t>
      </w:r>
      <w:r w:rsidR="00350545" w:rsidRPr="00D7142A">
        <w:rPr>
          <w:rFonts w:eastAsia="Arial Unicode MS"/>
        </w:rPr>
        <w:t xml:space="preserve">and </w:t>
      </w:r>
      <w:r w:rsidR="00BF40CE" w:rsidRPr="00D7142A">
        <w:rPr>
          <w:rFonts w:eastAsia="Arial Unicode MS"/>
        </w:rPr>
        <w:t xml:space="preserve">personal understanding of </w:t>
      </w:r>
      <w:r w:rsidR="00EB0AE8" w:rsidRPr="00D7142A">
        <w:rPr>
          <w:rFonts w:eastAsia="Arial Unicode MS"/>
        </w:rPr>
        <w:t xml:space="preserve">reasons underlying </w:t>
      </w:r>
      <w:r w:rsidR="005D6A8F" w:rsidRPr="00D7142A">
        <w:rPr>
          <w:rFonts w:eastAsia="Arial Unicode MS"/>
        </w:rPr>
        <w:t>treatment location preferences</w:t>
      </w:r>
      <w:r w:rsidR="00B11F74" w:rsidRPr="00D7142A">
        <w:rPr>
          <w:rFonts w:eastAsia="Arial Unicode MS"/>
        </w:rPr>
        <w:t xml:space="preserve"> and opinions regarding the quality of healthcare</w:t>
      </w:r>
      <w:r w:rsidR="00224825" w:rsidRPr="00D7142A">
        <w:rPr>
          <w:rFonts w:eastAsia="Arial Unicode MS"/>
        </w:rPr>
        <w:t xml:space="preserve"> provision</w:t>
      </w:r>
      <w:r w:rsidR="00441BEE" w:rsidRPr="00D7142A">
        <w:rPr>
          <w:rFonts w:eastAsia="Arial Unicode MS"/>
        </w:rPr>
        <w:t>.</w:t>
      </w:r>
      <w:r w:rsidR="00AE351F" w:rsidRPr="00D7142A">
        <w:rPr>
          <w:rFonts w:eastAsia="Arial Unicode MS"/>
        </w:rPr>
        <w:t xml:space="preserve"> </w:t>
      </w:r>
      <w:r w:rsidR="00BA3C88" w:rsidRPr="00D7142A">
        <w:rPr>
          <w:rFonts w:eastAsia="Arial Unicode MS"/>
        </w:rPr>
        <w:t>S</w:t>
      </w:r>
      <w:r w:rsidR="00C5312C" w:rsidRPr="00D7142A">
        <w:rPr>
          <w:rFonts w:eastAsia="Arial Unicode MS"/>
        </w:rPr>
        <w:t xml:space="preserve">uch explicit </w:t>
      </w:r>
      <w:r w:rsidR="00F658F8" w:rsidRPr="00D7142A">
        <w:rPr>
          <w:rFonts w:eastAsia="Arial Unicode MS"/>
        </w:rPr>
        <w:t>accounts</w:t>
      </w:r>
      <w:r w:rsidR="00C5312C" w:rsidRPr="00D7142A">
        <w:rPr>
          <w:rFonts w:eastAsia="Arial Unicode MS"/>
        </w:rPr>
        <w:t xml:space="preserve"> of personal experience</w:t>
      </w:r>
      <w:r w:rsidR="00C5312C" w:rsidRPr="00D7142A">
        <w:rPr>
          <w:rFonts w:eastAsia="Arial Unicode MS"/>
          <w:color w:val="FF0000"/>
        </w:rPr>
        <w:t xml:space="preserve"> </w:t>
      </w:r>
      <w:r w:rsidR="00EB69DE" w:rsidRPr="00D7142A">
        <w:rPr>
          <w:rFonts w:eastAsia="Arial Unicode MS"/>
        </w:rPr>
        <w:t>help sensitize</w:t>
      </w:r>
      <w:r w:rsidR="00BE5396" w:rsidRPr="00D7142A">
        <w:rPr>
          <w:rFonts w:eastAsia="Arial Unicode MS"/>
        </w:rPr>
        <w:t xml:space="preserve"> </w:t>
      </w:r>
      <w:r w:rsidR="00F14947" w:rsidRPr="00D7142A">
        <w:rPr>
          <w:rFonts w:eastAsia="Arial Unicode MS"/>
          <w:bCs/>
        </w:rPr>
        <w:t>specific nuances</w:t>
      </w:r>
      <w:r w:rsidR="00BE5396" w:rsidRPr="00D7142A">
        <w:rPr>
          <w:rFonts w:eastAsia="Arial Unicode MS"/>
          <w:bCs/>
        </w:rPr>
        <w:t xml:space="preserve"> </w:t>
      </w:r>
      <w:r w:rsidR="00314EAA" w:rsidRPr="00D7142A">
        <w:rPr>
          <w:rFonts w:eastAsia="Arial Unicode MS"/>
          <w:bCs/>
        </w:rPr>
        <w:t>often</w:t>
      </w:r>
      <w:r w:rsidR="00F14947" w:rsidRPr="00D7142A">
        <w:rPr>
          <w:rFonts w:eastAsia="Arial Unicode MS"/>
          <w:bCs/>
        </w:rPr>
        <w:t xml:space="preserve"> expressed through a set of interwoven issues, which in our analysis were assigned distinct lower-level thematic codes. </w:t>
      </w:r>
      <w:r w:rsidR="001C6634" w:rsidRPr="00D7142A">
        <w:rPr>
          <w:rFonts w:eastAsia="Arial Unicode MS"/>
        </w:rPr>
        <w:t>The</w:t>
      </w:r>
      <w:r w:rsidR="00E71ACA" w:rsidRPr="00D7142A">
        <w:rPr>
          <w:rFonts w:eastAsia="Arial Unicode MS"/>
        </w:rPr>
        <w:t xml:space="preserve"> </w:t>
      </w:r>
      <w:r w:rsidR="006D68C2" w:rsidRPr="00D7142A">
        <w:rPr>
          <w:rFonts w:eastAsia="Arial Unicode MS"/>
        </w:rPr>
        <w:t>following</w:t>
      </w:r>
      <w:r w:rsidR="00AE351F" w:rsidRPr="00D7142A">
        <w:rPr>
          <w:rFonts w:eastAsia="Arial Unicode MS"/>
        </w:rPr>
        <w:t xml:space="preserve"> </w:t>
      </w:r>
      <w:r w:rsidR="00E71ACA" w:rsidRPr="00D7142A">
        <w:rPr>
          <w:rFonts w:eastAsia="Arial Unicode MS"/>
        </w:rPr>
        <w:t xml:space="preserve">quote </w:t>
      </w:r>
      <w:r w:rsidR="00BA3818" w:rsidRPr="00D7142A">
        <w:rPr>
          <w:rFonts w:eastAsia="Arial Unicode MS"/>
        </w:rPr>
        <w:t>is an example</w:t>
      </w:r>
      <w:r w:rsidR="003011DD" w:rsidRPr="00D7142A">
        <w:rPr>
          <w:rFonts w:eastAsia="Arial Unicode MS"/>
        </w:rPr>
        <w:t xml:space="preserve"> </w:t>
      </w:r>
      <w:r w:rsidR="005B7B64" w:rsidRPr="00D7142A">
        <w:rPr>
          <w:rFonts w:eastAsia="Arial Unicode MS"/>
          <w:bCs/>
        </w:rPr>
        <w:t xml:space="preserve">of </w:t>
      </w:r>
      <w:r w:rsidR="00BA3818" w:rsidRPr="00D7142A">
        <w:rPr>
          <w:rFonts w:eastAsia="Arial Unicode MS"/>
          <w:bCs/>
        </w:rPr>
        <w:t xml:space="preserve">a detailed narrative account </w:t>
      </w:r>
      <w:r w:rsidR="003011DD" w:rsidRPr="00D7142A">
        <w:rPr>
          <w:rFonts w:eastAsia="Arial Unicode MS"/>
          <w:bCs/>
        </w:rPr>
        <w:t>of</w:t>
      </w:r>
      <w:r w:rsidR="009B3FE4" w:rsidRPr="00D7142A">
        <w:rPr>
          <w:rFonts w:eastAsia="Arial Unicode MS"/>
          <w:bCs/>
        </w:rPr>
        <w:t xml:space="preserve"> </w:t>
      </w:r>
      <w:r w:rsidR="00A15E95" w:rsidRPr="00D7142A">
        <w:rPr>
          <w:rFonts w:eastAsia="Arial Unicode MS"/>
          <w:bCs/>
        </w:rPr>
        <w:t>multiple</w:t>
      </w:r>
      <w:r w:rsidR="009B3FE4" w:rsidRPr="00D7142A">
        <w:rPr>
          <w:rFonts w:eastAsia="Arial Unicode MS"/>
          <w:bCs/>
        </w:rPr>
        <w:t xml:space="preserve"> failings in</w:t>
      </w:r>
      <w:r w:rsidR="003011DD" w:rsidRPr="00D7142A">
        <w:rPr>
          <w:rFonts w:eastAsia="Arial Unicode MS"/>
          <w:bCs/>
        </w:rPr>
        <w:t xml:space="preserve"> the British healthcare system, whereby the </w:t>
      </w:r>
      <w:r w:rsidR="002121D6" w:rsidRPr="00D7142A">
        <w:rPr>
          <w:rFonts w:eastAsia="Arial Unicode MS"/>
          <w:bCs/>
        </w:rPr>
        <w:t>respondent</w:t>
      </w:r>
      <w:r w:rsidR="003011DD" w:rsidRPr="00D7142A">
        <w:rPr>
          <w:rFonts w:eastAsia="Arial Unicode MS"/>
          <w:bCs/>
        </w:rPr>
        <w:t xml:space="preserve"> </w:t>
      </w:r>
      <w:r w:rsidR="00840B06" w:rsidRPr="00D7142A">
        <w:rPr>
          <w:rFonts w:eastAsia="Arial Unicode MS"/>
          <w:bCs/>
        </w:rPr>
        <w:t xml:space="preserve">expresses a harsh </w:t>
      </w:r>
      <w:r w:rsidR="00852E30" w:rsidRPr="00D7142A">
        <w:rPr>
          <w:rFonts w:eastAsia="Arial Unicode MS"/>
          <w:bCs/>
        </w:rPr>
        <w:t xml:space="preserve">but refined </w:t>
      </w:r>
      <w:r w:rsidR="00840B06" w:rsidRPr="00D7142A">
        <w:rPr>
          <w:rFonts w:eastAsia="Arial Unicode MS"/>
          <w:bCs/>
        </w:rPr>
        <w:t xml:space="preserve">criticism of healthcare </w:t>
      </w:r>
      <w:r w:rsidR="002121D6" w:rsidRPr="00D7142A">
        <w:rPr>
          <w:rFonts w:eastAsia="Arial Unicode MS"/>
          <w:bCs/>
        </w:rPr>
        <w:t>standards</w:t>
      </w:r>
      <w:r w:rsidR="00FE150D" w:rsidRPr="00D7142A">
        <w:rPr>
          <w:rFonts w:eastAsia="Arial Unicode MS"/>
          <w:bCs/>
        </w:rPr>
        <w:t>:</w:t>
      </w:r>
      <w:r w:rsidR="003011DD" w:rsidRPr="00D7142A">
        <w:rPr>
          <w:rFonts w:eastAsia="Arial Unicode MS"/>
          <w:bCs/>
        </w:rPr>
        <w:t xml:space="preserve"> </w:t>
      </w:r>
    </w:p>
    <w:p w14:paraId="31ABBAF6" w14:textId="4229A0D9" w:rsidR="000B51B9" w:rsidRPr="00D7142A" w:rsidRDefault="000B51B9" w:rsidP="00CF38E8">
      <w:pPr>
        <w:pStyle w:val="Quote"/>
        <w:spacing w:line="480" w:lineRule="auto"/>
        <w:jc w:val="both"/>
        <w:rPr>
          <w:rFonts w:eastAsia="Arial Unicode MS"/>
          <w:bCs/>
        </w:rPr>
      </w:pPr>
      <w:r w:rsidRPr="00D7142A">
        <w:t xml:space="preserve">It was here where I have been administered an overdose of penicillin for the first time. As doctors in Poland put it, it’s a miracle that I’m alive. The second time, they wouldn’t listen to me when I was telling them I was pregnant and told me to take antibiotics for an infection; when it turned out that I really was pregnant, I changed my GP. The third situation I had was when I started bleeding. They had me waiting for 48 hours in a situation where every minute was vital to save the pregnancy; they refused to give me medication to support the pregnancy; I was four months pregnant at that point; they </w:t>
      </w:r>
      <w:r w:rsidRPr="00D7142A">
        <w:lastRenderedPageBreak/>
        <w:t xml:space="preserve">told me to have natural birth which I couldn’t do, because I couldn’t determine the type of incision performed during my first C-section, as I was unconscious at the time. If the incision had been vertical, natural birth would carry a risk of rupture. In the end they told me to give birth one month prematurely, only to end up having to feed the little one with steroids </w:t>
      </w:r>
      <w:proofErr w:type="gramStart"/>
      <w:r w:rsidRPr="00D7142A">
        <w:t>due to the fact that</w:t>
      </w:r>
      <w:proofErr w:type="gramEnd"/>
      <w:r w:rsidRPr="00D7142A">
        <w:t xml:space="preserve"> he was smaller than their diagram had stipulated; and now, at the age of six months, he’s having to wear clothes for a twelve-month old because he’s so big… The health service in our area is horrible… (Polish, female, 30 years old</w:t>
      </w:r>
      <w:r w:rsidR="00510B85" w:rsidRPr="00D7142A">
        <w:t>, 8</w:t>
      </w:r>
      <w:r w:rsidR="003214B6" w:rsidRPr="00D7142A">
        <w:t xml:space="preserve"> years </w:t>
      </w:r>
      <w:r w:rsidR="00E34609" w:rsidRPr="00D7142A">
        <w:t xml:space="preserve">8 months </w:t>
      </w:r>
      <w:r w:rsidR="00510B85" w:rsidRPr="00D7142A">
        <w:t>in UK</w:t>
      </w:r>
      <w:r w:rsidRPr="00D7142A">
        <w:t>)</w:t>
      </w:r>
    </w:p>
    <w:p w14:paraId="4F41E6AC" w14:textId="35B87C7D" w:rsidR="002B7AFE" w:rsidRPr="00D7142A" w:rsidRDefault="003524DA" w:rsidP="00CF38E8">
      <w:pPr>
        <w:pStyle w:val="Newparagraph"/>
        <w:spacing w:line="480" w:lineRule="auto"/>
        <w:ind w:firstLine="0"/>
        <w:rPr>
          <w:rFonts w:eastAsia="Arial Unicode MS"/>
          <w:bCs/>
        </w:rPr>
      </w:pPr>
      <w:r w:rsidRPr="00D7142A">
        <w:rPr>
          <w:rFonts w:eastAsia="Arial Unicode MS"/>
          <w:bCs/>
        </w:rPr>
        <w:t xml:space="preserve">This harrowing account </w:t>
      </w:r>
      <w:r w:rsidR="0028723B" w:rsidRPr="00D7142A">
        <w:rPr>
          <w:rFonts w:eastAsia="Arial Unicode MS"/>
          <w:bCs/>
        </w:rPr>
        <w:t xml:space="preserve">is </w:t>
      </w:r>
      <w:r w:rsidR="00091518" w:rsidRPr="00D7142A">
        <w:rPr>
          <w:rFonts w:eastAsia="Arial Unicode MS"/>
          <w:bCs/>
        </w:rPr>
        <w:t xml:space="preserve">an implicit indictment </w:t>
      </w:r>
      <w:r w:rsidR="00934226" w:rsidRPr="00D7142A">
        <w:rPr>
          <w:rFonts w:eastAsia="Arial Unicode MS"/>
          <w:bCs/>
        </w:rPr>
        <w:t xml:space="preserve">of </w:t>
      </w:r>
      <w:r w:rsidR="003A3B7A" w:rsidRPr="00D7142A">
        <w:rPr>
          <w:rFonts w:eastAsia="Arial Unicode MS"/>
          <w:bCs/>
        </w:rPr>
        <w:t xml:space="preserve">the </w:t>
      </w:r>
      <w:r w:rsidR="00F34938" w:rsidRPr="00D7142A">
        <w:rPr>
          <w:rFonts w:eastAsia="Arial Unicode MS"/>
          <w:bCs/>
        </w:rPr>
        <w:t xml:space="preserve">medical </w:t>
      </w:r>
      <w:r w:rsidR="00D9182D" w:rsidRPr="00D7142A">
        <w:rPr>
          <w:rFonts w:eastAsia="Arial Unicode MS"/>
          <w:bCs/>
        </w:rPr>
        <w:t xml:space="preserve">aptitude of </w:t>
      </w:r>
      <w:r w:rsidR="00934226" w:rsidRPr="00D7142A">
        <w:rPr>
          <w:rFonts w:eastAsia="Arial Unicode MS"/>
          <w:bCs/>
        </w:rPr>
        <w:t xml:space="preserve">British </w:t>
      </w:r>
      <w:r w:rsidR="00D66A8E" w:rsidRPr="00D7142A">
        <w:rPr>
          <w:rFonts w:eastAsia="Arial Unicode MS"/>
          <w:bCs/>
          <w:i/>
          <w:iCs/>
        </w:rPr>
        <w:t>doctors</w:t>
      </w:r>
      <w:r w:rsidR="00934226" w:rsidRPr="00D7142A">
        <w:rPr>
          <w:rFonts w:eastAsia="Arial Unicode MS"/>
          <w:bCs/>
        </w:rPr>
        <w:t>,</w:t>
      </w:r>
      <w:r w:rsidR="008E5E89" w:rsidRPr="00D7142A">
        <w:rPr>
          <w:rFonts w:eastAsia="Arial Unicode MS"/>
          <w:bCs/>
        </w:rPr>
        <w:t xml:space="preserve"> </w:t>
      </w:r>
      <w:r w:rsidR="008E5E89" w:rsidRPr="00D7142A">
        <w:rPr>
          <w:rFonts w:eastAsia="Arial Unicode MS"/>
          <w:bCs/>
          <w:i/>
          <w:iCs/>
        </w:rPr>
        <w:t>service</w:t>
      </w:r>
      <w:r w:rsidR="008E5E89" w:rsidRPr="00D7142A">
        <w:rPr>
          <w:rFonts w:eastAsia="Arial Unicode MS"/>
          <w:bCs/>
        </w:rPr>
        <w:t xml:space="preserve"> del</w:t>
      </w:r>
      <w:r w:rsidR="00993B6B" w:rsidRPr="00D7142A">
        <w:rPr>
          <w:rFonts w:eastAsia="Arial Unicode MS"/>
          <w:bCs/>
        </w:rPr>
        <w:t xml:space="preserve">ivery and </w:t>
      </w:r>
      <w:r w:rsidR="00CF20E4" w:rsidRPr="00D7142A">
        <w:rPr>
          <w:rFonts w:eastAsia="Arial Unicode MS"/>
          <w:bCs/>
        </w:rPr>
        <w:t>quality</w:t>
      </w:r>
      <w:r w:rsidR="00993B6B" w:rsidRPr="00D7142A">
        <w:rPr>
          <w:rFonts w:eastAsia="Arial Unicode MS"/>
          <w:bCs/>
        </w:rPr>
        <w:t xml:space="preserve"> </w:t>
      </w:r>
      <w:r w:rsidR="00993B6B" w:rsidRPr="00D7142A">
        <w:rPr>
          <w:rFonts w:eastAsia="Arial Unicode MS"/>
          <w:bCs/>
          <w:i/>
          <w:iCs/>
        </w:rPr>
        <w:t>standards</w:t>
      </w:r>
      <w:r w:rsidR="00993B6B" w:rsidRPr="00D7142A">
        <w:rPr>
          <w:rFonts w:eastAsia="Arial Unicode MS"/>
          <w:bCs/>
        </w:rPr>
        <w:t xml:space="preserve"> </w:t>
      </w:r>
      <w:r w:rsidR="006E7E2A" w:rsidRPr="00D7142A">
        <w:rPr>
          <w:rFonts w:eastAsia="Arial Unicode MS"/>
          <w:bCs/>
        </w:rPr>
        <w:t>at a local geographical level (‘in our area’)</w:t>
      </w:r>
      <w:r w:rsidR="00DA6C1F" w:rsidRPr="00D7142A">
        <w:rPr>
          <w:rFonts w:eastAsia="Arial Unicode MS"/>
          <w:bCs/>
        </w:rPr>
        <w:t>.</w:t>
      </w:r>
      <w:r w:rsidR="00B3177F" w:rsidRPr="00D7142A">
        <w:rPr>
          <w:rFonts w:eastAsia="Arial Unicode MS"/>
          <w:bCs/>
        </w:rPr>
        <w:t xml:space="preserve"> </w:t>
      </w:r>
      <w:r w:rsidR="005D0B94" w:rsidRPr="00D7142A">
        <w:rPr>
          <w:rFonts w:eastAsia="Arial Unicode MS"/>
          <w:bCs/>
        </w:rPr>
        <w:t xml:space="preserve">This perceptive observation </w:t>
      </w:r>
      <w:r w:rsidR="00DE6502" w:rsidRPr="00D7142A">
        <w:rPr>
          <w:rFonts w:eastAsia="Arial Unicode MS"/>
          <w:bCs/>
        </w:rPr>
        <w:t>on the part of our respondent</w:t>
      </w:r>
      <w:r w:rsidR="005620E3" w:rsidRPr="00D7142A">
        <w:rPr>
          <w:rFonts w:eastAsia="Arial Unicode MS"/>
          <w:bCs/>
        </w:rPr>
        <w:t xml:space="preserve"> </w:t>
      </w:r>
      <w:r w:rsidR="00B17508" w:rsidRPr="00D7142A">
        <w:rPr>
          <w:rFonts w:eastAsia="Arial Unicode MS"/>
          <w:bCs/>
        </w:rPr>
        <w:t>reflects</w:t>
      </w:r>
      <w:r w:rsidR="002D665A" w:rsidRPr="00D7142A">
        <w:rPr>
          <w:rFonts w:eastAsia="Arial Unicode MS"/>
          <w:bCs/>
        </w:rPr>
        <w:t xml:space="preserve"> established </w:t>
      </w:r>
      <w:r w:rsidR="00F04CB6" w:rsidRPr="00D7142A">
        <w:rPr>
          <w:rFonts w:eastAsia="Arial Unicode MS"/>
          <w:bCs/>
        </w:rPr>
        <w:t>knowledge</w:t>
      </w:r>
      <w:r w:rsidR="00B17508" w:rsidRPr="00D7142A">
        <w:rPr>
          <w:rFonts w:eastAsia="Arial Unicode MS"/>
          <w:bCs/>
        </w:rPr>
        <w:t xml:space="preserve"> </w:t>
      </w:r>
      <w:r w:rsidR="00FB4744" w:rsidRPr="00D7142A">
        <w:rPr>
          <w:rFonts w:eastAsia="Arial Unicode MS"/>
          <w:bCs/>
        </w:rPr>
        <w:t xml:space="preserve">about ‘unwarranted variation’ </w:t>
      </w:r>
      <w:r w:rsidR="00E26603" w:rsidRPr="00D7142A">
        <w:rPr>
          <w:rFonts w:eastAsia="Arial Unicode MS"/>
          <w:bCs/>
        </w:rPr>
        <w:t xml:space="preserve">in healthcare provision </w:t>
      </w:r>
      <w:r w:rsidR="00125565" w:rsidRPr="00D7142A">
        <w:rPr>
          <w:rFonts w:eastAsia="Arial Unicode MS"/>
          <w:bCs/>
        </w:rPr>
        <w:t xml:space="preserve">across </w:t>
      </w:r>
      <w:r w:rsidR="006C4545" w:rsidRPr="00D7142A">
        <w:rPr>
          <w:rFonts w:eastAsia="Arial Unicode MS"/>
          <w:bCs/>
        </w:rPr>
        <w:t>Britain</w:t>
      </w:r>
      <w:r w:rsidR="00385289" w:rsidRPr="00D7142A">
        <w:rPr>
          <w:rFonts w:eastAsia="Arial Unicode MS"/>
          <w:bCs/>
        </w:rPr>
        <w:t xml:space="preserve"> caused by </w:t>
      </w:r>
      <w:r w:rsidR="00991596" w:rsidRPr="00D7142A">
        <w:rPr>
          <w:rFonts w:eastAsia="Arial Unicode MS"/>
          <w:bCs/>
        </w:rPr>
        <w:t>‘idiosyncratic practices of clinicians and of healthcare</w:t>
      </w:r>
      <w:r w:rsidR="00DC13EA" w:rsidRPr="00D7142A">
        <w:rPr>
          <w:rFonts w:eastAsia="Arial Unicode MS"/>
          <w:bCs/>
        </w:rPr>
        <w:t xml:space="preserve"> </w:t>
      </w:r>
      <w:r w:rsidR="00991596" w:rsidRPr="00D7142A">
        <w:rPr>
          <w:rFonts w:eastAsia="Arial Unicode MS"/>
          <w:bCs/>
        </w:rPr>
        <w:t>organisations</w:t>
      </w:r>
      <w:r w:rsidR="00DC13EA" w:rsidRPr="00D7142A">
        <w:rPr>
          <w:rFonts w:eastAsia="Arial Unicode MS"/>
          <w:bCs/>
        </w:rPr>
        <w:t xml:space="preserve">’ </w:t>
      </w:r>
      <w:r w:rsidR="00E34E1A" w:rsidRPr="00D7142A">
        <w:rPr>
          <w:rFonts w:eastAsia="Arial Unicode MS"/>
          <w:bCs/>
          <w:noProof/>
        </w:rPr>
        <w:t>(</w:t>
      </w:r>
      <w:r w:rsidR="00CD43DA" w:rsidRPr="00D7142A">
        <w:rPr>
          <w:rFonts w:eastAsia="Arial Unicode MS"/>
          <w:bCs/>
          <w:noProof/>
        </w:rPr>
        <w:t>Public Health England, 2015: 15</w:t>
      </w:r>
      <w:r w:rsidR="00E34E1A" w:rsidRPr="00D7142A">
        <w:rPr>
          <w:rFonts w:eastAsia="Arial Unicode MS"/>
          <w:bCs/>
          <w:noProof/>
        </w:rPr>
        <w:t>)</w:t>
      </w:r>
      <w:r w:rsidR="009712CD" w:rsidRPr="00D7142A">
        <w:rPr>
          <w:rFonts w:eastAsia="Arial Unicode MS"/>
          <w:bCs/>
        </w:rPr>
        <w:t xml:space="preserve">. </w:t>
      </w:r>
    </w:p>
    <w:p w14:paraId="47BD2851" w14:textId="2B7E0B08" w:rsidR="00F124C5" w:rsidRPr="00D7142A" w:rsidRDefault="008F3217" w:rsidP="00CF38E8">
      <w:pPr>
        <w:pStyle w:val="Newparagraph"/>
        <w:spacing w:line="480" w:lineRule="auto"/>
        <w:rPr>
          <w:rStyle w:val="Strong"/>
          <w:b w:val="0"/>
        </w:rPr>
      </w:pPr>
      <w:r w:rsidRPr="00D7142A">
        <w:rPr>
          <w:rFonts w:eastAsia="Arial Unicode MS"/>
          <w:bCs/>
        </w:rPr>
        <w:t xml:space="preserve">Most explanations for preferring treatment in the </w:t>
      </w:r>
      <w:proofErr w:type="spellStart"/>
      <w:r w:rsidRPr="00D7142A">
        <w:rPr>
          <w:rFonts w:eastAsia="Arial Unicode MS"/>
          <w:bCs/>
        </w:rPr>
        <w:t>CoO</w:t>
      </w:r>
      <w:proofErr w:type="spellEnd"/>
      <w:r w:rsidRPr="00D7142A">
        <w:rPr>
          <w:rFonts w:eastAsia="Arial Unicode MS"/>
          <w:bCs/>
        </w:rPr>
        <w:t xml:space="preserve"> due to perceived lower quality healthcare in the UK were shorter statements – e.g. </w:t>
      </w:r>
      <w:r w:rsidR="004068EC" w:rsidRPr="00D7142A">
        <w:rPr>
          <w:rFonts w:eastAsia="Arial Unicode MS"/>
          <w:bCs/>
        </w:rPr>
        <w:t>‘</w:t>
      </w:r>
      <w:r w:rsidRPr="00D7142A">
        <w:rPr>
          <w:rStyle w:val="Strong"/>
          <w:b w:val="0"/>
        </w:rPr>
        <w:t>The British healthcare provision is not healthcare. Quality below all standards</w:t>
      </w:r>
      <w:r w:rsidR="004068EC" w:rsidRPr="00D7142A">
        <w:rPr>
          <w:rStyle w:val="Strong"/>
          <w:b w:val="0"/>
        </w:rPr>
        <w:t>’</w:t>
      </w:r>
      <w:r w:rsidRPr="00D7142A">
        <w:rPr>
          <w:rStyle w:val="Strong"/>
          <w:b w:val="0"/>
        </w:rPr>
        <w:t xml:space="preserve"> (Hungarian, f, 35, 4y2m)</w:t>
      </w:r>
      <w:r w:rsidR="007401E1" w:rsidRPr="00D7142A">
        <w:rPr>
          <w:rStyle w:val="Strong"/>
          <w:b w:val="0"/>
        </w:rPr>
        <w:t>;</w:t>
      </w:r>
      <w:r w:rsidRPr="00D7142A">
        <w:rPr>
          <w:rStyle w:val="Strong"/>
          <w:b w:val="0"/>
        </w:rPr>
        <w:t xml:space="preserve"> </w:t>
      </w:r>
      <w:r w:rsidR="004068EC" w:rsidRPr="00D7142A">
        <w:rPr>
          <w:rStyle w:val="Strong"/>
          <w:b w:val="0"/>
        </w:rPr>
        <w:t>‘</w:t>
      </w:r>
      <w:r w:rsidRPr="00D7142A">
        <w:rPr>
          <w:rStyle w:val="Strong"/>
          <w:b w:val="0"/>
        </w:rPr>
        <w:t>English doctors lack medical knowledge!!</w:t>
      </w:r>
      <w:r w:rsidR="004068EC" w:rsidRPr="00D7142A">
        <w:rPr>
          <w:rStyle w:val="Strong"/>
          <w:b w:val="0"/>
        </w:rPr>
        <w:t>’</w:t>
      </w:r>
      <w:r w:rsidRPr="00D7142A">
        <w:rPr>
          <w:rStyle w:val="Strong"/>
          <w:b w:val="0"/>
        </w:rPr>
        <w:t xml:space="preserve"> (Polish, m, 57, 8y2m). These may well have similar underlying personal stories, but they may equally be based on second-hand opinion. In terms of thematic coding, what we have in such cases are explicit opinion statements relating to a single theme (</w:t>
      </w:r>
      <w:r w:rsidRPr="00D7142A">
        <w:rPr>
          <w:rStyle w:val="Strong"/>
          <w:b w:val="0"/>
          <w:i/>
          <w:iCs/>
        </w:rPr>
        <w:t>standards</w:t>
      </w:r>
      <w:r w:rsidRPr="00D7142A">
        <w:rPr>
          <w:rStyle w:val="Strong"/>
          <w:b w:val="0"/>
        </w:rPr>
        <w:t xml:space="preserve"> and </w:t>
      </w:r>
      <w:r w:rsidRPr="00D7142A">
        <w:rPr>
          <w:rStyle w:val="Strong"/>
          <w:b w:val="0"/>
          <w:i/>
          <w:iCs/>
        </w:rPr>
        <w:t>doctors</w:t>
      </w:r>
      <w:r w:rsidRPr="00D7142A">
        <w:rPr>
          <w:rStyle w:val="Strong"/>
          <w:b w:val="0"/>
        </w:rPr>
        <w:t xml:space="preserve">, respectively). </w:t>
      </w:r>
      <w:r w:rsidR="00492B02" w:rsidRPr="00D7142A">
        <w:rPr>
          <w:rStyle w:val="Strong"/>
          <w:b w:val="0"/>
        </w:rPr>
        <w:t>On the other hand</w:t>
      </w:r>
      <w:r w:rsidR="00885C3A" w:rsidRPr="00D7142A">
        <w:rPr>
          <w:rStyle w:val="Strong"/>
          <w:b w:val="0"/>
        </w:rPr>
        <w:t xml:space="preserve">, </w:t>
      </w:r>
      <w:r w:rsidR="00F93988" w:rsidRPr="00D7142A">
        <w:rPr>
          <w:rStyle w:val="Strong"/>
          <w:b w:val="0"/>
        </w:rPr>
        <w:t>c</w:t>
      </w:r>
      <w:r w:rsidRPr="00D7142A">
        <w:rPr>
          <w:rStyle w:val="Strong"/>
          <w:b w:val="0"/>
        </w:rPr>
        <w:t>ases where negative experiences were made explicit as a single theme were rarer</w:t>
      </w:r>
      <w:r w:rsidR="00F93988" w:rsidRPr="00D7142A">
        <w:rPr>
          <w:rStyle w:val="Strong"/>
          <w:b w:val="0"/>
        </w:rPr>
        <w:t xml:space="preserve">, although </w:t>
      </w:r>
      <w:r w:rsidRPr="00D7142A">
        <w:rPr>
          <w:rStyle w:val="Strong"/>
          <w:b w:val="0"/>
        </w:rPr>
        <w:t>not absent (</w:t>
      </w:r>
      <w:proofErr w:type="gramStart"/>
      <w:r w:rsidRPr="00D7142A">
        <w:rPr>
          <w:rStyle w:val="Strong"/>
          <w:b w:val="0"/>
        </w:rPr>
        <w:t>e.g.</w:t>
      </w:r>
      <w:proofErr w:type="gramEnd"/>
      <w:r w:rsidRPr="00D7142A">
        <w:rPr>
          <w:rStyle w:val="Strong"/>
          <w:b w:val="0"/>
        </w:rPr>
        <w:t xml:space="preserve"> </w:t>
      </w:r>
      <w:r w:rsidR="004068EC" w:rsidRPr="00D7142A">
        <w:rPr>
          <w:rStyle w:val="Strong"/>
          <w:b w:val="0"/>
        </w:rPr>
        <w:t>‘</w:t>
      </w:r>
      <w:r w:rsidRPr="00D7142A">
        <w:rPr>
          <w:rStyle w:val="Strong"/>
          <w:b w:val="0"/>
        </w:rPr>
        <w:t>I am not satisfied with NHS in the past</w:t>
      </w:r>
      <w:r w:rsidR="004068EC" w:rsidRPr="00D7142A">
        <w:rPr>
          <w:rStyle w:val="Strong"/>
          <w:b w:val="0"/>
        </w:rPr>
        <w:t>’</w:t>
      </w:r>
      <w:r w:rsidRPr="00D7142A">
        <w:rPr>
          <w:rStyle w:val="Strong"/>
          <w:b w:val="0"/>
        </w:rPr>
        <w:t>, Greek, f, 32, 5y7m).</w:t>
      </w:r>
      <w:r w:rsidR="00C2453F" w:rsidRPr="00D7142A">
        <w:rPr>
          <w:rStyle w:val="Strong"/>
          <w:b w:val="0"/>
        </w:rPr>
        <w:t xml:space="preserve"> </w:t>
      </w:r>
      <w:r w:rsidR="007B1EA0" w:rsidRPr="00D7142A">
        <w:rPr>
          <w:rStyle w:val="Strong"/>
          <w:b w:val="0"/>
        </w:rPr>
        <w:t xml:space="preserve">The same is true of comments </w:t>
      </w:r>
      <w:r w:rsidR="007F6A6A" w:rsidRPr="00D7142A">
        <w:rPr>
          <w:rStyle w:val="Strong"/>
          <w:b w:val="0"/>
        </w:rPr>
        <w:t xml:space="preserve">describing UK healthcare as </w:t>
      </w:r>
      <w:r w:rsidR="00EC515A" w:rsidRPr="00D7142A">
        <w:rPr>
          <w:rStyle w:val="Strong"/>
          <w:b w:val="0"/>
        </w:rPr>
        <w:t>of</w:t>
      </w:r>
      <w:r w:rsidR="007F6A6A" w:rsidRPr="00D7142A">
        <w:rPr>
          <w:rStyle w:val="Strong"/>
          <w:b w:val="0"/>
        </w:rPr>
        <w:t xml:space="preserve"> higher quality</w:t>
      </w:r>
      <w:r w:rsidR="00EC515A" w:rsidRPr="00D7142A">
        <w:rPr>
          <w:rStyle w:val="Strong"/>
          <w:b w:val="0"/>
        </w:rPr>
        <w:t xml:space="preserve">, and </w:t>
      </w:r>
      <w:r w:rsidR="00B66627" w:rsidRPr="00D7142A">
        <w:rPr>
          <w:rStyle w:val="Strong"/>
          <w:b w:val="0"/>
        </w:rPr>
        <w:t>of course</w:t>
      </w:r>
      <w:r w:rsidR="00EC515A" w:rsidRPr="00D7142A">
        <w:rPr>
          <w:rStyle w:val="Strong"/>
          <w:b w:val="0"/>
        </w:rPr>
        <w:t xml:space="preserve">, </w:t>
      </w:r>
      <w:r w:rsidR="00304901" w:rsidRPr="00D7142A">
        <w:rPr>
          <w:rStyle w:val="Strong"/>
          <w:b w:val="0"/>
        </w:rPr>
        <w:t xml:space="preserve">responses without an explicit reference to personal experience </w:t>
      </w:r>
      <w:r w:rsidR="00D74933" w:rsidRPr="00D7142A">
        <w:rPr>
          <w:rStyle w:val="Strong"/>
          <w:b w:val="0"/>
        </w:rPr>
        <w:t>c</w:t>
      </w:r>
      <w:r w:rsidR="00316C02" w:rsidRPr="00D7142A">
        <w:rPr>
          <w:rStyle w:val="Strong"/>
          <w:b w:val="0"/>
        </w:rPr>
        <w:t>ould also be rich in</w:t>
      </w:r>
      <w:r w:rsidR="00D01DA6" w:rsidRPr="00D7142A">
        <w:rPr>
          <w:rStyle w:val="Strong"/>
          <w:b w:val="0"/>
        </w:rPr>
        <w:t xml:space="preserve"> their</w:t>
      </w:r>
      <w:r w:rsidR="00316C02" w:rsidRPr="00D7142A">
        <w:rPr>
          <w:rStyle w:val="Strong"/>
          <w:b w:val="0"/>
        </w:rPr>
        <w:t xml:space="preserve"> </w:t>
      </w:r>
      <w:r w:rsidR="00D01DA6" w:rsidRPr="00D7142A">
        <w:rPr>
          <w:rStyle w:val="Strong"/>
          <w:b w:val="0"/>
        </w:rPr>
        <w:t>thematic coverage</w:t>
      </w:r>
      <w:r w:rsidR="00316C02" w:rsidRPr="00D7142A">
        <w:rPr>
          <w:rStyle w:val="Strong"/>
          <w:b w:val="0"/>
        </w:rPr>
        <w:t>:</w:t>
      </w:r>
    </w:p>
    <w:p w14:paraId="728B9A82" w14:textId="2A231352" w:rsidR="00EC515A" w:rsidRPr="00D7142A" w:rsidRDefault="00316C02" w:rsidP="00CF38E8">
      <w:pPr>
        <w:pStyle w:val="Quote"/>
        <w:spacing w:line="480" w:lineRule="auto"/>
        <w:jc w:val="both"/>
        <w:rPr>
          <w:bCs/>
        </w:rPr>
      </w:pPr>
      <w:r w:rsidRPr="00D7142A">
        <w:rPr>
          <w:rStyle w:val="Strong"/>
          <w:b w:val="0"/>
        </w:rPr>
        <w:t xml:space="preserve">The level of healthcare on the British NHS is very advanced; the level of medical training is </w:t>
      </w:r>
      <w:proofErr w:type="gramStart"/>
      <w:r w:rsidRPr="00D7142A">
        <w:rPr>
          <w:rStyle w:val="Strong"/>
          <w:b w:val="0"/>
        </w:rPr>
        <w:t>high,</w:t>
      </w:r>
      <w:proofErr w:type="gramEnd"/>
      <w:r w:rsidRPr="00D7142A">
        <w:rPr>
          <w:rStyle w:val="Strong"/>
          <w:b w:val="0"/>
        </w:rPr>
        <w:t xml:space="preserve"> the doctors and nursing staff are very kind. Carers working with elderly </w:t>
      </w:r>
      <w:r w:rsidRPr="00D7142A">
        <w:rPr>
          <w:rStyle w:val="Strong"/>
          <w:b w:val="0"/>
        </w:rPr>
        <w:lastRenderedPageBreak/>
        <w:t xml:space="preserve">people are required to have adequate training, and medications aren’t as expensive in relation to earnings, which is something you can’t say about Poland where medications are expensive and waiting time for </w:t>
      </w:r>
      <w:proofErr w:type="gramStart"/>
      <w:r w:rsidRPr="00D7142A">
        <w:rPr>
          <w:rStyle w:val="Strong"/>
          <w:b w:val="0"/>
        </w:rPr>
        <w:t>specialists</w:t>
      </w:r>
      <w:proofErr w:type="gramEnd"/>
      <w:r w:rsidRPr="00D7142A">
        <w:rPr>
          <w:rStyle w:val="Strong"/>
          <w:b w:val="0"/>
        </w:rPr>
        <w:t xml:space="preserve"> appointments is very long. (Polish, f, 58</w:t>
      </w:r>
      <w:r w:rsidR="00D6649D" w:rsidRPr="00D7142A">
        <w:rPr>
          <w:rStyle w:val="Strong"/>
          <w:b w:val="0"/>
        </w:rPr>
        <w:t>, 7y1m</w:t>
      </w:r>
      <w:r w:rsidRPr="00D7142A">
        <w:rPr>
          <w:rStyle w:val="Strong"/>
          <w:b w:val="0"/>
        </w:rPr>
        <w:t>)</w:t>
      </w:r>
    </w:p>
    <w:p w14:paraId="7A975571" w14:textId="5002CC5A" w:rsidR="00F124C5" w:rsidRPr="00D7142A" w:rsidRDefault="00B52A96" w:rsidP="00811112">
      <w:pPr>
        <w:pStyle w:val="Heading2"/>
      </w:pPr>
      <w:r w:rsidRPr="00D7142A">
        <w:t xml:space="preserve">5.2. </w:t>
      </w:r>
      <w:r w:rsidR="00146418" w:rsidRPr="00D7142A">
        <w:t>The mechanism</w:t>
      </w:r>
      <w:r w:rsidR="00F124C5" w:rsidRPr="00D7142A">
        <w:t xml:space="preserve"> of trust</w:t>
      </w:r>
    </w:p>
    <w:p w14:paraId="198F1813" w14:textId="7ED47B31" w:rsidR="00605B65" w:rsidRPr="00D7142A" w:rsidRDefault="00F70959" w:rsidP="00CF38E8">
      <w:pPr>
        <w:pStyle w:val="Newparagraph"/>
        <w:spacing w:line="480" w:lineRule="auto"/>
        <w:rPr>
          <w:rFonts w:eastAsia="Arial Unicode MS"/>
        </w:rPr>
      </w:pPr>
      <w:r w:rsidRPr="00D7142A">
        <w:rPr>
          <w:rFonts w:eastAsia="Arial Unicode MS"/>
        </w:rPr>
        <w:t xml:space="preserve">The question of ‘trust’ has emerged from many explanatory comments as a more general theme and a </w:t>
      </w:r>
      <w:r w:rsidR="008B0F69" w:rsidRPr="00D7142A">
        <w:rPr>
          <w:rFonts w:eastAsia="Arial Unicode MS"/>
        </w:rPr>
        <w:t xml:space="preserve">social mechanism providing the </w:t>
      </w:r>
      <w:r w:rsidR="005B5FC6" w:rsidRPr="00D7142A">
        <w:rPr>
          <w:rFonts w:eastAsia="Arial Unicode MS"/>
        </w:rPr>
        <w:t>emotional</w:t>
      </w:r>
      <w:r w:rsidR="00F07191" w:rsidRPr="00D7142A">
        <w:rPr>
          <w:rFonts w:eastAsia="Arial Unicode MS"/>
        </w:rPr>
        <w:t xml:space="preserve"> glue </w:t>
      </w:r>
      <w:r w:rsidR="007332A6" w:rsidRPr="00D7142A">
        <w:rPr>
          <w:rFonts w:eastAsia="Arial Unicode MS"/>
        </w:rPr>
        <w:t xml:space="preserve">that connects experience </w:t>
      </w:r>
      <w:r w:rsidR="00B82EF8" w:rsidRPr="00D7142A">
        <w:rPr>
          <w:rFonts w:eastAsia="Arial Unicode MS"/>
        </w:rPr>
        <w:t>to</w:t>
      </w:r>
      <w:r w:rsidR="007332A6" w:rsidRPr="00D7142A">
        <w:rPr>
          <w:rFonts w:eastAsia="Arial Unicode MS"/>
        </w:rPr>
        <w:t xml:space="preserve"> perceptions to preferences and </w:t>
      </w:r>
      <w:r w:rsidR="00D22696" w:rsidRPr="00D7142A">
        <w:rPr>
          <w:rFonts w:eastAsia="Arial Unicode MS"/>
        </w:rPr>
        <w:t xml:space="preserve">eventual practices. </w:t>
      </w:r>
      <w:r w:rsidR="004E3DD2" w:rsidRPr="00D7142A">
        <w:rPr>
          <w:rFonts w:eastAsia="Arial Unicode MS"/>
        </w:rPr>
        <w:t>The following quote provides a lively example</w:t>
      </w:r>
      <w:r w:rsidR="0058798E" w:rsidRPr="00D7142A">
        <w:rPr>
          <w:rFonts w:eastAsia="Arial Unicode MS"/>
        </w:rPr>
        <w:t xml:space="preserve"> of this process:</w:t>
      </w:r>
    </w:p>
    <w:p w14:paraId="6B7F2664" w14:textId="77777777" w:rsidR="00412610" w:rsidRPr="00D7142A" w:rsidRDefault="00412610" w:rsidP="00CF38E8">
      <w:pPr>
        <w:pStyle w:val="Quote"/>
        <w:spacing w:line="480" w:lineRule="auto"/>
        <w:jc w:val="both"/>
      </w:pPr>
      <w:r w:rsidRPr="00D7142A">
        <w:rPr>
          <w:rStyle w:val="Strong"/>
          <w:b w:val="0"/>
          <w:bCs w:val="0"/>
        </w:rPr>
        <w:t xml:space="preserve">I had a surgery in Poland. In my country I’m not treated as an intruder and have access to professional care in my own language (and don’t have to listen to stupid comments from an English doctor about the fact that my English isn’t </w:t>
      </w:r>
      <w:proofErr w:type="gramStart"/>
      <w:r w:rsidRPr="00D7142A">
        <w:rPr>
          <w:rStyle w:val="Strong"/>
          <w:b w:val="0"/>
          <w:bCs w:val="0"/>
        </w:rPr>
        <w:t>sufficient enough</w:t>
      </w:r>
      <w:proofErr w:type="gramEnd"/>
      <w:r w:rsidRPr="00D7142A">
        <w:rPr>
          <w:rStyle w:val="Strong"/>
          <w:b w:val="0"/>
          <w:bCs w:val="0"/>
        </w:rPr>
        <w:t xml:space="preserve"> to understand what the doctor from [X hospital] was telling me). Aside to this, there would be no one in the UK to look after me if I had an operation here, and I don’t trust the British health service. I was offered a surgery in the UK but was told it would take me two months to recover afterwards. I ended up being operated in Poland by more qualified doctors who carried out laparoscopy (British Indian doctors refused to operate on me in this way), which meant that recovery only took two weeks. It’s </w:t>
      </w:r>
      <w:proofErr w:type="gramStart"/>
      <w:r w:rsidRPr="00D7142A">
        <w:rPr>
          <w:rStyle w:val="Strong"/>
          <w:b w:val="0"/>
          <w:bCs w:val="0"/>
        </w:rPr>
        <w:t>really pathetic</w:t>
      </w:r>
      <w:proofErr w:type="gramEnd"/>
      <w:r w:rsidRPr="00D7142A">
        <w:rPr>
          <w:rStyle w:val="Strong"/>
          <w:b w:val="0"/>
          <w:bCs w:val="0"/>
        </w:rPr>
        <w:t>. (Polish, f, 33, 9y2m)</w:t>
      </w:r>
    </w:p>
    <w:p w14:paraId="07F0C849" w14:textId="4F26B7E5" w:rsidR="00412610" w:rsidRPr="00D7142A" w:rsidRDefault="00412610" w:rsidP="00CF38E8">
      <w:pPr>
        <w:pStyle w:val="Newparagraph"/>
        <w:spacing w:line="480" w:lineRule="auto"/>
        <w:ind w:firstLine="0"/>
        <w:rPr>
          <w:rFonts w:eastAsia="Arial Unicode MS"/>
          <w:color w:val="FF0000"/>
        </w:rPr>
      </w:pPr>
      <w:r w:rsidRPr="00D7142A">
        <w:rPr>
          <w:rFonts w:eastAsia="Arial Unicode MS"/>
        </w:rPr>
        <w:t>Here, a</w:t>
      </w:r>
      <w:r w:rsidR="00585EBB" w:rsidRPr="00D7142A">
        <w:rPr>
          <w:rFonts w:eastAsia="Arial Unicode MS"/>
        </w:rPr>
        <w:t xml:space="preserve">n </w:t>
      </w:r>
      <w:r w:rsidRPr="00D7142A">
        <w:rPr>
          <w:rFonts w:eastAsia="Arial Unicode MS"/>
        </w:rPr>
        <w:t xml:space="preserve">experience of what </w:t>
      </w:r>
      <w:r w:rsidR="00CD43DA" w:rsidRPr="00D7142A">
        <w:rPr>
          <w:rFonts w:eastAsia="Arial Unicode MS"/>
          <w:noProof/>
        </w:rPr>
        <w:t>Peled (2018)</w:t>
      </w:r>
      <w:r w:rsidRPr="00D7142A">
        <w:rPr>
          <w:rFonts w:eastAsia="Arial Unicode MS"/>
        </w:rPr>
        <w:t xml:space="preserve"> describes as ‘epistemic injustice’ led to a breach in </w:t>
      </w:r>
      <w:r w:rsidRPr="00D7142A">
        <w:rPr>
          <w:rFonts w:eastAsia="Arial Unicode MS"/>
          <w:i/>
          <w:iCs/>
        </w:rPr>
        <w:t>trust</w:t>
      </w:r>
      <w:r w:rsidRPr="00D7142A">
        <w:rPr>
          <w:rFonts w:eastAsia="Arial Unicode MS"/>
        </w:rPr>
        <w:t xml:space="preserve">, which, coupled with the lack of </w:t>
      </w:r>
      <w:r w:rsidRPr="00D7142A">
        <w:rPr>
          <w:rFonts w:eastAsia="Arial Unicode MS"/>
          <w:i/>
          <w:iCs/>
        </w:rPr>
        <w:t>family</w:t>
      </w:r>
      <w:r w:rsidRPr="00D7142A">
        <w:rPr>
          <w:rFonts w:eastAsia="Arial Unicode MS"/>
        </w:rPr>
        <w:t xml:space="preserve"> support in the UK, induced the respondent to </w:t>
      </w:r>
      <w:proofErr w:type="gramStart"/>
      <w:r w:rsidRPr="00D7142A">
        <w:rPr>
          <w:rFonts w:eastAsia="Arial Unicode MS"/>
        </w:rPr>
        <w:t>actually engage</w:t>
      </w:r>
      <w:proofErr w:type="gramEnd"/>
      <w:r w:rsidRPr="00D7142A">
        <w:rPr>
          <w:rFonts w:eastAsia="Arial Unicode MS"/>
        </w:rPr>
        <w:t xml:space="preserve"> in ‘medical return’ to Poland.</w:t>
      </w:r>
    </w:p>
    <w:p w14:paraId="03A5FF13" w14:textId="1487DB8D" w:rsidR="00E13CE5" w:rsidRPr="00D7142A" w:rsidRDefault="00CF6066" w:rsidP="00CF38E8">
      <w:pPr>
        <w:pStyle w:val="Newparagraph"/>
        <w:spacing w:line="480" w:lineRule="auto"/>
        <w:rPr>
          <w:rStyle w:val="Strong"/>
          <w:b w:val="0"/>
        </w:rPr>
      </w:pPr>
      <w:r w:rsidRPr="00D7142A">
        <w:rPr>
          <w:rFonts w:eastAsia="Arial Unicode MS"/>
        </w:rPr>
        <w:t xml:space="preserve">The circulation </w:t>
      </w:r>
      <w:r w:rsidR="009E6671" w:rsidRPr="00D7142A">
        <w:rPr>
          <w:rFonts w:eastAsia="Arial Unicode MS"/>
        </w:rPr>
        <w:t xml:space="preserve">of information </w:t>
      </w:r>
      <w:r w:rsidR="00D511CF" w:rsidRPr="00D7142A">
        <w:rPr>
          <w:rFonts w:eastAsia="Arial Unicode MS"/>
        </w:rPr>
        <w:t xml:space="preserve">distilled from negative personal experiences </w:t>
      </w:r>
      <w:r w:rsidR="00C30637" w:rsidRPr="00D7142A">
        <w:rPr>
          <w:rFonts w:eastAsia="Arial Unicode MS"/>
        </w:rPr>
        <w:t>result</w:t>
      </w:r>
      <w:r w:rsidR="00A50E6E" w:rsidRPr="00D7142A">
        <w:rPr>
          <w:rFonts w:eastAsia="Arial Unicode MS"/>
        </w:rPr>
        <w:t>s</w:t>
      </w:r>
      <w:r w:rsidR="00C30637" w:rsidRPr="00D7142A">
        <w:rPr>
          <w:rFonts w:eastAsia="Arial Unicode MS"/>
        </w:rPr>
        <w:t xml:space="preserve"> </w:t>
      </w:r>
      <w:r w:rsidR="00CC0053" w:rsidRPr="00D7142A">
        <w:rPr>
          <w:rFonts w:eastAsia="Arial Unicode MS"/>
        </w:rPr>
        <w:t xml:space="preserve">in </w:t>
      </w:r>
      <w:r w:rsidR="001827F8" w:rsidRPr="00D7142A">
        <w:rPr>
          <w:rFonts w:eastAsia="Arial Unicode MS"/>
        </w:rPr>
        <w:t>a generalised lack of trust in UK healthcare</w:t>
      </w:r>
      <w:r w:rsidR="00510249" w:rsidRPr="00D7142A">
        <w:rPr>
          <w:rFonts w:eastAsia="Arial Unicode MS"/>
        </w:rPr>
        <w:t xml:space="preserve">. As </w:t>
      </w:r>
      <w:r w:rsidR="00A047C5" w:rsidRPr="00D7142A">
        <w:rPr>
          <w:rFonts w:eastAsia="Arial Unicode MS"/>
        </w:rPr>
        <w:t xml:space="preserve">one </w:t>
      </w:r>
      <w:r w:rsidR="0007677A" w:rsidRPr="00D7142A">
        <w:rPr>
          <w:rFonts w:eastAsia="Arial Unicode MS"/>
        </w:rPr>
        <w:t>Polish woman put it</w:t>
      </w:r>
      <w:r w:rsidR="00A047C5" w:rsidRPr="00D7142A">
        <w:rPr>
          <w:rFonts w:eastAsia="Arial Unicode MS"/>
        </w:rPr>
        <w:t>:</w:t>
      </w:r>
      <w:r w:rsidR="0007677A" w:rsidRPr="00D7142A">
        <w:rPr>
          <w:rFonts w:eastAsia="Arial Unicode MS"/>
        </w:rPr>
        <w:t xml:space="preserve"> ‘</w:t>
      </w:r>
      <w:r w:rsidR="000D57B9" w:rsidRPr="00D7142A">
        <w:rPr>
          <w:rFonts w:eastAsia="Arial Unicode MS"/>
        </w:rPr>
        <w:t>I don’t trust English doctors after what I’ve heard’</w:t>
      </w:r>
      <w:r w:rsidR="005309F6" w:rsidRPr="00D7142A">
        <w:rPr>
          <w:rFonts w:eastAsia="Arial Unicode MS"/>
        </w:rPr>
        <w:t xml:space="preserve"> (</w:t>
      </w:r>
      <w:r w:rsidR="00BE521A" w:rsidRPr="00D7142A">
        <w:rPr>
          <w:rFonts w:eastAsia="Arial Unicode MS"/>
        </w:rPr>
        <w:t xml:space="preserve">28, </w:t>
      </w:r>
      <w:r w:rsidR="005309F6" w:rsidRPr="00D7142A">
        <w:rPr>
          <w:rFonts w:eastAsia="Arial Unicode MS"/>
        </w:rPr>
        <w:t>7y6m)</w:t>
      </w:r>
      <w:r w:rsidR="000D57B9" w:rsidRPr="00D7142A">
        <w:rPr>
          <w:rFonts w:eastAsia="Arial Unicode MS"/>
        </w:rPr>
        <w:t xml:space="preserve">. </w:t>
      </w:r>
      <w:r w:rsidR="00785B51" w:rsidRPr="00D7142A">
        <w:rPr>
          <w:rFonts w:eastAsia="Arial Unicode MS"/>
        </w:rPr>
        <w:t>‘</w:t>
      </w:r>
      <w:r w:rsidR="00831AF3" w:rsidRPr="00D7142A">
        <w:rPr>
          <w:rFonts w:eastAsia="Arial Unicode MS"/>
        </w:rPr>
        <w:t>I don't trust the NHS and the speed and level of care given in the UK</w:t>
      </w:r>
      <w:r w:rsidR="00785B51" w:rsidRPr="00D7142A">
        <w:rPr>
          <w:rFonts w:eastAsia="Arial Unicode MS"/>
        </w:rPr>
        <w:t xml:space="preserve">’, </w:t>
      </w:r>
      <w:r w:rsidR="00785B51" w:rsidRPr="00D7142A">
        <w:rPr>
          <w:rFonts w:eastAsia="Arial Unicode MS"/>
        </w:rPr>
        <w:lastRenderedPageBreak/>
        <w:t>wrote a 31-year-old German woman</w:t>
      </w:r>
      <w:r w:rsidR="0047617F" w:rsidRPr="00D7142A">
        <w:rPr>
          <w:rFonts w:eastAsia="Arial Unicode MS"/>
        </w:rPr>
        <w:t xml:space="preserve"> (6y)</w:t>
      </w:r>
      <w:r w:rsidR="002B3C5A" w:rsidRPr="00D7142A">
        <w:rPr>
          <w:rFonts w:eastAsia="Arial Unicode MS"/>
        </w:rPr>
        <w:t xml:space="preserve">. </w:t>
      </w:r>
      <w:r w:rsidR="001036EF" w:rsidRPr="00D7142A">
        <w:rPr>
          <w:rStyle w:val="Strong"/>
          <w:b w:val="0"/>
        </w:rPr>
        <w:t>Or as a 64-year-old Portuguese woman</w:t>
      </w:r>
      <w:r w:rsidR="00780CF3" w:rsidRPr="00D7142A">
        <w:rPr>
          <w:rStyle w:val="Strong"/>
          <w:b w:val="0"/>
        </w:rPr>
        <w:t xml:space="preserve"> </w:t>
      </w:r>
      <w:r w:rsidR="00F1702E" w:rsidRPr="00D7142A">
        <w:rPr>
          <w:rStyle w:val="Strong"/>
          <w:b w:val="0"/>
        </w:rPr>
        <w:t xml:space="preserve">who had been in the UK for almost sixteen years </w:t>
      </w:r>
      <w:r w:rsidR="00780CF3" w:rsidRPr="00D7142A">
        <w:rPr>
          <w:rStyle w:val="Strong"/>
          <w:b w:val="0"/>
        </w:rPr>
        <w:t>succinctly explained her preference for healthcare treatment in Portugal: ‘More confidence’</w:t>
      </w:r>
      <w:r w:rsidR="00EB213E" w:rsidRPr="00D7142A">
        <w:rPr>
          <w:rStyle w:val="Strong"/>
          <w:b w:val="0"/>
        </w:rPr>
        <w:t xml:space="preserve">. </w:t>
      </w:r>
    </w:p>
    <w:p w14:paraId="565A45F3" w14:textId="76030CCE" w:rsidR="00720813" w:rsidRPr="00D7142A" w:rsidRDefault="00B76A58" w:rsidP="00CF38E8">
      <w:pPr>
        <w:pStyle w:val="Newparagraph"/>
        <w:spacing w:line="480" w:lineRule="auto"/>
        <w:rPr>
          <w:color w:val="211D1E"/>
        </w:rPr>
      </w:pPr>
      <w:r w:rsidRPr="00D7142A">
        <w:rPr>
          <w:rStyle w:val="Strong"/>
          <w:b w:val="0"/>
        </w:rPr>
        <w:t xml:space="preserve">Such opinions echo </w:t>
      </w:r>
      <w:r w:rsidR="00B6520D" w:rsidRPr="00D7142A">
        <w:rPr>
          <w:rStyle w:val="Strong"/>
          <w:b w:val="0"/>
        </w:rPr>
        <w:t xml:space="preserve">those reported in other studies. </w:t>
      </w:r>
      <w:r w:rsidR="00CE3542" w:rsidRPr="00D7142A">
        <w:rPr>
          <w:rFonts w:eastAsia="Arial Unicode MS"/>
        </w:rPr>
        <w:t xml:space="preserve">According to </w:t>
      </w:r>
      <w:proofErr w:type="spellStart"/>
      <w:r w:rsidR="00CE3542" w:rsidRPr="00D7142A">
        <w:rPr>
          <w:rFonts w:eastAsia="Arial Unicode MS"/>
        </w:rPr>
        <w:t>Osipovič</w:t>
      </w:r>
      <w:proofErr w:type="spellEnd"/>
      <w:r w:rsidR="00CE3542" w:rsidRPr="00D7142A">
        <w:rPr>
          <w:rFonts w:eastAsia="Arial Unicode MS"/>
        </w:rPr>
        <w:t xml:space="preserve"> </w:t>
      </w:r>
      <w:r w:rsidR="00E34E1A" w:rsidRPr="00D7142A">
        <w:rPr>
          <w:rFonts w:eastAsia="Arial Unicode MS"/>
          <w:noProof/>
        </w:rPr>
        <w:t>(</w:t>
      </w:r>
      <w:r w:rsidR="00CD43DA" w:rsidRPr="00D7142A">
        <w:rPr>
          <w:rFonts w:eastAsia="Arial Unicode MS"/>
          <w:noProof/>
        </w:rPr>
        <w:t>2013: 106</w:t>
      </w:r>
      <w:r w:rsidR="00E34E1A" w:rsidRPr="00D7142A">
        <w:rPr>
          <w:rFonts w:eastAsia="Arial Unicode MS"/>
          <w:noProof/>
        </w:rPr>
        <w:t>)</w:t>
      </w:r>
      <w:r w:rsidR="00CE3542" w:rsidRPr="00D7142A">
        <w:rPr>
          <w:rFonts w:eastAsia="Arial Unicode MS"/>
        </w:rPr>
        <w:t xml:space="preserve">, ‘a dose of mistrust, unease and cultural unfamiliarity characterised [Polish] participants’ interactions with NHS </w:t>
      </w:r>
      <w:proofErr w:type="gramStart"/>
      <w:r w:rsidR="00CE3542" w:rsidRPr="00D7142A">
        <w:rPr>
          <w:rFonts w:eastAsia="Arial Unicode MS"/>
        </w:rPr>
        <w:t>professionals’</w:t>
      </w:r>
      <w:proofErr w:type="gramEnd"/>
      <w:r w:rsidR="00CE3542" w:rsidRPr="00D7142A">
        <w:rPr>
          <w:rFonts w:eastAsia="Arial Unicode MS"/>
        </w:rPr>
        <w:t xml:space="preserve">. Sime </w:t>
      </w:r>
      <w:r w:rsidR="00E34E1A" w:rsidRPr="00D7142A">
        <w:rPr>
          <w:rFonts w:eastAsia="Arial Unicode MS"/>
          <w:noProof/>
        </w:rPr>
        <w:t>(</w:t>
      </w:r>
      <w:r w:rsidR="00CD43DA" w:rsidRPr="00D7142A">
        <w:rPr>
          <w:rFonts w:eastAsia="Arial Unicode MS"/>
          <w:noProof/>
        </w:rPr>
        <w:t>2014: 91</w:t>
      </w:r>
      <w:r w:rsidR="00E34E1A" w:rsidRPr="00D7142A">
        <w:rPr>
          <w:rFonts w:eastAsia="Arial Unicode MS"/>
          <w:noProof/>
        </w:rPr>
        <w:t>)</w:t>
      </w:r>
      <w:r w:rsidR="00CE3542" w:rsidRPr="00D7142A">
        <w:rPr>
          <w:rFonts w:eastAsia="Arial Unicode MS"/>
        </w:rPr>
        <w:t xml:space="preserve"> similarly concludes that limited inter-cultural contact ‘</w:t>
      </w:r>
      <w:r w:rsidR="00CE3542" w:rsidRPr="00D7142A">
        <w:rPr>
          <w:color w:val="211D1E"/>
        </w:rPr>
        <w:t xml:space="preserve">impacts on [migrants’] access to information and is likely to initially make them untrusting of </w:t>
      </w:r>
      <w:proofErr w:type="gramStart"/>
      <w:r w:rsidR="00CE3542" w:rsidRPr="00D7142A">
        <w:rPr>
          <w:color w:val="211D1E"/>
        </w:rPr>
        <w:t>services’</w:t>
      </w:r>
      <w:proofErr w:type="gramEnd"/>
      <w:r w:rsidR="00CE3542" w:rsidRPr="00D7142A">
        <w:rPr>
          <w:color w:val="211D1E"/>
        </w:rPr>
        <w:t xml:space="preserve">. </w:t>
      </w:r>
      <w:r w:rsidR="00317563" w:rsidRPr="00D7142A">
        <w:rPr>
          <w:color w:val="211D1E"/>
        </w:rPr>
        <w:t xml:space="preserve">The mechanism that </w:t>
      </w:r>
      <w:r w:rsidR="005D7CE5" w:rsidRPr="00D7142A">
        <w:rPr>
          <w:color w:val="211D1E"/>
        </w:rPr>
        <w:t xml:space="preserve">emerges from these observations is one </w:t>
      </w:r>
      <w:r w:rsidR="009366B2" w:rsidRPr="00D7142A">
        <w:rPr>
          <w:color w:val="211D1E"/>
        </w:rPr>
        <w:t xml:space="preserve">through </w:t>
      </w:r>
      <w:r w:rsidR="0058026E" w:rsidRPr="00D7142A">
        <w:rPr>
          <w:color w:val="211D1E"/>
        </w:rPr>
        <w:t xml:space="preserve">which cultural distance </w:t>
      </w:r>
      <w:r w:rsidR="00F9691D" w:rsidRPr="00D7142A">
        <w:rPr>
          <w:color w:val="211D1E"/>
        </w:rPr>
        <w:t xml:space="preserve">and unfamiliarity with the system </w:t>
      </w:r>
      <w:r w:rsidR="00377977" w:rsidRPr="00D7142A">
        <w:rPr>
          <w:color w:val="211D1E"/>
        </w:rPr>
        <w:t>translate</w:t>
      </w:r>
      <w:r w:rsidR="008E5AEA" w:rsidRPr="00D7142A">
        <w:rPr>
          <w:color w:val="211D1E"/>
        </w:rPr>
        <w:t>s</w:t>
      </w:r>
      <w:r w:rsidR="00377977" w:rsidRPr="00D7142A">
        <w:rPr>
          <w:color w:val="211D1E"/>
        </w:rPr>
        <w:t xml:space="preserve"> into perceived discrimination</w:t>
      </w:r>
      <w:r w:rsidR="00193E2A" w:rsidRPr="00D7142A">
        <w:rPr>
          <w:color w:val="211D1E"/>
        </w:rPr>
        <w:t xml:space="preserve"> and lack of trust</w:t>
      </w:r>
      <w:r w:rsidR="008E5AEA" w:rsidRPr="00D7142A">
        <w:rPr>
          <w:color w:val="211D1E"/>
        </w:rPr>
        <w:t xml:space="preserve"> </w:t>
      </w:r>
      <w:r w:rsidR="00D232BA" w:rsidRPr="00D7142A">
        <w:rPr>
          <w:color w:val="211D1E"/>
        </w:rPr>
        <w:t xml:space="preserve">that </w:t>
      </w:r>
      <w:r w:rsidR="008E5AEA" w:rsidRPr="00D7142A">
        <w:rPr>
          <w:color w:val="211D1E"/>
        </w:rPr>
        <w:t xml:space="preserve">leads to </w:t>
      </w:r>
      <w:r w:rsidR="007945EF" w:rsidRPr="00D7142A">
        <w:rPr>
          <w:color w:val="211D1E"/>
        </w:rPr>
        <w:t xml:space="preserve">negative opinions regarding healthcare standards and a preference for treatment in the </w:t>
      </w:r>
      <w:proofErr w:type="spellStart"/>
      <w:r w:rsidR="0083518E" w:rsidRPr="00D7142A">
        <w:rPr>
          <w:color w:val="211D1E"/>
        </w:rPr>
        <w:t>CoO</w:t>
      </w:r>
      <w:proofErr w:type="spellEnd"/>
      <w:r w:rsidR="00E841C9" w:rsidRPr="00D7142A">
        <w:rPr>
          <w:color w:val="211D1E"/>
        </w:rPr>
        <w:t xml:space="preserve"> </w:t>
      </w:r>
      <w:r w:rsidR="0014028A" w:rsidRPr="00D7142A">
        <w:rPr>
          <w:noProof/>
          <w:color w:val="211D1E"/>
        </w:rPr>
        <w:t>(</w:t>
      </w:r>
      <w:r w:rsidR="00CD43DA" w:rsidRPr="00D7142A">
        <w:rPr>
          <w:noProof/>
          <w:color w:val="211D1E"/>
        </w:rPr>
        <w:t>see also Migge and Gilmartin, 2011</w:t>
      </w:r>
      <w:r w:rsidR="0014028A" w:rsidRPr="00D7142A">
        <w:rPr>
          <w:noProof/>
          <w:color w:val="211D1E"/>
        </w:rPr>
        <w:t>)</w:t>
      </w:r>
      <w:r w:rsidR="007945EF" w:rsidRPr="00D7142A">
        <w:rPr>
          <w:color w:val="211D1E"/>
        </w:rPr>
        <w:t>.</w:t>
      </w:r>
      <w:r w:rsidR="00681325" w:rsidRPr="00D7142A">
        <w:rPr>
          <w:color w:val="211D1E"/>
        </w:rPr>
        <w:t xml:space="preserve"> </w:t>
      </w:r>
    </w:p>
    <w:p w14:paraId="7BCD8959" w14:textId="0EC1712A" w:rsidR="00401DE6" w:rsidRPr="00D7142A" w:rsidRDefault="00CE3542" w:rsidP="00CF38E8">
      <w:pPr>
        <w:pStyle w:val="Newparagraph"/>
        <w:spacing w:line="480" w:lineRule="auto"/>
        <w:rPr>
          <w:rFonts w:eastAsia="Arial Unicode MS"/>
        </w:rPr>
      </w:pPr>
      <w:r w:rsidRPr="00D7142A">
        <w:rPr>
          <w:color w:val="211D1E"/>
        </w:rPr>
        <w:t xml:space="preserve">While Sime’s </w:t>
      </w:r>
      <w:r w:rsidR="00720813" w:rsidRPr="00D7142A">
        <w:rPr>
          <w:color w:val="211D1E"/>
        </w:rPr>
        <w:t xml:space="preserve">quoted </w:t>
      </w:r>
      <w:r w:rsidRPr="00D7142A">
        <w:rPr>
          <w:color w:val="211D1E"/>
        </w:rPr>
        <w:t xml:space="preserve">assessment implies that these attitudes and behaviours may change over time, </w:t>
      </w:r>
      <w:r w:rsidR="00CD43DA" w:rsidRPr="00D7142A">
        <w:rPr>
          <w:noProof/>
          <w:color w:val="211D1E"/>
        </w:rPr>
        <w:t>Ehata and Seeleib-Kaiser (2017: 190)</w:t>
      </w:r>
      <w:r w:rsidRPr="00D7142A">
        <w:rPr>
          <w:color w:val="211D1E"/>
        </w:rPr>
        <w:t xml:space="preserve"> find that ‘even after living in the UK for </w:t>
      </w:r>
      <w:proofErr w:type="gramStart"/>
      <w:r w:rsidRPr="00D7142A">
        <w:rPr>
          <w:color w:val="211D1E"/>
        </w:rPr>
        <w:t>a number of</w:t>
      </w:r>
      <w:proofErr w:type="gramEnd"/>
      <w:r w:rsidRPr="00D7142A">
        <w:rPr>
          <w:color w:val="211D1E"/>
        </w:rPr>
        <w:t xml:space="preserve"> years, a relatively high degree of uncertainty with regard to social rights’ persists among EU migrants, and therefore mistrust of health professionals and the quality of service may extend beyond the initial phase of migration.</w:t>
      </w:r>
      <w:r w:rsidR="00D16649" w:rsidRPr="00D7142A">
        <w:rPr>
          <w:color w:val="211D1E"/>
        </w:rPr>
        <w:t xml:space="preserve"> </w:t>
      </w:r>
      <w:r w:rsidR="00D82459" w:rsidRPr="00D7142A">
        <w:t xml:space="preserve">Our parallel statistical analysis appears to </w:t>
      </w:r>
      <w:r w:rsidR="00912F6C" w:rsidRPr="00D7142A">
        <w:t xml:space="preserve">provide more support to Sime’s </w:t>
      </w:r>
      <w:r w:rsidR="00982006" w:rsidRPr="00D7142A">
        <w:t>integrationist</w:t>
      </w:r>
      <w:r w:rsidR="003C4856" w:rsidRPr="00D7142A">
        <w:t xml:space="preserve"> </w:t>
      </w:r>
      <w:r w:rsidR="00FC67C7" w:rsidRPr="00D7142A">
        <w:t>expectations</w:t>
      </w:r>
      <w:r w:rsidR="00F529BF" w:rsidRPr="00D7142A">
        <w:t xml:space="preserve">, </w:t>
      </w:r>
      <w:r w:rsidR="00922561" w:rsidRPr="00D7142A">
        <w:t xml:space="preserve">finding a </w:t>
      </w:r>
      <w:r w:rsidR="00A563D6" w:rsidRPr="00D7142A">
        <w:t xml:space="preserve">statistically significant effect of </w:t>
      </w:r>
      <w:r w:rsidR="00E93E6A" w:rsidRPr="00D7142A">
        <w:t>length of residency on location preferences, although not on quality assessment</w:t>
      </w:r>
      <w:r w:rsidR="002F178D" w:rsidRPr="00D7142A">
        <w:t>s</w:t>
      </w:r>
      <w:r w:rsidR="004115F9" w:rsidRPr="00D7142A">
        <w:t xml:space="preserve"> </w:t>
      </w:r>
      <w:r w:rsidR="00724D75" w:rsidRPr="00D7142A">
        <w:rPr>
          <w:noProof/>
        </w:rPr>
        <w:t>(</w:t>
      </w:r>
      <w:r w:rsidR="00831512">
        <w:rPr>
          <w:noProof/>
        </w:rPr>
        <w:t>Moreh, McGhee and Vlachantoni, 2018</w:t>
      </w:r>
      <w:r w:rsidR="00724D75" w:rsidRPr="00D7142A">
        <w:rPr>
          <w:noProof/>
        </w:rPr>
        <w:t>)</w:t>
      </w:r>
      <w:r w:rsidR="000542F5" w:rsidRPr="00D7142A">
        <w:t>. S</w:t>
      </w:r>
      <w:r w:rsidR="004115F9" w:rsidRPr="00D7142A">
        <w:t xml:space="preserve">ome of the </w:t>
      </w:r>
      <w:r w:rsidR="000D0D97" w:rsidRPr="00D7142A">
        <w:t>qualitative responses</w:t>
      </w:r>
      <w:r w:rsidR="000542F5" w:rsidRPr="00D7142A">
        <w:t xml:space="preserve"> can help illustrate this</w:t>
      </w:r>
      <w:r w:rsidR="000D0D97" w:rsidRPr="00D7142A">
        <w:t>.</w:t>
      </w:r>
      <w:r w:rsidR="000872ED" w:rsidRPr="00D7142A">
        <w:t xml:space="preserve"> </w:t>
      </w:r>
      <w:r w:rsidR="000542F5" w:rsidRPr="00D7142A">
        <w:t>While s</w:t>
      </w:r>
      <w:r w:rsidR="00B61FD4" w:rsidRPr="00D7142A">
        <w:t>everal</w:t>
      </w:r>
      <w:r w:rsidR="009F308D" w:rsidRPr="00D7142A">
        <w:t xml:space="preserve"> </w:t>
      </w:r>
      <w:r w:rsidR="00B61FD4" w:rsidRPr="00D7142A">
        <w:rPr>
          <w:rFonts w:eastAsia="Arial Unicode MS"/>
        </w:rPr>
        <w:t>respondents with shorter residence histories in the UK had made a</w:t>
      </w:r>
      <w:r w:rsidR="00983C94" w:rsidRPr="00D7142A">
        <w:rPr>
          <w:rFonts w:eastAsia="Arial Unicode MS"/>
        </w:rPr>
        <w:t xml:space="preserve">n explicit </w:t>
      </w:r>
      <w:r w:rsidR="00B61FD4" w:rsidRPr="00D7142A">
        <w:rPr>
          <w:rFonts w:eastAsia="Arial Unicode MS"/>
        </w:rPr>
        <w:t>connection between familiarity and trust</w:t>
      </w:r>
      <w:r w:rsidR="009F308D" w:rsidRPr="00D7142A">
        <w:rPr>
          <w:rFonts w:eastAsia="Arial Unicode MS"/>
        </w:rPr>
        <w:t xml:space="preserve"> – ‘</w:t>
      </w:r>
      <w:r w:rsidR="00B61FD4" w:rsidRPr="00D7142A">
        <w:rPr>
          <w:rStyle w:val="Strong"/>
          <w:b w:val="0"/>
        </w:rPr>
        <w:t>The doctors who treat me already know me well and I feel more confidence</w:t>
      </w:r>
      <w:r w:rsidR="009F308D" w:rsidRPr="00D7142A">
        <w:rPr>
          <w:rStyle w:val="Strong"/>
          <w:b w:val="0"/>
        </w:rPr>
        <w:t xml:space="preserve">’ </w:t>
      </w:r>
      <w:r w:rsidR="00B61FD4" w:rsidRPr="00D7142A">
        <w:rPr>
          <w:rStyle w:val="Strong"/>
          <w:b w:val="0"/>
        </w:rPr>
        <w:t>(Portuguese, m, 28, 7m)</w:t>
      </w:r>
      <w:r w:rsidR="009F308D" w:rsidRPr="00D7142A">
        <w:rPr>
          <w:rStyle w:val="Strong"/>
          <w:b w:val="0"/>
        </w:rPr>
        <w:t>; ‘</w:t>
      </w:r>
      <w:r w:rsidR="00B61FD4" w:rsidRPr="00D7142A">
        <w:rPr>
          <w:rStyle w:val="Strong"/>
          <w:b w:val="0"/>
        </w:rPr>
        <w:t>I trust and know the system of my own country better than the British system</w:t>
      </w:r>
      <w:r w:rsidR="00A0476C" w:rsidRPr="00D7142A">
        <w:rPr>
          <w:rStyle w:val="Strong"/>
          <w:b w:val="0"/>
        </w:rPr>
        <w:t>’</w:t>
      </w:r>
      <w:r w:rsidR="00B61FD4" w:rsidRPr="00D7142A">
        <w:rPr>
          <w:rStyle w:val="Strong"/>
          <w:b w:val="0"/>
        </w:rPr>
        <w:t xml:space="preserve"> (Spanish, f, 19, 9m)</w:t>
      </w:r>
      <w:r w:rsidR="00A0476C" w:rsidRPr="00D7142A">
        <w:rPr>
          <w:rStyle w:val="Strong"/>
          <w:b w:val="0"/>
        </w:rPr>
        <w:t xml:space="preserve"> –</w:t>
      </w:r>
      <w:r w:rsidR="00EE0A49" w:rsidRPr="00D7142A">
        <w:rPr>
          <w:rStyle w:val="Strong"/>
          <w:b w:val="0"/>
        </w:rPr>
        <w:t xml:space="preserve"> </w:t>
      </w:r>
      <w:r w:rsidR="00686E12" w:rsidRPr="00D7142A">
        <w:rPr>
          <w:rStyle w:val="Strong"/>
          <w:b w:val="0"/>
        </w:rPr>
        <w:t xml:space="preserve">many of </w:t>
      </w:r>
      <w:r w:rsidR="002C6C86" w:rsidRPr="00D7142A">
        <w:rPr>
          <w:rStyle w:val="Strong"/>
          <w:b w:val="0"/>
        </w:rPr>
        <w:t>th</w:t>
      </w:r>
      <w:r w:rsidR="00EE0A49" w:rsidRPr="00D7142A">
        <w:rPr>
          <w:rStyle w:val="Strong"/>
          <w:b w:val="0"/>
        </w:rPr>
        <w:t>e more established UK residents</w:t>
      </w:r>
      <w:r w:rsidR="008B5915" w:rsidRPr="00D7142A">
        <w:rPr>
          <w:rStyle w:val="Strong"/>
          <w:b w:val="0"/>
        </w:rPr>
        <w:t xml:space="preserve"> </w:t>
      </w:r>
      <w:r w:rsidR="00847E58" w:rsidRPr="00D7142A">
        <w:rPr>
          <w:rStyle w:val="Strong"/>
          <w:b w:val="0"/>
        </w:rPr>
        <w:t xml:space="preserve">provided </w:t>
      </w:r>
      <w:r w:rsidR="00F50B4E" w:rsidRPr="00D7142A">
        <w:rPr>
          <w:rStyle w:val="Strong"/>
          <w:b w:val="0"/>
        </w:rPr>
        <w:t>more carefully crafted explanations</w:t>
      </w:r>
      <w:r w:rsidR="00363A7C" w:rsidRPr="00D7142A">
        <w:rPr>
          <w:rStyle w:val="Strong"/>
          <w:b w:val="0"/>
        </w:rPr>
        <w:t xml:space="preserve">, like: </w:t>
      </w:r>
      <w:r w:rsidR="000460AA" w:rsidRPr="00D7142A">
        <w:t>‘</w:t>
      </w:r>
      <w:r w:rsidR="00BC4D32" w:rsidRPr="00D7142A">
        <w:rPr>
          <w:rStyle w:val="Strong"/>
          <w:b w:val="0"/>
        </w:rPr>
        <w:t>Medical care in my country of origin is better, but after all I’ve been here 20 years and therefore would probably trust the NHS</w:t>
      </w:r>
      <w:r w:rsidR="000460AA" w:rsidRPr="00D7142A">
        <w:rPr>
          <w:rStyle w:val="Strong"/>
          <w:b w:val="0"/>
        </w:rPr>
        <w:t>’</w:t>
      </w:r>
      <w:r w:rsidR="00BC4D32" w:rsidRPr="00D7142A">
        <w:rPr>
          <w:rStyle w:val="Strong"/>
          <w:b w:val="0"/>
        </w:rPr>
        <w:t xml:space="preserve"> (Finnish, f, 55</w:t>
      </w:r>
      <w:r w:rsidR="00395EF9" w:rsidRPr="00D7142A">
        <w:rPr>
          <w:rStyle w:val="Strong"/>
          <w:b w:val="0"/>
        </w:rPr>
        <w:t>, 21y1m</w:t>
      </w:r>
      <w:r w:rsidR="00BC4D32" w:rsidRPr="00D7142A">
        <w:rPr>
          <w:rStyle w:val="Strong"/>
          <w:b w:val="0"/>
        </w:rPr>
        <w:t>)</w:t>
      </w:r>
      <w:r w:rsidR="000460AA" w:rsidRPr="00D7142A">
        <w:rPr>
          <w:rStyle w:val="Strong"/>
          <w:b w:val="0"/>
        </w:rPr>
        <w:t>. Similarly, a 30-year-old</w:t>
      </w:r>
      <w:r w:rsidR="00E46084" w:rsidRPr="00D7142A">
        <w:rPr>
          <w:rStyle w:val="Strong"/>
          <w:b w:val="0"/>
        </w:rPr>
        <w:t xml:space="preserve"> Polish woman</w:t>
      </w:r>
      <w:r w:rsidR="005D0341" w:rsidRPr="00D7142A">
        <w:rPr>
          <w:rStyle w:val="Strong"/>
          <w:b w:val="0"/>
        </w:rPr>
        <w:t xml:space="preserve"> (6y2m)</w:t>
      </w:r>
      <w:r w:rsidR="00E46084" w:rsidRPr="00D7142A">
        <w:rPr>
          <w:rStyle w:val="Strong"/>
          <w:b w:val="0"/>
        </w:rPr>
        <w:t xml:space="preserve"> </w:t>
      </w:r>
      <w:r w:rsidR="000D7FE8" w:rsidRPr="00D7142A">
        <w:rPr>
          <w:rStyle w:val="Strong"/>
          <w:b w:val="0"/>
        </w:rPr>
        <w:t>would prefer treatment in the UK because ‘</w:t>
      </w:r>
      <w:r w:rsidR="00AB15FF" w:rsidRPr="00D7142A">
        <w:rPr>
          <w:rFonts w:eastAsia="Arial Unicode MS"/>
        </w:rPr>
        <w:t xml:space="preserve">I live </w:t>
      </w:r>
      <w:r w:rsidR="00AB15FF" w:rsidRPr="00D7142A">
        <w:rPr>
          <w:rFonts w:eastAsia="Arial Unicode MS"/>
        </w:rPr>
        <w:lastRenderedPageBreak/>
        <w:t>here and so I trust this country’s health service</w:t>
      </w:r>
      <w:r w:rsidR="000D7FE8" w:rsidRPr="00D7142A">
        <w:rPr>
          <w:rFonts w:eastAsia="Arial Unicode MS"/>
        </w:rPr>
        <w:t>’</w:t>
      </w:r>
      <w:r w:rsidR="00A72405" w:rsidRPr="00D7142A">
        <w:rPr>
          <w:rFonts w:eastAsia="Arial Unicode MS"/>
        </w:rPr>
        <w:t>.</w:t>
      </w:r>
      <w:r w:rsidR="00A67294" w:rsidRPr="00D7142A">
        <w:rPr>
          <w:rFonts w:eastAsia="Arial Unicode MS"/>
        </w:rPr>
        <w:t xml:space="preserve"> Trust, in </w:t>
      </w:r>
      <w:r w:rsidR="008E1DD9" w:rsidRPr="00D7142A">
        <w:rPr>
          <w:rFonts w:eastAsia="Arial Unicode MS"/>
        </w:rPr>
        <w:t>their</w:t>
      </w:r>
      <w:r w:rsidR="00A67294" w:rsidRPr="00D7142A">
        <w:rPr>
          <w:rFonts w:eastAsia="Arial Unicode MS"/>
        </w:rPr>
        <w:t xml:space="preserve"> case, seems to </w:t>
      </w:r>
      <w:r w:rsidR="00974FBC" w:rsidRPr="00D7142A">
        <w:rPr>
          <w:rFonts w:eastAsia="Arial Unicode MS"/>
        </w:rPr>
        <w:t xml:space="preserve">relate to the factual </w:t>
      </w:r>
      <w:r w:rsidR="00A172F2" w:rsidRPr="00D7142A">
        <w:rPr>
          <w:rFonts w:eastAsia="Arial Unicode MS"/>
        </w:rPr>
        <w:t>reality</w:t>
      </w:r>
      <w:r w:rsidR="00B951A1" w:rsidRPr="00D7142A">
        <w:rPr>
          <w:rFonts w:eastAsia="Arial Unicode MS"/>
        </w:rPr>
        <w:t xml:space="preserve"> or a rather </w:t>
      </w:r>
      <w:r w:rsidR="00BA6672" w:rsidRPr="00D7142A">
        <w:rPr>
          <w:rFonts w:eastAsia="Arial Unicode MS"/>
        </w:rPr>
        <w:t xml:space="preserve">more ambiguous </w:t>
      </w:r>
      <w:r w:rsidR="005D7EBE" w:rsidRPr="00D7142A">
        <w:rPr>
          <w:rFonts w:eastAsia="Arial Unicode MS"/>
        </w:rPr>
        <w:t>moral imperative</w:t>
      </w:r>
      <w:r w:rsidR="00A172F2" w:rsidRPr="00D7142A">
        <w:rPr>
          <w:rFonts w:eastAsia="Arial Unicode MS"/>
        </w:rPr>
        <w:t xml:space="preserve"> </w:t>
      </w:r>
      <w:r w:rsidR="00017353" w:rsidRPr="00D7142A">
        <w:rPr>
          <w:rFonts w:eastAsia="Arial Unicode MS"/>
        </w:rPr>
        <w:t xml:space="preserve">stemming from </w:t>
      </w:r>
      <w:r w:rsidR="00A172F2" w:rsidRPr="00D7142A">
        <w:rPr>
          <w:rFonts w:eastAsia="Arial Unicode MS"/>
          <w:i/>
          <w:iCs/>
        </w:rPr>
        <w:t>residence</w:t>
      </w:r>
      <w:r w:rsidR="00A172F2" w:rsidRPr="00D7142A">
        <w:rPr>
          <w:rFonts w:eastAsia="Arial Unicode MS"/>
        </w:rPr>
        <w:t xml:space="preserve"> in the UK.</w:t>
      </w:r>
      <w:r w:rsidR="005E112D" w:rsidRPr="00D7142A">
        <w:rPr>
          <w:rFonts w:eastAsia="Arial Unicode MS"/>
        </w:rPr>
        <w:t xml:space="preserve"> </w:t>
      </w:r>
    </w:p>
    <w:p w14:paraId="3068D906" w14:textId="60F78370" w:rsidR="008B1783" w:rsidRPr="00D7142A" w:rsidRDefault="008B1783" w:rsidP="00811112">
      <w:pPr>
        <w:pStyle w:val="Heading2"/>
      </w:pPr>
      <w:r w:rsidRPr="00D7142A">
        <w:t>5.</w:t>
      </w:r>
      <w:r w:rsidR="00B84541" w:rsidRPr="00D7142A">
        <w:t>3</w:t>
      </w:r>
      <w:r w:rsidRPr="00D7142A">
        <w:t>. The ambiguities of culture</w:t>
      </w:r>
    </w:p>
    <w:p w14:paraId="37A8ECBF" w14:textId="1694072F" w:rsidR="004E5168" w:rsidRPr="00D7142A" w:rsidRDefault="00DE7153" w:rsidP="00CF38E8">
      <w:pPr>
        <w:pStyle w:val="Newparagraph"/>
        <w:spacing w:line="480" w:lineRule="auto"/>
        <w:rPr>
          <w:rFonts w:eastAsia="Arial Unicode MS"/>
          <w:color w:val="FF0000"/>
        </w:rPr>
      </w:pPr>
      <w:r w:rsidRPr="00D7142A">
        <w:rPr>
          <w:rFonts w:eastAsia="Arial Unicode MS"/>
        </w:rPr>
        <w:t>The difficulties raised by ‘cultural unfamiliarity’</w:t>
      </w:r>
      <w:r w:rsidR="001D08A8" w:rsidRPr="00D7142A">
        <w:rPr>
          <w:rFonts w:eastAsia="Arial Unicode MS"/>
        </w:rPr>
        <w:t xml:space="preserve"> mentioned by </w:t>
      </w:r>
      <w:r w:rsidR="00CD43DA" w:rsidRPr="00D7142A">
        <w:rPr>
          <w:rFonts w:eastAsia="Arial Unicode MS"/>
          <w:noProof/>
        </w:rPr>
        <w:t>Osipovič (2013)</w:t>
      </w:r>
      <w:r w:rsidR="001D08A8" w:rsidRPr="00D7142A">
        <w:rPr>
          <w:rFonts w:eastAsia="Arial Unicode MS"/>
        </w:rPr>
        <w:t xml:space="preserve"> </w:t>
      </w:r>
      <w:r w:rsidR="0036160D" w:rsidRPr="00D7142A">
        <w:rPr>
          <w:rFonts w:eastAsia="Arial Unicode MS"/>
        </w:rPr>
        <w:t xml:space="preserve">derive from </w:t>
      </w:r>
      <w:r w:rsidR="00253866" w:rsidRPr="00D7142A">
        <w:rPr>
          <w:rFonts w:eastAsia="Arial Unicode MS"/>
        </w:rPr>
        <w:t xml:space="preserve">a broader set of differences </w:t>
      </w:r>
      <w:r w:rsidR="00483E34" w:rsidRPr="00D7142A">
        <w:rPr>
          <w:rFonts w:eastAsia="Arial Unicode MS"/>
        </w:rPr>
        <w:t>between</w:t>
      </w:r>
      <w:r w:rsidR="00253866" w:rsidRPr="00D7142A">
        <w:rPr>
          <w:rFonts w:eastAsia="Arial Unicode MS"/>
        </w:rPr>
        <w:t xml:space="preserve"> what could be called ‘treatment </w:t>
      </w:r>
      <w:proofErr w:type="gramStart"/>
      <w:r w:rsidR="00253866" w:rsidRPr="00D7142A">
        <w:rPr>
          <w:rFonts w:eastAsia="Arial Unicode MS"/>
        </w:rPr>
        <w:t>cultures’</w:t>
      </w:r>
      <w:proofErr w:type="gramEnd"/>
      <w:r w:rsidR="00253866" w:rsidRPr="00D7142A">
        <w:rPr>
          <w:rFonts w:eastAsia="Arial Unicode MS"/>
        </w:rPr>
        <w:t>.</w:t>
      </w:r>
      <w:r w:rsidR="00483E34" w:rsidRPr="00D7142A">
        <w:rPr>
          <w:rFonts w:eastAsia="Arial Unicode MS"/>
        </w:rPr>
        <w:t xml:space="preserve"> Two specific issues emerged from our data </w:t>
      </w:r>
      <w:r w:rsidR="000E2728" w:rsidRPr="00D7142A">
        <w:rPr>
          <w:rFonts w:eastAsia="Arial Unicode MS"/>
        </w:rPr>
        <w:t>that can be related to such differences</w:t>
      </w:r>
      <w:r w:rsidR="003357BA" w:rsidRPr="00D7142A">
        <w:rPr>
          <w:rFonts w:eastAsia="Arial Unicode MS"/>
        </w:rPr>
        <w:t xml:space="preserve">: </w:t>
      </w:r>
      <w:r w:rsidR="004F78E2" w:rsidRPr="00D7142A">
        <w:rPr>
          <w:rFonts w:eastAsia="Arial Unicode MS"/>
        </w:rPr>
        <w:t xml:space="preserve">one was the </w:t>
      </w:r>
      <w:r w:rsidR="008B1783" w:rsidRPr="00D7142A">
        <w:rPr>
          <w:rFonts w:eastAsia="Arial Unicode MS"/>
        </w:rPr>
        <w:t xml:space="preserve">alleged practice by UK </w:t>
      </w:r>
      <w:r w:rsidR="004F78E2" w:rsidRPr="00D7142A">
        <w:rPr>
          <w:rFonts w:eastAsia="Arial Unicode MS"/>
        </w:rPr>
        <w:t>GPs</w:t>
      </w:r>
      <w:r w:rsidR="008B1783" w:rsidRPr="00D7142A">
        <w:rPr>
          <w:rFonts w:eastAsia="Arial Unicode MS"/>
        </w:rPr>
        <w:t xml:space="preserve"> to dispense ‘paracetamol’ for any medical condition while being overcautious about prescribing antibiotics</w:t>
      </w:r>
      <w:r w:rsidR="00866588" w:rsidRPr="00D7142A">
        <w:rPr>
          <w:rFonts w:eastAsia="Arial Unicode MS"/>
        </w:rPr>
        <w:t xml:space="preserve">; the other was </w:t>
      </w:r>
      <w:r w:rsidR="00925BD4" w:rsidRPr="00D7142A">
        <w:rPr>
          <w:rFonts w:eastAsia="Arial Unicode MS"/>
        </w:rPr>
        <w:t xml:space="preserve">perceived corruption in </w:t>
      </w:r>
      <w:r w:rsidR="00BF2587" w:rsidRPr="00D7142A">
        <w:rPr>
          <w:rFonts w:eastAsia="Arial Unicode MS"/>
        </w:rPr>
        <w:t xml:space="preserve">the </w:t>
      </w:r>
      <w:r w:rsidR="003B6B25" w:rsidRPr="00D7142A">
        <w:rPr>
          <w:rFonts w:eastAsia="Arial Unicode MS"/>
        </w:rPr>
        <w:t>healthcare systems of the countries of origin</w:t>
      </w:r>
      <w:r w:rsidR="00455835" w:rsidRPr="00D7142A">
        <w:rPr>
          <w:rFonts w:eastAsia="Arial Unicode MS"/>
        </w:rPr>
        <w:t>, specifically through the widespread expectation of ‘</w:t>
      </w:r>
      <w:proofErr w:type="gramStart"/>
      <w:r w:rsidR="00455835" w:rsidRPr="00D7142A">
        <w:rPr>
          <w:rFonts w:eastAsia="Arial Unicode MS"/>
        </w:rPr>
        <w:t>bribes’</w:t>
      </w:r>
      <w:proofErr w:type="gramEnd"/>
      <w:r w:rsidR="00455835" w:rsidRPr="00D7142A">
        <w:rPr>
          <w:rFonts w:eastAsia="Arial Unicode MS"/>
        </w:rPr>
        <w:t xml:space="preserve"> </w:t>
      </w:r>
      <w:r w:rsidR="00314A07" w:rsidRPr="00D7142A">
        <w:rPr>
          <w:rFonts w:eastAsia="Arial Unicode MS"/>
        </w:rPr>
        <w:t>and informal payments</w:t>
      </w:r>
      <w:r w:rsidR="00CA310A" w:rsidRPr="00D7142A">
        <w:rPr>
          <w:rFonts w:eastAsia="Arial Unicode MS"/>
        </w:rPr>
        <w:t xml:space="preserve"> for various services</w:t>
      </w:r>
      <w:r w:rsidR="00CF555E" w:rsidRPr="00D7142A">
        <w:rPr>
          <w:rFonts w:eastAsia="Arial Unicode MS"/>
        </w:rPr>
        <w:t>.</w:t>
      </w:r>
      <w:r w:rsidR="00CA310A" w:rsidRPr="00D7142A">
        <w:rPr>
          <w:rFonts w:eastAsia="Arial Unicode MS"/>
        </w:rPr>
        <w:t xml:space="preserve"> </w:t>
      </w:r>
      <w:r w:rsidR="00E60E7E" w:rsidRPr="00D7142A">
        <w:rPr>
          <w:rFonts w:eastAsia="Arial Unicode MS"/>
        </w:rPr>
        <w:t xml:space="preserve">In our data </w:t>
      </w:r>
      <w:r w:rsidR="00BE3D52" w:rsidRPr="00D7142A">
        <w:rPr>
          <w:rFonts w:eastAsia="Arial Unicode MS"/>
        </w:rPr>
        <w:t xml:space="preserve">the two </w:t>
      </w:r>
      <w:r w:rsidR="002F7EF4" w:rsidRPr="00D7142A">
        <w:rPr>
          <w:rFonts w:eastAsia="Arial Unicode MS"/>
        </w:rPr>
        <w:t>emerged as</w:t>
      </w:r>
      <w:r w:rsidR="00BE3D52" w:rsidRPr="00D7142A">
        <w:rPr>
          <w:rFonts w:eastAsia="Arial Unicode MS"/>
        </w:rPr>
        <w:t xml:space="preserve"> </w:t>
      </w:r>
      <w:r w:rsidR="00664CC0" w:rsidRPr="00D7142A">
        <w:rPr>
          <w:rFonts w:eastAsia="Arial Unicode MS"/>
        </w:rPr>
        <w:t xml:space="preserve">distinct influences on preferences for either </w:t>
      </w:r>
      <w:proofErr w:type="spellStart"/>
      <w:r w:rsidR="00664CC0" w:rsidRPr="00D7142A">
        <w:rPr>
          <w:rFonts w:eastAsia="Arial Unicode MS"/>
        </w:rPr>
        <w:t>CoO</w:t>
      </w:r>
      <w:proofErr w:type="spellEnd"/>
      <w:r w:rsidR="00664CC0" w:rsidRPr="00D7142A">
        <w:rPr>
          <w:rFonts w:eastAsia="Arial Unicode MS"/>
        </w:rPr>
        <w:t xml:space="preserve"> or UK</w:t>
      </w:r>
      <w:r w:rsidR="002F7EF4" w:rsidRPr="00D7142A">
        <w:rPr>
          <w:rFonts w:eastAsia="Arial Unicode MS"/>
        </w:rPr>
        <w:t xml:space="preserve"> treatment</w:t>
      </w:r>
      <w:r w:rsidR="00255290" w:rsidRPr="00D7142A">
        <w:rPr>
          <w:rFonts w:eastAsia="Arial Unicode MS"/>
        </w:rPr>
        <w:t xml:space="preserve"> (Table </w:t>
      </w:r>
      <w:r w:rsidR="007B2BBA" w:rsidRPr="00D7142A">
        <w:rPr>
          <w:rFonts w:eastAsia="Arial Unicode MS"/>
        </w:rPr>
        <w:t>4</w:t>
      </w:r>
      <w:r w:rsidR="00255290" w:rsidRPr="00D7142A">
        <w:rPr>
          <w:rFonts w:eastAsia="Arial Unicode MS"/>
        </w:rPr>
        <w:t xml:space="preserve">). </w:t>
      </w:r>
    </w:p>
    <w:p w14:paraId="1C05C5C2" w14:textId="47DD91A2" w:rsidR="004E5168" w:rsidRPr="00D7142A" w:rsidRDefault="006E3363" w:rsidP="00CF38E8">
      <w:pPr>
        <w:pStyle w:val="Newparagraph"/>
        <w:spacing w:line="480" w:lineRule="auto"/>
        <w:rPr>
          <w:rFonts w:eastAsia="Arial Unicode MS"/>
        </w:rPr>
      </w:pPr>
      <w:r w:rsidRPr="00D7142A">
        <w:rPr>
          <w:rFonts w:eastAsia="Arial Unicode MS"/>
        </w:rPr>
        <w:t>‘T</w:t>
      </w:r>
      <w:r w:rsidR="00763EB7" w:rsidRPr="00D7142A">
        <w:rPr>
          <w:rFonts w:eastAsia="Arial Unicode MS"/>
        </w:rPr>
        <w:t>h</w:t>
      </w:r>
      <w:r w:rsidRPr="00D7142A">
        <w:rPr>
          <w:rFonts w:eastAsia="Arial Unicode MS"/>
        </w:rPr>
        <w:t>e problem is</w:t>
      </w:r>
      <w:r w:rsidR="00763EB7" w:rsidRPr="00D7142A">
        <w:rPr>
          <w:rFonts w:eastAsia="Arial Unicode MS"/>
        </w:rPr>
        <w:t xml:space="preserve">’, </w:t>
      </w:r>
      <w:r w:rsidR="003B404F" w:rsidRPr="00D7142A">
        <w:rPr>
          <w:rFonts w:eastAsia="Arial Unicode MS"/>
        </w:rPr>
        <w:t>explained</w:t>
      </w:r>
      <w:r w:rsidR="00EC01F1" w:rsidRPr="00D7142A">
        <w:rPr>
          <w:rFonts w:eastAsia="Arial Unicode MS"/>
        </w:rPr>
        <w:t xml:space="preserve"> one participant, </w:t>
      </w:r>
    </w:p>
    <w:p w14:paraId="49A03038" w14:textId="486EA6E1" w:rsidR="00EC01F1" w:rsidRPr="00D7142A" w:rsidRDefault="00EC01F1" w:rsidP="00CF38E8">
      <w:pPr>
        <w:pStyle w:val="Quote"/>
        <w:spacing w:line="480" w:lineRule="auto"/>
        <w:jc w:val="both"/>
        <w:rPr>
          <w:b/>
        </w:rPr>
      </w:pPr>
      <w:r w:rsidRPr="00D7142A">
        <w:rPr>
          <w:rStyle w:val="Strong"/>
          <w:b w:val="0"/>
        </w:rPr>
        <w:t>that doctors in England prescribe paracetamol for everything... even when my son broke his thumb, they gave him paracetamol and nothing else; it's a complete joke. I had to ask for an x-ray, beg even, because they wouldn’t do it. They did apologise later; it is horrific. (Polish, f, 37</w:t>
      </w:r>
      <w:r w:rsidR="00321D31" w:rsidRPr="00D7142A">
        <w:rPr>
          <w:rStyle w:val="Strong"/>
          <w:b w:val="0"/>
        </w:rPr>
        <w:t>, 8y7m</w:t>
      </w:r>
      <w:r w:rsidRPr="00D7142A">
        <w:rPr>
          <w:rStyle w:val="Strong"/>
          <w:b w:val="0"/>
        </w:rPr>
        <w:t>)</w:t>
      </w:r>
    </w:p>
    <w:p w14:paraId="5BEC63DD" w14:textId="653A320B" w:rsidR="008E4614" w:rsidRPr="00D7142A" w:rsidRDefault="005D05CA" w:rsidP="00CF38E8">
      <w:pPr>
        <w:pStyle w:val="Newparagraph"/>
        <w:spacing w:line="480" w:lineRule="auto"/>
      </w:pPr>
      <w:r w:rsidRPr="00D7142A">
        <w:t xml:space="preserve">Compared to this, in Poland there are </w:t>
      </w:r>
      <w:r w:rsidR="0083518E" w:rsidRPr="00D7142A">
        <w:rPr>
          <w:rFonts w:eastAsia="Arial Unicode MS"/>
        </w:rPr>
        <w:t>‘</w:t>
      </w:r>
      <w:r w:rsidRPr="00D7142A">
        <w:t>Definitely better doctors. No treating with paracetamol etc !!!</w:t>
      </w:r>
      <w:r w:rsidR="0083518E" w:rsidRPr="00D7142A">
        <w:t>’</w:t>
      </w:r>
      <w:r w:rsidRPr="00D7142A">
        <w:t xml:space="preserve"> (Polish, m, 34, 3y7m). </w:t>
      </w:r>
      <w:r w:rsidR="006B2144" w:rsidRPr="00D7142A">
        <w:rPr>
          <w:rFonts w:eastAsia="Arial Unicode MS"/>
        </w:rPr>
        <w:t xml:space="preserve">According to a </w:t>
      </w:r>
      <w:r w:rsidR="00067B44" w:rsidRPr="00D7142A">
        <w:rPr>
          <w:rFonts w:eastAsia="Arial Unicode MS"/>
        </w:rPr>
        <w:t xml:space="preserve">34-year-old German woman </w:t>
      </w:r>
      <w:r w:rsidR="00067B44" w:rsidRPr="00D7142A">
        <w:t xml:space="preserve">(10y5m), </w:t>
      </w:r>
      <w:r w:rsidR="0083518E" w:rsidRPr="00D7142A">
        <w:t>‘</w:t>
      </w:r>
      <w:r w:rsidR="00067B44" w:rsidRPr="00D7142A">
        <w:t>Most times one gets sen</w:t>
      </w:r>
      <w:r w:rsidR="00F43495" w:rsidRPr="00D7142A">
        <w:t>t</w:t>
      </w:r>
      <w:r w:rsidR="00067B44" w:rsidRPr="00D7142A">
        <w:t xml:space="preserve"> to the pharmacy to buy ibuprofen - seems to be the medication of choice for everything</w:t>
      </w:r>
      <w:r w:rsidR="0083518E" w:rsidRPr="00D7142A">
        <w:t>’</w:t>
      </w:r>
      <w:r w:rsidR="00067B44" w:rsidRPr="00D7142A">
        <w:t>.</w:t>
      </w:r>
      <w:r w:rsidR="00434DCE" w:rsidRPr="00D7142A">
        <w:t xml:space="preserve"> </w:t>
      </w:r>
    </w:p>
    <w:p w14:paraId="1CD05860" w14:textId="68510DD8" w:rsidR="002F4DAD" w:rsidRPr="00D7142A" w:rsidRDefault="002F4DAD" w:rsidP="00CF38E8">
      <w:pPr>
        <w:pStyle w:val="Newparagraph"/>
        <w:spacing w:line="480" w:lineRule="auto"/>
      </w:pPr>
      <w:r w:rsidRPr="00D7142A">
        <w:t xml:space="preserve">Complaints along these lines are </w:t>
      </w:r>
      <w:r w:rsidRPr="00D7142A">
        <w:rPr>
          <w:rFonts w:eastAsia="Arial Unicode MS"/>
        </w:rPr>
        <w:t xml:space="preserve">well-documented in the </w:t>
      </w:r>
      <w:r w:rsidR="000B60F6" w:rsidRPr="00D7142A">
        <w:rPr>
          <w:rFonts w:eastAsia="Arial Unicode MS"/>
        </w:rPr>
        <w:t xml:space="preserve">qualitative </w:t>
      </w:r>
      <w:r w:rsidRPr="00D7142A">
        <w:rPr>
          <w:rFonts w:eastAsia="Arial Unicode MS"/>
        </w:rPr>
        <w:t xml:space="preserve">literature </w:t>
      </w:r>
      <w:r w:rsidR="00E34E1A" w:rsidRPr="00D7142A">
        <w:rPr>
          <w:rFonts w:eastAsia="Arial Unicode MS"/>
          <w:noProof/>
        </w:rPr>
        <w:t>(</w:t>
      </w:r>
      <w:r w:rsidR="00CD43DA" w:rsidRPr="00D7142A">
        <w:rPr>
          <w:rFonts w:eastAsia="Arial Unicode MS"/>
          <w:noProof/>
        </w:rPr>
        <w:t>Ehata and Seeleib-Kaiser, 2017</w:t>
      </w:r>
      <w:r w:rsidR="00E34E1A" w:rsidRPr="00D7142A">
        <w:rPr>
          <w:rFonts w:eastAsia="Arial Unicode MS"/>
          <w:noProof/>
        </w:rPr>
        <w:t xml:space="preserve">; </w:t>
      </w:r>
      <w:r w:rsidR="00CD43DA" w:rsidRPr="00D7142A">
        <w:rPr>
          <w:rFonts w:eastAsia="Arial Unicode MS"/>
          <w:noProof/>
        </w:rPr>
        <w:t>Goodwin, Polek, and Goodwin, 2013</w:t>
      </w:r>
      <w:r w:rsidR="00E34E1A" w:rsidRPr="00D7142A">
        <w:rPr>
          <w:rFonts w:eastAsia="Arial Unicode MS"/>
          <w:noProof/>
        </w:rPr>
        <w:t xml:space="preserve">; </w:t>
      </w:r>
      <w:r w:rsidR="00CD43DA" w:rsidRPr="00D7142A">
        <w:rPr>
          <w:rFonts w:eastAsia="Arial Unicode MS"/>
          <w:noProof/>
        </w:rPr>
        <w:t>Lindenmeyer et al., 2016</w:t>
      </w:r>
      <w:r w:rsidR="00E34E1A" w:rsidRPr="00D7142A">
        <w:rPr>
          <w:rFonts w:eastAsia="Arial Unicode MS"/>
          <w:noProof/>
        </w:rPr>
        <w:t xml:space="preserve">; </w:t>
      </w:r>
      <w:r w:rsidR="00CD43DA" w:rsidRPr="00D7142A">
        <w:rPr>
          <w:rFonts w:eastAsia="Arial Unicode MS"/>
          <w:noProof/>
        </w:rPr>
        <w:t>Madden et al., 2017</w:t>
      </w:r>
      <w:r w:rsidR="00E34E1A" w:rsidRPr="00D7142A">
        <w:rPr>
          <w:rFonts w:eastAsia="Arial Unicode MS"/>
          <w:noProof/>
        </w:rPr>
        <w:t>)</w:t>
      </w:r>
      <w:r w:rsidR="006F247B" w:rsidRPr="00D7142A">
        <w:rPr>
          <w:rFonts w:eastAsia="Arial Unicode MS"/>
        </w:rPr>
        <w:t xml:space="preserve">, and beyond individual perceptions they are </w:t>
      </w:r>
      <w:r w:rsidR="006F247B" w:rsidRPr="00D7142A">
        <w:t>likely to reflect broader differences</w:t>
      </w:r>
      <w:r w:rsidR="00E0521B" w:rsidRPr="00D7142A">
        <w:t xml:space="preserve"> between</w:t>
      </w:r>
      <w:r w:rsidR="006F247B" w:rsidRPr="00D7142A">
        <w:t xml:space="preserve"> </w:t>
      </w:r>
      <w:r w:rsidR="006F247B" w:rsidRPr="00D7142A">
        <w:rPr>
          <w:rFonts w:eastAsia="Arial Unicode MS"/>
          <w:iCs/>
        </w:rPr>
        <w:t>treatment cultures</w:t>
      </w:r>
      <w:r w:rsidR="006F247B" w:rsidRPr="00D7142A">
        <w:rPr>
          <w:rFonts w:eastAsia="Arial Unicode MS"/>
        </w:rPr>
        <w:t xml:space="preserve"> across Europe</w:t>
      </w:r>
      <w:r w:rsidR="00E0521B" w:rsidRPr="00D7142A">
        <w:rPr>
          <w:rFonts w:eastAsia="Arial Unicode MS"/>
        </w:rPr>
        <w:t xml:space="preserve">. </w:t>
      </w:r>
      <w:r w:rsidR="003353BE" w:rsidRPr="00D7142A">
        <w:rPr>
          <w:rFonts w:eastAsia="Arial Unicode MS"/>
        </w:rPr>
        <w:t xml:space="preserve">An interesting case described by one respondent </w:t>
      </w:r>
      <w:r w:rsidR="00C73108" w:rsidRPr="00D7142A">
        <w:rPr>
          <w:rFonts w:eastAsia="Arial Unicode MS"/>
        </w:rPr>
        <w:t>highlights</w:t>
      </w:r>
      <w:r w:rsidR="00720E32" w:rsidRPr="00D7142A">
        <w:rPr>
          <w:rFonts w:eastAsia="Arial Unicode MS"/>
        </w:rPr>
        <w:t xml:space="preserve"> this:</w:t>
      </w:r>
    </w:p>
    <w:p w14:paraId="61A28585" w14:textId="2F24E483" w:rsidR="008B1783" w:rsidRPr="00D7142A" w:rsidRDefault="008B1783" w:rsidP="00CF38E8">
      <w:pPr>
        <w:pStyle w:val="Quote"/>
        <w:spacing w:line="480" w:lineRule="auto"/>
        <w:jc w:val="both"/>
        <w:rPr>
          <w:rStyle w:val="Strong"/>
          <w:b w:val="0"/>
        </w:rPr>
      </w:pPr>
      <w:r w:rsidRPr="00D7142A">
        <w:rPr>
          <w:rStyle w:val="Strong"/>
          <w:b w:val="0"/>
        </w:rPr>
        <w:lastRenderedPageBreak/>
        <w:t xml:space="preserve">Doctors here have a different approach; I often suffer with </w:t>
      </w:r>
      <w:proofErr w:type="gramStart"/>
      <w:r w:rsidRPr="00D7142A">
        <w:rPr>
          <w:rStyle w:val="Strong"/>
          <w:b w:val="0"/>
        </w:rPr>
        <w:t>tonsillitis</w:t>
      </w:r>
      <w:proofErr w:type="gramEnd"/>
      <w:r w:rsidRPr="00D7142A">
        <w:rPr>
          <w:rStyle w:val="Strong"/>
          <w:b w:val="0"/>
        </w:rPr>
        <w:t xml:space="preserve"> and I know that antibiotics have always been very helpful. When I asked for antibiotics, the lady asked me if I was from Poland, which made me feel very uncomfortable, and of course it wasn’t prescribed to me. When a week later I was no longer able to get out of the bed, my husband took me to another doctor who prescribed it to me. (Polish, f, 43</w:t>
      </w:r>
      <w:r w:rsidR="00720E32" w:rsidRPr="00D7142A">
        <w:rPr>
          <w:rStyle w:val="Strong"/>
          <w:b w:val="0"/>
        </w:rPr>
        <w:t xml:space="preserve">, </w:t>
      </w:r>
      <w:r w:rsidR="00582B64" w:rsidRPr="00D7142A">
        <w:rPr>
          <w:rStyle w:val="Strong"/>
          <w:b w:val="0"/>
        </w:rPr>
        <w:t>11y</w:t>
      </w:r>
      <w:r w:rsidRPr="00D7142A">
        <w:rPr>
          <w:rStyle w:val="Strong"/>
          <w:b w:val="0"/>
        </w:rPr>
        <w:t>)</w:t>
      </w:r>
    </w:p>
    <w:p w14:paraId="6403FE0C" w14:textId="1631D551" w:rsidR="008B1783" w:rsidRPr="00D7142A" w:rsidRDefault="00185C60" w:rsidP="00CF38E8">
      <w:pPr>
        <w:spacing w:line="480" w:lineRule="auto"/>
        <w:rPr>
          <w:rFonts w:eastAsia="Arial Unicode MS"/>
        </w:rPr>
      </w:pPr>
      <w:r w:rsidRPr="00D7142A">
        <w:t>In respect to the specific ailment mentioned in the quote</w:t>
      </w:r>
      <w:r w:rsidR="003868C4" w:rsidRPr="00D7142A">
        <w:t>,</w:t>
      </w:r>
      <w:r w:rsidRPr="00D7142A">
        <w:t xml:space="preserve"> official NHS guidance advises patients that there are two types of tonsillitis – viral and bacterial – and while the former kind ‘has to run its course and antibiotics won't help’, a GP ‘may prescribe antibiotics’ for the treatment of the latter type </w:t>
      </w:r>
      <w:r w:rsidR="00BB7621" w:rsidRPr="00D7142A">
        <w:rPr>
          <w:noProof/>
        </w:rPr>
        <w:t>(</w:t>
      </w:r>
      <w:r w:rsidR="00CD43DA" w:rsidRPr="00D7142A">
        <w:rPr>
          <w:noProof/>
        </w:rPr>
        <w:t>NHS, 2017</w:t>
      </w:r>
      <w:r w:rsidR="00BB7621" w:rsidRPr="00D7142A">
        <w:rPr>
          <w:noProof/>
        </w:rPr>
        <w:t>)</w:t>
      </w:r>
      <w:r w:rsidRPr="00D7142A">
        <w:t>.</w:t>
      </w:r>
      <w:r w:rsidR="00C95D1E" w:rsidRPr="00D7142A">
        <w:t xml:space="preserve"> More generally, t</w:t>
      </w:r>
      <w:r w:rsidR="00AB4974" w:rsidRPr="00D7142A">
        <w:t xml:space="preserve">he use of antibiotics </w:t>
      </w:r>
      <w:r w:rsidR="00391D24" w:rsidRPr="00D7142A">
        <w:t xml:space="preserve">is a particularly divisive practice across European countries, with Eurobarometer data showing </w:t>
      </w:r>
      <w:r w:rsidR="00C43E54" w:rsidRPr="00D7142A">
        <w:t xml:space="preserve">a </w:t>
      </w:r>
      <w:r w:rsidR="000F4564" w:rsidRPr="00D7142A">
        <w:t>noticeable</w:t>
      </w:r>
      <w:r w:rsidR="00C43E54" w:rsidRPr="00D7142A">
        <w:t xml:space="preserve"> </w:t>
      </w:r>
      <w:r w:rsidR="009522E0" w:rsidRPr="00D7142A">
        <w:t>South-</w:t>
      </w:r>
      <w:r w:rsidR="00C43E54" w:rsidRPr="00D7142A">
        <w:t>East/</w:t>
      </w:r>
      <w:r w:rsidR="009522E0" w:rsidRPr="00D7142A">
        <w:t>North-</w:t>
      </w:r>
      <w:r w:rsidR="00C43E54" w:rsidRPr="00D7142A">
        <w:t xml:space="preserve">West </w:t>
      </w:r>
      <w:r w:rsidR="00886771" w:rsidRPr="00D7142A">
        <w:t>divide in perceptions</w:t>
      </w:r>
      <w:r w:rsidR="00C63E2D" w:rsidRPr="00D7142A">
        <w:t xml:space="preserve"> and knowledg</w:t>
      </w:r>
      <w:r w:rsidR="00580F32" w:rsidRPr="00D7142A">
        <w:t>e</w:t>
      </w:r>
      <w:r w:rsidR="00744A56" w:rsidRPr="00D7142A">
        <w:t xml:space="preserve"> </w:t>
      </w:r>
      <w:r w:rsidR="00BB7621" w:rsidRPr="00D7142A">
        <w:rPr>
          <w:noProof/>
        </w:rPr>
        <w:t>(</w:t>
      </w:r>
      <w:r w:rsidR="00CD43DA" w:rsidRPr="00D7142A">
        <w:rPr>
          <w:noProof/>
        </w:rPr>
        <w:t>European Union, 2016</w:t>
      </w:r>
      <w:r w:rsidR="00BB7621" w:rsidRPr="00D7142A">
        <w:rPr>
          <w:noProof/>
        </w:rPr>
        <w:t>)</w:t>
      </w:r>
      <w:r w:rsidR="000435FF" w:rsidRPr="00D7142A">
        <w:t>.</w:t>
      </w:r>
      <w:r w:rsidR="009C10DB" w:rsidRPr="00D7142A">
        <w:t xml:space="preserve"> </w:t>
      </w:r>
      <w:r w:rsidR="00F658B6" w:rsidRPr="00D7142A">
        <w:t>C</w:t>
      </w:r>
      <w:r w:rsidR="001B1F87" w:rsidRPr="00D7142A">
        <w:t xml:space="preserve">ross-national differences </w:t>
      </w:r>
      <w:r w:rsidR="005914B5" w:rsidRPr="00D7142A">
        <w:t>often boil down to prejudice</w:t>
      </w:r>
      <w:r w:rsidR="009524B9" w:rsidRPr="00D7142A">
        <w:t xml:space="preserve"> </w:t>
      </w:r>
      <w:r w:rsidR="00FA352E" w:rsidRPr="00D7142A">
        <w:t>by</w:t>
      </w:r>
      <w:r w:rsidR="009524B9" w:rsidRPr="00D7142A">
        <w:t xml:space="preserve"> both </w:t>
      </w:r>
      <w:r w:rsidR="00680805" w:rsidRPr="00D7142A">
        <w:t xml:space="preserve">parties </w:t>
      </w:r>
      <w:r w:rsidR="005914B5" w:rsidRPr="00D7142A">
        <w:t>during patient-practitioner encounters</w:t>
      </w:r>
      <w:r w:rsidR="00680805" w:rsidRPr="00D7142A">
        <w:t>, as evident in the quote above</w:t>
      </w:r>
      <w:r w:rsidR="00FA352E" w:rsidRPr="00D7142A">
        <w:t xml:space="preserve">. </w:t>
      </w:r>
      <w:r w:rsidR="005718C8" w:rsidRPr="00D7142A">
        <w:t xml:space="preserve">Regardless of </w:t>
      </w:r>
      <w:r w:rsidR="00987A88" w:rsidRPr="00D7142A">
        <w:t xml:space="preserve">which </w:t>
      </w:r>
      <w:r w:rsidR="00AE038B" w:rsidRPr="00D7142A">
        <w:t>party</w:t>
      </w:r>
      <w:r w:rsidR="00F35F6E" w:rsidRPr="00D7142A">
        <w:t xml:space="preserve"> is </w:t>
      </w:r>
      <w:r w:rsidR="00AE038B" w:rsidRPr="00D7142A">
        <w:t xml:space="preserve">correct in </w:t>
      </w:r>
      <w:r w:rsidR="00F35F6E" w:rsidRPr="00D7142A">
        <w:t xml:space="preserve">each </w:t>
      </w:r>
      <w:r w:rsidR="00AE038B" w:rsidRPr="00D7142A">
        <w:t xml:space="preserve">individual case, </w:t>
      </w:r>
      <w:r w:rsidR="00644C2A" w:rsidRPr="00D7142A">
        <w:t>such experiences</w:t>
      </w:r>
      <w:r w:rsidR="00AA18AA" w:rsidRPr="00D7142A">
        <w:t xml:space="preserve"> </w:t>
      </w:r>
      <w:r w:rsidR="008B1783" w:rsidRPr="00D7142A">
        <w:t>are likely to enhance a more general sense of ‘not being taken seriously’</w:t>
      </w:r>
      <w:r w:rsidR="00667158" w:rsidRPr="00D7142A">
        <w:t xml:space="preserve">, with direct consequences on trust and </w:t>
      </w:r>
      <w:r w:rsidR="00CA6065" w:rsidRPr="00D7142A">
        <w:t xml:space="preserve">assessments of doctors’ competence and the </w:t>
      </w:r>
      <w:r w:rsidR="00E708AD" w:rsidRPr="00D7142A">
        <w:t>quality of medical service</w:t>
      </w:r>
      <w:r w:rsidR="008B1783" w:rsidRPr="00D7142A">
        <w:t xml:space="preserve"> </w:t>
      </w:r>
      <w:r w:rsidR="00E34E1A" w:rsidRPr="00D7142A">
        <w:rPr>
          <w:noProof/>
        </w:rPr>
        <w:t>(</w:t>
      </w:r>
      <w:r w:rsidR="00CD43DA" w:rsidRPr="00D7142A">
        <w:rPr>
          <w:noProof/>
        </w:rPr>
        <w:t>Feldmann et al., 2006</w:t>
      </w:r>
      <w:r w:rsidR="00E34E1A" w:rsidRPr="00D7142A">
        <w:rPr>
          <w:noProof/>
        </w:rPr>
        <w:t xml:space="preserve">; </w:t>
      </w:r>
      <w:r w:rsidR="00CD43DA" w:rsidRPr="00D7142A">
        <w:rPr>
          <w:noProof/>
        </w:rPr>
        <w:t>Lindenmeyer et al., 2016: 4</w:t>
      </w:r>
      <w:r w:rsidR="00E34E1A" w:rsidRPr="00D7142A">
        <w:rPr>
          <w:noProof/>
        </w:rPr>
        <w:t xml:space="preserve">; </w:t>
      </w:r>
      <w:r w:rsidR="00CD43DA" w:rsidRPr="00D7142A">
        <w:rPr>
          <w:noProof/>
        </w:rPr>
        <w:t>Phillimore, 2011</w:t>
      </w:r>
      <w:r w:rsidR="00E34E1A" w:rsidRPr="00D7142A">
        <w:rPr>
          <w:noProof/>
        </w:rPr>
        <w:t>)</w:t>
      </w:r>
      <w:r w:rsidR="008B1783" w:rsidRPr="00D7142A">
        <w:t xml:space="preserve">. </w:t>
      </w:r>
    </w:p>
    <w:p w14:paraId="5008233F" w14:textId="45550224" w:rsidR="001842DC" w:rsidRPr="00D7142A" w:rsidRDefault="00B05FFC" w:rsidP="00CF38E8">
      <w:pPr>
        <w:pStyle w:val="Newparagraph"/>
        <w:spacing w:line="480" w:lineRule="auto"/>
        <w:rPr>
          <w:rFonts w:eastAsia="Arial Unicode MS"/>
        </w:rPr>
      </w:pPr>
      <w:r w:rsidRPr="00D7142A">
        <w:rPr>
          <w:rFonts w:eastAsia="Arial Unicode MS"/>
        </w:rPr>
        <w:t>On the other hand</w:t>
      </w:r>
      <w:r w:rsidR="008B1783" w:rsidRPr="00D7142A">
        <w:rPr>
          <w:rFonts w:eastAsia="Arial Unicode MS"/>
        </w:rPr>
        <w:t xml:space="preserve">, the unchallenged expectation of </w:t>
      </w:r>
      <w:r w:rsidR="00142082" w:rsidRPr="00D7142A">
        <w:rPr>
          <w:rFonts w:eastAsia="Arial Unicode MS"/>
        </w:rPr>
        <w:t>‘</w:t>
      </w:r>
      <w:r w:rsidR="008B1783" w:rsidRPr="00D7142A">
        <w:rPr>
          <w:rFonts w:eastAsia="Arial Unicode MS"/>
        </w:rPr>
        <w:t>bribes</w:t>
      </w:r>
      <w:r w:rsidR="00142082" w:rsidRPr="00D7142A">
        <w:rPr>
          <w:rFonts w:eastAsia="Arial Unicode MS"/>
        </w:rPr>
        <w:t>’</w:t>
      </w:r>
      <w:r w:rsidR="008B1783" w:rsidRPr="00D7142A">
        <w:rPr>
          <w:rFonts w:eastAsia="Arial Unicode MS"/>
        </w:rPr>
        <w:t xml:space="preserve"> or ‘gratuities’</w:t>
      </w:r>
      <w:r w:rsidR="00146605" w:rsidRPr="00D7142A">
        <w:rPr>
          <w:rFonts w:eastAsia="Arial Unicode MS"/>
        </w:rPr>
        <w:t xml:space="preserve"> by doctors</w:t>
      </w:r>
      <w:r w:rsidR="008B1783" w:rsidRPr="00D7142A">
        <w:rPr>
          <w:rFonts w:eastAsia="Arial Unicode MS"/>
        </w:rPr>
        <w:t xml:space="preserve"> in the </w:t>
      </w:r>
      <w:proofErr w:type="spellStart"/>
      <w:r w:rsidR="00A8650E" w:rsidRPr="00D7142A">
        <w:rPr>
          <w:rFonts w:eastAsia="Arial Unicode MS"/>
        </w:rPr>
        <w:t>CoO</w:t>
      </w:r>
      <w:proofErr w:type="spellEnd"/>
      <w:r w:rsidR="008B1783" w:rsidRPr="00D7142A">
        <w:rPr>
          <w:rFonts w:eastAsia="Arial Unicode MS"/>
        </w:rPr>
        <w:t xml:space="preserve"> </w:t>
      </w:r>
      <w:r w:rsidR="00146605" w:rsidRPr="00D7142A">
        <w:rPr>
          <w:rFonts w:eastAsia="Arial Unicode MS"/>
        </w:rPr>
        <w:t>has been</w:t>
      </w:r>
      <w:r w:rsidR="008B1783" w:rsidRPr="00D7142A">
        <w:rPr>
          <w:rFonts w:eastAsia="Arial Unicode MS"/>
        </w:rPr>
        <w:t xml:space="preserve"> alluded to</w:t>
      </w:r>
      <w:r w:rsidR="00146605" w:rsidRPr="00D7142A">
        <w:rPr>
          <w:rFonts w:eastAsia="Arial Unicode MS"/>
        </w:rPr>
        <w:t xml:space="preserve"> by several participant</w:t>
      </w:r>
      <w:r w:rsidR="006E6BEB" w:rsidRPr="00D7142A">
        <w:rPr>
          <w:rFonts w:eastAsia="Arial Unicode MS"/>
        </w:rPr>
        <w:t xml:space="preserve">s. </w:t>
      </w:r>
      <w:r w:rsidR="00A7444F" w:rsidRPr="00D7142A">
        <w:rPr>
          <w:rFonts w:eastAsia="Arial Unicode MS"/>
        </w:rPr>
        <w:t xml:space="preserve">In the UK ‘you are treated as a </w:t>
      </w:r>
      <w:r w:rsidR="008741A2" w:rsidRPr="00D7142A">
        <w:rPr>
          <w:rFonts w:eastAsia="Arial Unicode MS"/>
        </w:rPr>
        <w:t xml:space="preserve">person and not a source of bribe’, said a Romanian </w:t>
      </w:r>
      <w:r w:rsidR="00EE187F" w:rsidRPr="00D7142A">
        <w:rPr>
          <w:rFonts w:eastAsia="Arial Unicode MS"/>
        </w:rPr>
        <w:t xml:space="preserve">respondent (f, 49, </w:t>
      </w:r>
      <w:r w:rsidR="002E642F" w:rsidRPr="00D7142A">
        <w:rPr>
          <w:rFonts w:eastAsia="Arial Unicode MS"/>
        </w:rPr>
        <w:t>1y7m)</w:t>
      </w:r>
      <w:r w:rsidR="001842DC" w:rsidRPr="00D7142A">
        <w:rPr>
          <w:rFonts w:eastAsia="Arial Unicode MS"/>
        </w:rPr>
        <w:t xml:space="preserve">. You have ‘Easy access to specialist doctors; NO BRIBERY!’, explained </w:t>
      </w:r>
      <w:r w:rsidR="00A806AA" w:rsidRPr="00D7142A">
        <w:rPr>
          <w:rFonts w:eastAsia="Arial Unicode MS"/>
        </w:rPr>
        <w:t xml:space="preserve">a 35-year-old </w:t>
      </w:r>
      <w:r w:rsidR="001842DC" w:rsidRPr="00D7142A">
        <w:rPr>
          <w:rFonts w:eastAsia="Arial Unicode MS"/>
        </w:rPr>
        <w:t>Polish m</w:t>
      </w:r>
      <w:r w:rsidR="00A806AA" w:rsidRPr="00D7142A">
        <w:rPr>
          <w:rFonts w:eastAsia="Arial Unicode MS"/>
        </w:rPr>
        <w:t>an (</w:t>
      </w:r>
      <w:r w:rsidR="007C05DE" w:rsidRPr="00D7142A">
        <w:rPr>
          <w:rFonts w:eastAsia="Arial Unicode MS"/>
        </w:rPr>
        <w:t>10y2m).</w:t>
      </w:r>
      <w:r w:rsidR="00FC6FED" w:rsidRPr="00D7142A">
        <w:rPr>
          <w:rFonts w:eastAsia="Arial Unicode MS"/>
        </w:rPr>
        <w:t xml:space="preserve"> According to another participant,</w:t>
      </w:r>
    </w:p>
    <w:p w14:paraId="19F21856" w14:textId="55E53CF3" w:rsidR="008B1783" w:rsidRPr="00D7142A" w:rsidRDefault="008B1783" w:rsidP="00CF38E8">
      <w:pPr>
        <w:pStyle w:val="Quote"/>
        <w:spacing w:line="480" w:lineRule="auto"/>
        <w:jc w:val="both"/>
        <w:rPr>
          <w:rFonts w:eastAsia="Arial Unicode MS"/>
          <w:b/>
        </w:rPr>
      </w:pPr>
      <w:r w:rsidRPr="00D7142A">
        <w:rPr>
          <w:rStyle w:val="Strong"/>
          <w:b w:val="0"/>
        </w:rPr>
        <w:t>My family has experienced a more serious medical intervention, and although the NHS feels very slow, with long waiting lists, the care and attention is of high standards and there is no need for gratuity (Hungarian, m, 38</w:t>
      </w:r>
      <w:r w:rsidR="00265D8D" w:rsidRPr="00D7142A">
        <w:rPr>
          <w:rStyle w:val="Strong"/>
          <w:b w:val="0"/>
        </w:rPr>
        <w:t xml:space="preserve">, </w:t>
      </w:r>
      <w:r w:rsidR="0062472B" w:rsidRPr="00D7142A">
        <w:rPr>
          <w:rStyle w:val="Strong"/>
          <w:b w:val="0"/>
        </w:rPr>
        <w:t>7y4m</w:t>
      </w:r>
      <w:r w:rsidRPr="00D7142A">
        <w:rPr>
          <w:rStyle w:val="Strong"/>
          <w:b w:val="0"/>
        </w:rPr>
        <w:t>)</w:t>
      </w:r>
    </w:p>
    <w:p w14:paraId="3B88835C" w14:textId="26230690" w:rsidR="00233799" w:rsidRPr="00D7142A" w:rsidRDefault="000746BB" w:rsidP="00CF38E8">
      <w:pPr>
        <w:pStyle w:val="Newparagraph"/>
        <w:spacing w:line="480" w:lineRule="auto"/>
        <w:ind w:firstLine="0"/>
      </w:pPr>
      <w:r w:rsidRPr="00D7142A">
        <w:rPr>
          <w:rFonts w:eastAsia="Arial Unicode MS"/>
        </w:rPr>
        <w:t>According to</w:t>
      </w:r>
      <w:r w:rsidR="00821A0D" w:rsidRPr="00D7142A">
        <w:rPr>
          <w:rFonts w:eastAsia="Arial Unicode MS"/>
        </w:rPr>
        <w:t xml:space="preserve"> </w:t>
      </w:r>
      <w:r w:rsidR="00CD43DA" w:rsidRPr="00D7142A">
        <w:rPr>
          <w:rFonts w:eastAsia="Arial Unicode MS"/>
          <w:noProof/>
        </w:rPr>
        <w:t>Allin, Davaki, and Mossialos (2006)</w:t>
      </w:r>
      <w:r w:rsidR="00B127A4" w:rsidRPr="00D7142A">
        <w:rPr>
          <w:rFonts w:eastAsia="Arial Unicode MS"/>
        </w:rPr>
        <w:t>, this for</w:t>
      </w:r>
      <w:r w:rsidR="00EF4D87" w:rsidRPr="00D7142A">
        <w:rPr>
          <w:rFonts w:eastAsia="Arial Unicode MS"/>
        </w:rPr>
        <w:t>m</w:t>
      </w:r>
      <w:r w:rsidR="00B127A4" w:rsidRPr="00D7142A">
        <w:rPr>
          <w:rFonts w:eastAsia="Arial Unicode MS"/>
        </w:rPr>
        <w:t xml:space="preserve"> of corruption </w:t>
      </w:r>
      <w:r w:rsidR="00512E2A" w:rsidRPr="00D7142A">
        <w:rPr>
          <w:rFonts w:eastAsia="Arial Unicode MS"/>
        </w:rPr>
        <w:t xml:space="preserve">is widespread </w:t>
      </w:r>
      <w:r w:rsidR="002D1EB7" w:rsidRPr="00D7142A">
        <w:rPr>
          <w:rFonts w:eastAsia="Arial Unicode MS"/>
        </w:rPr>
        <w:t>in the healthcare sectors of post-communist Central and Eastern European countries</w:t>
      </w:r>
      <w:r w:rsidRPr="00D7142A">
        <w:rPr>
          <w:rFonts w:eastAsia="Arial Unicode MS"/>
        </w:rPr>
        <w:t xml:space="preserve"> and</w:t>
      </w:r>
      <w:r w:rsidR="002D1EB7" w:rsidRPr="00D7142A">
        <w:rPr>
          <w:rFonts w:eastAsia="Arial Unicode MS"/>
        </w:rPr>
        <w:t xml:space="preserve"> </w:t>
      </w:r>
      <w:r w:rsidR="00B127A4" w:rsidRPr="00D7142A">
        <w:rPr>
          <w:rFonts w:eastAsia="Arial Unicode MS"/>
        </w:rPr>
        <w:t>has both ‘economic’ and ‘socio-</w:t>
      </w:r>
      <w:r w:rsidR="00B127A4" w:rsidRPr="00D7142A">
        <w:rPr>
          <w:rFonts w:eastAsia="Arial Unicode MS"/>
        </w:rPr>
        <w:lastRenderedPageBreak/>
        <w:t xml:space="preserve">cultural’ </w:t>
      </w:r>
      <w:r w:rsidR="00EF4D87" w:rsidRPr="00D7142A">
        <w:rPr>
          <w:rFonts w:eastAsia="Arial Unicode MS"/>
        </w:rPr>
        <w:t>reasons</w:t>
      </w:r>
      <w:r w:rsidR="00767D97" w:rsidRPr="00D7142A">
        <w:rPr>
          <w:rFonts w:eastAsia="Arial Unicode MS"/>
        </w:rPr>
        <w:t xml:space="preserve">. On the one hand, </w:t>
      </w:r>
      <w:r w:rsidR="00BA2800" w:rsidRPr="00D7142A">
        <w:rPr>
          <w:rFonts w:eastAsia="Arial Unicode MS"/>
        </w:rPr>
        <w:t xml:space="preserve">it </w:t>
      </w:r>
      <w:r w:rsidR="00D75063" w:rsidRPr="00D7142A">
        <w:rPr>
          <w:rFonts w:eastAsia="Arial Unicode MS"/>
        </w:rPr>
        <w:t xml:space="preserve">ties </w:t>
      </w:r>
      <w:r w:rsidR="0079304C" w:rsidRPr="00D7142A">
        <w:rPr>
          <w:rFonts w:eastAsia="Arial Unicode MS"/>
        </w:rPr>
        <w:t>into</w:t>
      </w:r>
      <w:r w:rsidR="00D75063" w:rsidRPr="00D7142A">
        <w:rPr>
          <w:rFonts w:eastAsia="Arial Unicode MS"/>
        </w:rPr>
        <w:t xml:space="preserve"> cu</w:t>
      </w:r>
      <w:r w:rsidR="008F33B8" w:rsidRPr="00D7142A">
        <w:rPr>
          <w:rFonts w:eastAsia="Arial Unicode MS"/>
        </w:rPr>
        <w:t>ltural practices of ‘gift giving as an expression of gratitude’</w:t>
      </w:r>
      <w:r w:rsidR="00A57E86" w:rsidRPr="00D7142A">
        <w:rPr>
          <w:rFonts w:eastAsia="Arial Unicode MS"/>
        </w:rPr>
        <w:t xml:space="preserve"> </w:t>
      </w:r>
      <w:r w:rsidR="00D25DA7" w:rsidRPr="00D7142A">
        <w:rPr>
          <w:rFonts w:eastAsia="Arial Unicode MS"/>
        </w:rPr>
        <w:t xml:space="preserve">that are not dissimilar in </w:t>
      </w:r>
      <w:r w:rsidR="00161580" w:rsidRPr="00D7142A">
        <w:rPr>
          <w:rFonts w:eastAsia="Arial Unicode MS"/>
        </w:rPr>
        <w:t>countries</w:t>
      </w:r>
      <w:r w:rsidR="00BF0D7D" w:rsidRPr="00D7142A">
        <w:rPr>
          <w:rFonts w:eastAsia="Arial Unicode MS"/>
        </w:rPr>
        <w:t xml:space="preserve"> with</w:t>
      </w:r>
      <w:r w:rsidR="00D25DA7" w:rsidRPr="00D7142A">
        <w:rPr>
          <w:rFonts w:eastAsia="Arial Unicode MS"/>
        </w:rPr>
        <w:t xml:space="preserve"> </w:t>
      </w:r>
      <w:r w:rsidR="00BF0D7D" w:rsidRPr="00D7142A">
        <w:rPr>
          <w:rFonts w:eastAsia="Arial Unicode MS"/>
        </w:rPr>
        <w:t xml:space="preserve">widely acknowledged </w:t>
      </w:r>
      <w:r w:rsidR="006E51E0" w:rsidRPr="00D7142A">
        <w:rPr>
          <w:rFonts w:eastAsia="Arial Unicode MS"/>
        </w:rPr>
        <w:t xml:space="preserve">unduly low remuneration </w:t>
      </w:r>
      <w:r w:rsidR="00F70374" w:rsidRPr="00D7142A">
        <w:rPr>
          <w:rFonts w:eastAsia="Arial Unicode MS"/>
        </w:rPr>
        <w:t xml:space="preserve">of medical practitioners </w:t>
      </w:r>
      <w:r w:rsidR="00350B94" w:rsidRPr="00D7142A">
        <w:rPr>
          <w:rFonts w:eastAsia="Arial Unicode MS"/>
        </w:rPr>
        <w:t xml:space="preserve">from classical </w:t>
      </w:r>
      <w:r w:rsidR="00C62CE1" w:rsidRPr="00D7142A">
        <w:rPr>
          <w:rFonts w:eastAsia="Arial Unicode MS"/>
        </w:rPr>
        <w:t xml:space="preserve">sociological descriptions of reciprocity in social relationships </w:t>
      </w:r>
      <w:r w:rsidR="00BB7621" w:rsidRPr="00D7142A">
        <w:rPr>
          <w:rFonts w:eastAsia="Arial Unicode MS"/>
          <w:noProof/>
        </w:rPr>
        <w:t>(</w:t>
      </w:r>
      <w:r w:rsidR="00CD43DA" w:rsidRPr="00D7142A">
        <w:rPr>
          <w:rFonts w:eastAsia="Arial Unicode MS"/>
          <w:noProof/>
        </w:rPr>
        <w:t>see Mauss, 2002</w:t>
      </w:r>
      <w:r w:rsidR="00BB7621" w:rsidRPr="00D7142A">
        <w:rPr>
          <w:rFonts w:eastAsia="Arial Unicode MS"/>
          <w:noProof/>
        </w:rPr>
        <w:t>)</w:t>
      </w:r>
      <w:r w:rsidR="00CE5AD4" w:rsidRPr="00D7142A">
        <w:rPr>
          <w:rFonts w:eastAsia="Arial Unicode MS"/>
        </w:rPr>
        <w:t xml:space="preserve">. </w:t>
      </w:r>
      <w:r w:rsidR="00C10240" w:rsidRPr="00D7142A">
        <w:rPr>
          <w:rFonts w:eastAsia="Arial Unicode MS"/>
        </w:rPr>
        <w:t xml:space="preserve">On the other hand, </w:t>
      </w:r>
      <w:r w:rsidR="0079304C" w:rsidRPr="00D7142A">
        <w:rPr>
          <w:rFonts w:eastAsia="Arial Unicode MS"/>
        </w:rPr>
        <w:t xml:space="preserve">it risks </w:t>
      </w:r>
      <w:r w:rsidR="007227E3" w:rsidRPr="00D7142A">
        <w:rPr>
          <w:rFonts w:eastAsia="Arial Unicode MS"/>
        </w:rPr>
        <w:t>undermining formally free-to-use public healthcare</w:t>
      </w:r>
      <w:r w:rsidR="00B72B6D" w:rsidRPr="00D7142A">
        <w:rPr>
          <w:rFonts w:eastAsia="Arial Unicode MS"/>
        </w:rPr>
        <w:t xml:space="preserve"> systems</w:t>
      </w:r>
      <w:r w:rsidR="00B36A25" w:rsidRPr="00D7142A">
        <w:rPr>
          <w:rFonts w:eastAsia="Arial Unicode MS"/>
        </w:rPr>
        <w:t xml:space="preserve">, transforming </w:t>
      </w:r>
      <w:r w:rsidR="00B72B6D" w:rsidRPr="00D7142A">
        <w:rPr>
          <w:rFonts w:eastAsia="Arial Unicode MS"/>
        </w:rPr>
        <w:t>them</w:t>
      </w:r>
      <w:r w:rsidR="00B36A25" w:rsidRPr="00D7142A">
        <w:rPr>
          <w:rFonts w:eastAsia="Arial Unicode MS"/>
        </w:rPr>
        <w:t xml:space="preserve"> into de facto </w:t>
      </w:r>
      <w:r w:rsidR="00B72B6D" w:rsidRPr="00D7142A">
        <w:t>fee-for-service systems</w:t>
      </w:r>
      <w:r w:rsidR="000373C9" w:rsidRPr="00D7142A">
        <w:t xml:space="preserve"> in which </w:t>
      </w:r>
      <w:r w:rsidR="00B11EA6" w:rsidRPr="00D7142A">
        <w:t xml:space="preserve">the </w:t>
      </w:r>
      <w:r w:rsidR="00524F5A" w:rsidRPr="00D7142A">
        <w:t xml:space="preserve">consequences of expected </w:t>
      </w:r>
      <w:r w:rsidR="006B3E3C" w:rsidRPr="00D7142A">
        <w:t xml:space="preserve">informal payments </w:t>
      </w:r>
      <w:r w:rsidR="00524F5A" w:rsidRPr="00D7142A">
        <w:t xml:space="preserve">can range </w:t>
      </w:r>
      <w:r w:rsidR="006B3E3C" w:rsidRPr="00D7142A">
        <w:t>‘from nuisance to obstacle to barrier and, ultimately, to self-exclusion’</w:t>
      </w:r>
      <w:r w:rsidR="00524F5A" w:rsidRPr="00D7142A">
        <w:t xml:space="preserve"> </w:t>
      </w:r>
      <w:r w:rsidR="00E34E1A" w:rsidRPr="00D7142A">
        <w:rPr>
          <w:noProof/>
        </w:rPr>
        <w:t>(</w:t>
      </w:r>
      <w:r w:rsidR="00CD43DA" w:rsidRPr="00D7142A">
        <w:rPr>
          <w:noProof/>
        </w:rPr>
        <w:t>Allin, Davaki, and Mossialos, 2006: 63</w:t>
      </w:r>
      <w:r w:rsidR="00E34E1A" w:rsidRPr="00D7142A">
        <w:rPr>
          <w:noProof/>
        </w:rPr>
        <w:t>)</w:t>
      </w:r>
      <w:r w:rsidR="00856E5F" w:rsidRPr="00D7142A">
        <w:t>.</w:t>
      </w:r>
    </w:p>
    <w:p w14:paraId="713B1C81" w14:textId="57A2B1B1" w:rsidR="008B1783" w:rsidRPr="00D7142A" w:rsidRDefault="001F45AC" w:rsidP="00CF38E8">
      <w:pPr>
        <w:pStyle w:val="Newparagraph"/>
        <w:spacing w:line="480" w:lineRule="auto"/>
        <w:ind w:firstLine="0"/>
        <w:rPr>
          <w:rFonts w:eastAsia="Arial Unicode MS"/>
        </w:rPr>
      </w:pPr>
      <w:r w:rsidRPr="00D7142A">
        <w:tab/>
        <w:t xml:space="preserve">This dual economic-cultural </w:t>
      </w:r>
      <w:r w:rsidR="00064612" w:rsidRPr="00D7142A">
        <w:t xml:space="preserve">nature of </w:t>
      </w:r>
      <w:r w:rsidR="00165984" w:rsidRPr="00D7142A">
        <w:t>‘</w:t>
      </w:r>
      <w:r w:rsidR="00CA7535" w:rsidRPr="00D7142A">
        <w:t>gratuities’</w:t>
      </w:r>
      <w:r w:rsidR="00064612" w:rsidRPr="00D7142A">
        <w:t xml:space="preserve"> also means that while in our data</w:t>
      </w:r>
      <w:r w:rsidR="00CA7535" w:rsidRPr="00D7142A">
        <w:t xml:space="preserve"> </w:t>
      </w:r>
      <w:r w:rsidR="00D735B5" w:rsidRPr="00D7142A">
        <w:t>it</w:t>
      </w:r>
      <w:r w:rsidR="00E30106" w:rsidRPr="00D7142A">
        <w:t xml:space="preserve"> emerged as solely reinforcing preferences for UK treatment, </w:t>
      </w:r>
      <w:r w:rsidR="000A1BE9" w:rsidRPr="00D7142A">
        <w:t xml:space="preserve">deeper ethnographic work </w:t>
      </w:r>
      <w:r w:rsidR="00E92651" w:rsidRPr="00D7142A">
        <w:t>c</w:t>
      </w:r>
      <w:r w:rsidR="000A0040" w:rsidRPr="00D7142A">
        <w:t xml:space="preserve">onfronts us with </w:t>
      </w:r>
      <w:r w:rsidR="00E92651" w:rsidRPr="00D7142A">
        <w:t>a</w:t>
      </w:r>
      <w:r w:rsidR="000A0040" w:rsidRPr="00D7142A">
        <w:t xml:space="preserve"> </w:t>
      </w:r>
      <w:r w:rsidR="00F72D61" w:rsidRPr="00D7142A">
        <w:t>more ambiguous</w:t>
      </w:r>
      <w:r w:rsidR="000A0040" w:rsidRPr="00D7142A">
        <w:t xml:space="preserve"> picture in which </w:t>
      </w:r>
      <w:r w:rsidR="00257594" w:rsidRPr="00D7142A">
        <w:t>emigrants</w:t>
      </w:r>
      <w:r w:rsidR="00501DE8" w:rsidRPr="00D7142A">
        <w:t>’</w:t>
      </w:r>
      <w:r w:rsidR="00227B45" w:rsidRPr="00D7142A">
        <w:t xml:space="preserve"> engage</w:t>
      </w:r>
      <w:r w:rsidR="00501DE8" w:rsidRPr="00D7142A">
        <w:t>ment</w:t>
      </w:r>
      <w:r w:rsidR="00227B45" w:rsidRPr="00D7142A">
        <w:t xml:space="preserve"> </w:t>
      </w:r>
      <w:r w:rsidR="00185E78" w:rsidRPr="00D7142A">
        <w:t>in</w:t>
      </w:r>
      <w:r w:rsidR="00227B45" w:rsidRPr="00D7142A">
        <w:t xml:space="preserve"> informal payments in the country of origin</w:t>
      </w:r>
      <w:r w:rsidR="00501DE8" w:rsidRPr="00D7142A">
        <w:t xml:space="preserve"> is linked to </w:t>
      </w:r>
      <w:r w:rsidR="00F81877" w:rsidRPr="00D7142A">
        <w:t xml:space="preserve">processes of social distinction with the effect of reinforcing </w:t>
      </w:r>
      <w:r w:rsidR="006B5150" w:rsidRPr="00D7142A">
        <w:t>the system of gratuities and exacerbating local socio-economic inequalities</w:t>
      </w:r>
      <w:r w:rsidR="00D1457E" w:rsidRPr="00D7142A">
        <w:t xml:space="preserve"> </w:t>
      </w:r>
      <w:r w:rsidR="00E34E1A" w:rsidRPr="00D7142A">
        <w:rPr>
          <w:noProof/>
        </w:rPr>
        <w:t>(</w:t>
      </w:r>
      <w:r w:rsidR="00CD43DA" w:rsidRPr="00D7142A">
        <w:rPr>
          <w:noProof/>
        </w:rPr>
        <w:t>Horton, 2013</w:t>
      </w:r>
      <w:r w:rsidR="00E34E1A" w:rsidRPr="00D7142A">
        <w:rPr>
          <w:noProof/>
        </w:rPr>
        <w:t xml:space="preserve">; </w:t>
      </w:r>
      <w:r w:rsidR="00CD43DA" w:rsidRPr="00D7142A">
        <w:rPr>
          <w:noProof/>
        </w:rPr>
        <w:t>Stan, 2015</w:t>
      </w:r>
      <w:r w:rsidR="00E34E1A" w:rsidRPr="00D7142A">
        <w:rPr>
          <w:noProof/>
        </w:rPr>
        <w:t>)</w:t>
      </w:r>
      <w:r w:rsidR="00336108" w:rsidRPr="00D7142A">
        <w:t xml:space="preserve">. </w:t>
      </w:r>
    </w:p>
    <w:p w14:paraId="23530463" w14:textId="765C9D72" w:rsidR="00B42CC1" w:rsidRPr="00D7142A" w:rsidRDefault="008703FE" w:rsidP="00811112">
      <w:pPr>
        <w:pStyle w:val="Heading2"/>
      </w:pPr>
      <w:r w:rsidRPr="00D7142A">
        <w:t>5.</w:t>
      </w:r>
      <w:r w:rsidR="00B84541" w:rsidRPr="00D7142A">
        <w:t>4</w:t>
      </w:r>
      <w:r w:rsidRPr="00D7142A">
        <w:t xml:space="preserve">. </w:t>
      </w:r>
      <w:r w:rsidR="00B42CC1" w:rsidRPr="00D7142A">
        <w:t xml:space="preserve">Assemblages of </w:t>
      </w:r>
      <w:r w:rsidR="00294251" w:rsidRPr="00D7142A">
        <w:t>convenience and financing</w:t>
      </w:r>
    </w:p>
    <w:p w14:paraId="4170FBCD" w14:textId="269B4E77" w:rsidR="00B95354" w:rsidRPr="00D7142A" w:rsidRDefault="009F43BC" w:rsidP="00D97C9B">
      <w:pPr>
        <w:spacing w:line="480" w:lineRule="auto"/>
        <w:ind w:firstLine="720"/>
      </w:pPr>
      <w:r w:rsidRPr="00D7142A">
        <w:t xml:space="preserve">Questions of ‘convenience’ are </w:t>
      </w:r>
      <w:r w:rsidR="00CA7AB5" w:rsidRPr="00D7142A">
        <w:t>complex and relative</w:t>
      </w:r>
      <w:r w:rsidRPr="00D7142A">
        <w:t xml:space="preserve">, and </w:t>
      </w:r>
      <w:r w:rsidR="00591019" w:rsidRPr="00D7142A">
        <w:t>while</w:t>
      </w:r>
      <w:r w:rsidR="00B80069" w:rsidRPr="00D7142A">
        <w:t xml:space="preserve"> some of the explanatory comments</w:t>
      </w:r>
      <w:r w:rsidR="00923083" w:rsidRPr="00D7142A">
        <w:t xml:space="preserve"> invoked it in general terms</w:t>
      </w:r>
      <w:r w:rsidR="00EE3815" w:rsidRPr="00D7142A">
        <w:t xml:space="preserve">, </w:t>
      </w:r>
      <w:r w:rsidR="00031717" w:rsidRPr="00D7142A">
        <w:t xml:space="preserve">the majority </w:t>
      </w:r>
      <w:r w:rsidR="00352159" w:rsidRPr="00D7142A">
        <w:t xml:space="preserve">framed it around aspects such as </w:t>
      </w:r>
      <w:r w:rsidR="00352159" w:rsidRPr="00D7142A">
        <w:rPr>
          <w:i/>
          <w:iCs/>
        </w:rPr>
        <w:t>familiarity</w:t>
      </w:r>
      <w:r w:rsidR="00FD15D0" w:rsidRPr="00D7142A">
        <w:t xml:space="preserve"> –</w:t>
      </w:r>
      <w:r w:rsidR="00C00A41" w:rsidRPr="00D7142A">
        <w:t xml:space="preserve"> </w:t>
      </w:r>
      <w:r w:rsidR="0083518E" w:rsidRPr="00D7142A">
        <w:t>‘</w:t>
      </w:r>
      <w:r w:rsidR="00CE3F98" w:rsidRPr="00D7142A">
        <w:t>Being of similar quality, I'd choose my country of origin because I’m more used to the practices there</w:t>
      </w:r>
      <w:r w:rsidR="0083518E" w:rsidRPr="00D7142A">
        <w:t>’</w:t>
      </w:r>
      <w:r w:rsidR="00CE3F98" w:rsidRPr="00D7142A">
        <w:t xml:space="preserve"> (French, f, 30, </w:t>
      </w:r>
      <w:r w:rsidR="009669EB" w:rsidRPr="00D7142A">
        <w:t>9m) –</w:t>
      </w:r>
      <w:r w:rsidR="00352159" w:rsidRPr="00D7142A">
        <w:t>,</w:t>
      </w:r>
      <w:r w:rsidR="00F74EBF" w:rsidRPr="00D7142A">
        <w:t xml:space="preserve"> </w:t>
      </w:r>
      <w:r w:rsidR="009669EB" w:rsidRPr="00D7142A">
        <w:t xml:space="preserve">feelings of </w:t>
      </w:r>
      <w:r w:rsidR="009669EB" w:rsidRPr="00D7142A">
        <w:rPr>
          <w:i/>
          <w:iCs/>
        </w:rPr>
        <w:t>belonging</w:t>
      </w:r>
      <w:r w:rsidR="003D3873" w:rsidRPr="00D7142A">
        <w:rPr>
          <w:i/>
          <w:iCs/>
        </w:rPr>
        <w:t xml:space="preserve"> </w:t>
      </w:r>
      <w:r w:rsidR="0075235C" w:rsidRPr="00D7142A">
        <w:t xml:space="preserve">– </w:t>
      </w:r>
      <w:r w:rsidR="0083518E" w:rsidRPr="00D7142A">
        <w:t>‘</w:t>
      </w:r>
      <w:r w:rsidR="00B7587B" w:rsidRPr="00D7142A">
        <w:t>UK is where I live and work - it feels like home</w:t>
      </w:r>
      <w:r w:rsidR="0083518E" w:rsidRPr="00D7142A">
        <w:t>’</w:t>
      </w:r>
      <w:r w:rsidR="00B7587B" w:rsidRPr="00D7142A">
        <w:t xml:space="preserve"> (Portuguese, m, 26, </w:t>
      </w:r>
      <w:r w:rsidR="009078DE" w:rsidRPr="00D7142A">
        <w:t>2y6m</w:t>
      </w:r>
      <w:r w:rsidR="00B7587B" w:rsidRPr="00D7142A">
        <w:t>)</w:t>
      </w:r>
      <w:r w:rsidR="003D3873" w:rsidRPr="00D7142A">
        <w:t xml:space="preserve"> – and emotional </w:t>
      </w:r>
      <w:r w:rsidR="003D3873" w:rsidRPr="00D7142A">
        <w:rPr>
          <w:i/>
          <w:iCs/>
        </w:rPr>
        <w:t>attachment –</w:t>
      </w:r>
      <w:r w:rsidR="0040688D" w:rsidRPr="00D7142A">
        <w:t xml:space="preserve"> </w:t>
      </w:r>
      <w:r w:rsidR="0083518E" w:rsidRPr="00D7142A">
        <w:t>‘</w:t>
      </w:r>
      <w:r w:rsidR="0040688D" w:rsidRPr="00D7142A">
        <w:t>This is where I live and I love the NHS</w:t>
      </w:r>
      <w:r w:rsidR="0083518E" w:rsidRPr="00D7142A">
        <w:t>’</w:t>
      </w:r>
      <w:r w:rsidR="00273429" w:rsidRPr="00D7142A">
        <w:t xml:space="preserve"> (Finnish, f, 32, 4y6m)</w:t>
      </w:r>
      <w:r w:rsidR="009078DE" w:rsidRPr="00D7142A">
        <w:t xml:space="preserve"> –</w:t>
      </w:r>
      <w:r w:rsidR="00F74EBF" w:rsidRPr="00D7142A">
        <w:t>,</w:t>
      </w:r>
      <w:r w:rsidR="00352159" w:rsidRPr="00D7142A">
        <w:t xml:space="preserve"> </w:t>
      </w:r>
      <w:r w:rsidR="00B6137F" w:rsidRPr="00D7142A">
        <w:t>the presence of family members</w:t>
      </w:r>
      <w:r w:rsidR="00F255A0" w:rsidRPr="00D7142A">
        <w:t xml:space="preserve"> – </w:t>
      </w:r>
      <w:r w:rsidR="0083518E" w:rsidRPr="00D7142A">
        <w:t>‘</w:t>
      </w:r>
      <w:r w:rsidR="00DC4C9D" w:rsidRPr="00D7142A">
        <w:t>My whole family lives in Poland, so I could rely on their help</w:t>
      </w:r>
      <w:r w:rsidR="0083518E" w:rsidRPr="00D7142A">
        <w:t>’</w:t>
      </w:r>
      <w:r w:rsidR="00DC4C9D" w:rsidRPr="00D7142A">
        <w:t xml:space="preserve"> (Polish, </w:t>
      </w:r>
      <w:r w:rsidR="00E54E74" w:rsidRPr="00D7142A">
        <w:t>f</w:t>
      </w:r>
      <w:r w:rsidR="00DC4C9D" w:rsidRPr="00D7142A">
        <w:t xml:space="preserve">, </w:t>
      </w:r>
      <w:r w:rsidR="00E54E74" w:rsidRPr="00D7142A">
        <w:t>45, 10y);</w:t>
      </w:r>
      <w:r w:rsidR="00F3289C" w:rsidRPr="00D7142A">
        <w:t xml:space="preserve"> </w:t>
      </w:r>
      <w:r w:rsidR="00134F65" w:rsidRPr="00D7142A">
        <w:t xml:space="preserve">or </w:t>
      </w:r>
      <w:r w:rsidR="0083518E" w:rsidRPr="00D7142A">
        <w:t>‘</w:t>
      </w:r>
      <w:r w:rsidR="00E54E74" w:rsidRPr="00D7142A">
        <w:t xml:space="preserve">[In the UK] </w:t>
      </w:r>
      <w:r w:rsidR="000A1C61" w:rsidRPr="00D7142A">
        <w:t>Because my husband is here</w:t>
      </w:r>
      <w:r w:rsidR="0083518E" w:rsidRPr="00D7142A">
        <w:t>’</w:t>
      </w:r>
      <w:r w:rsidR="000A1C61" w:rsidRPr="00D7142A">
        <w:t xml:space="preserve"> (</w:t>
      </w:r>
      <w:r w:rsidR="00F3289C" w:rsidRPr="00D7142A">
        <w:t>French, f, 58, 22y2m)</w:t>
      </w:r>
      <w:r w:rsidR="003414F5" w:rsidRPr="00D7142A">
        <w:t xml:space="preserve"> –</w:t>
      </w:r>
      <w:r w:rsidR="005D34B7" w:rsidRPr="00D7142A">
        <w:t xml:space="preserve">, </w:t>
      </w:r>
      <w:r w:rsidR="00C20DA9" w:rsidRPr="00D7142A">
        <w:t>language diffi</w:t>
      </w:r>
      <w:r w:rsidR="00C73FE2" w:rsidRPr="00D7142A">
        <w:t xml:space="preserve">culties </w:t>
      </w:r>
      <w:r w:rsidR="00585F92" w:rsidRPr="00D7142A">
        <w:t xml:space="preserve">– </w:t>
      </w:r>
      <w:r w:rsidR="0083518E" w:rsidRPr="00D7142A">
        <w:t>‘</w:t>
      </w:r>
      <w:r w:rsidR="00585F92" w:rsidRPr="00D7142A">
        <w:t>no language barriers for the medical terms, family nearby</w:t>
      </w:r>
      <w:r w:rsidR="0083518E" w:rsidRPr="00D7142A">
        <w:t>’</w:t>
      </w:r>
      <w:r w:rsidR="00BE46B4" w:rsidRPr="00D7142A">
        <w:t xml:space="preserve"> (German, m, 24, 4m) –, </w:t>
      </w:r>
      <w:r w:rsidR="00C73FE2" w:rsidRPr="00D7142A">
        <w:t xml:space="preserve">or the sheer fact of </w:t>
      </w:r>
      <w:r w:rsidR="00BF56D5" w:rsidRPr="00D7142A">
        <w:t>residence</w:t>
      </w:r>
      <w:r w:rsidR="0023653E" w:rsidRPr="00D7142A">
        <w:t xml:space="preserve"> </w:t>
      </w:r>
      <w:r w:rsidR="006D7301" w:rsidRPr="00D7142A">
        <w:t xml:space="preserve">– </w:t>
      </w:r>
      <w:r w:rsidR="0083518E" w:rsidRPr="00D7142A">
        <w:t>‘</w:t>
      </w:r>
      <w:r w:rsidR="0023653E" w:rsidRPr="00D7142A">
        <w:t>It's where I live</w:t>
      </w:r>
      <w:r w:rsidR="0083518E" w:rsidRPr="00D7142A">
        <w:t>’</w:t>
      </w:r>
      <w:r w:rsidR="00394C1B" w:rsidRPr="00D7142A">
        <w:t xml:space="preserve"> (Romanian, f, </w:t>
      </w:r>
      <w:r w:rsidR="006D7301" w:rsidRPr="00D7142A">
        <w:t>39, 11y6m)</w:t>
      </w:r>
      <w:r w:rsidR="00C73FE2" w:rsidRPr="00D7142A">
        <w:t>.</w:t>
      </w:r>
      <w:r w:rsidR="00520A93" w:rsidRPr="00D7142A">
        <w:t xml:space="preserve"> </w:t>
      </w:r>
      <w:r w:rsidR="00C758B6" w:rsidRPr="00D7142A">
        <w:t>Overall</w:t>
      </w:r>
      <w:r w:rsidR="00352A2C" w:rsidRPr="00D7142A">
        <w:t xml:space="preserve">, the ‘convenience’ of treatment in the </w:t>
      </w:r>
      <w:proofErr w:type="spellStart"/>
      <w:r w:rsidR="00352A2C" w:rsidRPr="00D7142A">
        <w:t>CoO</w:t>
      </w:r>
      <w:proofErr w:type="spellEnd"/>
      <w:r w:rsidR="00352A2C" w:rsidRPr="00D7142A">
        <w:t xml:space="preserve"> </w:t>
      </w:r>
      <w:r w:rsidR="00802865" w:rsidRPr="00D7142A">
        <w:t xml:space="preserve">relates to </w:t>
      </w:r>
      <w:r w:rsidR="00A7591E" w:rsidRPr="00D7142A">
        <w:t>familiarity in a broad sense</w:t>
      </w:r>
      <w:r w:rsidR="00903989" w:rsidRPr="00D7142A">
        <w:t xml:space="preserve">: </w:t>
      </w:r>
      <w:r w:rsidR="008761A8" w:rsidRPr="00D7142A">
        <w:t xml:space="preserve">the importance of </w:t>
      </w:r>
      <w:r w:rsidR="0026058B" w:rsidRPr="00D7142A">
        <w:t>‘</w:t>
      </w:r>
      <w:r w:rsidR="00D247C7" w:rsidRPr="00D7142A">
        <w:t>f</w:t>
      </w:r>
      <w:r w:rsidR="0026058B" w:rsidRPr="00D7142A">
        <w:t>eeling at ease with a system, trusting its providers and being able to speak one’s language</w:t>
      </w:r>
      <w:r w:rsidR="008761A8" w:rsidRPr="00D7142A">
        <w:t xml:space="preserve">’ </w:t>
      </w:r>
      <w:r w:rsidR="00707753" w:rsidRPr="00D7142A">
        <w:t xml:space="preserve">noted by </w:t>
      </w:r>
      <w:r w:rsidR="00CD43DA" w:rsidRPr="00D7142A">
        <w:rPr>
          <w:noProof/>
        </w:rPr>
        <w:t>Glinos et al. (2010)</w:t>
      </w:r>
      <w:r w:rsidR="00D97C9B" w:rsidRPr="00D7142A">
        <w:t>.</w:t>
      </w:r>
    </w:p>
    <w:p w14:paraId="065F640F" w14:textId="449CE54D" w:rsidR="007F2AD5" w:rsidRPr="00D7142A" w:rsidRDefault="00070839" w:rsidP="00D97C9B">
      <w:pPr>
        <w:spacing w:line="480" w:lineRule="auto"/>
        <w:ind w:firstLine="720"/>
      </w:pPr>
      <w:r w:rsidRPr="00D7142A">
        <w:lastRenderedPageBreak/>
        <w:t xml:space="preserve">Residence, expressed in purely </w:t>
      </w:r>
      <w:r w:rsidRPr="00D7142A">
        <w:rPr>
          <w:i/>
          <w:iCs/>
        </w:rPr>
        <w:t>factual</w:t>
      </w:r>
      <w:r w:rsidRPr="00D7142A">
        <w:t xml:space="preserve"> terms</w:t>
      </w:r>
      <w:r w:rsidR="0099257D" w:rsidRPr="00D7142A">
        <w:t xml:space="preserve">, </w:t>
      </w:r>
      <w:r w:rsidR="00AF0722" w:rsidRPr="00D7142A">
        <w:t xml:space="preserve">was overall the most common determining factor for preference </w:t>
      </w:r>
      <w:r w:rsidR="00BA2720" w:rsidRPr="00D7142A">
        <w:t>of treatment in the UK (</w:t>
      </w:r>
      <w:r w:rsidR="006178BD" w:rsidRPr="00D7142A">
        <w:t>51 mentions</w:t>
      </w:r>
      <w:r w:rsidR="00030B4C" w:rsidRPr="00D7142A">
        <w:t xml:space="preserve">, 29% of </w:t>
      </w:r>
      <w:r w:rsidR="00190BB0" w:rsidRPr="00D7142A">
        <w:t>those opting for the UK</w:t>
      </w:r>
      <w:r w:rsidR="00891FED" w:rsidRPr="00D7142A">
        <w:t>)</w:t>
      </w:r>
      <w:r w:rsidR="00BA2720" w:rsidRPr="00D7142A">
        <w:t>.</w:t>
      </w:r>
      <w:r w:rsidR="00891FED" w:rsidRPr="00D7142A">
        <w:t xml:space="preserve"> </w:t>
      </w:r>
      <w:r w:rsidR="007F3947" w:rsidRPr="00D7142A">
        <w:t>In several case</w:t>
      </w:r>
      <w:r w:rsidR="002D16A0" w:rsidRPr="00D7142A">
        <w:t>s</w:t>
      </w:r>
      <w:r w:rsidR="00DB1E85" w:rsidRPr="00D7142A">
        <w:t xml:space="preserve">, </w:t>
      </w:r>
      <w:r w:rsidR="00F30853" w:rsidRPr="00D7142A">
        <w:t xml:space="preserve">residence was </w:t>
      </w:r>
      <w:r w:rsidR="002F4041" w:rsidRPr="00D7142A">
        <w:t xml:space="preserve">also </w:t>
      </w:r>
      <w:r w:rsidR="00F30853" w:rsidRPr="00D7142A">
        <w:t xml:space="preserve">related to financially </w:t>
      </w:r>
      <w:r w:rsidR="00F30853" w:rsidRPr="00D7142A">
        <w:rPr>
          <w:i/>
          <w:iCs/>
        </w:rPr>
        <w:t>contributing</w:t>
      </w:r>
      <w:r w:rsidR="00F30853" w:rsidRPr="00D7142A">
        <w:t xml:space="preserve"> to the system</w:t>
      </w:r>
      <w:r w:rsidR="00E25A2A" w:rsidRPr="00D7142A">
        <w:t xml:space="preserve">, and so fed into issues related to healthcare financing. </w:t>
      </w:r>
      <w:r w:rsidR="00E925AF" w:rsidRPr="00D7142A">
        <w:t>A closer analysis of these comments r</w:t>
      </w:r>
      <w:r w:rsidR="00380803" w:rsidRPr="00D7142A">
        <w:t xml:space="preserve">eveals that </w:t>
      </w:r>
      <w:r w:rsidR="000465F4" w:rsidRPr="00D7142A">
        <w:t xml:space="preserve">‘contribution’ </w:t>
      </w:r>
      <w:r w:rsidR="00183C67" w:rsidRPr="00D7142A">
        <w:t xml:space="preserve">is experienced and expressed </w:t>
      </w:r>
      <w:r w:rsidR="00E37824" w:rsidRPr="00D7142A">
        <w:t>broadly in three different ways</w:t>
      </w:r>
      <w:r w:rsidR="00A66386" w:rsidRPr="00D7142A">
        <w:t xml:space="preserve">: </w:t>
      </w:r>
      <w:r w:rsidR="00C2708E" w:rsidRPr="00D7142A">
        <w:t>as a</w:t>
      </w:r>
      <w:r w:rsidR="00802683" w:rsidRPr="00D7142A">
        <w:t>n aspect of ‘convenience’ –</w:t>
      </w:r>
      <w:r w:rsidR="00A94DCB" w:rsidRPr="00D7142A">
        <w:t xml:space="preserve"> </w:t>
      </w:r>
      <w:r w:rsidR="0083518E" w:rsidRPr="00D7142A">
        <w:t>‘</w:t>
      </w:r>
      <w:r w:rsidR="00802683" w:rsidRPr="00D7142A">
        <w:t xml:space="preserve">Due to </w:t>
      </w:r>
      <w:r w:rsidR="007606B6" w:rsidRPr="00D7142A">
        <w:rPr>
          <w:rFonts w:eastAsia="Arial Unicode MS"/>
        </w:rPr>
        <w:t>the convenience of being where I pay my taxes and where I live</w:t>
      </w:r>
      <w:r w:rsidR="0083518E" w:rsidRPr="00D7142A">
        <w:rPr>
          <w:rFonts w:eastAsia="Arial Unicode MS"/>
        </w:rPr>
        <w:t>’</w:t>
      </w:r>
      <w:r w:rsidR="007606B6" w:rsidRPr="00D7142A">
        <w:rPr>
          <w:rFonts w:eastAsia="Arial Unicode MS"/>
        </w:rPr>
        <w:t xml:space="preserve"> (Portuguese, f, 34</w:t>
      </w:r>
      <w:r w:rsidR="008532A9" w:rsidRPr="00D7142A">
        <w:rPr>
          <w:rFonts w:eastAsia="Arial Unicode MS"/>
        </w:rPr>
        <w:t>, 10y6m</w:t>
      </w:r>
      <w:r w:rsidR="007606B6" w:rsidRPr="00D7142A">
        <w:rPr>
          <w:rFonts w:eastAsia="Arial Unicode MS"/>
        </w:rPr>
        <w:t>)</w:t>
      </w:r>
      <w:r w:rsidR="00A30F18" w:rsidRPr="00D7142A">
        <w:rPr>
          <w:rFonts w:eastAsia="Arial Unicode MS"/>
        </w:rPr>
        <w:t xml:space="preserve"> –, as a sense of entitlement</w:t>
      </w:r>
      <w:r w:rsidR="00DA5345" w:rsidRPr="00D7142A">
        <w:rPr>
          <w:rFonts w:eastAsia="Arial Unicode MS"/>
        </w:rPr>
        <w:t xml:space="preserve"> or </w:t>
      </w:r>
      <w:r w:rsidR="002D1EF9" w:rsidRPr="00D7142A">
        <w:rPr>
          <w:rFonts w:eastAsia="Arial Unicode MS"/>
        </w:rPr>
        <w:t>‘</w:t>
      </w:r>
      <w:r w:rsidR="00DA5345" w:rsidRPr="00D7142A">
        <w:rPr>
          <w:rFonts w:eastAsia="Arial Unicode MS"/>
        </w:rPr>
        <w:t>stakeholder</w:t>
      </w:r>
      <w:r w:rsidR="002D1EF9" w:rsidRPr="00D7142A">
        <w:rPr>
          <w:rFonts w:eastAsia="Arial Unicode MS"/>
        </w:rPr>
        <w:t>’</w:t>
      </w:r>
      <w:r w:rsidR="00DA5345" w:rsidRPr="00D7142A">
        <w:rPr>
          <w:rFonts w:eastAsia="Arial Unicode MS"/>
        </w:rPr>
        <w:t xml:space="preserve"> justice </w:t>
      </w:r>
      <w:r w:rsidR="0051000D" w:rsidRPr="00D7142A">
        <w:rPr>
          <w:rFonts w:eastAsia="Arial Unicode MS"/>
          <w:noProof/>
        </w:rPr>
        <w:t>(</w:t>
      </w:r>
      <w:r w:rsidR="00CD43DA" w:rsidRPr="00D7142A">
        <w:rPr>
          <w:rFonts w:eastAsia="Arial Unicode MS"/>
          <w:noProof/>
        </w:rPr>
        <w:t xml:space="preserve">cf. </w:t>
      </w:r>
      <w:r w:rsidR="00831512">
        <w:rPr>
          <w:rFonts w:eastAsia="Arial Unicode MS"/>
          <w:noProof/>
        </w:rPr>
        <w:t>McGhee, Moreh and Vlachantoni, 2019</w:t>
      </w:r>
      <w:r w:rsidR="0051000D" w:rsidRPr="00D7142A">
        <w:rPr>
          <w:rFonts w:eastAsia="Arial Unicode MS"/>
          <w:noProof/>
        </w:rPr>
        <w:t>)</w:t>
      </w:r>
      <w:r w:rsidR="00DA5345" w:rsidRPr="00D7142A">
        <w:rPr>
          <w:rFonts w:eastAsia="Arial Unicode MS"/>
        </w:rPr>
        <w:t xml:space="preserve"> </w:t>
      </w:r>
      <w:r w:rsidR="00A30F18" w:rsidRPr="00D7142A">
        <w:rPr>
          <w:rFonts w:eastAsia="Arial Unicode MS"/>
        </w:rPr>
        <w:t xml:space="preserve">– </w:t>
      </w:r>
      <w:r w:rsidR="0083518E" w:rsidRPr="00D7142A">
        <w:rPr>
          <w:rFonts w:eastAsia="Arial Unicode MS"/>
        </w:rPr>
        <w:t>‘</w:t>
      </w:r>
      <w:r w:rsidR="00A30F18" w:rsidRPr="00D7142A">
        <w:rPr>
          <w:rFonts w:eastAsia="Arial Unicode MS"/>
        </w:rPr>
        <w:t>I live here and have been paying taxes for the past eleven years!!</w:t>
      </w:r>
      <w:r w:rsidR="0083518E" w:rsidRPr="00D7142A">
        <w:rPr>
          <w:rFonts w:eastAsia="Arial Unicode MS"/>
        </w:rPr>
        <w:t>’</w:t>
      </w:r>
      <w:r w:rsidR="00A30F18" w:rsidRPr="00D7142A">
        <w:rPr>
          <w:rFonts w:eastAsia="Arial Unicode MS"/>
        </w:rPr>
        <w:t xml:space="preserve"> (Polish, f, 45, </w:t>
      </w:r>
      <w:r w:rsidR="009E6F57" w:rsidRPr="00D7142A">
        <w:rPr>
          <w:rFonts w:eastAsia="Arial Unicode MS"/>
        </w:rPr>
        <w:t>11y1m</w:t>
      </w:r>
      <w:r w:rsidR="00A30F18" w:rsidRPr="00D7142A">
        <w:rPr>
          <w:rFonts w:eastAsia="Arial Unicode MS"/>
        </w:rPr>
        <w:t>)</w:t>
      </w:r>
      <w:r w:rsidR="009E6F57" w:rsidRPr="00D7142A">
        <w:rPr>
          <w:rFonts w:eastAsia="Arial Unicode MS"/>
        </w:rPr>
        <w:t xml:space="preserve"> –</w:t>
      </w:r>
      <w:r w:rsidR="00683577" w:rsidRPr="00D7142A">
        <w:rPr>
          <w:rFonts w:eastAsia="Arial Unicode MS"/>
        </w:rPr>
        <w:t>,</w:t>
      </w:r>
      <w:r w:rsidR="009E6F57" w:rsidRPr="00D7142A">
        <w:rPr>
          <w:rFonts w:eastAsia="Arial Unicode MS"/>
        </w:rPr>
        <w:t xml:space="preserve"> or as </w:t>
      </w:r>
      <w:r w:rsidR="00683577" w:rsidRPr="00D7142A">
        <w:rPr>
          <w:rFonts w:eastAsia="Arial Unicode MS"/>
        </w:rPr>
        <w:t>an ethical question of fairness –</w:t>
      </w:r>
      <w:r w:rsidR="00683577" w:rsidRPr="00D7142A">
        <w:t xml:space="preserve"> </w:t>
      </w:r>
      <w:r w:rsidR="0083518E" w:rsidRPr="00D7142A">
        <w:t>‘</w:t>
      </w:r>
      <w:r w:rsidR="00683577" w:rsidRPr="00D7142A">
        <w:rPr>
          <w:rFonts w:eastAsia="Arial Unicode MS"/>
        </w:rPr>
        <w:t>I pay my taxes in the UK, so it would feel wrong to have treatment in a country where I do not contribute</w:t>
      </w:r>
      <w:r w:rsidR="0083518E" w:rsidRPr="00D7142A">
        <w:rPr>
          <w:rFonts w:eastAsia="Arial Unicode MS"/>
        </w:rPr>
        <w:t>’</w:t>
      </w:r>
      <w:r w:rsidR="00683577" w:rsidRPr="00D7142A">
        <w:rPr>
          <w:rFonts w:eastAsia="Arial Unicode MS"/>
        </w:rPr>
        <w:t xml:space="preserve"> (German, f, 43</w:t>
      </w:r>
      <w:r w:rsidR="00EA11F1" w:rsidRPr="00D7142A">
        <w:rPr>
          <w:rFonts w:eastAsia="Arial Unicode MS"/>
        </w:rPr>
        <w:t>, 9y7m</w:t>
      </w:r>
      <w:r w:rsidR="00683577" w:rsidRPr="00D7142A">
        <w:rPr>
          <w:rFonts w:eastAsia="Arial Unicode MS"/>
        </w:rPr>
        <w:t>)</w:t>
      </w:r>
      <w:r w:rsidR="00EA11F1" w:rsidRPr="00D7142A">
        <w:rPr>
          <w:rFonts w:eastAsia="Arial Unicode MS"/>
        </w:rPr>
        <w:t>.</w:t>
      </w:r>
      <w:r w:rsidR="0042040F" w:rsidRPr="00D7142A">
        <w:rPr>
          <w:rFonts w:eastAsia="Arial Unicode MS"/>
        </w:rPr>
        <w:t xml:space="preserve"> This last comment</w:t>
      </w:r>
      <w:r w:rsidR="002A349C" w:rsidRPr="00D7142A">
        <w:rPr>
          <w:rFonts w:eastAsia="Arial Unicode MS"/>
        </w:rPr>
        <w:t xml:space="preserve">, of course, </w:t>
      </w:r>
      <w:r w:rsidR="00462017" w:rsidRPr="00D7142A">
        <w:rPr>
          <w:rFonts w:eastAsia="Arial Unicode MS"/>
        </w:rPr>
        <w:t>does not take into consideratio</w:t>
      </w:r>
      <w:r w:rsidR="00042536" w:rsidRPr="00D7142A">
        <w:rPr>
          <w:rFonts w:eastAsia="Arial Unicode MS"/>
        </w:rPr>
        <w:t xml:space="preserve">n, on the one hand, </w:t>
      </w:r>
      <w:r w:rsidR="007A6A8C" w:rsidRPr="00D7142A">
        <w:rPr>
          <w:rFonts w:eastAsia="Arial Unicode MS"/>
        </w:rPr>
        <w:t xml:space="preserve">the possibility of resorting to private insurance schemes in the </w:t>
      </w:r>
      <w:proofErr w:type="spellStart"/>
      <w:r w:rsidR="0083518E" w:rsidRPr="00D7142A">
        <w:rPr>
          <w:rFonts w:eastAsia="Arial Unicode MS"/>
        </w:rPr>
        <w:t>CoO</w:t>
      </w:r>
      <w:proofErr w:type="spellEnd"/>
      <w:r w:rsidR="007A6A8C" w:rsidRPr="00D7142A">
        <w:rPr>
          <w:rFonts w:eastAsia="Arial Unicode MS"/>
        </w:rPr>
        <w:t xml:space="preserve">, </w:t>
      </w:r>
      <w:r w:rsidR="00C01B61" w:rsidRPr="00D7142A">
        <w:rPr>
          <w:rFonts w:eastAsia="Arial Unicode MS"/>
        </w:rPr>
        <w:t>nor, on the other</w:t>
      </w:r>
      <w:r w:rsidR="00844431" w:rsidRPr="00D7142A">
        <w:rPr>
          <w:rFonts w:eastAsia="Arial Unicode MS"/>
        </w:rPr>
        <w:t xml:space="preserve">, </w:t>
      </w:r>
      <w:r w:rsidR="00FC7209" w:rsidRPr="00D7142A">
        <w:rPr>
          <w:rFonts w:eastAsia="Arial Unicode MS"/>
        </w:rPr>
        <w:t xml:space="preserve">the structural constraints on access to healthcare which another </w:t>
      </w:r>
      <w:r w:rsidR="00833570" w:rsidRPr="00D7142A">
        <w:rPr>
          <w:rFonts w:eastAsia="Arial Unicode MS"/>
        </w:rPr>
        <w:t>participant</w:t>
      </w:r>
      <w:r w:rsidR="00FC7209" w:rsidRPr="00D7142A">
        <w:rPr>
          <w:rFonts w:eastAsia="Arial Unicode MS"/>
        </w:rPr>
        <w:t xml:space="preserve"> </w:t>
      </w:r>
      <w:r w:rsidR="002100C1" w:rsidRPr="00D7142A">
        <w:rPr>
          <w:rFonts w:eastAsia="Arial Unicode MS"/>
        </w:rPr>
        <w:t>raise</w:t>
      </w:r>
      <w:r w:rsidR="00833570" w:rsidRPr="00D7142A">
        <w:rPr>
          <w:rFonts w:eastAsia="Arial Unicode MS"/>
        </w:rPr>
        <w:t>d</w:t>
      </w:r>
      <w:r w:rsidR="002100C1" w:rsidRPr="00D7142A">
        <w:rPr>
          <w:rFonts w:eastAsia="Arial Unicode MS"/>
        </w:rPr>
        <w:t xml:space="preserve"> as almost in direct response:</w:t>
      </w:r>
    </w:p>
    <w:p w14:paraId="237585AF" w14:textId="38C23711" w:rsidR="002100C1" w:rsidRPr="00D7142A" w:rsidRDefault="00833570" w:rsidP="00CF38E8">
      <w:pPr>
        <w:pStyle w:val="Quote"/>
        <w:spacing w:line="480" w:lineRule="auto"/>
        <w:jc w:val="both"/>
      </w:pPr>
      <w:r w:rsidRPr="00D7142A">
        <w:t xml:space="preserve">If you live in the UK, you cannot have medical treatment in Germany as only registered residents can have health insurance. I have private health insurance in the UK which I am quite happy with. (German, f, 28, </w:t>
      </w:r>
      <w:r w:rsidR="009E5A25" w:rsidRPr="00D7142A">
        <w:t>6y</w:t>
      </w:r>
      <w:r w:rsidRPr="00D7142A">
        <w:t>)</w:t>
      </w:r>
    </w:p>
    <w:p w14:paraId="310580A7" w14:textId="1787CB30" w:rsidR="00900EA3" w:rsidRPr="00D7142A" w:rsidRDefault="00E3470B" w:rsidP="00CF38E8">
      <w:pPr>
        <w:pStyle w:val="Paragraph"/>
        <w:spacing w:line="480" w:lineRule="auto"/>
        <w:rPr>
          <w:rFonts w:eastAsia="Arial Unicode MS"/>
        </w:rPr>
      </w:pPr>
      <w:r w:rsidRPr="00D7142A">
        <w:t xml:space="preserve">The </w:t>
      </w:r>
      <w:r w:rsidR="00DC0829" w:rsidRPr="00D7142A">
        <w:t>topic of private insurance has emerged in several comments</w:t>
      </w:r>
      <w:r w:rsidR="00900543" w:rsidRPr="00D7142A">
        <w:t xml:space="preserve">, although it </w:t>
      </w:r>
      <w:r w:rsidR="006239EA" w:rsidRPr="00D7142A">
        <w:t xml:space="preserve">is </w:t>
      </w:r>
      <w:r w:rsidR="00900543" w:rsidRPr="00D7142A">
        <w:t xml:space="preserve">undoubtedly </w:t>
      </w:r>
      <w:r w:rsidR="006239EA" w:rsidRPr="00D7142A">
        <w:t xml:space="preserve">a much more </w:t>
      </w:r>
      <w:r w:rsidR="001D2DAF" w:rsidRPr="00D7142A">
        <w:t>common theme than our data allow</w:t>
      </w:r>
      <w:r w:rsidR="00D73DA4" w:rsidRPr="00D7142A">
        <w:t>s</w:t>
      </w:r>
      <w:r w:rsidR="001D2DAF" w:rsidRPr="00D7142A">
        <w:t xml:space="preserve"> to </w:t>
      </w:r>
      <w:proofErr w:type="gramStart"/>
      <w:r w:rsidR="001D2DAF" w:rsidRPr="00D7142A">
        <w:t>asses</w:t>
      </w:r>
      <w:proofErr w:type="gramEnd"/>
      <w:r w:rsidR="00D73DA4" w:rsidRPr="00D7142A">
        <w:t xml:space="preserve"> </w:t>
      </w:r>
      <w:r w:rsidR="00E34E1A" w:rsidRPr="00D7142A">
        <w:rPr>
          <w:rFonts w:eastAsia="Arial Unicode MS"/>
          <w:noProof/>
        </w:rPr>
        <w:t>(</w:t>
      </w:r>
      <w:r w:rsidR="00CD43DA" w:rsidRPr="00D7142A">
        <w:rPr>
          <w:rFonts w:eastAsia="Arial Unicode MS"/>
          <w:noProof/>
        </w:rPr>
        <w:t>Ehata and Seeleib-Kaiser, 2017</w:t>
      </w:r>
      <w:r w:rsidR="00E34E1A" w:rsidRPr="00D7142A">
        <w:rPr>
          <w:rFonts w:eastAsia="Arial Unicode MS"/>
          <w:noProof/>
        </w:rPr>
        <w:t xml:space="preserve">; </w:t>
      </w:r>
      <w:r w:rsidR="00CD43DA" w:rsidRPr="00D7142A">
        <w:rPr>
          <w:rFonts w:eastAsia="Arial Unicode MS"/>
          <w:noProof/>
        </w:rPr>
        <w:t>Horton, , 2013</w:t>
      </w:r>
      <w:r w:rsidR="00E34E1A" w:rsidRPr="00D7142A">
        <w:rPr>
          <w:rFonts w:eastAsia="Arial Unicode MS"/>
          <w:noProof/>
        </w:rPr>
        <w:t xml:space="preserve">; </w:t>
      </w:r>
      <w:r w:rsidR="00CD43DA" w:rsidRPr="00D7142A">
        <w:rPr>
          <w:rFonts w:eastAsia="Arial Unicode MS"/>
          <w:noProof/>
        </w:rPr>
        <w:t>Sime, 2014</w:t>
      </w:r>
      <w:r w:rsidR="00E34E1A" w:rsidRPr="00D7142A">
        <w:rPr>
          <w:rFonts w:eastAsia="Arial Unicode MS"/>
          <w:noProof/>
        </w:rPr>
        <w:t xml:space="preserve">; </w:t>
      </w:r>
      <w:r w:rsidR="00CD43DA" w:rsidRPr="00D7142A">
        <w:rPr>
          <w:rFonts w:eastAsia="Arial Unicode MS"/>
          <w:noProof/>
        </w:rPr>
        <w:t>Stan, 2015</w:t>
      </w:r>
      <w:r w:rsidR="00E34E1A" w:rsidRPr="00D7142A">
        <w:rPr>
          <w:rFonts w:eastAsia="Arial Unicode MS"/>
          <w:noProof/>
        </w:rPr>
        <w:t>)</w:t>
      </w:r>
      <w:r w:rsidR="00F40618" w:rsidRPr="00D7142A">
        <w:t xml:space="preserve">. </w:t>
      </w:r>
      <w:r w:rsidR="00CE7397" w:rsidRPr="00D7142A">
        <w:t xml:space="preserve">Some </w:t>
      </w:r>
      <w:r w:rsidR="00493392" w:rsidRPr="00D7142A">
        <w:t xml:space="preserve">can afford to </w:t>
      </w:r>
      <w:r w:rsidR="0083518E" w:rsidRPr="00D7142A">
        <w:t>‘</w:t>
      </w:r>
      <w:r w:rsidR="00493392" w:rsidRPr="00D7142A">
        <w:t>have a private medical insurance in the UK so medical treatment is decent</w:t>
      </w:r>
      <w:r w:rsidR="0083518E" w:rsidRPr="00D7142A">
        <w:t>’</w:t>
      </w:r>
      <w:r w:rsidR="00493392" w:rsidRPr="00D7142A">
        <w:t xml:space="preserve"> (French, m, 37, </w:t>
      </w:r>
      <w:r w:rsidR="00041D6F" w:rsidRPr="00D7142A">
        <w:t>10y9m</w:t>
      </w:r>
      <w:r w:rsidR="00493392" w:rsidRPr="00D7142A">
        <w:t>)</w:t>
      </w:r>
      <w:r w:rsidR="00041D6F" w:rsidRPr="00D7142A">
        <w:t xml:space="preserve">. </w:t>
      </w:r>
      <w:r w:rsidR="00CB0F04" w:rsidRPr="00D7142A">
        <w:t>For others,</w:t>
      </w:r>
      <w:r w:rsidR="006C6F84" w:rsidRPr="00D7142A">
        <w:t xml:space="preserve"> it is not a question</w:t>
      </w:r>
      <w:r w:rsidR="00CB0F04" w:rsidRPr="00D7142A">
        <w:t xml:space="preserve"> </w:t>
      </w:r>
      <w:r w:rsidR="006C6F84" w:rsidRPr="00D7142A">
        <w:t xml:space="preserve">that </w:t>
      </w:r>
      <w:r w:rsidR="00B452F3" w:rsidRPr="00D7142A">
        <w:t xml:space="preserve">in many countries </w:t>
      </w:r>
      <w:r w:rsidR="00CB486E" w:rsidRPr="00D7142A">
        <w:t>o</w:t>
      </w:r>
      <w:r w:rsidR="0081290B" w:rsidRPr="00D7142A">
        <w:t>f</w:t>
      </w:r>
      <w:r w:rsidR="00CB486E" w:rsidRPr="00D7142A">
        <w:t xml:space="preserve"> origin </w:t>
      </w:r>
      <w:r w:rsidR="0083518E" w:rsidRPr="00D7142A">
        <w:t>‘</w:t>
      </w:r>
      <w:r w:rsidR="00B452F3" w:rsidRPr="00D7142A">
        <w:t>Private treatments are of much higher quality and are much cheaper than in the UK</w:t>
      </w:r>
      <w:r w:rsidR="0083518E" w:rsidRPr="00D7142A">
        <w:t>’</w:t>
      </w:r>
      <w:r w:rsidR="00B452F3" w:rsidRPr="00D7142A">
        <w:t xml:space="preserve"> (Romanian, f, 35</w:t>
      </w:r>
      <w:r w:rsidR="000662E4" w:rsidRPr="00D7142A">
        <w:t>, 1y11m</w:t>
      </w:r>
      <w:r w:rsidR="00B452F3" w:rsidRPr="00D7142A">
        <w:t>)</w:t>
      </w:r>
      <w:r w:rsidR="00495453" w:rsidRPr="00D7142A">
        <w:rPr>
          <w:rFonts w:eastAsia="Arial Unicode MS"/>
        </w:rPr>
        <w:t>.</w:t>
      </w:r>
      <w:r w:rsidR="004C5042" w:rsidRPr="00D7142A">
        <w:rPr>
          <w:rFonts w:eastAsia="Arial Unicode MS"/>
        </w:rPr>
        <w:t xml:space="preserve"> </w:t>
      </w:r>
      <w:r w:rsidR="009A0792" w:rsidRPr="00D7142A">
        <w:rPr>
          <w:rFonts w:eastAsia="Arial Unicode MS"/>
        </w:rPr>
        <w:t>Yet</w:t>
      </w:r>
      <w:r w:rsidR="00EA6BBB" w:rsidRPr="00D7142A">
        <w:rPr>
          <w:rFonts w:eastAsia="Arial Unicode MS"/>
        </w:rPr>
        <w:t xml:space="preserve">, as </w:t>
      </w:r>
      <w:r w:rsidR="00CD43DA" w:rsidRPr="00D7142A">
        <w:rPr>
          <w:rFonts w:eastAsia="Arial Unicode MS"/>
          <w:noProof/>
        </w:rPr>
        <w:t>Stan (2015)</w:t>
      </w:r>
      <w:r w:rsidR="00423AA0" w:rsidRPr="00D7142A">
        <w:rPr>
          <w:rFonts w:eastAsia="Arial Unicode MS"/>
        </w:rPr>
        <w:t xml:space="preserve"> has </w:t>
      </w:r>
      <w:r w:rsidR="00083407" w:rsidRPr="00D7142A">
        <w:rPr>
          <w:rFonts w:eastAsia="Arial Unicode MS"/>
        </w:rPr>
        <w:t xml:space="preserve">also </w:t>
      </w:r>
      <w:r w:rsidR="00423AA0" w:rsidRPr="00D7142A">
        <w:rPr>
          <w:rFonts w:eastAsia="Arial Unicode MS"/>
        </w:rPr>
        <w:t xml:space="preserve">emphasised, </w:t>
      </w:r>
      <w:r w:rsidR="00083407" w:rsidRPr="00D7142A">
        <w:rPr>
          <w:rFonts w:eastAsia="Arial Unicode MS"/>
        </w:rPr>
        <w:t>the cost of private healthcare in the origin countries</w:t>
      </w:r>
      <w:r w:rsidR="004A5F69" w:rsidRPr="00D7142A">
        <w:rPr>
          <w:rFonts w:eastAsia="Arial Unicode MS"/>
        </w:rPr>
        <w:t xml:space="preserve"> is not </w:t>
      </w:r>
      <w:r w:rsidR="00806F9D" w:rsidRPr="00D7142A">
        <w:rPr>
          <w:rFonts w:eastAsia="Arial Unicode MS"/>
        </w:rPr>
        <w:t>always</w:t>
      </w:r>
      <w:r w:rsidR="004A5F69" w:rsidRPr="00D7142A">
        <w:rPr>
          <w:rFonts w:eastAsia="Arial Unicode MS"/>
        </w:rPr>
        <w:t xml:space="preserve"> affordable </w:t>
      </w:r>
      <w:r w:rsidR="00487898" w:rsidRPr="00D7142A">
        <w:rPr>
          <w:rFonts w:eastAsia="Arial Unicode MS"/>
        </w:rPr>
        <w:t>to migrants</w:t>
      </w:r>
      <w:r w:rsidR="006E5006" w:rsidRPr="00D7142A">
        <w:rPr>
          <w:rFonts w:eastAsia="Arial Unicode MS"/>
        </w:rPr>
        <w:t>:</w:t>
      </w:r>
    </w:p>
    <w:p w14:paraId="252760CA" w14:textId="427A95CA" w:rsidR="006E5006" w:rsidRPr="00D7142A" w:rsidRDefault="006E5006" w:rsidP="00CF38E8">
      <w:pPr>
        <w:pStyle w:val="Quote"/>
        <w:spacing w:line="480" w:lineRule="auto"/>
        <w:jc w:val="both"/>
        <w:rPr>
          <w:color w:val="auto"/>
        </w:rPr>
      </w:pPr>
      <w:r w:rsidRPr="00D7142A">
        <w:rPr>
          <w:color w:val="auto"/>
        </w:rPr>
        <w:t>I have already undergone four operations, but I’m still not well. In Poland, if I had the money, I would have had the right tests carried out by now and given a diagnosis</w:t>
      </w:r>
      <w:r w:rsidR="002556C7" w:rsidRPr="00D7142A">
        <w:rPr>
          <w:color w:val="auto"/>
        </w:rPr>
        <w:t xml:space="preserve"> (…)</w:t>
      </w:r>
      <w:r w:rsidRPr="00D7142A">
        <w:rPr>
          <w:color w:val="auto"/>
        </w:rPr>
        <w:t xml:space="preserve"> (Polish, f, 24</w:t>
      </w:r>
      <w:r w:rsidR="00F8267C" w:rsidRPr="00D7142A">
        <w:rPr>
          <w:color w:val="auto"/>
        </w:rPr>
        <w:t>, 4y6m</w:t>
      </w:r>
      <w:r w:rsidRPr="00D7142A">
        <w:rPr>
          <w:color w:val="auto"/>
        </w:rPr>
        <w:t>)</w:t>
      </w:r>
    </w:p>
    <w:p w14:paraId="090B128D" w14:textId="4F8ABBE4" w:rsidR="00041F79" w:rsidRPr="00D7142A" w:rsidRDefault="006226AA" w:rsidP="00CF38E8">
      <w:pPr>
        <w:pStyle w:val="Newparagraph"/>
        <w:spacing w:line="480" w:lineRule="auto"/>
        <w:ind w:firstLine="0"/>
        <w:rPr>
          <w:rFonts w:eastAsia="Arial Unicode MS"/>
        </w:rPr>
      </w:pPr>
      <w:r w:rsidRPr="00D7142A">
        <w:rPr>
          <w:rFonts w:eastAsia="Arial Unicode MS"/>
        </w:rPr>
        <w:lastRenderedPageBreak/>
        <w:t xml:space="preserve">Practices involving private healthcare seeking </w:t>
      </w:r>
      <w:r w:rsidR="001A4FC1" w:rsidRPr="00D7142A">
        <w:rPr>
          <w:rFonts w:eastAsia="Arial Unicode MS"/>
        </w:rPr>
        <w:t xml:space="preserve">can also take place in a transnational social space that </w:t>
      </w:r>
      <w:r w:rsidR="00B44FEA" w:rsidRPr="00D7142A">
        <w:rPr>
          <w:rFonts w:eastAsia="Arial Unicode MS"/>
        </w:rPr>
        <w:t>supersedes</w:t>
      </w:r>
      <w:r w:rsidR="001A4FC1" w:rsidRPr="00D7142A">
        <w:rPr>
          <w:rFonts w:eastAsia="Arial Unicode MS"/>
        </w:rPr>
        <w:t xml:space="preserve"> </w:t>
      </w:r>
      <w:r w:rsidR="000924E2" w:rsidRPr="00D7142A">
        <w:rPr>
          <w:rFonts w:eastAsia="Arial Unicode MS"/>
        </w:rPr>
        <w:t>geographical transnationalism</w:t>
      </w:r>
      <w:r w:rsidR="00B44FEA" w:rsidRPr="00D7142A">
        <w:rPr>
          <w:rFonts w:eastAsia="Arial Unicode MS"/>
        </w:rPr>
        <w:t xml:space="preserve">. Several authors </w:t>
      </w:r>
      <w:r w:rsidR="00CA2FB7" w:rsidRPr="00D7142A">
        <w:rPr>
          <w:rFonts w:eastAsia="Arial Unicode MS"/>
        </w:rPr>
        <w:t xml:space="preserve">have remarked that </w:t>
      </w:r>
      <w:r w:rsidR="001046DC" w:rsidRPr="00D7142A">
        <w:rPr>
          <w:rFonts w:eastAsia="Arial Unicode MS"/>
        </w:rPr>
        <w:t>many</w:t>
      </w:r>
      <w:r w:rsidR="00CA2FB7" w:rsidRPr="00D7142A">
        <w:rPr>
          <w:rFonts w:eastAsia="Arial Unicode MS"/>
        </w:rPr>
        <w:t xml:space="preserve"> EU migrants </w:t>
      </w:r>
      <w:r w:rsidR="00F83E2F" w:rsidRPr="00D7142A">
        <w:rPr>
          <w:rFonts w:eastAsia="Arial Unicode MS"/>
        </w:rPr>
        <w:t xml:space="preserve">in the UK also have access to local private clinics that cater exclusively to </w:t>
      </w:r>
      <w:proofErr w:type="gramStart"/>
      <w:r w:rsidR="00F83E2F" w:rsidRPr="00D7142A">
        <w:rPr>
          <w:rFonts w:eastAsia="Arial Unicode MS"/>
        </w:rPr>
        <w:t>particular eth</w:t>
      </w:r>
      <w:r w:rsidR="00164FC3" w:rsidRPr="00D7142A">
        <w:rPr>
          <w:rFonts w:eastAsia="Arial Unicode MS"/>
        </w:rPr>
        <w:t>n</w:t>
      </w:r>
      <w:r w:rsidR="00F83E2F" w:rsidRPr="00D7142A">
        <w:rPr>
          <w:rFonts w:eastAsia="Arial Unicode MS"/>
        </w:rPr>
        <w:t>ic</w:t>
      </w:r>
      <w:proofErr w:type="gramEnd"/>
      <w:r w:rsidR="00F83E2F" w:rsidRPr="00D7142A">
        <w:rPr>
          <w:rFonts w:eastAsia="Arial Unicode MS"/>
        </w:rPr>
        <w:t xml:space="preserve"> groups </w:t>
      </w:r>
      <w:r w:rsidR="00E34E1A" w:rsidRPr="00D7142A">
        <w:rPr>
          <w:rFonts w:eastAsia="Arial Unicode MS"/>
          <w:noProof/>
        </w:rPr>
        <w:t>(</w:t>
      </w:r>
      <w:r w:rsidR="00CD43DA" w:rsidRPr="00D7142A">
        <w:rPr>
          <w:rFonts w:eastAsia="Arial Unicode MS"/>
          <w:noProof/>
        </w:rPr>
        <w:t>Ehata and Seeleib-Kaiser, 2017</w:t>
      </w:r>
      <w:r w:rsidR="00E34E1A" w:rsidRPr="00D7142A">
        <w:rPr>
          <w:rFonts w:eastAsia="Arial Unicode MS"/>
          <w:noProof/>
        </w:rPr>
        <w:t xml:space="preserve">; </w:t>
      </w:r>
      <w:r w:rsidR="00CD43DA" w:rsidRPr="00D7142A">
        <w:rPr>
          <w:rFonts w:eastAsia="Arial Unicode MS"/>
          <w:noProof/>
        </w:rPr>
        <w:t>Osipovič, 2013</w:t>
      </w:r>
      <w:r w:rsidR="00E34E1A" w:rsidRPr="00D7142A">
        <w:rPr>
          <w:rFonts w:eastAsia="Arial Unicode MS"/>
          <w:noProof/>
        </w:rPr>
        <w:t>)</w:t>
      </w:r>
      <w:r w:rsidR="001046DC" w:rsidRPr="00D7142A">
        <w:rPr>
          <w:rFonts w:eastAsia="Arial Unicode MS"/>
        </w:rPr>
        <w:t xml:space="preserve">. </w:t>
      </w:r>
      <w:r w:rsidR="00836983" w:rsidRPr="00D7142A">
        <w:rPr>
          <w:rFonts w:eastAsia="Arial Unicode MS"/>
        </w:rPr>
        <w:t xml:space="preserve">Although </w:t>
      </w:r>
      <w:r w:rsidR="00FC3C3B" w:rsidRPr="00D7142A">
        <w:rPr>
          <w:rFonts w:eastAsia="Arial Unicode MS"/>
        </w:rPr>
        <w:t xml:space="preserve">such opportunities may not necessarily </w:t>
      </w:r>
      <w:r w:rsidR="00BB71EC" w:rsidRPr="00D7142A">
        <w:rPr>
          <w:rFonts w:eastAsia="Arial Unicode MS"/>
        </w:rPr>
        <w:t>affect</w:t>
      </w:r>
      <w:r w:rsidR="00FC3C3B" w:rsidRPr="00D7142A">
        <w:rPr>
          <w:rFonts w:eastAsia="Arial Unicode MS"/>
        </w:rPr>
        <w:t xml:space="preserve"> treatment costs, they </w:t>
      </w:r>
      <w:r w:rsidR="00812779" w:rsidRPr="00D7142A">
        <w:rPr>
          <w:rFonts w:eastAsia="Arial Unicode MS"/>
        </w:rPr>
        <w:t xml:space="preserve">help remove </w:t>
      </w:r>
      <w:r w:rsidR="00041F79" w:rsidRPr="00D7142A">
        <w:rPr>
          <w:rFonts w:eastAsia="Arial Unicode MS"/>
        </w:rPr>
        <w:t xml:space="preserve">the language barrier and reduce the trust deficit </w:t>
      </w:r>
      <w:r w:rsidR="00C7467D" w:rsidRPr="00D7142A">
        <w:rPr>
          <w:rFonts w:eastAsia="Arial Unicode MS"/>
        </w:rPr>
        <w:t>and the cultural distance we discussed earlier</w:t>
      </w:r>
      <w:r w:rsidR="00EF404E" w:rsidRPr="00D7142A">
        <w:rPr>
          <w:rFonts w:eastAsia="Arial Unicode MS"/>
        </w:rPr>
        <w:t>, whi</w:t>
      </w:r>
      <w:r w:rsidR="00167E52" w:rsidRPr="00D7142A">
        <w:rPr>
          <w:rFonts w:eastAsia="Arial Unicode MS"/>
        </w:rPr>
        <w:t xml:space="preserve">le they </w:t>
      </w:r>
      <w:r w:rsidR="00041F79" w:rsidRPr="00D7142A">
        <w:rPr>
          <w:rFonts w:eastAsia="Arial Unicode MS"/>
        </w:rPr>
        <w:t xml:space="preserve">can still be </w:t>
      </w:r>
      <w:r w:rsidR="00D4545F" w:rsidRPr="00D7142A">
        <w:rPr>
          <w:rFonts w:eastAsia="Arial Unicode MS"/>
        </w:rPr>
        <w:t xml:space="preserve">easily </w:t>
      </w:r>
      <w:r w:rsidR="00041F79" w:rsidRPr="00D7142A">
        <w:rPr>
          <w:rFonts w:eastAsia="Arial Unicode MS"/>
        </w:rPr>
        <w:t xml:space="preserve">combined with state-funded services: </w:t>
      </w:r>
    </w:p>
    <w:p w14:paraId="20E00CC4" w14:textId="5A4D5E9C" w:rsidR="00400283" w:rsidRPr="00D7142A" w:rsidRDefault="00400283" w:rsidP="00CF38E8">
      <w:pPr>
        <w:pStyle w:val="Quote"/>
        <w:spacing w:line="480" w:lineRule="auto"/>
        <w:jc w:val="both"/>
        <w:rPr>
          <w:rFonts w:eastAsia="Arial Unicode MS"/>
          <w:b/>
        </w:rPr>
      </w:pPr>
      <w:r w:rsidRPr="00D7142A">
        <w:t xml:space="preserve">When it comes to diagnosis and GP visits, I would ALWAYS choose private European doctors over British. They misdiagnosed me for 4 years...whereas I visited a Polish clinic in London and got diagnosed instantly and my problem sorted within 3 months! </w:t>
      </w:r>
      <w:r w:rsidR="00DD2E0A" w:rsidRPr="00D7142A">
        <w:t>...</w:t>
      </w:r>
      <w:r w:rsidRPr="00D7142A">
        <w:t xml:space="preserve"> But the hospital treatments I received was great. The nurses</w:t>
      </w:r>
      <w:r w:rsidRPr="00D7142A">
        <w:rPr>
          <w:rStyle w:val="Strong"/>
          <w:b w:val="0"/>
        </w:rPr>
        <w:t xml:space="preserve"> here are amazing, they go the extra mile to help you! (Poland, f, 30, 10y8m)</w:t>
      </w:r>
    </w:p>
    <w:p w14:paraId="366FB030" w14:textId="580D2947" w:rsidR="00A507D6" w:rsidRPr="00D7142A" w:rsidRDefault="00E83089" w:rsidP="00CF38E8">
      <w:pPr>
        <w:pStyle w:val="Newparagraph"/>
        <w:spacing w:line="480" w:lineRule="auto"/>
        <w:ind w:firstLine="0"/>
        <w:rPr>
          <w:rFonts w:eastAsia="Arial Unicode MS"/>
        </w:rPr>
      </w:pPr>
      <w:r w:rsidRPr="00D7142A">
        <w:rPr>
          <w:rFonts w:eastAsia="Arial Unicode MS"/>
        </w:rPr>
        <w:t>The sentiment encapsulated in the quote above</w:t>
      </w:r>
      <w:r w:rsidR="00A507D6" w:rsidRPr="00D7142A">
        <w:rPr>
          <w:rFonts w:eastAsia="Arial Unicode MS"/>
        </w:rPr>
        <w:t xml:space="preserve"> is echoed in other research findings too</w:t>
      </w:r>
      <w:r w:rsidR="007D1C30" w:rsidRPr="00D7142A">
        <w:rPr>
          <w:rFonts w:eastAsia="Arial Unicode MS"/>
        </w:rPr>
        <w:t xml:space="preserve">, where Polish migrants </w:t>
      </w:r>
      <w:r w:rsidR="00AE77A4" w:rsidRPr="00D7142A">
        <w:rPr>
          <w:rFonts w:eastAsia="Arial Unicode MS"/>
        </w:rPr>
        <w:t xml:space="preserve">expressed significantly higher levels of satisfaction with hospital treatments than with </w:t>
      </w:r>
      <w:r w:rsidR="00FB3C01" w:rsidRPr="00D7142A">
        <w:rPr>
          <w:rFonts w:eastAsia="Arial Unicode MS"/>
        </w:rPr>
        <w:t xml:space="preserve">GPs or </w:t>
      </w:r>
      <w:r w:rsidR="00F7597C" w:rsidRPr="00D7142A">
        <w:rPr>
          <w:rFonts w:eastAsia="Arial Unicode MS"/>
        </w:rPr>
        <w:t xml:space="preserve">dentists </w:t>
      </w:r>
      <w:r w:rsidR="00E34E1A" w:rsidRPr="00D7142A">
        <w:rPr>
          <w:rFonts w:eastAsia="Arial Unicode MS"/>
          <w:noProof/>
        </w:rPr>
        <w:t>(</w:t>
      </w:r>
      <w:r w:rsidR="00CD43DA" w:rsidRPr="00D7142A">
        <w:rPr>
          <w:rFonts w:eastAsia="Arial Unicode MS"/>
          <w:noProof/>
        </w:rPr>
        <w:t>Goodwin, Polek, and Goodwin, 2013: 162.</w:t>
      </w:r>
      <w:r w:rsidR="00E34E1A" w:rsidRPr="00D7142A">
        <w:rPr>
          <w:rFonts w:eastAsia="Arial Unicode MS"/>
          <w:noProof/>
        </w:rPr>
        <w:t>)</w:t>
      </w:r>
    </w:p>
    <w:p w14:paraId="6D024B07" w14:textId="6533800E" w:rsidR="00FD24C3" w:rsidRPr="00D7142A" w:rsidRDefault="00A9257B" w:rsidP="00CF38E8">
      <w:pPr>
        <w:pStyle w:val="Newparagraph"/>
        <w:spacing w:line="480" w:lineRule="auto"/>
        <w:rPr>
          <w:rFonts w:eastAsia="Arial Unicode MS"/>
        </w:rPr>
      </w:pPr>
      <w:r w:rsidRPr="00D7142A">
        <w:rPr>
          <w:rFonts w:eastAsia="Arial Unicode MS"/>
        </w:rPr>
        <w:t xml:space="preserve">Several </w:t>
      </w:r>
      <w:r w:rsidR="008E6CDC" w:rsidRPr="00D7142A">
        <w:rPr>
          <w:rFonts w:eastAsia="Arial Unicode MS"/>
        </w:rPr>
        <w:t xml:space="preserve">other </w:t>
      </w:r>
      <w:r w:rsidR="00C16F66" w:rsidRPr="00D7142A">
        <w:rPr>
          <w:rFonts w:eastAsia="Arial Unicode MS"/>
        </w:rPr>
        <w:t xml:space="preserve">comments </w:t>
      </w:r>
      <w:r w:rsidR="00E47C39" w:rsidRPr="00D7142A">
        <w:rPr>
          <w:rFonts w:eastAsia="Arial Unicode MS"/>
        </w:rPr>
        <w:t xml:space="preserve">alluded to </w:t>
      </w:r>
      <w:r w:rsidR="00F72AA2" w:rsidRPr="00D7142A">
        <w:rPr>
          <w:rFonts w:eastAsia="Arial Unicode MS"/>
        </w:rPr>
        <w:t>engage</w:t>
      </w:r>
      <w:r w:rsidR="009C7033" w:rsidRPr="00D7142A">
        <w:rPr>
          <w:rFonts w:eastAsia="Arial Unicode MS"/>
        </w:rPr>
        <w:t>ment</w:t>
      </w:r>
      <w:r w:rsidR="00F72AA2" w:rsidRPr="00D7142A">
        <w:rPr>
          <w:rFonts w:eastAsia="Arial Unicode MS"/>
        </w:rPr>
        <w:t xml:space="preserve"> with healthcare service</w:t>
      </w:r>
      <w:r w:rsidR="00943FFE" w:rsidRPr="00D7142A">
        <w:rPr>
          <w:rFonts w:eastAsia="Arial Unicode MS"/>
        </w:rPr>
        <w:t>s</w:t>
      </w:r>
      <w:r w:rsidR="00F72AA2" w:rsidRPr="00D7142A">
        <w:rPr>
          <w:rFonts w:eastAsia="Arial Unicode MS"/>
        </w:rPr>
        <w:t xml:space="preserve"> in </w:t>
      </w:r>
      <w:r w:rsidR="00943FFE" w:rsidRPr="00D7142A">
        <w:rPr>
          <w:rFonts w:eastAsia="Arial Unicode MS"/>
        </w:rPr>
        <w:t xml:space="preserve">both </w:t>
      </w:r>
      <w:r w:rsidR="00F72AA2" w:rsidRPr="00D7142A">
        <w:rPr>
          <w:rFonts w:eastAsia="Arial Unicode MS"/>
        </w:rPr>
        <w:t xml:space="preserve">the UK and </w:t>
      </w:r>
      <w:r w:rsidR="009C7033" w:rsidRPr="00D7142A">
        <w:rPr>
          <w:rFonts w:eastAsia="Arial Unicode MS"/>
        </w:rPr>
        <w:t>the</w:t>
      </w:r>
      <w:r w:rsidR="00F72AA2" w:rsidRPr="00D7142A">
        <w:rPr>
          <w:rFonts w:eastAsia="Arial Unicode MS"/>
        </w:rPr>
        <w:t xml:space="preserve"> </w:t>
      </w:r>
      <w:proofErr w:type="spellStart"/>
      <w:r w:rsidR="0083518E" w:rsidRPr="00D7142A">
        <w:rPr>
          <w:rFonts w:eastAsia="Arial Unicode MS"/>
        </w:rPr>
        <w:t>CoO</w:t>
      </w:r>
      <w:proofErr w:type="spellEnd"/>
      <w:r w:rsidR="009050BF" w:rsidRPr="00D7142A">
        <w:rPr>
          <w:rFonts w:eastAsia="Arial Unicode MS"/>
        </w:rPr>
        <w:t>,</w:t>
      </w:r>
      <w:r w:rsidR="00745974" w:rsidRPr="00D7142A">
        <w:rPr>
          <w:rFonts w:eastAsia="Arial Unicode MS"/>
        </w:rPr>
        <w:t xml:space="preserve"> </w:t>
      </w:r>
      <w:r w:rsidR="00551A75" w:rsidRPr="00D7142A">
        <w:rPr>
          <w:rFonts w:eastAsia="Arial Unicode MS"/>
        </w:rPr>
        <w:t>or</w:t>
      </w:r>
      <w:r w:rsidR="00B90DDF" w:rsidRPr="00D7142A">
        <w:rPr>
          <w:rFonts w:eastAsia="Arial Unicode MS"/>
        </w:rPr>
        <w:t xml:space="preserve"> to </w:t>
      </w:r>
      <w:r w:rsidR="00745974" w:rsidRPr="00D7142A">
        <w:rPr>
          <w:rFonts w:eastAsia="Arial Unicode MS"/>
        </w:rPr>
        <w:t>combin</w:t>
      </w:r>
      <w:r w:rsidR="00B90DDF" w:rsidRPr="00D7142A">
        <w:rPr>
          <w:rFonts w:eastAsia="Arial Unicode MS"/>
        </w:rPr>
        <w:t>ing</w:t>
      </w:r>
      <w:r w:rsidR="00745974" w:rsidRPr="00D7142A">
        <w:rPr>
          <w:rFonts w:eastAsia="Arial Unicode MS"/>
        </w:rPr>
        <w:t xml:space="preserve"> </w:t>
      </w:r>
      <w:r w:rsidR="00EB6C3C" w:rsidRPr="00D7142A">
        <w:rPr>
          <w:rFonts w:eastAsia="Arial Unicode MS"/>
        </w:rPr>
        <w:t>paid</w:t>
      </w:r>
      <w:r w:rsidR="00745974" w:rsidRPr="00D7142A">
        <w:rPr>
          <w:rFonts w:eastAsia="Arial Unicode MS"/>
        </w:rPr>
        <w:t xml:space="preserve"> and free service</w:t>
      </w:r>
      <w:r w:rsidR="009050BF" w:rsidRPr="00D7142A">
        <w:rPr>
          <w:rFonts w:eastAsia="Arial Unicode MS"/>
        </w:rPr>
        <w:t>s</w:t>
      </w:r>
      <w:r w:rsidR="00745974" w:rsidRPr="00D7142A">
        <w:rPr>
          <w:rFonts w:eastAsia="Arial Unicode MS"/>
        </w:rPr>
        <w:t xml:space="preserve"> as well as formal and informal </w:t>
      </w:r>
      <w:r w:rsidR="009050BF" w:rsidRPr="00D7142A">
        <w:rPr>
          <w:rFonts w:eastAsia="Arial Unicode MS"/>
        </w:rPr>
        <w:t>treatments</w:t>
      </w:r>
      <w:r w:rsidR="00AD57C1" w:rsidRPr="00D7142A">
        <w:rPr>
          <w:rFonts w:eastAsia="Arial Unicode MS"/>
        </w:rPr>
        <w:t xml:space="preserve">. </w:t>
      </w:r>
      <w:r w:rsidR="00080A57" w:rsidRPr="00D7142A">
        <w:rPr>
          <w:rFonts w:eastAsia="Arial Unicode MS"/>
        </w:rPr>
        <w:t>S</w:t>
      </w:r>
      <w:r w:rsidR="00F72AA2" w:rsidRPr="00D7142A">
        <w:rPr>
          <w:rFonts w:eastAsia="Arial Unicode MS"/>
        </w:rPr>
        <w:t xml:space="preserve">uch </w:t>
      </w:r>
      <w:r w:rsidR="00C87345" w:rsidRPr="00D7142A">
        <w:rPr>
          <w:rFonts w:eastAsia="Arial Unicode MS"/>
        </w:rPr>
        <w:t xml:space="preserve">practices of </w:t>
      </w:r>
      <w:r w:rsidR="000C40F9" w:rsidRPr="00D7142A">
        <w:rPr>
          <w:rFonts w:eastAsia="Arial Unicode MS"/>
        </w:rPr>
        <w:t xml:space="preserve">healthcare ‘bricolage’ </w:t>
      </w:r>
      <w:r w:rsidR="0044012D" w:rsidRPr="00D7142A">
        <w:rPr>
          <w:rFonts w:eastAsia="Arial Unicode MS"/>
          <w:noProof/>
        </w:rPr>
        <w:t>(</w:t>
      </w:r>
      <w:r w:rsidR="00CD43DA" w:rsidRPr="00D7142A">
        <w:rPr>
          <w:rFonts w:eastAsia="Arial Unicode MS"/>
          <w:noProof/>
        </w:rPr>
        <w:t>Phillimore et al., 2018</w:t>
      </w:r>
      <w:r w:rsidR="0044012D" w:rsidRPr="00D7142A">
        <w:rPr>
          <w:rFonts w:eastAsia="Arial Unicode MS"/>
          <w:noProof/>
        </w:rPr>
        <w:t>)</w:t>
      </w:r>
      <w:r w:rsidR="00BA6E11" w:rsidRPr="00D7142A">
        <w:rPr>
          <w:rFonts w:eastAsia="Arial Unicode MS"/>
        </w:rPr>
        <w:t>,</w:t>
      </w:r>
      <w:r w:rsidR="000C40F9" w:rsidRPr="00D7142A">
        <w:rPr>
          <w:rFonts w:eastAsia="Arial Unicode MS"/>
        </w:rPr>
        <w:t xml:space="preserve"> </w:t>
      </w:r>
      <w:r w:rsidR="000C40F9" w:rsidRPr="00D7142A">
        <w:t>‘assemblage’</w:t>
      </w:r>
      <w:r w:rsidR="00FC434E" w:rsidRPr="00D7142A">
        <w:t xml:space="preserve"> </w:t>
      </w:r>
      <w:r w:rsidR="0014028A" w:rsidRPr="00D7142A">
        <w:rPr>
          <w:noProof/>
        </w:rPr>
        <w:t>(</w:t>
      </w:r>
      <w:r w:rsidR="00CD43DA" w:rsidRPr="00D7142A">
        <w:rPr>
          <w:noProof/>
        </w:rPr>
        <w:t>Bilecen and Barglowski, 2015</w:t>
      </w:r>
      <w:r w:rsidR="0014028A" w:rsidRPr="00D7142A">
        <w:rPr>
          <w:noProof/>
        </w:rPr>
        <w:t>)</w:t>
      </w:r>
      <w:r w:rsidR="000B22A7" w:rsidRPr="00D7142A">
        <w:t xml:space="preserve"> </w:t>
      </w:r>
      <w:r w:rsidR="00FC434E" w:rsidRPr="00D7142A">
        <w:t>or</w:t>
      </w:r>
      <w:r w:rsidR="004A453B" w:rsidRPr="00D7142A">
        <w:t xml:space="preserve"> ‘stitching’ across borders </w:t>
      </w:r>
      <w:r w:rsidR="00E34E1A" w:rsidRPr="00D7142A">
        <w:rPr>
          <w:noProof/>
        </w:rPr>
        <w:t>(</w:t>
      </w:r>
      <w:r w:rsidR="00CD43DA" w:rsidRPr="00D7142A">
        <w:rPr>
          <w:noProof/>
        </w:rPr>
        <w:t>Bilecen, Çatır, and Orhon, 2015</w:t>
      </w:r>
      <w:r w:rsidR="00E34E1A" w:rsidRPr="00D7142A">
        <w:rPr>
          <w:noProof/>
        </w:rPr>
        <w:t>)</w:t>
      </w:r>
      <w:r w:rsidR="00080A57" w:rsidRPr="00D7142A">
        <w:t xml:space="preserve"> are well documented</w:t>
      </w:r>
      <w:r w:rsidR="008D7340" w:rsidRPr="00D7142A">
        <w:rPr>
          <w:rFonts w:eastAsia="Arial Unicode MS"/>
        </w:rPr>
        <w:t xml:space="preserve">. </w:t>
      </w:r>
      <w:r w:rsidR="00444ACF" w:rsidRPr="00D7142A">
        <w:rPr>
          <w:rFonts w:eastAsia="Arial Unicode MS"/>
        </w:rPr>
        <w:t xml:space="preserve">In </w:t>
      </w:r>
      <w:r w:rsidR="00AA29EA" w:rsidRPr="00D7142A">
        <w:rPr>
          <w:rFonts w:eastAsia="Arial Unicode MS"/>
        </w:rPr>
        <w:t xml:space="preserve">most </w:t>
      </w:r>
      <w:r w:rsidR="00444ACF" w:rsidRPr="00D7142A">
        <w:rPr>
          <w:rFonts w:eastAsia="Arial Unicode MS"/>
        </w:rPr>
        <w:t>instances</w:t>
      </w:r>
      <w:r w:rsidR="00EF410E" w:rsidRPr="00D7142A">
        <w:rPr>
          <w:rFonts w:eastAsia="Arial Unicode MS"/>
        </w:rPr>
        <w:t xml:space="preserve"> </w:t>
      </w:r>
      <w:r w:rsidR="001734CA" w:rsidRPr="00D7142A">
        <w:rPr>
          <w:rFonts w:eastAsia="Arial Unicode MS"/>
        </w:rPr>
        <w:t>of reference</w:t>
      </w:r>
      <w:r w:rsidR="004930BF" w:rsidRPr="00D7142A">
        <w:rPr>
          <w:rFonts w:eastAsia="Arial Unicode MS"/>
        </w:rPr>
        <w:t xml:space="preserve">d ‘bricolage’ </w:t>
      </w:r>
      <w:r w:rsidR="00EF410E" w:rsidRPr="00D7142A">
        <w:rPr>
          <w:rFonts w:eastAsia="Arial Unicode MS"/>
        </w:rPr>
        <w:t xml:space="preserve">the selected treatment location preference </w:t>
      </w:r>
      <w:r w:rsidR="00827564" w:rsidRPr="00D7142A">
        <w:rPr>
          <w:rFonts w:eastAsia="Arial Unicode MS"/>
        </w:rPr>
        <w:t xml:space="preserve">was qualified </w:t>
      </w:r>
      <w:r w:rsidR="00DD1C87" w:rsidRPr="00D7142A">
        <w:rPr>
          <w:rFonts w:eastAsia="Arial Unicode MS"/>
        </w:rPr>
        <w:t>b</w:t>
      </w:r>
      <w:r w:rsidR="00031085" w:rsidRPr="00D7142A">
        <w:rPr>
          <w:rFonts w:eastAsia="Arial Unicode MS"/>
        </w:rPr>
        <w:t xml:space="preserve">y the </w:t>
      </w:r>
      <w:r w:rsidR="00031085" w:rsidRPr="00D7142A">
        <w:rPr>
          <w:rFonts w:eastAsia="Arial Unicode MS"/>
          <w:i/>
          <w:iCs/>
        </w:rPr>
        <w:t>type</w:t>
      </w:r>
      <w:r w:rsidR="00031085" w:rsidRPr="00D7142A">
        <w:rPr>
          <w:rFonts w:eastAsia="Arial Unicode MS"/>
        </w:rPr>
        <w:t xml:space="preserve"> or </w:t>
      </w:r>
      <w:r w:rsidR="005A21A5" w:rsidRPr="00D7142A">
        <w:rPr>
          <w:rFonts w:eastAsia="Arial Unicode MS"/>
          <w:i/>
          <w:iCs/>
        </w:rPr>
        <w:t>severity</w:t>
      </w:r>
      <w:r w:rsidR="005A21A5" w:rsidRPr="00D7142A">
        <w:rPr>
          <w:rFonts w:eastAsia="Arial Unicode MS"/>
        </w:rPr>
        <w:t xml:space="preserve"> of the procedure required</w:t>
      </w:r>
      <w:r w:rsidR="00754CEC" w:rsidRPr="00D7142A">
        <w:rPr>
          <w:rFonts w:eastAsia="Arial Unicode MS"/>
        </w:rPr>
        <w:t>.</w:t>
      </w:r>
      <w:r w:rsidR="009B5A3A" w:rsidRPr="00D7142A">
        <w:rPr>
          <w:rFonts w:eastAsia="Arial Unicode MS"/>
        </w:rPr>
        <w:t xml:space="preserve"> </w:t>
      </w:r>
      <w:r w:rsidR="00203243" w:rsidRPr="00D7142A">
        <w:rPr>
          <w:rFonts w:eastAsia="Arial Unicode MS"/>
        </w:rPr>
        <w:t xml:space="preserve">Some preferred </w:t>
      </w:r>
      <w:r w:rsidR="0083518E" w:rsidRPr="00D7142A">
        <w:rPr>
          <w:rFonts w:eastAsia="Arial Unicode MS"/>
        </w:rPr>
        <w:t>‘</w:t>
      </w:r>
      <w:r w:rsidR="00203243" w:rsidRPr="00D7142A">
        <w:rPr>
          <w:rFonts w:eastAsia="Arial Unicode MS"/>
        </w:rPr>
        <w:t>Longer treatment in my country, basic treatment in the UK</w:t>
      </w:r>
      <w:r w:rsidR="0083518E" w:rsidRPr="00D7142A">
        <w:rPr>
          <w:rFonts w:eastAsia="Arial Unicode MS"/>
        </w:rPr>
        <w:t>’</w:t>
      </w:r>
      <w:r w:rsidR="00203243" w:rsidRPr="00D7142A">
        <w:rPr>
          <w:rFonts w:eastAsia="Arial Unicode MS"/>
        </w:rPr>
        <w:t xml:space="preserve"> (Spain, m, 27,</w:t>
      </w:r>
      <w:r w:rsidR="007C0D77" w:rsidRPr="00D7142A">
        <w:rPr>
          <w:rFonts w:eastAsia="Arial Unicode MS"/>
        </w:rPr>
        <w:t xml:space="preserve"> 1m)</w:t>
      </w:r>
      <w:r w:rsidR="00884110" w:rsidRPr="00D7142A">
        <w:rPr>
          <w:rFonts w:eastAsia="Arial Unicode MS"/>
        </w:rPr>
        <w:t xml:space="preserve">, or </w:t>
      </w:r>
      <w:r w:rsidR="0083518E" w:rsidRPr="00D7142A">
        <w:rPr>
          <w:rFonts w:eastAsia="Arial Unicode MS"/>
        </w:rPr>
        <w:t>‘</w:t>
      </w:r>
      <w:r w:rsidR="00884110" w:rsidRPr="00D7142A">
        <w:rPr>
          <w:rFonts w:eastAsia="Arial Unicode MS"/>
        </w:rPr>
        <w:t>UK for minor things, my country of origin for serious medical issues (such as cancer)</w:t>
      </w:r>
      <w:r w:rsidR="0083518E" w:rsidRPr="00D7142A">
        <w:rPr>
          <w:rFonts w:eastAsia="Arial Unicode MS"/>
        </w:rPr>
        <w:t>’</w:t>
      </w:r>
      <w:r w:rsidR="00884110" w:rsidRPr="00D7142A">
        <w:rPr>
          <w:rFonts w:eastAsia="Arial Unicode MS"/>
        </w:rPr>
        <w:t xml:space="preserve"> (German, f, 34</w:t>
      </w:r>
      <w:r w:rsidR="00F64C4F" w:rsidRPr="00D7142A">
        <w:rPr>
          <w:rFonts w:eastAsia="Arial Unicode MS"/>
        </w:rPr>
        <w:t xml:space="preserve">, </w:t>
      </w:r>
      <w:r w:rsidR="00AE24C8" w:rsidRPr="00D7142A">
        <w:rPr>
          <w:rFonts w:eastAsia="Arial Unicode MS"/>
        </w:rPr>
        <w:t>2y2m</w:t>
      </w:r>
      <w:r w:rsidR="00884110" w:rsidRPr="00D7142A">
        <w:rPr>
          <w:rFonts w:eastAsia="Arial Unicode MS"/>
        </w:rPr>
        <w:t>)</w:t>
      </w:r>
      <w:r w:rsidR="00AE24C8" w:rsidRPr="00D7142A">
        <w:rPr>
          <w:rFonts w:eastAsia="Arial Unicode MS"/>
        </w:rPr>
        <w:t xml:space="preserve">. </w:t>
      </w:r>
      <w:r w:rsidR="002143D0" w:rsidRPr="00D7142A">
        <w:rPr>
          <w:rFonts w:eastAsia="Arial Unicode MS"/>
        </w:rPr>
        <w:t>As another respondent explained,</w:t>
      </w:r>
    </w:p>
    <w:p w14:paraId="43FB995B" w14:textId="050E9BAD" w:rsidR="00217634" w:rsidRPr="00D7142A" w:rsidRDefault="00677F47" w:rsidP="00CF38E8">
      <w:pPr>
        <w:pStyle w:val="Quote"/>
        <w:spacing w:line="480" w:lineRule="auto"/>
        <w:jc w:val="both"/>
      </w:pPr>
      <w:r w:rsidRPr="00D7142A">
        <w:t xml:space="preserve">That depends on the treatment in question. </w:t>
      </w:r>
      <w:r w:rsidR="00715D22" w:rsidRPr="00D7142A">
        <w:t xml:space="preserve">For dental treatment </w:t>
      </w:r>
      <w:r w:rsidR="009C62A0" w:rsidRPr="00D7142A">
        <w:t xml:space="preserve">I regularly go to Hungary only, but </w:t>
      </w:r>
      <w:r w:rsidR="002A34BF" w:rsidRPr="00D7142A">
        <w:t xml:space="preserve">if I need to visit </w:t>
      </w:r>
      <w:r w:rsidR="007D3872" w:rsidRPr="00D7142A">
        <w:t>the</w:t>
      </w:r>
      <w:r w:rsidR="00772EEF" w:rsidRPr="00D7142A">
        <w:t xml:space="preserve"> general practitioner </w:t>
      </w:r>
      <w:r w:rsidR="008275D8" w:rsidRPr="00D7142A">
        <w:t xml:space="preserve">with some acute problem </w:t>
      </w:r>
      <w:r w:rsidR="008275D8" w:rsidRPr="00D7142A">
        <w:lastRenderedPageBreak/>
        <w:t>then I obviously do it in the United Kingdom</w:t>
      </w:r>
      <w:r w:rsidR="000C75BF" w:rsidRPr="00D7142A">
        <w:t>. In the future, I think if I will want to give birth, then I w</w:t>
      </w:r>
      <w:r w:rsidR="00E02FE2" w:rsidRPr="00D7142A">
        <w:t>ill also do that in Hungary</w:t>
      </w:r>
      <w:proofErr w:type="gramStart"/>
      <w:r w:rsidR="00E02FE2" w:rsidRPr="00D7142A">
        <w:t xml:space="preserve">. </w:t>
      </w:r>
      <w:r w:rsidR="00217634" w:rsidRPr="00D7142A">
        <w:t xml:space="preserve"> </w:t>
      </w:r>
      <w:proofErr w:type="gramEnd"/>
      <w:r w:rsidR="00217634" w:rsidRPr="00D7142A">
        <w:t>(Hungarian, f, 37, 5y1m)</w:t>
      </w:r>
    </w:p>
    <w:p w14:paraId="71C9C4C1" w14:textId="7D52AC34" w:rsidR="003F756A" w:rsidRPr="00D7142A" w:rsidRDefault="00903EB0" w:rsidP="00CF38E8">
      <w:pPr>
        <w:pStyle w:val="Newparagraph"/>
        <w:spacing w:line="480" w:lineRule="auto"/>
        <w:ind w:firstLine="0"/>
        <w:rPr>
          <w:rFonts w:eastAsia="Arial Unicode MS"/>
        </w:rPr>
      </w:pPr>
      <w:r w:rsidRPr="00D7142A">
        <w:rPr>
          <w:rFonts w:eastAsia="Arial Unicode MS"/>
        </w:rPr>
        <w:t xml:space="preserve">Dental </w:t>
      </w:r>
      <w:r w:rsidR="00FF57A2" w:rsidRPr="00D7142A">
        <w:rPr>
          <w:rFonts w:eastAsia="Arial Unicode MS"/>
        </w:rPr>
        <w:t>care</w:t>
      </w:r>
      <w:r w:rsidRPr="00D7142A">
        <w:rPr>
          <w:rFonts w:eastAsia="Arial Unicode MS"/>
        </w:rPr>
        <w:t xml:space="preserve"> </w:t>
      </w:r>
      <w:r w:rsidR="0003492E" w:rsidRPr="00D7142A">
        <w:rPr>
          <w:rFonts w:eastAsia="Arial Unicode MS"/>
        </w:rPr>
        <w:t xml:space="preserve">was the </w:t>
      </w:r>
      <w:r w:rsidR="00886FDF" w:rsidRPr="00D7142A">
        <w:rPr>
          <w:rFonts w:eastAsia="Arial Unicode MS"/>
        </w:rPr>
        <w:t>most mentioned</w:t>
      </w:r>
      <w:r w:rsidR="0003492E" w:rsidRPr="00D7142A">
        <w:rPr>
          <w:rFonts w:eastAsia="Arial Unicode MS"/>
        </w:rPr>
        <w:t xml:space="preserve"> ‘type’ of treat</w:t>
      </w:r>
      <w:r w:rsidR="00FF57A2" w:rsidRPr="00D7142A">
        <w:rPr>
          <w:rFonts w:eastAsia="Arial Unicode MS"/>
        </w:rPr>
        <w:t>ment</w:t>
      </w:r>
      <w:r w:rsidR="00B22217" w:rsidRPr="00D7142A">
        <w:rPr>
          <w:rFonts w:eastAsia="Arial Unicode MS"/>
        </w:rPr>
        <w:t xml:space="preserve"> to be sought in the </w:t>
      </w:r>
      <w:proofErr w:type="spellStart"/>
      <w:r w:rsidR="0083518E" w:rsidRPr="00D7142A">
        <w:rPr>
          <w:rFonts w:eastAsia="Arial Unicode MS"/>
        </w:rPr>
        <w:t>CoO</w:t>
      </w:r>
      <w:proofErr w:type="spellEnd"/>
      <w:r w:rsidR="003F756A" w:rsidRPr="00D7142A">
        <w:rPr>
          <w:rFonts w:eastAsia="Arial Unicode MS"/>
        </w:rPr>
        <w:t xml:space="preserve">, mostly </w:t>
      </w:r>
      <w:r w:rsidR="002E49C2" w:rsidRPr="00D7142A">
        <w:rPr>
          <w:rFonts w:eastAsia="Arial Unicode MS"/>
        </w:rPr>
        <w:t>because</w:t>
      </w:r>
      <w:r w:rsidR="0008391A" w:rsidRPr="00D7142A">
        <w:rPr>
          <w:rFonts w:eastAsia="Arial Unicode MS"/>
        </w:rPr>
        <w:t xml:space="preserve"> it is not free to </w:t>
      </w:r>
      <w:r w:rsidR="00CE64CA" w:rsidRPr="00D7142A">
        <w:rPr>
          <w:rFonts w:eastAsia="Arial Unicode MS"/>
        </w:rPr>
        <w:t>most</w:t>
      </w:r>
      <w:r w:rsidR="0008391A" w:rsidRPr="00D7142A">
        <w:rPr>
          <w:rFonts w:eastAsia="Arial Unicode MS"/>
        </w:rPr>
        <w:t xml:space="preserve"> patients on the NHS</w:t>
      </w:r>
      <w:r w:rsidR="00D21B02" w:rsidRPr="00D7142A">
        <w:rPr>
          <w:rFonts w:eastAsia="Arial Unicode MS"/>
        </w:rPr>
        <w:t xml:space="preserve">, but </w:t>
      </w:r>
      <w:r w:rsidR="006F0310" w:rsidRPr="00D7142A">
        <w:rPr>
          <w:rFonts w:eastAsia="Arial Unicode MS"/>
        </w:rPr>
        <w:t xml:space="preserve">occasionally </w:t>
      </w:r>
      <w:r w:rsidR="00D21B02" w:rsidRPr="00D7142A">
        <w:rPr>
          <w:rFonts w:eastAsia="Arial Unicode MS"/>
        </w:rPr>
        <w:t xml:space="preserve">also </w:t>
      </w:r>
      <w:r w:rsidR="006F0310" w:rsidRPr="00D7142A">
        <w:rPr>
          <w:rFonts w:eastAsia="Arial Unicode MS"/>
        </w:rPr>
        <w:t xml:space="preserve">for </w:t>
      </w:r>
      <w:r w:rsidR="00D21B02" w:rsidRPr="00D7142A">
        <w:rPr>
          <w:rFonts w:eastAsia="Arial Unicode MS"/>
        </w:rPr>
        <w:t xml:space="preserve">quality considerations. </w:t>
      </w:r>
      <w:r w:rsidR="006F0310" w:rsidRPr="00D7142A">
        <w:rPr>
          <w:rFonts w:eastAsia="Arial Unicode MS"/>
        </w:rPr>
        <w:t>As one participant</w:t>
      </w:r>
      <w:r w:rsidR="00B879D4" w:rsidRPr="00D7142A">
        <w:rPr>
          <w:rFonts w:eastAsia="Arial Unicode MS"/>
        </w:rPr>
        <w:t xml:space="preserve"> explained, </w:t>
      </w:r>
    </w:p>
    <w:p w14:paraId="1D6A28B8" w14:textId="0CB8BD07" w:rsidR="00874C53" w:rsidRPr="00D7142A" w:rsidRDefault="00874C53" w:rsidP="00CF38E8">
      <w:pPr>
        <w:pStyle w:val="Quote"/>
        <w:spacing w:line="480" w:lineRule="auto"/>
        <w:jc w:val="both"/>
        <w:rPr>
          <w:rStyle w:val="Strong"/>
          <w:b w:val="0"/>
          <w:bCs w:val="0"/>
        </w:rPr>
      </w:pPr>
      <w:r w:rsidRPr="00D7142A">
        <w:rPr>
          <w:rStyle w:val="Strong"/>
          <w:b w:val="0"/>
          <w:bCs w:val="0"/>
        </w:rPr>
        <w:t>Any dental work I had done in England had to be corrected in Poland in a very short space of time, due to the poor quality of work or the use of bad quality materials. (Polish, m, 50</w:t>
      </w:r>
      <w:r w:rsidR="00B87E9E" w:rsidRPr="00D7142A">
        <w:rPr>
          <w:rStyle w:val="Strong"/>
          <w:b w:val="0"/>
          <w:bCs w:val="0"/>
        </w:rPr>
        <w:t>, 2y8m</w:t>
      </w:r>
      <w:r w:rsidRPr="00D7142A">
        <w:rPr>
          <w:rStyle w:val="Strong"/>
          <w:b w:val="0"/>
          <w:bCs w:val="0"/>
        </w:rPr>
        <w:t>)</w:t>
      </w:r>
    </w:p>
    <w:p w14:paraId="51DA874A" w14:textId="100017EA" w:rsidR="003D1F86" w:rsidRPr="00D7142A" w:rsidRDefault="00CE64CA" w:rsidP="00CF38E8">
      <w:pPr>
        <w:pStyle w:val="Newparagraph"/>
        <w:spacing w:line="480" w:lineRule="auto"/>
        <w:ind w:firstLine="0"/>
        <w:rPr>
          <w:rFonts w:eastAsia="Arial Unicode MS"/>
        </w:rPr>
      </w:pPr>
      <w:r w:rsidRPr="00D7142A">
        <w:rPr>
          <w:rFonts w:eastAsia="Arial Unicode MS"/>
        </w:rPr>
        <w:t>T</w:t>
      </w:r>
      <w:r w:rsidR="00A867A9" w:rsidRPr="00D7142A">
        <w:rPr>
          <w:rFonts w:eastAsia="Arial Unicode MS"/>
        </w:rPr>
        <w:t xml:space="preserve">his experience gives a new meaning to </w:t>
      </w:r>
      <w:r w:rsidR="00DF0980" w:rsidRPr="00D7142A">
        <w:rPr>
          <w:rFonts w:eastAsia="Arial Unicode MS"/>
        </w:rPr>
        <w:t>the concept of ‘</w:t>
      </w:r>
      <w:r w:rsidR="00AA3F8B" w:rsidRPr="00D7142A">
        <w:rPr>
          <w:rFonts w:eastAsia="Arial Unicode MS"/>
        </w:rPr>
        <w:t>duplicative</w:t>
      </w:r>
      <w:r w:rsidR="00DF0980" w:rsidRPr="00D7142A">
        <w:rPr>
          <w:rFonts w:eastAsia="Arial Unicode MS"/>
        </w:rPr>
        <w:t xml:space="preserve"> exits’ </w:t>
      </w:r>
      <w:r w:rsidR="0014028A" w:rsidRPr="00D7142A">
        <w:rPr>
          <w:rFonts w:eastAsia="Arial Unicode MS"/>
          <w:noProof/>
        </w:rPr>
        <w:t>(</w:t>
      </w:r>
      <w:r w:rsidR="00CD43DA" w:rsidRPr="00D7142A">
        <w:rPr>
          <w:rFonts w:eastAsia="Arial Unicode MS"/>
          <w:noProof/>
        </w:rPr>
        <w:t>cf. Laugesen and Vargas-Bustamante, 2010</w:t>
      </w:r>
      <w:r w:rsidR="0014028A" w:rsidRPr="00D7142A">
        <w:rPr>
          <w:rFonts w:eastAsia="Arial Unicode MS"/>
          <w:noProof/>
        </w:rPr>
        <w:t>)</w:t>
      </w:r>
      <w:r w:rsidR="004850E1" w:rsidRPr="00D7142A">
        <w:rPr>
          <w:rFonts w:eastAsia="Arial Unicode MS"/>
        </w:rPr>
        <w:t xml:space="preserve">, </w:t>
      </w:r>
      <w:r w:rsidR="00472304" w:rsidRPr="00D7142A">
        <w:rPr>
          <w:rFonts w:eastAsia="Arial Unicode MS"/>
        </w:rPr>
        <w:t>and</w:t>
      </w:r>
      <w:r w:rsidR="00AE1FEA" w:rsidRPr="00D7142A">
        <w:rPr>
          <w:rFonts w:eastAsia="Arial Unicode MS"/>
        </w:rPr>
        <w:t xml:space="preserve"> it may not reflect a</w:t>
      </w:r>
      <w:r w:rsidR="00175594" w:rsidRPr="00D7142A">
        <w:rPr>
          <w:rFonts w:eastAsia="Arial Unicode MS"/>
        </w:rPr>
        <w:t xml:space="preserve">n isolated </w:t>
      </w:r>
      <w:r w:rsidR="00472304" w:rsidRPr="00D7142A">
        <w:rPr>
          <w:rFonts w:eastAsia="Arial Unicode MS"/>
        </w:rPr>
        <w:t xml:space="preserve">attitude; another participant </w:t>
      </w:r>
      <w:r w:rsidR="000107AC" w:rsidRPr="00D7142A">
        <w:rPr>
          <w:rFonts w:eastAsia="Arial Unicode MS"/>
        </w:rPr>
        <w:t xml:space="preserve">had also chosen the UK </w:t>
      </w:r>
      <w:r w:rsidR="0083518E" w:rsidRPr="00D7142A">
        <w:rPr>
          <w:rFonts w:eastAsia="Arial Unicode MS"/>
        </w:rPr>
        <w:t>‘</w:t>
      </w:r>
      <w:r w:rsidR="00353041" w:rsidRPr="00D7142A">
        <w:rPr>
          <w:rFonts w:eastAsia="Arial Unicode MS"/>
        </w:rPr>
        <w:t xml:space="preserve">for convenience as I live in the </w:t>
      </w:r>
      <w:proofErr w:type="gramStart"/>
      <w:r w:rsidR="00353041" w:rsidRPr="00D7142A">
        <w:rPr>
          <w:rFonts w:eastAsia="Arial Unicode MS"/>
        </w:rPr>
        <w:t>UK</w:t>
      </w:r>
      <w:proofErr w:type="gramEnd"/>
      <w:r w:rsidR="00353041" w:rsidRPr="00D7142A">
        <w:rPr>
          <w:rFonts w:eastAsia="Arial Unicode MS"/>
        </w:rPr>
        <w:t xml:space="preserve"> but I might want to do further tests/get second opinion in Poland</w:t>
      </w:r>
      <w:r w:rsidR="0083518E" w:rsidRPr="00D7142A">
        <w:rPr>
          <w:rFonts w:eastAsia="Arial Unicode MS"/>
        </w:rPr>
        <w:t>’</w:t>
      </w:r>
      <w:r w:rsidR="00353041" w:rsidRPr="00D7142A">
        <w:rPr>
          <w:rFonts w:eastAsia="Arial Unicode MS"/>
        </w:rPr>
        <w:t xml:space="preserve"> (Polish</w:t>
      </w:r>
      <w:r w:rsidR="00F104B8" w:rsidRPr="00D7142A">
        <w:rPr>
          <w:rFonts w:eastAsia="Arial Unicode MS"/>
        </w:rPr>
        <w:t>, f, 39, 9y</w:t>
      </w:r>
      <w:r w:rsidR="00975161" w:rsidRPr="00D7142A">
        <w:rPr>
          <w:rFonts w:eastAsia="Arial Unicode MS"/>
        </w:rPr>
        <w:t>11m</w:t>
      </w:r>
      <w:r w:rsidR="00FD74FC" w:rsidRPr="00D7142A">
        <w:rPr>
          <w:rFonts w:eastAsia="Arial Unicode MS"/>
        </w:rPr>
        <w:t>)</w:t>
      </w:r>
      <w:r w:rsidR="00636ABB" w:rsidRPr="00D7142A">
        <w:rPr>
          <w:rFonts w:eastAsia="Arial Unicode MS"/>
        </w:rPr>
        <w:t>.</w:t>
      </w:r>
      <w:r w:rsidR="00F2028D" w:rsidRPr="00D7142A">
        <w:rPr>
          <w:rFonts w:eastAsia="Arial Unicode MS"/>
        </w:rPr>
        <w:t xml:space="preserve"> </w:t>
      </w:r>
    </w:p>
    <w:p w14:paraId="159A9971" w14:textId="409576FA" w:rsidR="00353041" w:rsidRPr="00D7142A" w:rsidRDefault="003D1F86" w:rsidP="00CF38E8">
      <w:pPr>
        <w:pStyle w:val="Newparagraph"/>
        <w:spacing w:line="480" w:lineRule="auto"/>
        <w:rPr>
          <w:rFonts w:eastAsia="Arial Unicode MS"/>
        </w:rPr>
      </w:pPr>
      <w:r w:rsidRPr="00D7142A">
        <w:rPr>
          <w:rFonts w:eastAsia="Arial Unicode MS"/>
        </w:rPr>
        <w:t>Although the dichotomous choice imposed by the question design mask</w:t>
      </w:r>
      <w:r w:rsidR="00A37223" w:rsidRPr="00D7142A">
        <w:rPr>
          <w:rFonts w:eastAsia="Arial Unicode MS"/>
        </w:rPr>
        <w:t>ed</w:t>
      </w:r>
      <w:r w:rsidRPr="00D7142A">
        <w:rPr>
          <w:rFonts w:eastAsia="Arial Unicode MS"/>
        </w:rPr>
        <w:t xml:space="preserve"> </w:t>
      </w:r>
      <w:r w:rsidR="00185869" w:rsidRPr="00D7142A">
        <w:rPr>
          <w:rFonts w:eastAsia="Arial Unicode MS"/>
        </w:rPr>
        <w:t xml:space="preserve">the true extent to which our </w:t>
      </w:r>
      <w:r w:rsidR="00BE18F1" w:rsidRPr="00D7142A">
        <w:rPr>
          <w:rFonts w:eastAsia="Arial Unicode MS"/>
        </w:rPr>
        <w:t xml:space="preserve">respondents actually engaged in practices of ‘bricolage’, </w:t>
      </w:r>
      <w:r w:rsidR="00BE1535" w:rsidRPr="00D7142A">
        <w:rPr>
          <w:rFonts w:eastAsia="Arial Unicode MS"/>
        </w:rPr>
        <w:t xml:space="preserve">the above examples </w:t>
      </w:r>
      <w:r w:rsidR="003E77C8" w:rsidRPr="00D7142A">
        <w:rPr>
          <w:rFonts w:eastAsia="Arial Unicode MS"/>
        </w:rPr>
        <w:t>confirm that</w:t>
      </w:r>
      <w:r w:rsidR="00D80C09" w:rsidRPr="00D7142A">
        <w:rPr>
          <w:rFonts w:eastAsia="Arial Unicode MS"/>
        </w:rPr>
        <w:t xml:space="preserve"> </w:t>
      </w:r>
      <w:r w:rsidR="004F0078" w:rsidRPr="00D7142A">
        <w:rPr>
          <w:rFonts w:eastAsia="Arial Unicode MS"/>
        </w:rPr>
        <w:t xml:space="preserve">many </w:t>
      </w:r>
      <w:r w:rsidR="001B1D27" w:rsidRPr="00D7142A">
        <w:rPr>
          <w:rFonts w:eastAsia="Arial Unicode MS"/>
        </w:rPr>
        <w:t xml:space="preserve">EU </w:t>
      </w:r>
      <w:proofErr w:type="gramStart"/>
      <w:r w:rsidR="001B1D27" w:rsidRPr="00D7142A">
        <w:rPr>
          <w:rFonts w:eastAsia="Arial Unicode MS"/>
        </w:rPr>
        <w:t>migrants</w:t>
      </w:r>
      <w:proofErr w:type="gramEnd"/>
      <w:r w:rsidR="00A44A8D" w:rsidRPr="00D7142A">
        <w:rPr>
          <w:rFonts w:eastAsia="Arial Unicode MS"/>
        </w:rPr>
        <w:t xml:space="preserve"> </w:t>
      </w:r>
      <w:r w:rsidR="001B1D27" w:rsidRPr="00D7142A">
        <w:rPr>
          <w:rFonts w:eastAsia="Arial Unicode MS"/>
        </w:rPr>
        <w:t xml:space="preserve">resort to different services and locations ‘concurrently, interchangeably or successively’ </w:t>
      </w:r>
      <w:r w:rsidR="00E34E1A" w:rsidRPr="00D7142A">
        <w:rPr>
          <w:rFonts w:eastAsia="Arial Unicode MS"/>
          <w:noProof/>
        </w:rPr>
        <w:t>(</w:t>
      </w:r>
      <w:r w:rsidR="00CD43DA" w:rsidRPr="00D7142A">
        <w:rPr>
          <w:rFonts w:eastAsia="Arial Unicode MS"/>
          <w:noProof/>
        </w:rPr>
        <w:t>Osipovič, 2013: 110</w:t>
      </w:r>
      <w:r w:rsidR="00E34E1A" w:rsidRPr="00D7142A">
        <w:rPr>
          <w:rFonts w:eastAsia="Arial Unicode MS"/>
          <w:noProof/>
        </w:rPr>
        <w:t>)</w:t>
      </w:r>
      <w:r w:rsidR="001F4463" w:rsidRPr="00D7142A">
        <w:rPr>
          <w:rFonts w:eastAsia="Arial Unicode MS"/>
        </w:rPr>
        <w:t>,</w:t>
      </w:r>
      <w:r w:rsidR="002449C9" w:rsidRPr="00D7142A">
        <w:rPr>
          <w:rFonts w:eastAsia="Arial Unicode MS"/>
        </w:rPr>
        <w:t xml:space="preserve"> and </w:t>
      </w:r>
      <w:r w:rsidR="00DD7BEB" w:rsidRPr="00D7142A">
        <w:rPr>
          <w:rFonts w:eastAsia="Arial Unicode MS"/>
        </w:rPr>
        <w:t xml:space="preserve">that </w:t>
      </w:r>
      <w:r w:rsidR="00E06F6F" w:rsidRPr="00D7142A">
        <w:rPr>
          <w:rFonts w:eastAsia="Arial Unicode MS"/>
        </w:rPr>
        <w:t xml:space="preserve">transnational healthcare is </w:t>
      </w:r>
      <w:r w:rsidR="001F4463" w:rsidRPr="00D7142A">
        <w:rPr>
          <w:rFonts w:eastAsia="Arial Unicode MS"/>
        </w:rPr>
        <w:t>multidirectional and multilinear</w:t>
      </w:r>
      <w:r w:rsidR="00E06F6F" w:rsidRPr="00D7142A">
        <w:rPr>
          <w:rFonts w:eastAsia="Arial Unicode MS"/>
        </w:rPr>
        <w:t xml:space="preserve"> (</w:t>
      </w:r>
      <w:r w:rsidR="00831512">
        <w:rPr>
          <w:rFonts w:eastAsia="Arial Unicode MS"/>
        </w:rPr>
        <w:t>Troccoli et al. 2021</w:t>
      </w:r>
      <w:r w:rsidR="00E06F6F" w:rsidRPr="00D7142A">
        <w:rPr>
          <w:rFonts w:eastAsia="Arial Unicode MS"/>
        </w:rPr>
        <w:t>)</w:t>
      </w:r>
      <w:r w:rsidR="0026535F" w:rsidRPr="00D7142A">
        <w:rPr>
          <w:rFonts w:eastAsia="Arial Unicode MS"/>
        </w:rPr>
        <w:t>.</w:t>
      </w:r>
    </w:p>
    <w:p w14:paraId="2B833D25" w14:textId="0D114942" w:rsidR="00DA33BF" w:rsidRPr="00D7142A" w:rsidRDefault="007E264F" w:rsidP="00811112">
      <w:pPr>
        <w:pStyle w:val="Heading1"/>
      </w:pPr>
      <w:r w:rsidRPr="00D7142A">
        <w:t>C</w:t>
      </w:r>
      <w:r w:rsidR="000873D6" w:rsidRPr="00D7142A">
        <w:t>onclusion</w:t>
      </w:r>
      <w:r w:rsidRPr="00D7142A">
        <w:t>s</w:t>
      </w:r>
    </w:p>
    <w:p w14:paraId="1605F4FE" w14:textId="37AA6EC0" w:rsidR="00AF711E" w:rsidRPr="00D7142A" w:rsidRDefault="001E405D" w:rsidP="00381928">
      <w:pPr>
        <w:pStyle w:val="Newparagraph"/>
        <w:spacing w:line="480" w:lineRule="auto"/>
        <w:rPr>
          <w:rFonts w:eastAsia="Arial Unicode MS"/>
        </w:rPr>
      </w:pPr>
      <w:r w:rsidRPr="00D7142A">
        <w:rPr>
          <w:rFonts w:eastAsia="Arial Unicode MS"/>
        </w:rPr>
        <w:t>This</w:t>
      </w:r>
      <w:r w:rsidR="00A461B9" w:rsidRPr="00D7142A">
        <w:rPr>
          <w:rFonts w:eastAsia="Arial Unicode MS"/>
        </w:rPr>
        <w:t xml:space="preserve"> article </w:t>
      </w:r>
      <w:r w:rsidR="001727CB" w:rsidRPr="00D7142A">
        <w:rPr>
          <w:rFonts w:eastAsia="Arial Unicode MS"/>
        </w:rPr>
        <w:t>contribute</w:t>
      </w:r>
      <w:r w:rsidRPr="00D7142A">
        <w:rPr>
          <w:rFonts w:eastAsia="Arial Unicode MS"/>
        </w:rPr>
        <w:t>s</w:t>
      </w:r>
      <w:r w:rsidR="001727CB" w:rsidRPr="00D7142A">
        <w:rPr>
          <w:rFonts w:eastAsia="Arial Unicode MS"/>
        </w:rPr>
        <w:t xml:space="preserve"> to</w:t>
      </w:r>
      <w:r w:rsidR="002C1BA3" w:rsidRPr="00D7142A">
        <w:rPr>
          <w:rFonts w:eastAsia="Arial Unicode MS"/>
        </w:rPr>
        <w:t xml:space="preserve"> the literature</w:t>
      </w:r>
      <w:r w:rsidR="00577131" w:rsidRPr="00D7142A">
        <w:rPr>
          <w:rFonts w:eastAsia="Arial Unicode MS"/>
        </w:rPr>
        <w:t xml:space="preserve"> </w:t>
      </w:r>
      <w:r w:rsidR="00910F22" w:rsidRPr="00D7142A">
        <w:rPr>
          <w:rFonts w:eastAsia="Arial Unicode MS"/>
        </w:rPr>
        <w:t>on</w:t>
      </w:r>
      <w:r w:rsidR="00577131" w:rsidRPr="00D7142A">
        <w:rPr>
          <w:rFonts w:eastAsia="Arial Unicode MS"/>
        </w:rPr>
        <w:t xml:space="preserve"> </w:t>
      </w:r>
      <w:r w:rsidR="00184F94" w:rsidRPr="00D7142A">
        <w:rPr>
          <w:rFonts w:eastAsia="Arial Unicode MS"/>
        </w:rPr>
        <w:t xml:space="preserve">transnational healthcare </w:t>
      </w:r>
      <w:r w:rsidR="00221114" w:rsidRPr="00D7142A">
        <w:rPr>
          <w:rFonts w:eastAsia="Arial Unicode MS"/>
        </w:rPr>
        <w:t xml:space="preserve">among </w:t>
      </w:r>
      <w:r w:rsidR="00B2245B" w:rsidRPr="00D7142A">
        <w:rPr>
          <w:rFonts w:eastAsia="Arial Unicode MS"/>
        </w:rPr>
        <w:t xml:space="preserve">EU </w:t>
      </w:r>
      <w:proofErr w:type="gramStart"/>
      <w:r w:rsidR="00B966E2" w:rsidRPr="00D7142A">
        <w:rPr>
          <w:rFonts w:eastAsia="Arial Unicode MS"/>
        </w:rPr>
        <w:t xml:space="preserve">migrants </w:t>
      </w:r>
      <w:r w:rsidR="006E7483" w:rsidRPr="00D7142A">
        <w:rPr>
          <w:rFonts w:eastAsia="Arial Unicode MS"/>
        </w:rPr>
        <w:t xml:space="preserve"> </w:t>
      </w:r>
      <w:r w:rsidR="009C7DC9" w:rsidRPr="00D7142A">
        <w:rPr>
          <w:rFonts w:eastAsia="Arial Unicode MS"/>
        </w:rPr>
        <w:t>by</w:t>
      </w:r>
      <w:proofErr w:type="gramEnd"/>
      <w:r w:rsidR="009C7DC9" w:rsidRPr="00D7142A">
        <w:rPr>
          <w:rFonts w:eastAsia="Arial Unicode MS"/>
        </w:rPr>
        <w:t xml:space="preserve"> </w:t>
      </w:r>
      <w:r w:rsidR="00C26AED" w:rsidRPr="00D7142A">
        <w:rPr>
          <w:rFonts w:eastAsia="Arial Unicode MS"/>
        </w:rPr>
        <w:t>conceiving a</w:t>
      </w:r>
      <w:r w:rsidR="0015518D" w:rsidRPr="00D7142A">
        <w:rPr>
          <w:rFonts w:eastAsia="Arial Unicode MS"/>
        </w:rPr>
        <w:t>n inductive</w:t>
      </w:r>
      <w:r w:rsidR="00C26AED" w:rsidRPr="00D7142A">
        <w:rPr>
          <w:rFonts w:eastAsia="Arial Unicode MS"/>
        </w:rPr>
        <w:t xml:space="preserve"> </w:t>
      </w:r>
      <w:r w:rsidR="0015518D" w:rsidRPr="00D7142A">
        <w:rPr>
          <w:rFonts w:eastAsia="Arial Unicode MS"/>
        </w:rPr>
        <w:t>typology</w:t>
      </w:r>
      <w:r w:rsidR="002C1BA3" w:rsidRPr="00D7142A">
        <w:rPr>
          <w:rFonts w:eastAsia="Arial Unicode MS"/>
        </w:rPr>
        <w:t xml:space="preserve"> </w:t>
      </w:r>
      <w:r w:rsidR="00CC25D5" w:rsidRPr="00D7142A">
        <w:rPr>
          <w:rFonts w:eastAsia="Arial Unicode MS"/>
        </w:rPr>
        <w:t xml:space="preserve">of </w:t>
      </w:r>
      <w:r w:rsidR="005A5ADD" w:rsidRPr="00D7142A">
        <w:rPr>
          <w:rFonts w:eastAsia="Arial Unicode MS"/>
        </w:rPr>
        <w:t xml:space="preserve">preferences </w:t>
      </w:r>
      <w:r w:rsidR="00B66A20" w:rsidRPr="00D7142A">
        <w:rPr>
          <w:rFonts w:eastAsia="Arial Unicode MS"/>
        </w:rPr>
        <w:t xml:space="preserve">for </w:t>
      </w:r>
      <w:r w:rsidR="005A5ADD" w:rsidRPr="00D7142A">
        <w:rPr>
          <w:rFonts w:eastAsia="Arial Unicode MS"/>
        </w:rPr>
        <w:t>medical treatment locations</w:t>
      </w:r>
      <w:r w:rsidR="007177C9" w:rsidRPr="00D7142A">
        <w:rPr>
          <w:rFonts w:eastAsia="Arial Unicode MS"/>
        </w:rPr>
        <w:t xml:space="preserve"> on a larger </w:t>
      </w:r>
      <w:r w:rsidR="00DA5AA4" w:rsidRPr="00D7142A">
        <w:rPr>
          <w:rFonts w:eastAsia="Arial Unicode MS"/>
        </w:rPr>
        <w:t xml:space="preserve">and more diverse </w:t>
      </w:r>
      <w:r w:rsidR="009C7DC9" w:rsidRPr="00D7142A">
        <w:rPr>
          <w:rFonts w:eastAsia="Arial Unicode MS"/>
        </w:rPr>
        <w:t xml:space="preserve">sample than </w:t>
      </w:r>
      <w:r w:rsidR="0016225B" w:rsidRPr="00D7142A">
        <w:rPr>
          <w:rFonts w:eastAsia="Arial Unicode MS"/>
        </w:rPr>
        <w:t>in previous studies.</w:t>
      </w:r>
      <w:r w:rsidR="00F500AE" w:rsidRPr="00D7142A">
        <w:rPr>
          <w:rFonts w:eastAsia="Arial Unicode MS"/>
        </w:rPr>
        <w:t xml:space="preserve"> For this </w:t>
      </w:r>
      <w:r w:rsidR="00D867D2" w:rsidRPr="00D7142A">
        <w:rPr>
          <w:rFonts w:eastAsia="Arial Unicode MS"/>
        </w:rPr>
        <w:t>purpose,</w:t>
      </w:r>
      <w:r w:rsidR="00F500AE" w:rsidRPr="00D7142A">
        <w:rPr>
          <w:rFonts w:eastAsia="Arial Unicode MS"/>
        </w:rPr>
        <w:t xml:space="preserve"> </w:t>
      </w:r>
      <w:r w:rsidR="00213362" w:rsidRPr="00D7142A">
        <w:rPr>
          <w:rFonts w:eastAsia="Arial Unicode MS"/>
        </w:rPr>
        <w:t xml:space="preserve">we used </w:t>
      </w:r>
      <w:r w:rsidR="006F6A1A" w:rsidRPr="00D7142A">
        <w:rPr>
          <w:rFonts w:eastAsia="Arial Unicode MS"/>
        </w:rPr>
        <w:t xml:space="preserve">online survey </w:t>
      </w:r>
      <w:r w:rsidR="00213362" w:rsidRPr="00D7142A">
        <w:rPr>
          <w:rFonts w:eastAsia="Arial Unicode MS"/>
        </w:rPr>
        <w:t xml:space="preserve">data </w:t>
      </w:r>
      <w:r w:rsidR="00A4061D" w:rsidRPr="00D7142A">
        <w:rPr>
          <w:rFonts w:eastAsia="Arial Unicode MS"/>
        </w:rPr>
        <w:t>from</w:t>
      </w:r>
      <w:r w:rsidR="00213362" w:rsidRPr="00D7142A">
        <w:rPr>
          <w:rFonts w:eastAsia="Arial Unicode MS"/>
        </w:rPr>
        <w:t xml:space="preserve"> </w:t>
      </w:r>
      <w:r w:rsidR="0027322F" w:rsidRPr="00D7142A">
        <w:rPr>
          <w:rFonts w:eastAsia="Arial Unicode MS"/>
        </w:rPr>
        <w:t>1</w:t>
      </w:r>
      <w:r w:rsidR="00AF711E" w:rsidRPr="00D7142A">
        <w:rPr>
          <w:rFonts w:eastAsia="Arial Unicode MS"/>
        </w:rPr>
        <w:t>,</w:t>
      </w:r>
      <w:r w:rsidR="0027322F" w:rsidRPr="00D7142A">
        <w:rPr>
          <w:rFonts w:eastAsia="Arial Unicode MS"/>
        </w:rPr>
        <w:t xml:space="preserve">656 </w:t>
      </w:r>
      <w:r w:rsidR="00A52530" w:rsidRPr="00D7142A">
        <w:rPr>
          <w:rFonts w:eastAsia="Arial Unicode MS"/>
        </w:rPr>
        <w:t>respondents,</w:t>
      </w:r>
      <w:r w:rsidR="0027322F" w:rsidRPr="00D7142A">
        <w:rPr>
          <w:rFonts w:eastAsia="Arial Unicode MS"/>
        </w:rPr>
        <w:t xml:space="preserve"> and we analysed 511 qualitative </w:t>
      </w:r>
      <w:r w:rsidR="001D55DF" w:rsidRPr="00D7142A">
        <w:rPr>
          <w:rFonts w:eastAsia="Arial Unicode MS"/>
        </w:rPr>
        <w:t>explanations</w:t>
      </w:r>
      <w:r w:rsidR="00797434" w:rsidRPr="00D7142A">
        <w:rPr>
          <w:rFonts w:eastAsia="Arial Unicode MS"/>
        </w:rPr>
        <w:t xml:space="preserve">. </w:t>
      </w:r>
    </w:p>
    <w:p w14:paraId="0143244D" w14:textId="6AD004BA" w:rsidR="00446891" w:rsidRPr="00D7142A" w:rsidRDefault="002236BA" w:rsidP="000F68E8">
      <w:pPr>
        <w:pStyle w:val="Newparagraph"/>
        <w:spacing w:line="480" w:lineRule="auto"/>
        <w:rPr>
          <w:rFonts w:eastAsia="Arial Unicode MS"/>
        </w:rPr>
      </w:pPr>
      <w:r w:rsidRPr="00D7142A">
        <w:rPr>
          <w:rFonts w:eastAsia="Arial Unicode MS"/>
        </w:rPr>
        <w:t>A relative</w:t>
      </w:r>
      <w:r w:rsidR="00AF711E" w:rsidRPr="00D7142A">
        <w:rPr>
          <w:rFonts w:eastAsia="Arial Unicode MS"/>
        </w:rPr>
        <w:t xml:space="preserve"> majority </w:t>
      </w:r>
      <w:r w:rsidRPr="00D7142A">
        <w:rPr>
          <w:rFonts w:eastAsia="Arial Unicode MS"/>
        </w:rPr>
        <w:t xml:space="preserve">of our survey respondents disclosed a preference </w:t>
      </w:r>
      <w:r w:rsidR="003F3897" w:rsidRPr="00D7142A">
        <w:rPr>
          <w:rFonts w:eastAsia="Arial Unicode MS"/>
        </w:rPr>
        <w:t xml:space="preserve">for </w:t>
      </w:r>
      <w:r w:rsidR="0067169F" w:rsidRPr="00D7142A">
        <w:rPr>
          <w:rFonts w:eastAsia="Arial Unicode MS"/>
        </w:rPr>
        <w:t xml:space="preserve">medical treatment in their </w:t>
      </w:r>
      <w:proofErr w:type="spellStart"/>
      <w:r w:rsidR="0083518E" w:rsidRPr="00D7142A">
        <w:rPr>
          <w:rFonts w:eastAsia="Arial Unicode MS"/>
        </w:rPr>
        <w:t>CoO</w:t>
      </w:r>
      <w:proofErr w:type="spellEnd"/>
      <w:r w:rsidR="0067169F" w:rsidRPr="00D7142A">
        <w:rPr>
          <w:rFonts w:eastAsia="Arial Unicode MS"/>
        </w:rPr>
        <w:t xml:space="preserve"> rather than the UK</w:t>
      </w:r>
      <w:r w:rsidR="00446891" w:rsidRPr="00D7142A">
        <w:rPr>
          <w:rFonts w:eastAsia="Arial Unicode MS"/>
        </w:rPr>
        <w:t xml:space="preserve">. </w:t>
      </w:r>
      <w:r w:rsidR="00372C8E" w:rsidRPr="00D7142A">
        <w:rPr>
          <w:rFonts w:eastAsia="Arial Unicode MS"/>
        </w:rPr>
        <w:t>While this</w:t>
      </w:r>
      <w:r w:rsidR="00886389" w:rsidRPr="00D7142A">
        <w:rPr>
          <w:rFonts w:eastAsia="Arial Unicode MS"/>
        </w:rPr>
        <w:t xml:space="preserve"> </w:t>
      </w:r>
      <w:r w:rsidR="006E007A" w:rsidRPr="00D7142A">
        <w:rPr>
          <w:rFonts w:eastAsia="Arial Unicode MS"/>
        </w:rPr>
        <w:t xml:space="preserve">pattern of preference </w:t>
      </w:r>
      <w:r w:rsidR="00CD262E" w:rsidRPr="00D7142A">
        <w:rPr>
          <w:rFonts w:eastAsia="Arial Unicode MS"/>
        </w:rPr>
        <w:t xml:space="preserve">is in line with </w:t>
      </w:r>
      <w:r w:rsidR="00CB6365" w:rsidRPr="00D7142A">
        <w:rPr>
          <w:rFonts w:eastAsia="Arial Unicode MS"/>
        </w:rPr>
        <w:t xml:space="preserve">that suggested by the </w:t>
      </w:r>
      <w:r w:rsidR="00CB6365" w:rsidRPr="00D7142A">
        <w:rPr>
          <w:rFonts w:eastAsia="Arial Unicode MS"/>
        </w:rPr>
        <w:lastRenderedPageBreak/>
        <w:t>broader literature</w:t>
      </w:r>
      <w:r w:rsidR="002A5CD6" w:rsidRPr="00D7142A">
        <w:rPr>
          <w:rFonts w:eastAsia="Arial Unicode MS"/>
        </w:rPr>
        <w:t xml:space="preserve"> (</w:t>
      </w:r>
      <w:r w:rsidR="005F320A" w:rsidRPr="00D7142A">
        <w:rPr>
          <w:rFonts w:eastAsia="Arial Unicode MS"/>
        </w:rPr>
        <w:t>Goodwin et al.</w:t>
      </w:r>
      <w:r w:rsidR="000401F1" w:rsidRPr="00D7142A">
        <w:rPr>
          <w:rFonts w:eastAsia="Arial Unicode MS"/>
        </w:rPr>
        <w:t>,</w:t>
      </w:r>
      <w:r w:rsidR="005F320A" w:rsidRPr="00D7142A">
        <w:rPr>
          <w:rFonts w:eastAsia="Arial Unicode MS"/>
        </w:rPr>
        <w:t xml:space="preserve"> 2013</w:t>
      </w:r>
      <w:r w:rsidR="002A5CD6" w:rsidRPr="00D7142A">
        <w:rPr>
          <w:rFonts w:eastAsia="Arial Unicode MS"/>
        </w:rPr>
        <w:t>)</w:t>
      </w:r>
      <w:r w:rsidR="00CB6365" w:rsidRPr="00D7142A">
        <w:rPr>
          <w:rFonts w:eastAsia="Arial Unicode MS"/>
        </w:rPr>
        <w:t xml:space="preserve">, </w:t>
      </w:r>
      <w:r w:rsidR="00E005FD" w:rsidRPr="00D7142A">
        <w:rPr>
          <w:rFonts w:eastAsia="Arial Unicode MS"/>
        </w:rPr>
        <w:t>we</w:t>
      </w:r>
      <w:r w:rsidR="00575880" w:rsidRPr="00D7142A">
        <w:rPr>
          <w:rFonts w:eastAsia="Arial Unicode MS"/>
        </w:rPr>
        <w:t xml:space="preserve"> caution against </w:t>
      </w:r>
      <w:r w:rsidR="0027558E" w:rsidRPr="00D7142A">
        <w:rPr>
          <w:rFonts w:eastAsia="Arial Unicode MS"/>
        </w:rPr>
        <w:t xml:space="preserve">giving it an </w:t>
      </w:r>
      <w:r w:rsidR="004F0024" w:rsidRPr="00D7142A">
        <w:rPr>
          <w:rFonts w:eastAsia="Arial Unicode MS"/>
        </w:rPr>
        <w:t>inferential interpretation</w:t>
      </w:r>
      <w:r w:rsidR="009E3C08" w:rsidRPr="00D7142A">
        <w:rPr>
          <w:rFonts w:eastAsia="Arial Unicode MS"/>
        </w:rPr>
        <w:t>.</w:t>
      </w:r>
      <w:r w:rsidR="00355B18" w:rsidRPr="00D7142A">
        <w:rPr>
          <w:rFonts w:eastAsia="Arial Unicode MS"/>
        </w:rPr>
        <w:t xml:space="preserve"> Polish nationals and </w:t>
      </w:r>
      <w:r w:rsidR="004F4917" w:rsidRPr="00D7142A">
        <w:rPr>
          <w:rFonts w:eastAsia="Arial Unicode MS"/>
        </w:rPr>
        <w:t>women are overrepresented in our survey</w:t>
      </w:r>
      <w:r w:rsidR="00A73841" w:rsidRPr="00D7142A">
        <w:rPr>
          <w:rFonts w:eastAsia="Arial Unicode MS"/>
        </w:rPr>
        <w:t xml:space="preserve">, and </w:t>
      </w:r>
      <w:r w:rsidR="00D572D1" w:rsidRPr="00D7142A">
        <w:rPr>
          <w:rFonts w:eastAsia="Arial Unicode MS"/>
        </w:rPr>
        <w:t xml:space="preserve">both </w:t>
      </w:r>
      <w:r w:rsidR="005572ED" w:rsidRPr="00D7142A">
        <w:rPr>
          <w:rFonts w:eastAsia="Arial Unicode MS"/>
        </w:rPr>
        <w:t xml:space="preserve">groups may have a higher propensity </w:t>
      </w:r>
      <w:r w:rsidR="006E0972" w:rsidRPr="00D7142A">
        <w:rPr>
          <w:rFonts w:eastAsia="Arial Unicode MS"/>
        </w:rPr>
        <w:t xml:space="preserve">towards </w:t>
      </w:r>
      <w:r w:rsidR="00E5712D" w:rsidRPr="00D7142A">
        <w:rPr>
          <w:rFonts w:eastAsia="Arial Unicode MS"/>
        </w:rPr>
        <w:t>‘</w:t>
      </w:r>
      <w:r w:rsidR="006E0972" w:rsidRPr="00D7142A">
        <w:rPr>
          <w:rFonts w:eastAsia="Arial Unicode MS"/>
        </w:rPr>
        <w:t>medical returns</w:t>
      </w:r>
      <w:r w:rsidR="00E5712D" w:rsidRPr="00D7142A">
        <w:rPr>
          <w:rFonts w:eastAsia="Arial Unicode MS"/>
        </w:rPr>
        <w:t xml:space="preserve">’ </w:t>
      </w:r>
      <w:r w:rsidR="00621531" w:rsidRPr="00D7142A">
        <w:rPr>
          <w:rFonts w:eastAsia="Arial Unicode MS"/>
        </w:rPr>
        <w:t>(Horton, 2013)</w:t>
      </w:r>
      <w:r w:rsidR="006E0972" w:rsidRPr="00D7142A">
        <w:rPr>
          <w:rFonts w:eastAsia="Arial Unicode MS"/>
        </w:rPr>
        <w:t xml:space="preserve">. </w:t>
      </w:r>
      <w:r w:rsidR="00A73841" w:rsidRPr="00D7142A">
        <w:rPr>
          <w:rFonts w:eastAsia="Arial Unicode MS"/>
        </w:rPr>
        <w:t>Polish migrants have been described as</w:t>
      </w:r>
      <w:r w:rsidR="007F49E5" w:rsidRPr="00D7142A">
        <w:rPr>
          <w:rFonts w:eastAsia="Arial Unicode MS"/>
        </w:rPr>
        <w:t xml:space="preserve"> having</w:t>
      </w:r>
      <w:r w:rsidR="00A73841" w:rsidRPr="00D7142A">
        <w:rPr>
          <w:rFonts w:eastAsia="Arial Unicode MS"/>
        </w:rPr>
        <w:t xml:space="preserve"> </w:t>
      </w:r>
      <w:r w:rsidR="00FF15FB" w:rsidRPr="00D7142A">
        <w:rPr>
          <w:rFonts w:eastAsia="Arial Unicode MS"/>
        </w:rPr>
        <w:t xml:space="preserve">a strong transnational connection with their </w:t>
      </w:r>
      <w:proofErr w:type="spellStart"/>
      <w:r w:rsidR="00FF15FB" w:rsidRPr="00D7142A">
        <w:rPr>
          <w:rFonts w:eastAsia="Arial Unicode MS"/>
        </w:rPr>
        <w:t>CoO</w:t>
      </w:r>
      <w:proofErr w:type="spellEnd"/>
      <w:r w:rsidR="00141EAF" w:rsidRPr="00D7142A">
        <w:rPr>
          <w:rFonts w:eastAsia="Arial Unicode MS"/>
        </w:rPr>
        <w:t>,</w:t>
      </w:r>
      <w:r w:rsidR="00B93C77" w:rsidRPr="00D7142A">
        <w:rPr>
          <w:rFonts w:eastAsia="Arial Unicode MS"/>
        </w:rPr>
        <w:t xml:space="preserve"> </w:t>
      </w:r>
      <w:r w:rsidR="00102456" w:rsidRPr="00D7142A">
        <w:rPr>
          <w:rFonts w:eastAsia="Arial Unicode MS"/>
        </w:rPr>
        <w:t xml:space="preserve">and therefore </w:t>
      </w:r>
      <w:r w:rsidR="009A4FE8" w:rsidRPr="00D7142A">
        <w:rPr>
          <w:rFonts w:eastAsia="Arial Unicode MS"/>
        </w:rPr>
        <w:t xml:space="preserve">more </w:t>
      </w:r>
      <w:r w:rsidR="00336B86" w:rsidRPr="00D7142A">
        <w:rPr>
          <w:rFonts w:eastAsia="Arial Unicode MS"/>
        </w:rPr>
        <w:t xml:space="preserve">likely to be </w:t>
      </w:r>
      <w:r w:rsidR="009A4FE8" w:rsidRPr="00D7142A">
        <w:rPr>
          <w:rFonts w:eastAsia="Arial Unicode MS"/>
        </w:rPr>
        <w:t xml:space="preserve">aware </w:t>
      </w:r>
      <w:r w:rsidR="00A830B0" w:rsidRPr="00D7142A">
        <w:rPr>
          <w:rFonts w:eastAsia="Arial Unicode MS"/>
        </w:rPr>
        <w:t xml:space="preserve">of </w:t>
      </w:r>
      <w:r w:rsidR="00336B86" w:rsidRPr="00D7142A">
        <w:rPr>
          <w:rFonts w:eastAsia="Arial Unicode MS"/>
        </w:rPr>
        <w:t xml:space="preserve">and engage </w:t>
      </w:r>
      <w:r w:rsidR="00A830B0" w:rsidRPr="00D7142A">
        <w:rPr>
          <w:rFonts w:eastAsia="Arial Unicode MS"/>
        </w:rPr>
        <w:t>with</w:t>
      </w:r>
      <w:r w:rsidR="009A4FE8" w:rsidRPr="00D7142A">
        <w:rPr>
          <w:rFonts w:eastAsia="Arial Unicode MS"/>
        </w:rPr>
        <w:t xml:space="preserve"> </w:t>
      </w:r>
      <w:r w:rsidR="009C04F5" w:rsidRPr="00D7142A">
        <w:rPr>
          <w:rFonts w:eastAsia="Arial Unicode MS"/>
        </w:rPr>
        <w:t>healthcare services there</w:t>
      </w:r>
      <w:r w:rsidR="00141EAF" w:rsidRPr="00D7142A">
        <w:rPr>
          <w:rFonts w:eastAsia="Arial Unicode MS"/>
        </w:rPr>
        <w:t xml:space="preserve"> (Horsfall, 2019)</w:t>
      </w:r>
      <w:r w:rsidR="009C04F5" w:rsidRPr="00D7142A">
        <w:rPr>
          <w:rFonts w:eastAsia="Arial Unicode MS"/>
        </w:rPr>
        <w:t xml:space="preserve">. </w:t>
      </w:r>
      <w:r w:rsidR="00C51A02" w:rsidRPr="00D7142A">
        <w:rPr>
          <w:rFonts w:eastAsia="Arial Unicode MS"/>
        </w:rPr>
        <w:t xml:space="preserve">Women, on the other hand, </w:t>
      </w:r>
      <w:r w:rsidR="00A830B0" w:rsidRPr="00D7142A">
        <w:rPr>
          <w:rFonts w:eastAsia="Arial Unicode MS"/>
        </w:rPr>
        <w:t>are known</w:t>
      </w:r>
      <w:r w:rsidR="003658F8" w:rsidRPr="00D7142A">
        <w:rPr>
          <w:rFonts w:eastAsia="Arial Unicode MS"/>
        </w:rPr>
        <w:t xml:space="preserve"> to face difficulties </w:t>
      </w:r>
      <w:r w:rsidR="00CE632C" w:rsidRPr="00D7142A">
        <w:rPr>
          <w:rFonts w:eastAsia="Arial Unicode MS"/>
        </w:rPr>
        <w:t xml:space="preserve">in </w:t>
      </w:r>
      <w:r w:rsidR="006308B2" w:rsidRPr="00D7142A">
        <w:rPr>
          <w:rFonts w:eastAsia="Arial Unicode MS"/>
        </w:rPr>
        <w:t>accessing</w:t>
      </w:r>
      <w:r w:rsidR="00982196" w:rsidRPr="00D7142A">
        <w:rPr>
          <w:rFonts w:eastAsia="Arial Unicode MS"/>
        </w:rPr>
        <w:t xml:space="preserve"> </w:t>
      </w:r>
      <w:r w:rsidR="003B3C12" w:rsidRPr="00D7142A">
        <w:rPr>
          <w:rFonts w:eastAsia="Arial Unicode MS"/>
        </w:rPr>
        <w:t>gender-</w:t>
      </w:r>
      <w:r w:rsidR="00054EA6" w:rsidRPr="00D7142A">
        <w:rPr>
          <w:rFonts w:eastAsia="Arial Unicode MS"/>
        </w:rPr>
        <w:t xml:space="preserve">specific healthcare </w:t>
      </w:r>
      <w:r w:rsidR="00E20B86" w:rsidRPr="00D7142A">
        <w:rPr>
          <w:rFonts w:eastAsia="Arial Unicode MS"/>
        </w:rPr>
        <w:t>treatments</w:t>
      </w:r>
      <w:r w:rsidR="003B3C12" w:rsidRPr="00D7142A">
        <w:rPr>
          <w:rFonts w:eastAsia="Arial Unicode MS"/>
        </w:rPr>
        <w:t xml:space="preserve"> </w:t>
      </w:r>
      <w:r w:rsidR="00CD43DA" w:rsidRPr="00D7142A">
        <w:rPr>
          <w:rFonts w:eastAsia="Arial Unicode MS"/>
          <w:noProof/>
        </w:rPr>
        <w:t>(Gorman and Porteous, 2018)</w:t>
      </w:r>
      <w:r w:rsidR="00CD43DA" w:rsidRPr="00D7142A">
        <w:rPr>
          <w:rFonts w:eastAsia="Arial Unicode MS"/>
        </w:rPr>
        <w:t xml:space="preserve">. </w:t>
      </w:r>
      <w:r w:rsidR="00B22310" w:rsidRPr="00D7142A">
        <w:rPr>
          <w:rFonts w:eastAsia="Arial Unicode MS"/>
        </w:rPr>
        <w:t xml:space="preserve">Furthermore, </w:t>
      </w:r>
      <w:r w:rsidR="00DB2A26" w:rsidRPr="00D7142A">
        <w:rPr>
          <w:rFonts w:eastAsia="Arial Unicode MS"/>
        </w:rPr>
        <w:t xml:space="preserve">the </w:t>
      </w:r>
      <w:r w:rsidR="007D1CBE" w:rsidRPr="00D7142A">
        <w:rPr>
          <w:rFonts w:eastAsia="Arial Unicode MS"/>
        </w:rPr>
        <w:t>data was collected in</w:t>
      </w:r>
      <w:r w:rsidR="00E34DF2" w:rsidRPr="00D7142A">
        <w:rPr>
          <w:rFonts w:eastAsia="Arial Unicode MS"/>
        </w:rPr>
        <w:t xml:space="preserve"> the run-up to the </w:t>
      </w:r>
      <w:r w:rsidR="00377060" w:rsidRPr="00D7142A">
        <w:rPr>
          <w:rFonts w:eastAsia="Arial Unicode MS"/>
        </w:rPr>
        <w:t>EU R</w:t>
      </w:r>
      <w:r w:rsidR="00A95F70" w:rsidRPr="00D7142A">
        <w:rPr>
          <w:rFonts w:eastAsia="Arial Unicode MS"/>
        </w:rPr>
        <w:t>eferendum,</w:t>
      </w:r>
      <w:r w:rsidR="007D1CBE" w:rsidRPr="00D7142A">
        <w:rPr>
          <w:rFonts w:eastAsia="Arial Unicode MS"/>
        </w:rPr>
        <w:t xml:space="preserve"> a period </w:t>
      </w:r>
      <w:r w:rsidR="007679DF" w:rsidRPr="00D7142A">
        <w:rPr>
          <w:rFonts w:eastAsia="Arial Unicode MS"/>
        </w:rPr>
        <w:t xml:space="preserve">when public discourse </w:t>
      </w:r>
      <w:r w:rsidR="00E0644E" w:rsidRPr="00D7142A">
        <w:rPr>
          <w:rFonts w:eastAsia="Arial Unicode MS"/>
        </w:rPr>
        <w:t>was dominated by</w:t>
      </w:r>
      <w:r w:rsidR="007679DF" w:rsidRPr="00D7142A">
        <w:rPr>
          <w:rFonts w:eastAsia="Arial Unicode MS"/>
        </w:rPr>
        <w:t xml:space="preserve"> debates on EU migrants’ alleged abuse of the UK’s free public services</w:t>
      </w:r>
      <w:r w:rsidR="00E0644E" w:rsidRPr="00D7142A">
        <w:rPr>
          <w:rFonts w:eastAsia="Arial Unicode MS"/>
        </w:rPr>
        <w:t xml:space="preserve">. </w:t>
      </w:r>
      <w:r w:rsidR="00584253" w:rsidRPr="00D7142A">
        <w:rPr>
          <w:rFonts w:eastAsia="Arial Unicode MS"/>
        </w:rPr>
        <w:t xml:space="preserve">It is </w:t>
      </w:r>
      <w:r w:rsidR="00C119DB" w:rsidRPr="00D7142A">
        <w:rPr>
          <w:rFonts w:eastAsia="Arial Unicode MS"/>
        </w:rPr>
        <w:t>possible</w:t>
      </w:r>
      <w:r w:rsidR="00584253" w:rsidRPr="00D7142A">
        <w:rPr>
          <w:rFonts w:eastAsia="Arial Unicode MS"/>
        </w:rPr>
        <w:t xml:space="preserve"> that</w:t>
      </w:r>
      <w:r w:rsidR="00C34B4C" w:rsidRPr="00D7142A">
        <w:rPr>
          <w:rFonts w:eastAsia="Arial Unicode MS"/>
        </w:rPr>
        <w:t xml:space="preserve"> the context of</w:t>
      </w:r>
      <w:r w:rsidR="00584253" w:rsidRPr="00D7142A">
        <w:rPr>
          <w:rFonts w:eastAsia="Arial Unicode MS"/>
        </w:rPr>
        <w:t xml:space="preserve"> this </w:t>
      </w:r>
      <w:r w:rsidR="007D1CBE" w:rsidRPr="00D7142A">
        <w:rPr>
          <w:rFonts w:eastAsia="Arial Unicode MS"/>
        </w:rPr>
        <w:t xml:space="preserve">‘hostile public discourse towards EU migrant citizens’ </w:t>
      </w:r>
      <w:r w:rsidR="00B01944" w:rsidRPr="00D7142A">
        <w:rPr>
          <w:rFonts w:eastAsia="Arial Unicode MS"/>
        </w:rPr>
        <w:t>(</w:t>
      </w:r>
      <w:proofErr w:type="spellStart"/>
      <w:r w:rsidR="007D1CBE" w:rsidRPr="00D7142A">
        <w:rPr>
          <w:rFonts w:eastAsia="Arial Unicode MS"/>
        </w:rPr>
        <w:t>Ehata</w:t>
      </w:r>
      <w:proofErr w:type="spellEnd"/>
      <w:r w:rsidR="007D1CBE" w:rsidRPr="00D7142A">
        <w:rPr>
          <w:rFonts w:eastAsia="Arial Unicode MS"/>
        </w:rPr>
        <w:t xml:space="preserve"> and </w:t>
      </w:r>
      <w:proofErr w:type="spellStart"/>
      <w:r w:rsidR="007D1CBE" w:rsidRPr="00D7142A">
        <w:rPr>
          <w:rFonts w:eastAsia="Arial Unicode MS"/>
        </w:rPr>
        <w:t>Seeleib</w:t>
      </w:r>
      <w:proofErr w:type="spellEnd"/>
      <w:r w:rsidR="007D1CBE" w:rsidRPr="00D7142A">
        <w:rPr>
          <w:rFonts w:eastAsia="Arial Unicode MS"/>
        </w:rPr>
        <w:t>-Kaiser</w:t>
      </w:r>
      <w:r w:rsidR="00B01944" w:rsidRPr="00D7142A">
        <w:rPr>
          <w:rFonts w:eastAsia="Arial Unicode MS"/>
        </w:rPr>
        <w:t>,</w:t>
      </w:r>
      <w:r w:rsidR="007D1CBE" w:rsidRPr="00D7142A">
        <w:rPr>
          <w:rFonts w:eastAsia="Arial Unicode MS"/>
        </w:rPr>
        <w:t xml:space="preserve"> 2017: 9)</w:t>
      </w:r>
      <w:r w:rsidR="007C7FD4" w:rsidRPr="00D7142A">
        <w:rPr>
          <w:rFonts w:eastAsia="Arial Unicode MS"/>
        </w:rPr>
        <w:t xml:space="preserve"> has </w:t>
      </w:r>
      <w:r w:rsidR="00A34070" w:rsidRPr="00D7142A">
        <w:rPr>
          <w:rFonts w:eastAsia="Arial Unicode MS"/>
        </w:rPr>
        <w:t>influenced</w:t>
      </w:r>
      <w:r w:rsidR="007C7FD4" w:rsidRPr="00D7142A">
        <w:rPr>
          <w:rFonts w:eastAsia="Arial Unicode MS"/>
        </w:rPr>
        <w:t xml:space="preserve"> </w:t>
      </w:r>
      <w:r w:rsidR="00E36CEB" w:rsidRPr="00D7142A">
        <w:rPr>
          <w:rFonts w:eastAsia="Arial Unicode MS"/>
        </w:rPr>
        <w:t xml:space="preserve">both the overall response rate (positively) </w:t>
      </w:r>
      <w:r w:rsidR="000E661B" w:rsidRPr="00D7142A">
        <w:rPr>
          <w:rFonts w:eastAsia="Arial Unicode MS"/>
        </w:rPr>
        <w:t xml:space="preserve">and </w:t>
      </w:r>
      <w:r w:rsidR="002E59E8" w:rsidRPr="00D7142A">
        <w:rPr>
          <w:rFonts w:eastAsia="Arial Unicode MS"/>
        </w:rPr>
        <w:t xml:space="preserve">the </w:t>
      </w:r>
      <w:r w:rsidR="00D95279" w:rsidRPr="00D7142A">
        <w:rPr>
          <w:rFonts w:eastAsia="Arial Unicode MS"/>
        </w:rPr>
        <w:t xml:space="preserve">professed </w:t>
      </w:r>
      <w:r w:rsidR="00C119DB" w:rsidRPr="00D7142A">
        <w:rPr>
          <w:rFonts w:eastAsia="Arial Unicode MS"/>
        </w:rPr>
        <w:t>treatment location</w:t>
      </w:r>
      <w:r w:rsidR="007F422C" w:rsidRPr="00D7142A">
        <w:rPr>
          <w:rFonts w:eastAsia="Arial Unicode MS"/>
        </w:rPr>
        <w:t xml:space="preserve"> preference</w:t>
      </w:r>
      <w:r w:rsidR="00C119DB" w:rsidRPr="00D7142A">
        <w:rPr>
          <w:rFonts w:eastAsia="Arial Unicode MS"/>
        </w:rPr>
        <w:t>s</w:t>
      </w:r>
      <w:r w:rsidR="00E36CEB" w:rsidRPr="00D7142A">
        <w:rPr>
          <w:rFonts w:eastAsia="Arial Unicode MS"/>
        </w:rPr>
        <w:t>,</w:t>
      </w:r>
      <w:r w:rsidR="000F68E8" w:rsidRPr="00D7142A">
        <w:rPr>
          <w:rFonts w:eastAsia="Arial Unicode MS"/>
        </w:rPr>
        <w:t xml:space="preserve"> </w:t>
      </w:r>
      <w:r w:rsidR="007C7FD4" w:rsidRPr="00D7142A">
        <w:rPr>
          <w:rFonts w:eastAsia="Arial Unicode MS"/>
        </w:rPr>
        <w:t>over-represent</w:t>
      </w:r>
      <w:r w:rsidR="00056BFC" w:rsidRPr="00D7142A">
        <w:rPr>
          <w:rFonts w:eastAsia="Arial Unicode MS"/>
        </w:rPr>
        <w:t>ing</w:t>
      </w:r>
      <w:r w:rsidR="007C7FD4" w:rsidRPr="00D7142A">
        <w:rPr>
          <w:rFonts w:eastAsia="Arial Unicode MS"/>
        </w:rPr>
        <w:t xml:space="preserve"> the </w:t>
      </w:r>
      <w:r w:rsidR="000F68E8" w:rsidRPr="00D7142A">
        <w:rPr>
          <w:rFonts w:eastAsia="Arial Unicode MS"/>
        </w:rPr>
        <w:t>voice</w:t>
      </w:r>
      <w:r w:rsidR="007C7FD4" w:rsidRPr="00D7142A">
        <w:rPr>
          <w:rFonts w:eastAsia="Arial Unicode MS"/>
        </w:rPr>
        <w:t xml:space="preserve"> of those whose experiences with the British healthcare system contrasted starkly with these political and media discourses (see also </w:t>
      </w:r>
      <w:proofErr w:type="spellStart"/>
      <w:r w:rsidR="007C7FD4" w:rsidRPr="00D7142A">
        <w:rPr>
          <w:rFonts w:eastAsia="Arial Unicode MS"/>
        </w:rPr>
        <w:t>Ehata</w:t>
      </w:r>
      <w:proofErr w:type="spellEnd"/>
      <w:r w:rsidR="007C7FD4" w:rsidRPr="00D7142A">
        <w:rPr>
          <w:rFonts w:eastAsia="Arial Unicode MS"/>
        </w:rPr>
        <w:t xml:space="preserve"> and </w:t>
      </w:r>
      <w:proofErr w:type="spellStart"/>
      <w:r w:rsidR="007C7FD4" w:rsidRPr="00D7142A">
        <w:rPr>
          <w:rFonts w:eastAsia="Arial Unicode MS"/>
        </w:rPr>
        <w:t>Seeleib</w:t>
      </w:r>
      <w:proofErr w:type="spellEnd"/>
      <w:r w:rsidR="007C7FD4" w:rsidRPr="00D7142A">
        <w:rPr>
          <w:rFonts w:eastAsia="Arial Unicode MS"/>
        </w:rPr>
        <w:t>-Kaiser, 2017)</w:t>
      </w:r>
      <w:r w:rsidR="00DB204A" w:rsidRPr="00D7142A">
        <w:rPr>
          <w:rFonts w:eastAsia="Arial Unicode MS"/>
        </w:rPr>
        <w:t>.</w:t>
      </w:r>
      <w:r w:rsidR="00992631" w:rsidRPr="00D7142A">
        <w:rPr>
          <w:rFonts w:eastAsia="Arial Unicode MS"/>
        </w:rPr>
        <w:t xml:space="preserve"> Testing the possible effect of ‘hostile’ </w:t>
      </w:r>
      <w:r w:rsidR="00654B46" w:rsidRPr="00D7142A">
        <w:rPr>
          <w:rFonts w:eastAsia="Arial Unicode MS"/>
        </w:rPr>
        <w:t>discursive environments</w:t>
      </w:r>
      <w:r w:rsidR="00992631" w:rsidRPr="00D7142A">
        <w:rPr>
          <w:rFonts w:eastAsia="Arial Unicode MS"/>
        </w:rPr>
        <w:t xml:space="preserve"> on </w:t>
      </w:r>
      <w:r w:rsidR="009E55A7" w:rsidRPr="00D7142A">
        <w:rPr>
          <w:rFonts w:eastAsia="Arial Unicode MS"/>
        </w:rPr>
        <w:t xml:space="preserve">transnational healthcare attitudes and practices is beyond the scope of this article, </w:t>
      </w:r>
      <w:r w:rsidR="00D22EFD" w:rsidRPr="00D7142A">
        <w:rPr>
          <w:rFonts w:eastAsia="Arial Unicode MS"/>
        </w:rPr>
        <w:t xml:space="preserve">but it </w:t>
      </w:r>
      <w:r w:rsidR="002B0681" w:rsidRPr="00D7142A">
        <w:rPr>
          <w:rFonts w:eastAsia="Arial Unicode MS"/>
        </w:rPr>
        <w:t>is</w:t>
      </w:r>
      <w:r w:rsidR="00D22EFD" w:rsidRPr="00D7142A">
        <w:rPr>
          <w:rFonts w:eastAsia="Arial Unicode MS"/>
        </w:rPr>
        <w:t xml:space="preserve"> an important question to explore in future research.</w:t>
      </w:r>
    </w:p>
    <w:p w14:paraId="0559DA8E" w14:textId="0D85FEE7" w:rsidR="000E3202" w:rsidRPr="00D7142A" w:rsidRDefault="001F1264" w:rsidP="00CF38E8">
      <w:pPr>
        <w:pStyle w:val="Newparagraph"/>
        <w:spacing w:line="480" w:lineRule="auto"/>
        <w:rPr>
          <w:rFonts w:eastAsia="Arial Unicode MS"/>
        </w:rPr>
      </w:pPr>
      <w:r w:rsidRPr="00D7142A">
        <w:rPr>
          <w:rFonts w:eastAsia="Arial Unicode MS"/>
        </w:rPr>
        <w:t>Our thematic analysis</w:t>
      </w:r>
      <w:r w:rsidR="001B6FC6" w:rsidRPr="00D7142A">
        <w:rPr>
          <w:rFonts w:eastAsia="Arial Unicode MS"/>
        </w:rPr>
        <w:t xml:space="preserve"> has found that </w:t>
      </w:r>
      <w:r w:rsidR="007805A7" w:rsidRPr="00D7142A">
        <w:rPr>
          <w:rFonts w:eastAsia="Arial Unicode MS"/>
        </w:rPr>
        <w:t xml:space="preserve">preferences for the </w:t>
      </w:r>
      <w:proofErr w:type="spellStart"/>
      <w:r w:rsidR="007805A7" w:rsidRPr="00D7142A">
        <w:rPr>
          <w:rFonts w:eastAsia="Arial Unicode MS"/>
        </w:rPr>
        <w:t>CoO</w:t>
      </w:r>
      <w:proofErr w:type="spellEnd"/>
      <w:r w:rsidR="007805A7" w:rsidRPr="00D7142A">
        <w:rPr>
          <w:rFonts w:eastAsia="Arial Unicode MS"/>
        </w:rPr>
        <w:t xml:space="preserve"> are driven </w:t>
      </w:r>
      <w:r w:rsidR="00AD7440" w:rsidRPr="00D7142A">
        <w:rPr>
          <w:rFonts w:eastAsia="Arial Unicode MS"/>
        </w:rPr>
        <w:t>overwhelmingly</w:t>
      </w:r>
      <w:r w:rsidR="00380EDA" w:rsidRPr="00D7142A">
        <w:rPr>
          <w:rFonts w:eastAsia="Arial Unicode MS"/>
        </w:rPr>
        <w:t xml:space="preserve"> by </w:t>
      </w:r>
      <w:r w:rsidR="00AD7440" w:rsidRPr="00D7142A">
        <w:rPr>
          <w:rFonts w:eastAsia="Arial Unicode MS"/>
        </w:rPr>
        <w:t xml:space="preserve">perceptions of </w:t>
      </w:r>
      <w:r w:rsidR="00A257CC" w:rsidRPr="00D7142A">
        <w:rPr>
          <w:rFonts w:eastAsia="Arial Unicode MS"/>
        </w:rPr>
        <w:t xml:space="preserve">higher quality healthcare there, while </w:t>
      </w:r>
      <w:r w:rsidR="002D4582" w:rsidRPr="00D7142A">
        <w:rPr>
          <w:rFonts w:eastAsia="Arial Unicode MS"/>
        </w:rPr>
        <w:t xml:space="preserve">preferences for the UK have more to do with </w:t>
      </w:r>
      <w:r w:rsidR="00E91775" w:rsidRPr="00D7142A">
        <w:rPr>
          <w:rFonts w:eastAsia="Arial Unicode MS"/>
        </w:rPr>
        <w:t xml:space="preserve">convenience and </w:t>
      </w:r>
      <w:r w:rsidR="00FC3483" w:rsidRPr="00D7142A">
        <w:rPr>
          <w:rFonts w:eastAsia="Arial Unicode MS"/>
        </w:rPr>
        <w:t>financing considerations.</w:t>
      </w:r>
      <w:r w:rsidR="00966B48" w:rsidRPr="00D7142A">
        <w:rPr>
          <w:rFonts w:eastAsia="Arial Unicode MS"/>
          <w:color w:val="FF0000"/>
        </w:rPr>
        <w:t xml:space="preserve"> </w:t>
      </w:r>
      <w:r w:rsidR="00966B48" w:rsidRPr="00D7142A">
        <w:rPr>
          <w:rFonts w:eastAsia="Arial Unicode MS"/>
        </w:rPr>
        <w:t xml:space="preserve">Subjective perceptions regarding the quality standards of UK healthcare have thus been identified in both our data and the wider literature as an important reason for </w:t>
      </w:r>
      <w:r w:rsidR="00EC2B7C" w:rsidRPr="00D7142A">
        <w:rPr>
          <w:rFonts w:eastAsia="Arial Unicode MS"/>
        </w:rPr>
        <w:t>medical returns</w:t>
      </w:r>
      <w:r w:rsidR="00966B48" w:rsidRPr="00D7142A">
        <w:rPr>
          <w:rFonts w:eastAsia="Arial Unicode MS"/>
        </w:rPr>
        <w:t xml:space="preserve"> </w:t>
      </w:r>
      <w:r w:rsidR="00E34E1A" w:rsidRPr="00D7142A">
        <w:rPr>
          <w:rFonts w:eastAsia="Arial Unicode MS"/>
          <w:noProof/>
        </w:rPr>
        <w:t>(</w:t>
      </w:r>
      <w:r w:rsidR="00CD43DA" w:rsidRPr="00D7142A">
        <w:rPr>
          <w:rFonts w:eastAsia="Arial Unicode MS"/>
          <w:noProof/>
        </w:rPr>
        <w:t>Ehata and Seeleib-Kaiser, 2017</w:t>
      </w:r>
      <w:r w:rsidR="00E34E1A" w:rsidRPr="00D7142A">
        <w:rPr>
          <w:rFonts w:eastAsia="Arial Unicode MS"/>
          <w:noProof/>
        </w:rPr>
        <w:t xml:space="preserve">; </w:t>
      </w:r>
      <w:r w:rsidR="00CD43DA" w:rsidRPr="00D7142A">
        <w:rPr>
          <w:rFonts w:eastAsia="Arial Unicode MS"/>
          <w:noProof/>
        </w:rPr>
        <w:t>Goodwin, Polek, and Goodwin, 2013</w:t>
      </w:r>
      <w:r w:rsidR="00E34E1A" w:rsidRPr="00D7142A">
        <w:rPr>
          <w:rFonts w:eastAsia="Arial Unicode MS"/>
          <w:noProof/>
        </w:rPr>
        <w:t xml:space="preserve">; </w:t>
      </w:r>
      <w:r w:rsidR="00CD43DA" w:rsidRPr="00D7142A">
        <w:rPr>
          <w:rFonts w:eastAsia="Arial Unicode MS"/>
          <w:noProof/>
        </w:rPr>
        <w:t>Madden et al., 2017</w:t>
      </w:r>
      <w:r w:rsidR="00E34E1A" w:rsidRPr="00D7142A">
        <w:rPr>
          <w:rFonts w:eastAsia="Arial Unicode MS"/>
          <w:noProof/>
        </w:rPr>
        <w:t xml:space="preserve">; </w:t>
      </w:r>
      <w:r w:rsidR="00CD43DA" w:rsidRPr="00D7142A">
        <w:rPr>
          <w:rFonts w:eastAsia="Arial Unicode MS"/>
          <w:noProof/>
        </w:rPr>
        <w:t>Osipovič, 2013</w:t>
      </w:r>
      <w:r w:rsidR="00E34E1A" w:rsidRPr="00D7142A">
        <w:rPr>
          <w:rFonts w:eastAsia="Arial Unicode MS"/>
          <w:noProof/>
        </w:rPr>
        <w:t xml:space="preserve">; </w:t>
      </w:r>
      <w:r w:rsidR="00CD43DA" w:rsidRPr="00D7142A">
        <w:rPr>
          <w:rFonts w:eastAsia="Arial Unicode MS"/>
          <w:noProof/>
        </w:rPr>
        <w:t>Sime, 2014</w:t>
      </w:r>
      <w:r w:rsidR="00E34E1A" w:rsidRPr="00D7142A">
        <w:rPr>
          <w:rFonts w:eastAsia="Arial Unicode MS"/>
          <w:noProof/>
        </w:rPr>
        <w:t>)</w:t>
      </w:r>
      <w:r w:rsidR="00966B48" w:rsidRPr="00D7142A">
        <w:rPr>
          <w:rFonts w:eastAsia="Arial Unicode MS"/>
        </w:rPr>
        <w:t xml:space="preserve">. Our analysis </w:t>
      </w:r>
      <w:r w:rsidR="005B5216" w:rsidRPr="00D7142A">
        <w:rPr>
          <w:rFonts w:eastAsia="Arial Unicode MS"/>
        </w:rPr>
        <w:t xml:space="preserve">has </w:t>
      </w:r>
      <w:r w:rsidR="00966B48" w:rsidRPr="00D7142A">
        <w:rPr>
          <w:rFonts w:eastAsia="Arial Unicode MS"/>
        </w:rPr>
        <w:t xml:space="preserve">also revealed </w:t>
      </w:r>
      <w:r w:rsidR="00A87A7F" w:rsidRPr="00D7142A">
        <w:rPr>
          <w:rFonts w:eastAsia="Arial Unicode MS"/>
        </w:rPr>
        <w:t xml:space="preserve">how these perceptions are </w:t>
      </w:r>
      <w:r w:rsidR="00C34F55" w:rsidRPr="00D7142A">
        <w:rPr>
          <w:rFonts w:eastAsia="Arial Unicode MS"/>
        </w:rPr>
        <w:t>created</w:t>
      </w:r>
      <w:r w:rsidR="00E67EE6" w:rsidRPr="00D7142A">
        <w:rPr>
          <w:rFonts w:eastAsia="Arial Unicode MS"/>
        </w:rPr>
        <w:t xml:space="preserve"> through an interaction between </w:t>
      </w:r>
      <w:r w:rsidR="005B5216" w:rsidRPr="00D7142A">
        <w:rPr>
          <w:rFonts w:eastAsia="Arial Unicode MS"/>
        </w:rPr>
        <w:t>negative personal experiences</w:t>
      </w:r>
      <w:r w:rsidR="00C34F55" w:rsidRPr="00D7142A">
        <w:rPr>
          <w:rFonts w:eastAsia="Arial Unicode MS"/>
        </w:rPr>
        <w:t xml:space="preserve">, trust and </w:t>
      </w:r>
      <w:r w:rsidR="00D47EB1" w:rsidRPr="00D7142A">
        <w:rPr>
          <w:rFonts w:eastAsia="Arial Unicode MS"/>
        </w:rPr>
        <w:t>often concealed cultural differences</w:t>
      </w:r>
      <w:r w:rsidR="00224646" w:rsidRPr="00D7142A">
        <w:rPr>
          <w:rFonts w:eastAsia="Arial Unicode MS"/>
        </w:rPr>
        <w:t xml:space="preserve">, a process </w:t>
      </w:r>
      <w:r w:rsidR="005477E2" w:rsidRPr="00D7142A">
        <w:rPr>
          <w:rFonts w:eastAsia="Arial Unicode MS"/>
        </w:rPr>
        <w:t xml:space="preserve">already </w:t>
      </w:r>
      <w:r w:rsidR="00224646" w:rsidRPr="00D7142A">
        <w:rPr>
          <w:rFonts w:eastAsia="Arial Unicode MS"/>
        </w:rPr>
        <w:t>alluded to by</w:t>
      </w:r>
      <w:r w:rsidR="00D47EB1" w:rsidRPr="00D7142A">
        <w:rPr>
          <w:rFonts w:eastAsia="Arial Unicode MS"/>
        </w:rPr>
        <w:t xml:space="preserve"> </w:t>
      </w:r>
      <w:r w:rsidR="00CD43DA" w:rsidRPr="00D7142A">
        <w:rPr>
          <w:rFonts w:eastAsia="Arial Unicode MS"/>
          <w:noProof/>
        </w:rPr>
        <w:t>Migge and Gilmartin (2011)</w:t>
      </w:r>
      <w:r w:rsidR="00D47EB1" w:rsidRPr="00D7142A">
        <w:rPr>
          <w:rFonts w:eastAsia="Arial Unicode MS"/>
        </w:rPr>
        <w:t>.</w:t>
      </w:r>
      <w:r w:rsidR="003C4FF8" w:rsidRPr="00D7142A">
        <w:rPr>
          <w:rFonts w:eastAsia="Arial Unicode MS"/>
        </w:rPr>
        <w:t xml:space="preserve"> </w:t>
      </w:r>
      <w:r w:rsidR="00A04C99" w:rsidRPr="00D7142A">
        <w:rPr>
          <w:rFonts w:eastAsia="Arial Unicode MS"/>
        </w:rPr>
        <w:t xml:space="preserve">At the same time, </w:t>
      </w:r>
      <w:r w:rsidR="000E3202" w:rsidRPr="00D7142A">
        <w:rPr>
          <w:rFonts w:eastAsia="Arial Unicode MS"/>
        </w:rPr>
        <w:t xml:space="preserve">the </w:t>
      </w:r>
      <w:r w:rsidR="00CA52D9" w:rsidRPr="00D7142A">
        <w:rPr>
          <w:rFonts w:eastAsia="Arial Unicode MS"/>
        </w:rPr>
        <w:t>size and variety of the qualitative data at our disposal</w:t>
      </w:r>
      <w:r w:rsidR="000E3202" w:rsidRPr="00D7142A">
        <w:rPr>
          <w:rFonts w:eastAsia="Arial Unicode MS"/>
        </w:rPr>
        <w:t xml:space="preserve"> has allowed </w:t>
      </w:r>
      <w:r w:rsidR="00887313" w:rsidRPr="00D7142A">
        <w:rPr>
          <w:rFonts w:eastAsia="Arial Unicode MS"/>
        </w:rPr>
        <w:t xml:space="preserve">the identification </w:t>
      </w:r>
      <w:r w:rsidR="00743FD7" w:rsidRPr="00D7142A">
        <w:rPr>
          <w:rFonts w:eastAsia="Arial Unicode MS"/>
        </w:rPr>
        <w:t>of vario</w:t>
      </w:r>
      <w:r w:rsidR="0077787D" w:rsidRPr="00D7142A">
        <w:rPr>
          <w:rFonts w:eastAsia="Arial Unicode MS"/>
        </w:rPr>
        <w:t xml:space="preserve">us </w:t>
      </w:r>
      <w:r w:rsidR="00AA6978" w:rsidRPr="00D7142A">
        <w:rPr>
          <w:rFonts w:eastAsia="Arial Unicode MS"/>
        </w:rPr>
        <w:t>nuances and connections between attitudes</w:t>
      </w:r>
      <w:r w:rsidR="000E3202" w:rsidRPr="00D7142A">
        <w:rPr>
          <w:rFonts w:eastAsia="Arial Unicode MS"/>
        </w:rPr>
        <w:t xml:space="preserve"> </w:t>
      </w:r>
      <w:r w:rsidR="009A7E2D" w:rsidRPr="00D7142A">
        <w:rPr>
          <w:rFonts w:eastAsia="Arial Unicode MS"/>
        </w:rPr>
        <w:t xml:space="preserve">that previous studies </w:t>
      </w:r>
      <w:r w:rsidR="00AA1324" w:rsidRPr="00D7142A">
        <w:rPr>
          <w:rFonts w:eastAsia="Arial Unicode MS"/>
        </w:rPr>
        <w:t>could not</w:t>
      </w:r>
      <w:r w:rsidR="009A7E2D" w:rsidRPr="00D7142A">
        <w:rPr>
          <w:rFonts w:eastAsia="Arial Unicode MS"/>
        </w:rPr>
        <w:t xml:space="preserve"> systematize. </w:t>
      </w:r>
      <w:r w:rsidR="00C00D0B" w:rsidRPr="00D7142A">
        <w:rPr>
          <w:rFonts w:eastAsia="Arial Unicode MS"/>
        </w:rPr>
        <w:t xml:space="preserve">Furthermore, another aim </w:t>
      </w:r>
      <w:r w:rsidR="00C00D0B" w:rsidRPr="00D7142A">
        <w:rPr>
          <w:rFonts w:eastAsia="Arial Unicode MS"/>
        </w:rPr>
        <w:lastRenderedPageBreak/>
        <w:t xml:space="preserve">of the article was to achieve a thematic typology of motivations inductively, based on migrants’ </w:t>
      </w:r>
      <w:r w:rsidR="00BD7CE2" w:rsidRPr="00D7142A">
        <w:rPr>
          <w:rFonts w:eastAsia="Arial Unicode MS"/>
        </w:rPr>
        <w:t xml:space="preserve">answers and </w:t>
      </w:r>
      <w:r w:rsidR="00ED60EA" w:rsidRPr="00D7142A">
        <w:rPr>
          <w:rFonts w:eastAsia="Arial Unicode MS"/>
        </w:rPr>
        <w:t>narratives</w:t>
      </w:r>
      <w:r w:rsidR="00C75C94" w:rsidRPr="00D7142A">
        <w:rPr>
          <w:rFonts w:eastAsia="Arial Unicode MS"/>
        </w:rPr>
        <w:t xml:space="preserve">, which then lends itself to further </w:t>
      </w:r>
      <w:r w:rsidR="00A56849" w:rsidRPr="00D7142A">
        <w:rPr>
          <w:rFonts w:eastAsia="Arial Unicode MS"/>
        </w:rPr>
        <w:t>analysis of the socio-demographic and other factors that</w:t>
      </w:r>
      <w:r w:rsidR="00D32E17" w:rsidRPr="00D7142A">
        <w:rPr>
          <w:rFonts w:eastAsia="Arial Unicode MS"/>
        </w:rPr>
        <w:t xml:space="preserve"> predict</w:t>
      </w:r>
      <w:r w:rsidR="000D0741" w:rsidRPr="00D7142A">
        <w:rPr>
          <w:rFonts w:eastAsia="Arial Unicode MS"/>
        </w:rPr>
        <w:t xml:space="preserve"> </w:t>
      </w:r>
      <w:r w:rsidR="00AC71D9" w:rsidRPr="00D7142A">
        <w:rPr>
          <w:rFonts w:eastAsia="Arial Unicode MS"/>
        </w:rPr>
        <w:t xml:space="preserve">location </w:t>
      </w:r>
      <w:r w:rsidR="000D0741" w:rsidRPr="00D7142A">
        <w:rPr>
          <w:rFonts w:eastAsia="Arial Unicode MS"/>
        </w:rPr>
        <w:t xml:space="preserve">preferences and </w:t>
      </w:r>
      <w:r w:rsidR="00AC71D9" w:rsidRPr="00D7142A">
        <w:rPr>
          <w:rFonts w:eastAsia="Arial Unicode MS"/>
        </w:rPr>
        <w:t xml:space="preserve">quality </w:t>
      </w:r>
      <w:r w:rsidR="006C7AEB" w:rsidRPr="00D7142A">
        <w:rPr>
          <w:rFonts w:eastAsia="Arial Unicode MS"/>
        </w:rPr>
        <w:t>perceptions</w:t>
      </w:r>
      <w:r w:rsidR="00567249" w:rsidRPr="00D7142A">
        <w:rPr>
          <w:rFonts w:eastAsia="Arial Unicode MS"/>
        </w:rPr>
        <w:t xml:space="preserve"> </w:t>
      </w:r>
      <w:r w:rsidR="0027502D" w:rsidRPr="00D7142A">
        <w:rPr>
          <w:rFonts w:eastAsia="Arial Unicode MS"/>
        </w:rPr>
        <w:t>(</w:t>
      </w:r>
      <w:proofErr w:type="gramStart"/>
      <w:r w:rsidR="0027502D" w:rsidRPr="00D7142A">
        <w:rPr>
          <w:rFonts w:eastAsia="Arial Unicode MS"/>
        </w:rPr>
        <w:t>e.g</w:t>
      </w:r>
      <w:r w:rsidR="003A37BF" w:rsidRPr="00D7142A">
        <w:rPr>
          <w:rFonts w:eastAsia="Arial Unicode MS"/>
        </w:rPr>
        <w:t>.</w:t>
      </w:r>
      <w:proofErr w:type="gramEnd"/>
      <w:r w:rsidR="00831512" w:rsidRPr="00831512">
        <w:rPr>
          <w:noProof/>
        </w:rPr>
        <w:t xml:space="preserve"> </w:t>
      </w:r>
      <w:r w:rsidR="00831512">
        <w:rPr>
          <w:noProof/>
        </w:rPr>
        <w:t>Moreh, McGhee and Vlachantoni, 2018</w:t>
      </w:r>
      <w:r w:rsidR="003A37BF" w:rsidRPr="00D7142A">
        <w:rPr>
          <w:rFonts w:eastAsia="Arial Unicode MS"/>
        </w:rPr>
        <w:t>).</w:t>
      </w:r>
    </w:p>
    <w:p w14:paraId="6F76176C" w14:textId="27B27434" w:rsidR="005C5729" w:rsidRPr="00D7142A" w:rsidRDefault="0009723C" w:rsidP="00CF38E8">
      <w:pPr>
        <w:pStyle w:val="Newparagraph"/>
        <w:spacing w:line="480" w:lineRule="auto"/>
        <w:rPr>
          <w:rFonts w:eastAsia="Arial Unicode MS"/>
        </w:rPr>
      </w:pPr>
      <w:r w:rsidRPr="00D7142A">
        <w:rPr>
          <w:rFonts w:eastAsia="Arial Unicode MS"/>
        </w:rPr>
        <w:t xml:space="preserve"> </w:t>
      </w:r>
      <w:r w:rsidR="00F66FAE" w:rsidRPr="00D7142A">
        <w:rPr>
          <w:rFonts w:eastAsia="Arial Unicode MS"/>
        </w:rPr>
        <w:t>The</w:t>
      </w:r>
      <w:r w:rsidR="009A6E8E" w:rsidRPr="00D7142A">
        <w:rPr>
          <w:rFonts w:eastAsia="Arial Unicode MS"/>
        </w:rPr>
        <w:t xml:space="preserve"> </w:t>
      </w:r>
      <w:r w:rsidR="00450046" w:rsidRPr="00D7142A">
        <w:rPr>
          <w:rFonts w:eastAsia="Arial Unicode MS"/>
        </w:rPr>
        <w:t xml:space="preserve">chosen </w:t>
      </w:r>
      <w:r w:rsidR="009A6E8E" w:rsidRPr="00D7142A">
        <w:rPr>
          <w:rFonts w:eastAsia="Arial Unicode MS"/>
        </w:rPr>
        <w:t xml:space="preserve">design </w:t>
      </w:r>
      <w:r w:rsidR="004F275A" w:rsidRPr="00D7142A">
        <w:rPr>
          <w:rFonts w:eastAsia="Arial Unicode MS"/>
        </w:rPr>
        <w:t xml:space="preserve">of our main survey question, however, </w:t>
      </w:r>
      <w:r w:rsidR="00263952" w:rsidRPr="00D7142A">
        <w:rPr>
          <w:rFonts w:eastAsia="Arial Unicode MS"/>
        </w:rPr>
        <w:t>does</w:t>
      </w:r>
      <w:r w:rsidR="00450046" w:rsidRPr="00D7142A">
        <w:rPr>
          <w:rFonts w:eastAsia="Arial Unicode MS"/>
        </w:rPr>
        <w:t xml:space="preserve"> not allow to </w:t>
      </w:r>
      <w:r w:rsidR="002E09EC" w:rsidRPr="00D7142A">
        <w:rPr>
          <w:rFonts w:eastAsia="Arial Unicode MS"/>
        </w:rPr>
        <w:t xml:space="preserve">fully explore several aspects of transnational healthcare among migrants that are undoubtedly </w:t>
      </w:r>
      <w:r w:rsidR="00F90CF0" w:rsidRPr="00D7142A">
        <w:rPr>
          <w:rFonts w:eastAsia="Arial Unicode MS"/>
        </w:rPr>
        <w:t>of great significance</w:t>
      </w:r>
      <w:r w:rsidR="00F04A29" w:rsidRPr="00D7142A">
        <w:rPr>
          <w:rFonts w:eastAsia="Arial Unicode MS"/>
        </w:rPr>
        <w:t>,</w:t>
      </w:r>
      <w:r w:rsidR="00F90CF0" w:rsidRPr="00D7142A">
        <w:rPr>
          <w:rFonts w:eastAsia="Arial Unicode MS"/>
        </w:rPr>
        <w:t xml:space="preserve"> such </w:t>
      </w:r>
      <w:r w:rsidR="00F04A29" w:rsidRPr="00D7142A">
        <w:rPr>
          <w:rFonts w:eastAsia="Arial Unicode MS"/>
        </w:rPr>
        <w:t>as</w:t>
      </w:r>
      <w:r w:rsidR="00F90CF0" w:rsidRPr="00D7142A">
        <w:rPr>
          <w:rFonts w:eastAsia="Arial Unicode MS"/>
        </w:rPr>
        <w:t xml:space="preserve"> the multiplicity of ways in which treatment locations and </w:t>
      </w:r>
      <w:r w:rsidR="00C36DD7" w:rsidRPr="00D7142A">
        <w:rPr>
          <w:rFonts w:eastAsia="Arial Unicode MS"/>
        </w:rPr>
        <w:t>procedures are combined</w:t>
      </w:r>
      <w:r w:rsidR="0004715F" w:rsidRPr="00D7142A">
        <w:rPr>
          <w:rFonts w:eastAsia="Arial Unicode MS"/>
        </w:rPr>
        <w:t xml:space="preserve"> in actual practice </w:t>
      </w:r>
      <w:r w:rsidR="00E34E1A" w:rsidRPr="00D7142A">
        <w:rPr>
          <w:rFonts w:eastAsia="Arial Unicode MS"/>
          <w:noProof/>
        </w:rPr>
        <w:t>(</w:t>
      </w:r>
      <w:r w:rsidR="00CD43DA" w:rsidRPr="00D7142A">
        <w:rPr>
          <w:rFonts w:eastAsia="Arial Unicode MS"/>
          <w:noProof/>
        </w:rPr>
        <w:t>Bilecen and Barglowski, 2015</w:t>
      </w:r>
      <w:r w:rsidR="00E34E1A" w:rsidRPr="00D7142A">
        <w:rPr>
          <w:rFonts w:eastAsia="Arial Unicode MS"/>
          <w:noProof/>
        </w:rPr>
        <w:t xml:space="preserve">; </w:t>
      </w:r>
      <w:r w:rsidR="00CD43DA" w:rsidRPr="00D7142A">
        <w:rPr>
          <w:rFonts w:eastAsia="Arial Unicode MS"/>
          <w:noProof/>
        </w:rPr>
        <w:t>Osipovič, 2013</w:t>
      </w:r>
      <w:r w:rsidR="00E34E1A" w:rsidRPr="00D7142A">
        <w:rPr>
          <w:rFonts w:eastAsia="Arial Unicode MS"/>
          <w:noProof/>
        </w:rPr>
        <w:t xml:space="preserve">; </w:t>
      </w:r>
      <w:r w:rsidR="00CD43DA" w:rsidRPr="00D7142A">
        <w:rPr>
          <w:rFonts w:eastAsia="Arial Unicode MS"/>
          <w:noProof/>
        </w:rPr>
        <w:t>Phillimore et al., 2018</w:t>
      </w:r>
      <w:r w:rsidR="00E34E1A" w:rsidRPr="00D7142A">
        <w:rPr>
          <w:rFonts w:eastAsia="Arial Unicode MS"/>
          <w:noProof/>
        </w:rPr>
        <w:t>)</w:t>
      </w:r>
      <w:r w:rsidR="00677DC2" w:rsidRPr="00D7142A">
        <w:rPr>
          <w:rFonts w:eastAsia="Arial Unicode MS"/>
        </w:rPr>
        <w:t>.</w:t>
      </w:r>
      <w:r w:rsidR="004342E2" w:rsidRPr="00D7142A">
        <w:rPr>
          <w:rFonts w:eastAsia="Arial Unicode MS"/>
        </w:rPr>
        <w:t xml:space="preserve"> </w:t>
      </w:r>
      <w:r w:rsidR="00F04A29" w:rsidRPr="00D7142A">
        <w:rPr>
          <w:rFonts w:eastAsia="Arial Unicode MS"/>
        </w:rPr>
        <w:t xml:space="preserve">In </w:t>
      </w:r>
      <w:r w:rsidR="00E37B96" w:rsidRPr="00D7142A">
        <w:rPr>
          <w:rFonts w:eastAsia="Arial Unicode MS"/>
        </w:rPr>
        <w:t xml:space="preserve">a follow-up research </w:t>
      </w:r>
      <w:r w:rsidR="004219F2" w:rsidRPr="00D7142A">
        <w:rPr>
          <w:rFonts w:eastAsia="Arial Unicode MS"/>
        </w:rPr>
        <w:t>project,</w:t>
      </w:r>
      <w:r w:rsidR="00E37B96" w:rsidRPr="00D7142A">
        <w:rPr>
          <w:rFonts w:eastAsia="Arial Unicode MS"/>
        </w:rPr>
        <w:t xml:space="preserve"> we have begun addressing </w:t>
      </w:r>
      <w:r w:rsidR="0049684B" w:rsidRPr="00D7142A">
        <w:rPr>
          <w:rFonts w:eastAsia="Arial Unicode MS"/>
        </w:rPr>
        <w:t>these questions</w:t>
      </w:r>
      <w:r w:rsidR="00BE5AAF" w:rsidRPr="00D7142A">
        <w:rPr>
          <w:rFonts w:eastAsia="Arial Unicode MS"/>
        </w:rPr>
        <w:t xml:space="preserve">, describing </w:t>
      </w:r>
      <w:r w:rsidR="00A7135F" w:rsidRPr="00D7142A">
        <w:rPr>
          <w:rFonts w:eastAsia="Arial Unicode MS"/>
        </w:rPr>
        <w:t xml:space="preserve">how transnational healthcare </w:t>
      </w:r>
      <w:r w:rsidR="002532CC" w:rsidRPr="00D7142A">
        <w:rPr>
          <w:rFonts w:eastAsia="Arial Unicode MS"/>
        </w:rPr>
        <w:t>should be</w:t>
      </w:r>
      <w:r w:rsidR="00C85019" w:rsidRPr="00D7142A">
        <w:rPr>
          <w:rFonts w:eastAsia="Arial Unicode MS"/>
        </w:rPr>
        <w:t xml:space="preserve"> </w:t>
      </w:r>
      <w:r w:rsidR="00A302A7" w:rsidRPr="00D7142A">
        <w:rPr>
          <w:rFonts w:eastAsia="Arial Unicode MS"/>
        </w:rPr>
        <w:t>understood</w:t>
      </w:r>
      <w:r w:rsidR="00C85019" w:rsidRPr="00D7142A">
        <w:rPr>
          <w:rFonts w:eastAsia="Arial Unicode MS"/>
        </w:rPr>
        <w:t xml:space="preserve"> as a multilinear process</w:t>
      </w:r>
      <w:r w:rsidR="00730A0D" w:rsidRPr="00D7142A">
        <w:rPr>
          <w:rFonts w:eastAsia="Arial Unicode MS"/>
        </w:rPr>
        <w:t xml:space="preserve"> (</w:t>
      </w:r>
      <w:r w:rsidR="00831512">
        <w:rPr>
          <w:rFonts w:eastAsia="Arial Unicode MS"/>
        </w:rPr>
        <w:t>Troccoli et al., 2021</w:t>
      </w:r>
      <w:r w:rsidR="00BE5AAF" w:rsidRPr="00D7142A">
        <w:rPr>
          <w:rFonts w:eastAsia="Arial Unicode MS"/>
        </w:rPr>
        <w:t>)</w:t>
      </w:r>
      <w:r w:rsidR="00A302A7" w:rsidRPr="00D7142A">
        <w:rPr>
          <w:rFonts w:eastAsia="Arial Unicode MS"/>
        </w:rPr>
        <w:t xml:space="preserve">. </w:t>
      </w:r>
      <w:r w:rsidR="00FB1AD2" w:rsidRPr="00D7142A">
        <w:rPr>
          <w:rFonts w:eastAsia="Arial Unicode MS"/>
        </w:rPr>
        <w:t>Yet</w:t>
      </w:r>
      <w:r w:rsidR="006011FA" w:rsidRPr="00D7142A">
        <w:rPr>
          <w:rFonts w:eastAsia="Arial Unicode MS"/>
        </w:rPr>
        <w:t xml:space="preserve">, </w:t>
      </w:r>
      <w:r w:rsidR="00EA11CF" w:rsidRPr="00D7142A">
        <w:rPr>
          <w:rFonts w:eastAsia="Arial Unicode MS"/>
        </w:rPr>
        <w:t xml:space="preserve">more work is needed to fully understand the intricacies of </w:t>
      </w:r>
      <w:r w:rsidR="00C219F8" w:rsidRPr="00D7142A">
        <w:rPr>
          <w:rFonts w:eastAsia="Arial Unicode MS"/>
        </w:rPr>
        <w:t>transnational healthcare and to reach</w:t>
      </w:r>
      <w:r w:rsidR="007C2F3D" w:rsidRPr="00D7142A">
        <w:rPr>
          <w:rFonts w:eastAsia="Arial Unicode MS"/>
        </w:rPr>
        <w:t xml:space="preserve"> a </w:t>
      </w:r>
      <w:r w:rsidR="00FB1AD2" w:rsidRPr="00D7142A">
        <w:rPr>
          <w:rFonts w:eastAsia="Arial Unicode MS"/>
        </w:rPr>
        <w:t>holistic</w:t>
      </w:r>
      <w:r w:rsidR="007C2F3D" w:rsidRPr="00D7142A">
        <w:rPr>
          <w:rFonts w:eastAsia="Arial Unicode MS"/>
        </w:rPr>
        <w:t xml:space="preserve"> and dynamic picture of ‘</w:t>
      </w:r>
      <w:r w:rsidR="0032795E" w:rsidRPr="00D7142A">
        <w:rPr>
          <w:rFonts w:eastAsia="Arial Unicode MS"/>
        </w:rPr>
        <w:t xml:space="preserve">medical </w:t>
      </w:r>
      <w:proofErr w:type="gramStart"/>
      <w:r w:rsidR="0032795E" w:rsidRPr="00D7142A">
        <w:rPr>
          <w:rFonts w:eastAsia="Arial Unicode MS"/>
        </w:rPr>
        <w:t>returns’</w:t>
      </w:r>
      <w:proofErr w:type="gramEnd"/>
      <w:r w:rsidR="007C2F3D" w:rsidRPr="00D7142A">
        <w:rPr>
          <w:rFonts w:eastAsia="Arial Unicode MS"/>
        </w:rPr>
        <w:t>.</w:t>
      </w:r>
    </w:p>
    <w:p w14:paraId="565F1922" w14:textId="425FC785" w:rsidR="00B11807" w:rsidRPr="00D7142A" w:rsidRDefault="001349BF" w:rsidP="00811112">
      <w:pPr>
        <w:pStyle w:val="Heading1"/>
      </w:pPr>
      <w:r w:rsidRPr="00D7142A">
        <w:t>References</w:t>
      </w:r>
    </w:p>
    <w:p w14:paraId="27BF84EC" w14:textId="17BF6058" w:rsidR="00CD43DA" w:rsidRPr="00D7142A" w:rsidRDefault="00CD43DA" w:rsidP="00CD43DA">
      <w:pPr>
        <w:pStyle w:val="EndNoteBibliography"/>
        <w:ind w:left="720" w:hanging="720"/>
      </w:pPr>
      <w:bookmarkStart w:id="0" w:name="_ENREF_1"/>
      <w:r w:rsidRPr="00D7142A">
        <w:t xml:space="preserve">Allin, S., Davaki, K., and Mossialos, E. (2006) Paying for ‘free’ health care: the conundrum of informal payments in post-communist Europe. In Kotalik, J. and Rodriguez, D. (eds.) </w:t>
      </w:r>
      <w:r w:rsidRPr="00D7142A">
        <w:rPr>
          <w:i/>
        </w:rPr>
        <w:t>Global Corruption Report 2006</w:t>
      </w:r>
      <w:r w:rsidRPr="00D7142A">
        <w:t>. London: Pluto Press and Transparency International. 63-70.</w:t>
      </w:r>
      <w:bookmarkEnd w:id="0"/>
    </w:p>
    <w:p w14:paraId="136F42A3" w14:textId="77777777" w:rsidR="00CD43DA" w:rsidRPr="00D7142A" w:rsidRDefault="00CD43DA" w:rsidP="00CD43DA">
      <w:pPr>
        <w:pStyle w:val="EndNoteBibliography"/>
        <w:ind w:left="720" w:hanging="720"/>
      </w:pPr>
      <w:bookmarkStart w:id="1" w:name="_ENREF_5"/>
      <w:r w:rsidRPr="00D7142A">
        <w:t xml:space="preserve">Bilecen, B. and Barglowski, K. (2015) On the Assemblages of Informal and Formal Transnational Social Protection. </w:t>
      </w:r>
      <w:r w:rsidRPr="00D7142A">
        <w:rPr>
          <w:i/>
        </w:rPr>
        <w:t xml:space="preserve">Population, Space and Place, </w:t>
      </w:r>
      <w:r w:rsidRPr="00D7142A">
        <w:t>21 (3): 203-214.</w:t>
      </w:r>
      <w:bookmarkEnd w:id="1"/>
    </w:p>
    <w:p w14:paraId="6765165E" w14:textId="77777777" w:rsidR="00CD43DA" w:rsidRPr="00D7142A" w:rsidRDefault="00CD43DA" w:rsidP="00CD43DA">
      <w:pPr>
        <w:pStyle w:val="EndNoteBibliography"/>
        <w:ind w:left="720" w:hanging="720"/>
      </w:pPr>
      <w:bookmarkStart w:id="2" w:name="_ENREF_6"/>
      <w:r w:rsidRPr="00D7142A">
        <w:t xml:space="preserve">Bilecen, B., Çatır, G., and Orhon, A. (2015) Turkish–German Transnational Social Space: Stitching Across Borders. </w:t>
      </w:r>
      <w:r w:rsidRPr="00D7142A">
        <w:rPr>
          <w:i/>
        </w:rPr>
        <w:t xml:space="preserve">Population, Space and Place, </w:t>
      </w:r>
      <w:r w:rsidRPr="00D7142A">
        <w:t>21 (3): 244-256.</w:t>
      </w:r>
      <w:bookmarkEnd w:id="2"/>
    </w:p>
    <w:p w14:paraId="4D0AD20E" w14:textId="77777777" w:rsidR="00CD43DA" w:rsidRPr="00D7142A" w:rsidRDefault="00CD43DA" w:rsidP="00CD43DA">
      <w:pPr>
        <w:pStyle w:val="EndNoteBibliography"/>
        <w:ind w:left="720" w:hanging="720"/>
      </w:pPr>
      <w:bookmarkStart w:id="3" w:name="_ENREF_7"/>
      <w:r w:rsidRPr="00D7142A">
        <w:t xml:space="preserve">Boyatzis, R. E. (1998) </w:t>
      </w:r>
      <w:r w:rsidRPr="00D7142A">
        <w:rPr>
          <w:i/>
        </w:rPr>
        <w:t>Transforming qualitative information: thematic analysis and code development</w:t>
      </w:r>
      <w:r w:rsidRPr="00D7142A">
        <w:t>. Thousand Oaks, Calif ; London: Sage Publications.</w:t>
      </w:r>
      <w:bookmarkEnd w:id="3"/>
    </w:p>
    <w:p w14:paraId="529424EE" w14:textId="77777777" w:rsidR="00CD43DA" w:rsidRPr="00D7142A" w:rsidRDefault="00CD43DA" w:rsidP="00CD43DA">
      <w:pPr>
        <w:pStyle w:val="EndNoteBibliography"/>
        <w:ind w:left="720" w:hanging="720"/>
      </w:pPr>
      <w:bookmarkStart w:id="4" w:name="_ENREF_8"/>
      <w:r w:rsidRPr="00D7142A">
        <w:t xml:space="preserve">Carrera, P. and Lunt, N. (2010) A European Perspective on Medical Tourism: The Need for a Knowledge Base. </w:t>
      </w:r>
      <w:r w:rsidRPr="00D7142A">
        <w:rPr>
          <w:i/>
        </w:rPr>
        <w:t xml:space="preserve">International Journal of Health Services, </w:t>
      </w:r>
      <w:r w:rsidRPr="00D7142A">
        <w:t>40 (3): 469–484.</w:t>
      </w:r>
      <w:bookmarkEnd w:id="4"/>
    </w:p>
    <w:p w14:paraId="0EBE027A" w14:textId="00BE17FE" w:rsidR="00CD43DA" w:rsidRPr="00D7142A" w:rsidRDefault="00CD43DA" w:rsidP="00CD43DA">
      <w:pPr>
        <w:pStyle w:val="EndNoteBibliography"/>
        <w:ind w:left="720" w:hanging="720"/>
      </w:pPr>
      <w:bookmarkStart w:id="5" w:name="_ENREF_9"/>
      <w:r w:rsidRPr="00D7142A">
        <w:t xml:space="preserve">Department of Health and Social Care. (2017) </w:t>
      </w:r>
      <w:r w:rsidRPr="00D7142A">
        <w:rPr>
          <w:i/>
        </w:rPr>
        <w:t>Recovering the Cost of NHS Treatments given to Overseas Visitors</w:t>
      </w:r>
      <w:r w:rsidRPr="00D7142A">
        <w:t xml:space="preserve">. 6 February 2017. www.gov.uk. Available at: https://www.gov.uk/government/news/recovering-the-cost-of-nhs-treatments-given-to-overseas-visitors. </w:t>
      </w:r>
      <w:bookmarkEnd w:id="5"/>
    </w:p>
    <w:p w14:paraId="1446F1B4" w14:textId="77777777" w:rsidR="00CD43DA" w:rsidRPr="00D7142A" w:rsidRDefault="00CD43DA" w:rsidP="00CD43DA">
      <w:pPr>
        <w:pStyle w:val="EndNoteBibliography"/>
        <w:ind w:left="720" w:hanging="720"/>
      </w:pPr>
      <w:bookmarkStart w:id="6" w:name="_ENREF_10"/>
      <w:r w:rsidRPr="00D7142A">
        <w:t xml:space="preserve">Ehata, R. and Seeleib-Kaiser, M. (2017) Benefit tourism and EU migrant citizens: Real-world experiences. In Hudson, J., Needham, C. and Heins, E. (eds.) </w:t>
      </w:r>
      <w:r w:rsidRPr="00D7142A">
        <w:rPr>
          <w:i/>
        </w:rPr>
        <w:t>Social Policy Review 29. Analysis and debate in social policy, 2017</w:t>
      </w:r>
      <w:r w:rsidRPr="00D7142A">
        <w:t>. Bristol: Policy Press. 181-198.</w:t>
      </w:r>
      <w:bookmarkEnd w:id="6"/>
    </w:p>
    <w:p w14:paraId="3AD4C76A" w14:textId="77777777" w:rsidR="00CD43DA" w:rsidRPr="00D7142A" w:rsidRDefault="00CD43DA" w:rsidP="00CD43DA">
      <w:pPr>
        <w:pStyle w:val="EndNoteBibliography"/>
        <w:ind w:left="720" w:hanging="720"/>
      </w:pPr>
      <w:bookmarkStart w:id="7" w:name="_ENREF_11"/>
      <w:r w:rsidRPr="00D7142A">
        <w:t xml:space="preserve">European Union. (2016) </w:t>
      </w:r>
      <w:r w:rsidRPr="00D7142A">
        <w:rPr>
          <w:i/>
        </w:rPr>
        <w:t>Special Eurobarometer 445: Antimicrobial Resistance</w:t>
      </w:r>
      <w:r w:rsidRPr="00D7142A">
        <w:t xml:space="preserve">. April 2016. European Commission. </w:t>
      </w:r>
      <w:bookmarkEnd w:id="7"/>
    </w:p>
    <w:p w14:paraId="25D3170A" w14:textId="77777777" w:rsidR="00CD43DA" w:rsidRPr="00D7142A" w:rsidRDefault="00CD43DA" w:rsidP="00CD43DA">
      <w:pPr>
        <w:pStyle w:val="EndNoteBibliography"/>
        <w:ind w:left="720" w:hanging="720"/>
      </w:pPr>
      <w:bookmarkStart w:id="8" w:name="_ENREF_12"/>
      <w:r w:rsidRPr="00D7142A">
        <w:lastRenderedPageBreak/>
        <w:t xml:space="preserve">Feldmann, C. T., Bensing, J., De Ruijter, A., and Boeije, H. (2006) Somali Refugees' Experiences with their General Practitioners: Frames of Reference and Critical Episodes. </w:t>
      </w:r>
      <w:r w:rsidRPr="00D7142A">
        <w:rPr>
          <w:i/>
        </w:rPr>
        <w:t xml:space="preserve">International Journal of Migration, Health and Social Care, </w:t>
      </w:r>
      <w:r w:rsidRPr="00D7142A">
        <w:t>2 (3/4): 28-40.</w:t>
      </w:r>
      <w:bookmarkEnd w:id="8"/>
    </w:p>
    <w:p w14:paraId="3EB197C6" w14:textId="77777777" w:rsidR="00CD43DA" w:rsidRPr="00D7142A" w:rsidRDefault="00CD43DA" w:rsidP="00CD43DA">
      <w:pPr>
        <w:pStyle w:val="EndNoteBibliography"/>
        <w:ind w:left="720" w:hanging="720"/>
      </w:pPr>
      <w:bookmarkStart w:id="9" w:name="_ENREF_13"/>
      <w:r w:rsidRPr="00D7142A">
        <w:t xml:space="preserve">Glinos, I. A., Baeten, R., Helble, M., and Maarse, H. (2010) A typology of cross-border patient mobility. </w:t>
      </w:r>
      <w:r w:rsidRPr="00D7142A">
        <w:rPr>
          <w:i/>
        </w:rPr>
        <w:t xml:space="preserve">Health &amp; Place, </w:t>
      </w:r>
      <w:r w:rsidRPr="00D7142A">
        <w:t>16 (6): 1145-1155.</w:t>
      </w:r>
      <w:bookmarkEnd w:id="9"/>
    </w:p>
    <w:p w14:paraId="145A0D77" w14:textId="77777777" w:rsidR="00CD43DA" w:rsidRPr="00D7142A" w:rsidRDefault="00CD43DA" w:rsidP="00CD43DA">
      <w:pPr>
        <w:pStyle w:val="EndNoteBibliography"/>
        <w:ind w:left="720" w:hanging="720"/>
      </w:pPr>
      <w:bookmarkStart w:id="10" w:name="_ENREF_14"/>
      <w:r w:rsidRPr="00D7142A">
        <w:t xml:space="preserve">Goodwin, R., Polek, E., and Goodwin, K. (2013) Perceived Changes in Health and Interactions With “the Paracetamol Force”: A Multimethod Study. </w:t>
      </w:r>
      <w:r w:rsidRPr="00D7142A">
        <w:rPr>
          <w:i/>
        </w:rPr>
        <w:t xml:space="preserve">Journal of Mixed Methods Research, </w:t>
      </w:r>
      <w:r w:rsidRPr="00D7142A">
        <w:t>7 (2): 152-172.</w:t>
      </w:r>
      <w:bookmarkEnd w:id="10"/>
    </w:p>
    <w:p w14:paraId="1304487A" w14:textId="77777777" w:rsidR="00CD43DA" w:rsidRPr="00D7142A" w:rsidRDefault="00CD43DA" w:rsidP="00CD43DA">
      <w:pPr>
        <w:pStyle w:val="EndNoteBibliography"/>
        <w:ind w:left="720" w:hanging="720"/>
      </w:pPr>
      <w:bookmarkStart w:id="11" w:name="_ENREF_15"/>
      <w:r w:rsidRPr="00D7142A">
        <w:t xml:space="preserve">Gorman, D. R. and Porteous, L. A. (2018) Influences on Polish migrants' breast screening uptake in Lothian, Scotland. </w:t>
      </w:r>
      <w:r w:rsidRPr="00D7142A">
        <w:rPr>
          <w:i/>
        </w:rPr>
        <w:t xml:space="preserve">Public Health, </w:t>
      </w:r>
      <w:r w:rsidRPr="00D7142A">
        <w:t>158: 86-92.</w:t>
      </w:r>
      <w:bookmarkEnd w:id="11"/>
    </w:p>
    <w:p w14:paraId="5DC01FF4" w14:textId="77777777" w:rsidR="00CD43DA" w:rsidRPr="00D7142A" w:rsidRDefault="00CD43DA" w:rsidP="00CD43DA">
      <w:pPr>
        <w:pStyle w:val="EndNoteBibliography"/>
        <w:ind w:left="720" w:hanging="720"/>
      </w:pPr>
      <w:bookmarkStart w:id="12" w:name="_ENREF_16"/>
      <w:r w:rsidRPr="00D7142A">
        <w:t xml:space="preserve">Guma, T. (2018) Exploring Potentialities of (Health)Care in Glasgow and Beyond: Negotiations of Social Security Among Czech- and Slovak-Speaking Migrants. </w:t>
      </w:r>
      <w:r w:rsidRPr="00D7142A">
        <w:rPr>
          <w:i/>
        </w:rPr>
        <w:t>Central and Eastern European Migration Review</w:t>
      </w:r>
      <w:r w:rsidRPr="00D7142A">
        <w:t>: 1-18.</w:t>
      </w:r>
      <w:bookmarkEnd w:id="12"/>
    </w:p>
    <w:p w14:paraId="6223F57C" w14:textId="77777777" w:rsidR="00CD43DA" w:rsidRPr="00D7142A" w:rsidRDefault="00CD43DA" w:rsidP="00CD43DA">
      <w:pPr>
        <w:pStyle w:val="EndNoteBibliography"/>
        <w:ind w:left="720" w:hanging="720"/>
      </w:pPr>
      <w:bookmarkStart w:id="13" w:name="_ENREF_17"/>
      <w:r w:rsidRPr="00D7142A">
        <w:t xml:space="preserve">Hanefeld, J., Lunt, N., Smith, R., and Horsfall, D. (2015) Why do medical tourists travel to where they do? The role of networks in determining medical travel. </w:t>
      </w:r>
      <w:r w:rsidRPr="00D7142A">
        <w:rPr>
          <w:i/>
        </w:rPr>
        <w:t xml:space="preserve">Social Science &amp; Medicine, </w:t>
      </w:r>
      <w:r w:rsidRPr="00D7142A">
        <w:t>124: 356-363.</w:t>
      </w:r>
      <w:bookmarkEnd w:id="13"/>
    </w:p>
    <w:p w14:paraId="152D0C38" w14:textId="77777777" w:rsidR="00CD43DA" w:rsidRPr="00D7142A" w:rsidRDefault="00CD43DA" w:rsidP="00CD43DA">
      <w:pPr>
        <w:pStyle w:val="EndNoteBibliography"/>
        <w:ind w:left="720" w:hanging="720"/>
      </w:pPr>
      <w:bookmarkStart w:id="14" w:name="_ENREF_18"/>
      <w:r w:rsidRPr="00D7142A">
        <w:t xml:space="preserve">Harris, N. (2016) Demagnetisation of Social Security and Health Care for Migrants to the UK. </w:t>
      </w:r>
      <w:r w:rsidRPr="00D7142A">
        <w:rPr>
          <w:i/>
        </w:rPr>
        <w:t xml:space="preserve">European Journal of Social Security, </w:t>
      </w:r>
      <w:r w:rsidRPr="00D7142A">
        <w:t>18 (2): 130-163.</w:t>
      </w:r>
      <w:bookmarkEnd w:id="14"/>
    </w:p>
    <w:p w14:paraId="6B45FC44" w14:textId="77777777" w:rsidR="00CD43DA" w:rsidRPr="00D7142A" w:rsidRDefault="00CD43DA" w:rsidP="00CD43DA">
      <w:pPr>
        <w:pStyle w:val="EndNoteBibliography"/>
        <w:ind w:left="720" w:hanging="720"/>
      </w:pPr>
      <w:bookmarkStart w:id="15" w:name="_ENREF_19"/>
      <w:r w:rsidRPr="00D7142A">
        <w:t xml:space="preserve">Horsfall, D. (2019) Medical tourism from the UK to Poland: how the market masks migration. </w:t>
      </w:r>
      <w:r w:rsidRPr="00D7142A">
        <w:rPr>
          <w:i/>
        </w:rPr>
        <w:t>Journal of Ethnic and Migration Studies</w:t>
      </w:r>
      <w:r w:rsidRPr="00D7142A">
        <w:t>: 1-19.</w:t>
      </w:r>
      <w:bookmarkEnd w:id="15"/>
    </w:p>
    <w:p w14:paraId="24FCA9E9" w14:textId="77777777" w:rsidR="00CD43DA" w:rsidRPr="00D7142A" w:rsidRDefault="00CD43DA" w:rsidP="00CD43DA">
      <w:pPr>
        <w:pStyle w:val="EndNoteBibliography"/>
        <w:ind w:left="720" w:hanging="720"/>
      </w:pPr>
      <w:bookmarkStart w:id="16" w:name="_ENREF_20"/>
      <w:r w:rsidRPr="00D7142A">
        <w:t xml:space="preserve">Horton, S. (2013) Medical returns as class transformation: situating migrants' medical returns within a framework of transnationalism. </w:t>
      </w:r>
      <w:r w:rsidRPr="00D7142A">
        <w:rPr>
          <w:i/>
        </w:rPr>
        <w:t xml:space="preserve">Medical anthropology, </w:t>
      </w:r>
      <w:r w:rsidRPr="00D7142A">
        <w:t>32 (5): 417-432.</w:t>
      </w:r>
      <w:bookmarkEnd w:id="16"/>
    </w:p>
    <w:p w14:paraId="3B89794C" w14:textId="77777777" w:rsidR="00CD43DA" w:rsidRPr="00D7142A" w:rsidRDefault="00CD43DA" w:rsidP="00CD43DA">
      <w:pPr>
        <w:pStyle w:val="EndNoteBibliography"/>
        <w:ind w:left="720" w:hanging="720"/>
      </w:pPr>
      <w:bookmarkStart w:id="17" w:name="_ENREF_21"/>
      <w:r w:rsidRPr="00D7142A">
        <w:t xml:space="preserve">Horton, S. and Cole, S. (2011) Medical returns: Seeking health care in Mexico. </w:t>
      </w:r>
      <w:r w:rsidRPr="00D7142A">
        <w:rPr>
          <w:i/>
        </w:rPr>
        <w:t xml:space="preserve">Social Science &amp; Medicine, </w:t>
      </w:r>
      <w:r w:rsidRPr="00D7142A">
        <w:t>72 (11): 1846-1852.</w:t>
      </w:r>
      <w:bookmarkEnd w:id="17"/>
    </w:p>
    <w:p w14:paraId="40963AA3" w14:textId="1816C2E3" w:rsidR="00CD43DA" w:rsidRPr="00D7142A" w:rsidRDefault="00CD43DA" w:rsidP="00CD43DA">
      <w:pPr>
        <w:pStyle w:val="EndNoteBibliography"/>
        <w:ind w:left="720" w:hanging="720"/>
      </w:pPr>
      <w:bookmarkStart w:id="18" w:name="_ENREF_23"/>
      <w:r w:rsidRPr="00D7142A">
        <w:t xml:space="preserve">Juravle, C., Weber, T., Canetta, E., Fries-Tersch, E., and Kadunc, M. (2013) </w:t>
      </w:r>
      <w:r w:rsidRPr="00D7142A">
        <w:rPr>
          <w:i/>
        </w:rPr>
        <w:t>A fact finding analysis on the impact on the Member States' social security systems of the entitlements of non-active intra-EU migrants to special non-contributory cash benefits and healthcare granted on the basis of residence</w:t>
      </w:r>
      <w:r w:rsidRPr="00D7142A">
        <w:t xml:space="preserve">. </w:t>
      </w:r>
      <w:r w:rsidR="007E273E" w:rsidRPr="00D7142A">
        <w:t xml:space="preserve">Report, </w:t>
      </w:r>
      <w:r w:rsidRPr="00D7142A">
        <w:t>DG Employment, Social Affairs and Inclusion</w:t>
      </w:r>
      <w:r w:rsidR="00C65E22" w:rsidRPr="00D7142A">
        <w:t xml:space="preserve">. </w:t>
      </w:r>
      <w:r w:rsidRPr="00D7142A">
        <w:t xml:space="preserve">Available at: https://publications.europa.eu/en/publication-detail/-/publication/c6de1d0a-2a5b-4e03-9efb-ed522e6a27f5. </w:t>
      </w:r>
      <w:bookmarkEnd w:id="18"/>
    </w:p>
    <w:p w14:paraId="147FABF6" w14:textId="77777777" w:rsidR="00CD43DA" w:rsidRPr="00D7142A" w:rsidRDefault="00CD43DA" w:rsidP="00CD43DA">
      <w:pPr>
        <w:pStyle w:val="EndNoteBibliography"/>
        <w:ind w:left="720" w:hanging="720"/>
      </w:pPr>
      <w:bookmarkStart w:id="19" w:name="_ENREF_24"/>
      <w:r w:rsidRPr="00D7142A">
        <w:t xml:space="preserve">Laugesen, M. J. and Vargas-Bustamante, A. (2010) A patient mobility framework that travels: European and United States–Mexican comparisons. </w:t>
      </w:r>
      <w:r w:rsidRPr="00D7142A">
        <w:rPr>
          <w:i/>
        </w:rPr>
        <w:t xml:space="preserve">Health Policy, </w:t>
      </w:r>
      <w:r w:rsidRPr="00D7142A">
        <w:t>97 (2): 225-231.</w:t>
      </w:r>
      <w:bookmarkEnd w:id="19"/>
    </w:p>
    <w:p w14:paraId="645E11E7" w14:textId="77777777" w:rsidR="00CD43DA" w:rsidRPr="00D7142A" w:rsidRDefault="00CD43DA" w:rsidP="00CD43DA">
      <w:pPr>
        <w:pStyle w:val="EndNoteBibliography"/>
        <w:ind w:left="720" w:hanging="720"/>
      </w:pPr>
      <w:bookmarkStart w:id="20" w:name="_ENREF_25"/>
      <w:r w:rsidRPr="00D7142A">
        <w:t xml:space="preserve">Legido-Quigley, H., McKee, M., and Green, J. (2014) Trust in health care encounters and systems: a case study of British pensioners living in Spain. </w:t>
      </w:r>
      <w:r w:rsidRPr="00D7142A">
        <w:rPr>
          <w:i/>
        </w:rPr>
        <w:t xml:space="preserve">Sociology of Health &amp; Illness, </w:t>
      </w:r>
      <w:r w:rsidRPr="00D7142A">
        <w:t>36 (8): 1243-1258.</w:t>
      </w:r>
      <w:bookmarkEnd w:id="20"/>
    </w:p>
    <w:p w14:paraId="088CE587" w14:textId="77777777" w:rsidR="00CD43DA" w:rsidRPr="00D7142A" w:rsidRDefault="00CD43DA" w:rsidP="00CD43DA">
      <w:pPr>
        <w:pStyle w:val="EndNoteBibliography"/>
        <w:ind w:left="720" w:hanging="720"/>
      </w:pPr>
      <w:bookmarkStart w:id="21" w:name="_ENREF_26"/>
      <w:r w:rsidRPr="00D7142A">
        <w:t xml:space="preserve">Lindenmeyer, A., Redwood, S., Griffith, L., Ahmed, S., and Phillimore, J. (2016) Recent migrants’ perspectives on antibiotic use and prescribing in primary care: a qualitative study. </w:t>
      </w:r>
      <w:r w:rsidRPr="00D7142A">
        <w:rPr>
          <w:i/>
        </w:rPr>
        <w:t xml:space="preserve">British Journal of General Practice, </w:t>
      </w:r>
      <w:r w:rsidRPr="00D7142A">
        <w:t>Online First (Online First).</w:t>
      </w:r>
      <w:bookmarkEnd w:id="21"/>
    </w:p>
    <w:p w14:paraId="1F75FFAC" w14:textId="77777777" w:rsidR="00CD43DA" w:rsidRPr="00D7142A" w:rsidRDefault="00CD43DA" w:rsidP="00CD43DA">
      <w:pPr>
        <w:pStyle w:val="EndNoteBibliography"/>
        <w:ind w:left="720" w:hanging="720"/>
      </w:pPr>
      <w:bookmarkStart w:id="22" w:name="_ENREF_27"/>
      <w:r w:rsidRPr="00D7142A">
        <w:t xml:space="preserve">Madden, H., Harris, J., Blickem, C., Harrison, R., and Timpson, H. (2017) "Always paracetamol, they give them paracetamol for everything": A qualitative study examining Eastern European migrants' experiences of the UK health service. </w:t>
      </w:r>
      <w:r w:rsidRPr="00D7142A">
        <w:rPr>
          <w:i/>
        </w:rPr>
        <w:t xml:space="preserve">BMC Health Services Research, </w:t>
      </w:r>
      <w:r w:rsidRPr="00D7142A">
        <w:t>17 (1).</w:t>
      </w:r>
      <w:bookmarkEnd w:id="22"/>
    </w:p>
    <w:p w14:paraId="416550BE" w14:textId="77777777" w:rsidR="00CD43DA" w:rsidRPr="00D7142A" w:rsidRDefault="00CD43DA" w:rsidP="00CD43DA">
      <w:pPr>
        <w:pStyle w:val="EndNoteBibliography"/>
        <w:ind w:left="720" w:hanging="720"/>
      </w:pPr>
      <w:bookmarkStart w:id="23" w:name="_ENREF_28"/>
      <w:r w:rsidRPr="00D7142A">
        <w:t xml:space="preserve">Mainil, T., Commers, M., and Michelsen, K. (2013) The European Cross-Border Patient as Both Citizen and Consumer: Public Health and Health System Implications. In Botterill, D., Pennings, G. and Mainil, T. (eds.) </w:t>
      </w:r>
      <w:r w:rsidRPr="00D7142A">
        <w:rPr>
          <w:i/>
        </w:rPr>
        <w:t>Medical tourism and transnational health care</w:t>
      </w:r>
      <w:r w:rsidRPr="00D7142A">
        <w:t>. Houndmills: Palgrave Macmillan. 131-150.</w:t>
      </w:r>
      <w:bookmarkEnd w:id="23"/>
    </w:p>
    <w:p w14:paraId="6FEA2A9A" w14:textId="77777777" w:rsidR="00CD43DA" w:rsidRPr="00D7142A" w:rsidRDefault="00CD43DA" w:rsidP="00CD43DA">
      <w:pPr>
        <w:pStyle w:val="EndNoteBibliography"/>
        <w:ind w:left="720" w:hanging="720"/>
      </w:pPr>
      <w:bookmarkStart w:id="24" w:name="_ENREF_29"/>
      <w:r w:rsidRPr="00D7142A">
        <w:lastRenderedPageBreak/>
        <w:t xml:space="preserve">Mauss, M. (2002) </w:t>
      </w:r>
      <w:r w:rsidRPr="00D7142A">
        <w:rPr>
          <w:i/>
        </w:rPr>
        <w:t>The gift: the form and reason for exchange in archaic societies</w:t>
      </w:r>
      <w:r w:rsidRPr="00D7142A">
        <w:t>. London: Routledge Classics.</w:t>
      </w:r>
      <w:bookmarkEnd w:id="24"/>
    </w:p>
    <w:p w14:paraId="160239EF" w14:textId="0AAA1A88" w:rsidR="0066507B" w:rsidRDefault="0066507B" w:rsidP="0066507B">
      <w:pPr>
        <w:pStyle w:val="EndNoteBibliography"/>
        <w:ind w:left="720" w:hanging="720"/>
      </w:pPr>
      <w:bookmarkStart w:id="25" w:name="_ENREF_30"/>
      <w:r w:rsidRPr="00831512">
        <w:t xml:space="preserve">McGhee, D., Moreh, C. and Vlachantoni, A. (2019) ‘Stakeholder identities in Britain’s neoliberal ethical community: Polish narratives of earned citizenship in the context of the UK’s EU referendum’, </w:t>
      </w:r>
      <w:r w:rsidRPr="00831512">
        <w:rPr>
          <w:i/>
          <w:iCs/>
        </w:rPr>
        <w:t>The British Journal of Sociology</w:t>
      </w:r>
      <w:r w:rsidRPr="00831512">
        <w:t>, 70(4), pp. 1104–1127. doi:</w:t>
      </w:r>
      <w:hyperlink r:id="rId9" w:history="1">
        <w:r w:rsidRPr="00831512">
          <w:rPr>
            <w:rStyle w:val="Hyperlink"/>
          </w:rPr>
          <w:t>10.1111/1468-4446.12485</w:t>
        </w:r>
      </w:hyperlink>
      <w:r w:rsidRPr="00831512">
        <w:t>.</w:t>
      </w:r>
    </w:p>
    <w:p w14:paraId="1FEEBB48" w14:textId="47EACE89" w:rsidR="00CD43DA" w:rsidRPr="00D7142A" w:rsidRDefault="00CD43DA" w:rsidP="00CD43DA">
      <w:pPr>
        <w:pStyle w:val="EndNoteBibliography"/>
        <w:ind w:left="720" w:hanging="720"/>
      </w:pPr>
      <w:r w:rsidRPr="00D7142A">
        <w:t xml:space="preserve">Migge, B. and Gilmartin, M. (2011) Migrants and healthcare: Investigating patient mobility among migrants in Ireland. </w:t>
      </w:r>
      <w:r w:rsidRPr="00D7142A">
        <w:rPr>
          <w:i/>
        </w:rPr>
        <w:t xml:space="preserve">Health &amp; Place, </w:t>
      </w:r>
      <w:r w:rsidRPr="00D7142A">
        <w:t>17 (5): 1144-1149.</w:t>
      </w:r>
      <w:bookmarkEnd w:id="25"/>
    </w:p>
    <w:p w14:paraId="1D4F1BEC" w14:textId="6A89DE95" w:rsidR="00CD43DA" w:rsidRDefault="00CD43DA" w:rsidP="00CD43DA">
      <w:pPr>
        <w:pStyle w:val="EndNoteBibliography"/>
        <w:ind w:left="720" w:hanging="720"/>
      </w:pPr>
      <w:bookmarkStart w:id="26" w:name="_ENREF_31"/>
      <w:r w:rsidRPr="00D7142A">
        <w:t xml:space="preserve">Miller, P. G. and Sønderlund, A. L. (2010) Using the internet to research hidden populations of illicit drug users: a review. </w:t>
      </w:r>
      <w:r w:rsidRPr="00D7142A">
        <w:rPr>
          <w:i/>
        </w:rPr>
        <w:t xml:space="preserve">Addiction, </w:t>
      </w:r>
      <w:r w:rsidRPr="00D7142A">
        <w:t>105 (9): 1557–1567.</w:t>
      </w:r>
      <w:bookmarkEnd w:id="26"/>
    </w:p>
    <w:p w14:paraId="462CF503" w14:textId="274AA979" w:rsidR="0066507B" w:rsidRPr="00D7142A" w:rsidRDefault="0066507B" w:rsidP="0066507B">
      <w:pPr>
        <w:pStyle w:val="EndNoteBibliography"/>
        <w:ind w:left="720" w:hanging="720"/>
      </w:pPr>
      <w:bookmarkStart w:id="27" w:name="_ENREF_3"/>
      <w:r w:rsidRPr="00831512">
        <w:t xml:space="preserve">Moreh, C., McGhee, D. and Vlachantoni, A. (2018) </w:t>
      </w:r>
      <w:r w:rsidRPr="00831512">
        <w:rPr>
          <w:i/>
          <w:iCs/>
        </w:rPr>
        <w:t>EU migrants’ attitudes to UK healthcare</w:t>
      </w:r>
      <w:r w:rsidRPr="00831512">
        <w:t xml:space="preserve">. Briefing 41. Southampton (UK): ESRC Centre for Population Change. Available at: </w:t>
      </w:r>
      <w:hyperlink r:id="rId10" w:history="1">
        <w:r w:rsidRPr="00704414">
          <w:rPr>
            <w:rStyle w:val="Hyperlink"/>
          </w:rPr>
          <w:t>https://www.cpc.ac.uk/publications/#briefing_paper</w:t>
        </w:r>
      </w:hyperlink>
      <w:r>
        <w:t xml:space="preserve"> </w:t>
      </w:r>
      <w:bookmarkEnd w:id="27"/>
    </w:p>
    <w:p w14:paraId="2EF0D436" w14:textId="77777777" w:rsidR="00CD43DA" w:rsidRPr="00D7142A" w:rsidRDefault="00CD43DA" w:rsidP="00CD43DA">
      <w:pPr>
        <w:pStyle w:val="EndNoteBibliography"/>
        <w:ind w:left="720" w:hanging="720"/>
      </w:pPr>
      <w:bookmarkStart w:id="28" w:name="_ENREF_32"/>
      <w:r w:rsidRPr="00D7142A">
        <w:t xml:space="preserve">Nagi, S. Z. and Haavio-Mannila, E. (1980) Migration, Health Status and Utilization of Health Services. </w:t>
      </w:r>
      <w:r w:rsidRPr="00D7142A">
        <w:rPr>
          <w:i/>
        </w:rPr>
        <w:t xml:space="preserve">Sociology of Health &amp; Illness, </w:t>
      </w:r>
      <w:r w:rsidRPr="00D7142A">
        <w:t>2 (2): 174-193.</w:t>
      </w:r>
      <w:bookmarkEnd w:id="28"/>
    </w:p>
    <w:p w14:paraId="35FE9FD2" w14:textId="0424D5A4" w:rsidR="00CD43DA" w:rsidRPr="00D7142A" w:rsidRDefault="00CD43DA" w:rsidP="00CD43DA">
      <w:pPr>
        <w:pStyle w:val="EndNoteBibliography"/>
        <w:ind w:left="720" w:hanging="720"/>
      </w:pPr>
      <w:bookmarkStart w:id="29" w:name="_ENREF_33"/>
      <w:r w:rsidRPr="00D7142A">
        <w:t xml:space="preserve">NHS (2017, 15 December 2017). Tonsillitis. </w:t>
      </w:r>
      <w:r w:rsidRPr="00D7142A">
        <w:rPr>
          <w:i/>
        </w:rPr>
        <w:t>Health A to Z.</w:t>
      </w:r>
      <w:r w:rsidRPr="00D7142A">
        <w:t xml:space="preserve">  Accessed on: July 2019, from https://www.nhs.uk/conditions/tonsillitis/#</w:t>
      </w:r>
      <w:bookmarkEnd w:id="29"/>
    </w:p>
    <w:p w14:paraId="4F1A9935" w14:textId="77777777" w:rsidR="00CD43DA" w:rsidRPr="00D7142A" w:rsidRDefault="00CD43DA" w:rsidP="00CD43DA">
      <w:pPr>
        <w:pStyle w:val="EndNoteBibliography"/>
        <w:ind w:left="720" w:hanging="720"/>
      </w:pPr>
      <w:bookmarkStart w:id="30" w:name="_ENREF_34"/>
      <w:r w:rsidRPr="00D7142A">
        <w:t xml:space="preserve">Osipovič, D. (2013) ‘If I Get Ill, It’s onto the Plane, and off to Poland.’ Use of Health Care Services by Polish Migrants in London. </w:t>
      </w:r>
      <w:r w:rsidRPr="00D7142A">
        <w:rPr>
          <w:i/>
        </w:rPr>
        <w:t xml:space="preserve">Central and Eastern European Migration Review, </w:t>
      </w:r>
      <w:r w:rsidRPr="00D7142A">
        <w:t>2: 98-114.</w:t>
      </w:r>
      <w:bookmarkEnd w:id="30"/>
    </w:p>
    <w:p w14:paraId="6EB6BD75" w14:textId="77777777" w:rsidR="00CD43DA" w:rsidRPr="00D7142A" w:rsidRDefault="00CD43DA" w:rsidP="00CD43DA">
      <w:pPr>
        <w:pStyle w:val="EndNoteBibliography"/>
        <w:ind w:left="720" w:hanging="720"/>
      </w:pPr>
      <w:bookmarkStart w:id="31" w:name="_ENREF_35"/>
      <w:r w:rsidRPr="00D7142A">
        <w:t xml:space="preserve">Peled, Y. (2018) Language barriers and epistemic injustice in healthcare settings. </w:t>
      </w:r>
      <w:r w:rsidRPr="00D7142A">
        <w:rPr>
          <w:i/>
        </w:rPr>
        <w:t xml:space="preserve">Bioethics, </w:t>
      </w:r>
      <w:r w:rsidRPr="00D7142A">
        <w:t>32 (6): 360-367.</w:t>
      </w:r>
      <w:bookmarkEnd w:id="31"/>
    </w:p>
    <w:p w14:paraId="21D76B24" w14:textId="1070A865" w:rsidR="00CD43DA" w:rsidRPr="00D7142A" w:rsidRDefault="00CD43DA" w:rsidP="00CD43DA">
      <w:pPr>
        <w:pStyle w:val="EndNoteBibliography"/>
        <w:ind w:left="720" w:hanging="720"/>
      </w:pPr>
      <w:bookmarkStart w:id="32" w:name="_ENREF_36"/>
      <w:r w:rsidRPr="00D7142A">
        <w:t xml:space="preserve">Pemberton, S. and Doos, L. (2017) </w:t>
      </w:r>
      <w:r w:rsidRPr="00D7142A">
        <w:rPr>
          <w:i/>
        </w:rPr>
        <w:t>Logics of Welfare Bricolage among UK Service Providers</w:t>
      </w:r>
      <w:r w:rsidRPr="00D7142A">
        <w:t xml:space="preserve">. IRIS Working Paper Series, (23). Birmingham: University of Birmingham. Available at: www.birmingham.ac.uk/iris. </w:t>
      </w:r>
      <w:bookmarkEnd w:id="32"/>
    </w:p>
    <w:p w14:paraId="1F302B42" w14:textId="2B8DC8B9" w:rsidR="00CD43DA" w:rsidRPr="00D7142A" w:rsidRDefault="00CD43DA" w:rsidP="00CD43DA">
      <w:pPr>
        <w:pStyle w:val="EndNoteBibliography"/>
        <w:ind w:left="720" w:hanging="720"/>
      </w:pPr>
      <w:bookmarkStart w:id="33" w:name="_ENREF_37"/>
      <w:r w:rsidRPr="00D7142A">
        <w:t xml:space="preserve">Pemberton, S. and Isakjee, A. (2017) </w:t>
      </w:r>
      <w:r w:rsidRPr="00D7142A">
        <w:rPr>
          <w:i/>
        </w:rPr>
        <w:t>Typologies and Logics of Welfare Bricolage in the UK</w:t>
      </w:r>
      <w:r w:rsidRPr="00D7142A">
        <w:t xml:space="preserve">. IRIS Working Paper Series, (19). Birmingham: University of Birmingham. Available at: www.birmingham.ac.uk/iris. </w:t>
      </w:r>
      <w:bookmarkEnd w:id="33"/>
    </w:p>
    <w:p w14:paraId="725E62FE" w14:textId="77777777" w:rsidR="00CD43DA" w:rsidRPr="00D7142A" w:rsidRDefault="00CD43DA" w:rsidP="00CD43DA">
      <w:pPr>
        <w:pStyle w:val="EndNoteBibliography"/>
        <w:ind w:left="720" w:hanging="720"/>
      </w:pPr>
      <w:bookmarkStart w:id="34" w:name="_ENREF_38"/>
      <w:r w:rsidRPr="00D7142A">
        <w:t xml:space="preserve">Phillimore, J. (2011) Approaches to health provision in the age of super-diversity: Accessing the NHS in Britain’s most diverse city. </w:t>
      </w:r>
      <w:r w:rsidRPr="00D7142A">
        <w:rPr>
          <w:i/>
        </w:rPr>
        <w:t xml:space="preserve">Critical Social Policy, </w:t>
      </w:r>
      <w:r w:rsidRPr="00D7142A">
        <w:t>31 (1): 5-29.</w:t>
      </w:r>
      <w:bookmarkEnd w:id="34"/>
    </w:p>
    <w:p w14:paraId="35D4DAD9" w14:textId="77777777" w:rsidR="00CD43DA" w:rsidRPr="00D7142A" w:rsidRDefault="00CD43DA" w:rsidP="00CD43DA">
      <w:pPr>
        <w:pStyle w:val="EndNoteBibliography"/>
        <w:ind w:left="720" w:hanging="720"/>
      </w:pPr>
      <w:bookmarkStart w:id="35" w:name="_ENREF_39"/>
      <w:r w:rsidRPr="00D7142A">
        <w:t xml:space="preserve">Phillimore, J., Bradby, H., Knecht, M., Padilla, B., and Pemberton, S. (2018) Bricolage as conceptual tool for understanding access to healthcare in superdiverse populations. </w:t>
      </w:r>
      <w:r w:rsidRPr="00D7142A">
        <w:rPr>
          <w:i/>
        </w:rPr>
        <w:t>Social Theory &amp; Health</w:t>
      </w:r>
      <w:r w:rsidRPr="00D7142A">
        <w:t>.</w:t>
      </w:r>
      <w:bookmarkEnd w:id="35"/>
    </w:p>
    <w:p w14:paraId="38E5CE74" w14:textId="71616839" w:rsidR="00CD43DA" w:rsidRPr="00D7142A" w:rsidRDefault="00CD43DA" w:rsidP="00CD43DA">
      <w:pPr>
        <w:pStyle w:val="EndNoteBibliography"/>
        <w:ind w:left="720" w:hanging="720"/>
      </w:pPr>
      <w:bookmarkStart w:id="36" w:name="_ENREF_40"/>
      <w:r w:rsidRPr="00D7142A">
        <w:t xml:space="preserve">Public Health England. (2015) </w:t>
      </w:r>
      <w:r w:rsidRPr="00D7142A">
        <w:rPr>
          <w:i/>
        </w:rPr>
        <w:t>The NHS Atlas of Variation in Healthcare: 2015 Compendium</w:t>
      </w:r>
      <w:r w:rsidRPr="00D7142A">
        <w:t xml:space="preserve">. September 2015.  London: Public Health England. Available at: https://fingertips.phe.org.uk/profile/atlas-of-variation. </w:t>
      </w:r>
      <w:bookmarkEnd w:id="36"/>
    </w:p>
    <w:p w14:paraId="75AD458F" w14:textId="77777777" w:rsidR="00CD43DA" w:rsidRPr="00D7142A" w:rsidRDefault="00CD43DA" w:rsidP="00CD43DA">
      <w:pPr>
        <w:pStyle w:val="EndNoteBibliography"/>
        <w:ind w:left="720" w:hanging="720"/>
      </w:pPr>
      <w:bookmarkStart w:id="37" w:name="_ENREF_41"/>
      <w:r w:rsidRPr="00D7142A">
        <w:t xml:space="preserve">Roberts, C., Moss, B., Wass, V., Sarangi, S., and Jones, R. (2005) Misunderstandings: a qualitative study of primary care consultations in multilingual settings, and educational implications. </w:t>
      </w:r>
      <w:r w:rsidRPr="00D7142A">
        <w:rPr>
          <w:i/>
        </w:rPr>
        <w:t xml:space="preserve">Medical Education, </w:t>
      </w:r>
      <w:r w:rsidRPr="00D7142A">
        <w:t>39 (5): 465-475.</w:t>
      </w:r>
      <w:bookmarkEnd w:id="37"/>
    </w:p>
    <w:p w14:paraId="5CBCE5BE" w14:textId="77777777" w:rsidR="00CD43DA" w:rsidRPr="00D7142A" w:rsidRDefault="00CD43DA" w:rsidP="00CD43DA">
      <w:pPr>
        <w:pStyle w:val="EndNoteBibliography"/>
        <w:ind w:left="720" w:hanging="720"/>
      </w:pPr>
      <w:bookmarkStart w:id="38" w:name="_ENREF_42"/>
      <w:r w:rsidRPr="00D7142A">
        <w:t xml:space="preserve">Sime, D. (2014) ‘I think that Polish doctors are better’: Newly arrived migrant children and their parents׳ experiences and views of health services in Scotland. </w:t>
      </w:r>
      <w:r w:rsidRPr="00D7142A">
        <w:rPr>
          <w:i/>
        </w:rPr>
        <w:t xml:space="preserve">Health &amp; Place, </w:t>
      </w:r>
      <w:r w:rsidRPr="00D7142A">
        <w:t>30: 86–93.</w:t>
      </w:r>
      <w:bookmarkEnd w:id="38"/>
    </w:p>
    <w:p w14:paraId="42E197E5" w14:textId="77777777" w:rsidR="00CD43DA" w:rsidRPr="00D7142A" w:rsidRDefault="00CD43DA" w:rsidP="00CD43DA">
      <w:pPr>
        <w:pStyle w:val="EndNoteBibliography"/>
        <w:ind w:left="720" w:hanging="720"/>
      </w:pPr>
      <w:bookmarkStart w:id="39" w:name="_ENREF_43"/>
      <w:r w:rsidRPr="00D7142A">
        <w:t xml:space="preserve">Stan, S. (2015) Transnational healthcare practices of Romanian migrants in Ireland: Inequalities of access and the privatisation of healthcare services in Europe. </w:t>
      </w:r>
      <w:r w:rsidRPr="00D7142A">
        <w:rPr>
          <w:i/>
        </w:rPr>
        <w:t xml:space="preserve">Social Science &amp; Medicine, </w:t>
      </w:r>
      <w:r w:rsidRPr="00D7142A">
        <w:t>124: 346–355.</w:t>
      </w:r>
      <w:bookmarkEnd w:id="39"/>
    </w:p>
    <w:p w14:paraId="66C4B386" w14:textId="4E5A3A36" w:rsidR="00CD43DA" w:rsidRPr="00D7142A" w:rsidRDefault="00CD43DA" w:rsidP="00CD43DA">
      <w:pPr>
        <w:pStyle w:val="EndNoteBibliography"/>
        <w:ind w:left="720" w:hanging="720"/>
      </w:pPr>
      <w:bookmarkStart w:id="40" w:name="_ENREF_44"/>
      <w:r w:rsidRPr="00D7142A">
        <w:lastRenderedPageBreak/>
        <w:t xml:space="preserve">Sue, V. M. and Ritter, L. A. (2012) </w:t>
      </w:r>
      <w:r w:rsidRPr="00D7142A">
        <w:rPr>
          <w:i/>
        </w:rPr>
        <w:t>Conducting online surveys</w:t>
      </w:r>
      <w:r w:rsidR="00B24436" w:rsidRPr="00D7142A">
        <w:t>.</w:t>
      </w:r>
      <w:r w:rsidRPr="00D7142A">
        <w:t xml:space="preserve"> Thousand Oaks, Calif.: Sage.</w:t>
      </w:r>
      <w:bookmarkEnd w:id="40"/>
    </w:p>
    <w:p w14:paraId="6889D850" w14:textId="44362D8D" w:rsidR="0066507B" w:rsidRDefault="0066507B" w:rsidP="0066507B">
      <w:pPr>
        <w:pStyle w:val="EndNoteBibliography"/>
        <w:ind w:left="720" w:hanging="720"/>
      </w:pPr>
      <w:bookmarkStart w:id="41" w:name="_ENREF_45"/>
      <w:r w:rsidRPr="0066507B">
        <w:t xml:space="preserve">Troccoli, G., Moreh, C., McGhee, D., </w:t>
      </w:r>
      <w:r>
        <w:t>and</w:t>
      </w:r>
      <w:r w:rsidRPr="0066507B">
        <w:t xml:space="preserve"> Vlachantoni, A. (2021) Transnational healthcare as process: Multiplicity and directionality in the engagements with healthcare among Polish migrants in the UK. </w:t>
      </w:r>
      <w:r w:rsidRPr="0066507B">
        <w:rPr>
          <w:i/>
          <w:iCs/>
        </w:rPr>
        <w:t>Journal of Ethnic and Migration Studies</w:t>
      </w:r>
      <w:r w:rsidRPr="0066507B">
        <w:t>, 1–20.</w:t>
      </w:r>
      <w:r>
        <w:t xml:space="preserve"> </w:t>
      </w:r>
      <w:hyperlink r:id="rId11" w:history="1">
        <w:r w:rsidRPr="0066507B">
          <w:rPr>
            <w:rStyle w:val="Hyperlink"/>
          </w:rPr>
          <w:t>https://doi.org/10.1080/1369183X.2021.1941820</w:t>
        </w:r>
      </w:hyperlink>
    </w:p>
    <w:p w14:paraId="35AC8221" w14:textId="1A6D2750" w:rsidR="00CD43DA" w:rsidRPr="00D7142A" w:rsidRDefault="00CD43DA" w:rsidP="00CD43DA">
      <w:pPr>
        <w:pStyle w:val="EndNoteBibliography"/>
        <w:ind w:left="720" w:hanging="720"/>
      </w:pPr>
      <w:r w:rsidRPr="00D7142A">
        <w:t xml:space="preserve">Villa-Torres, L., González-Vázquez, T., Fleming, P. J., González-González, E. L., Infante-Xibille, C., Chavez, R., and Barrington, C. (2017) Transnationalism and health: A systematic literature review on the use of transnationalism in the study of the health practices and behaviors of migrants. </w:t>
      </w:r>
      <w:r w:rsidRPr="00D7142A">
        <w:rPr>
          <w:i/>
        </w:rPr>
        <w:t xml:space="preserve">Social Science and Medicine, </w:t>
      </w:r>
      <w:r w:rsidRPr="00D7142A">
        <w:t>183: 70–79.</w:t>
      </w:r>
      <w:bookmarkEnd w:id="41"/>
    </w:p>
    <w:p w14:paraId="77E9C7AE" w14:textId="17AB0A85" w:rsidR="00D54601" w:rsidRPr="00D7142A" w:rsidRDefault="00846A43" w:rsidP="008727A1">
      <w:pPr>
        <w:pStyle w:val="Newparagraph"/>
        <w:keepNext/>
        <w:keepLines/>
        <w:spacing w:line="240" w:lineRule="auto"/>
        <w:ind w:firstLine="0"/>
        <w:rPr>
          <w:rFonts w:cstheme="minorHAnsi"/>
          <w:b/>
        </w:rPr>
      </w:pPr>
      <w:r w:rsidRPr="00D7142A">
        <w:rPr>
          <w:rFonts w:cstheme="minorHAnsi"/>
          <w:b/>
        </w:rPr>
        <w:t xml:space="preserve"> </w:t>
      </w:r>
    </w:p>
    <w:p w14:paraId="78B64700" w14:textId="77777777" w:rsidR="00D54601" w:rsidRPr="00D7142A" w:rsidRDefault="00D54601">
      <w:pPr>
        <w:spacing w:line="240" w:lineRule="auto"/>
        <w:rPr>
          <w:rFonts w:cstheme="minorHAnsi"/>
          <w:b/>
        </w:rPr>
      </w:pPr>
      <w:r w:rsidRPr="00D7142A">
        <w:rPr>
          <w:rFonts w:cstheme="minorHAnsi"/>
          <w:b/>
        </w:rPr>
        <w:br w:type="page"/>
      </w:r>
    </w:p>
    <w:p w14:paraId="37F51D95" w14:textId="5E9E447D" w:rsidR="00846A43" w:rsidRPr="00D7142A" w:rsidRDefault="00846A43" w:rsidP="008727A1">
      <w:pPr>
        <w:pStyle w:val="Newparagraph"/>
        <w:keepNext/>
        <w:keepLines/>
        <w:spacing w:line="240" w:lineRule="auto"/>
        <w:ind w:firstLine="0"/>
        <w:rPr>
          <w:b/>
        </w:rPr>
      </w:pPr>
      <w:r w:rsidRPr="00D7142A">
        <w:rPr>
          <w:b/>
        </w:rPr>
        <w:lastRenderedPageBreak/>
        <w:t>Table 1. Socio-demographic characteristics of the sample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4820"/>
        <w:gridCol w:w="1417"/>
      </w:tblGrid>
      <w:tr w:rsidR="00846A43" w:rsidRPr="00D7142A" w14:paraId="705B64E6" w14:textId="77777777" w:rsidTr="00007AF3">
        <w:trPr>
          <w:trHeight w:val="20"/>
        </w:trPr>
        <w:tc>
          <w:tcPr>
            <w:tcW w:w="7196" w:type="dxa"/>
            <w:gridSpan w:val="2"/>
            <w:tcBorders>
              <w:top w:val="nil"/>
              <w:bottom w:val="single" w:sz="4" w:space="0" w:color="auto"/>
              <w:right w:val="nil"/>
            </w:tcBorders>
            <w:noWrap/>
          </w:tcPr>
          <w:p w14:paraId="517CAC7A" w14:textId="77777777" w:rsidR="00846A43" w:rsidRPr="00D7142A" w:rsidRDefault="00846A43" w:rsidP="008727A1">
            <w:pPr>
              <w:keepNext/>
              <w:keepLines/>
              <w:spacing w:line="240" w:lineRule="auto"/>
              <w:rPr>
                <w:rFonts w:ascii="Times New Roman" w:hAnsi="Times New Roman" w:cs="Times New Roman"/>
                <w:b/>
              </w:rPr>
            </w:pPr>
          </w:p>
        </w:tc>
        <w:tc>
          <w:tcPr>
            <w:tcW w:w="1417" w:type="dxa"/>
            <w:tcBorders>
              <w:left w:val="nil"/>
            </w:tcBorders>
          </w:tcPr>
          <w:p w14:paraId="36F1ABDF" w14:textId="77777777" w:rsidR="00846A43" w:rsidRPr="00D7142A" w:rsidRDefault="00846A43" w:rsidP="008727A1">
            <w:pPr>
              <w:keepNext/>
              <w:keepLines/>
              <w:spacing w:line="240" w:lineRule="auto"/>
              <w:rPr>
                <w:rFonts w:ascii="Times New Roman" w:hAnsi="Times New Roman" w:cs="Times New Roman"/>
                <w:b/>
              </w:rPr>
            </w:pPr>
            <w:r w:rsidRPr="00D7142A">
              <w:rPr>
                <w:rFonts w:ascii="Times New Roman" w:hAnsi="Times New Roman" w:cs="Times New Roman"/>
                <w:b/>
              </w:rPr>
              <w:t>N (%)</w:t>
            </w:r>
          </w:p>
        </w:tc>
      </w:tr>
      <w:tr w:rsidR="00846A43" w:rsidRPr="00D7142A" w14:paraId="552C30B6" w14:textId="77777777" w:rsidTr="00007AF3">
        <w:trPr>
          <w:trHeight w:val="20"/>
        </w:trPr>
        <w:tc>
          <w:tcPr>
            <w:tcW w:w="2376" w:type="dxa"/>
            <w:vMerge w:val="restart"/>
            <w:tcBorders>
              <w:top w:val="single" w:sz="4" w:space="0" w:color="auto"/>
              <w:right w:val="nil"/>
            </w:tcBorders>
            <w:noWrap/>
            <w:vAlign w:val="center"/>
          </w:tcPr>
          <w:p w14:paraId="7D3AB20E"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Sample</w:t>
            </w:r>
          </w:p>
        </w:tc>
        <w:tc>
          <w:tcPr>
            <w:tcW w:w="4820" w:type="dxa"/>
            <w:tcBorders>
              <w:top w:val="single" w:sz="4" w:space="0" w:color="auto"/>
              <w:left w:val="nil"/>
              <w:bottom w:val="single" w:sz="4" w:space="0" w:color="auto"/>
              <w:right w:val="nil"/>
            </w:tcBorders>
            <w:noWrap/>
            <w:vAlign w:val="center"/>
          </w:tcPr>
          <w:p w14:paraId="4FCDAF82"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Quantitative</w:t>
            </w:r>
          </w:p>
        </w:tc>
        <w:tc>
          <w:tcPr>
            <w:tcW w:w="1417" w:type="dxa"/>
            <w:tcBorders>
              <w:left w:val="nil"/>
              <w:bottom w:val="single" w:sz="4" w:space="0" w:color="auto"/>
            </w:tcBorders>
            <w:vAlign w:val="center"/>
          </w:tcPr>
          <w:p w14:paraId="20D2E1C6" w14:textId="4F0D49C1"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1</w:t>
            </w:r>
            <w:r w:rsidR="002D71DC" w:rsidRPr="00D7142A">
              <w:rPr>
                <w:rFonts w:ascii="Times New Roman" w:hAnsi="Times New Roman" w:cs="Times New Roman"/>
              </w:rPr>
              <w:t>,</w:t>
            </w:r>
            <w:r w:rsidRPr="00D7142A">
              <w:rPr>
                <w:rFonts w:ascii="Times New Roman" w:hAnsi="Times New Roman" w:cs="Times New Roman"/>
              </w:rPr>
              <w:t>656 (100)</w:t>
            </w:r>
          </w:p>
        </w:tc>
      </w:tr>
      <w:tr w:rsidR="00846A43" w:rsidRPr="00D7142A" w14:paraId="6E095499" w14:textId="77777777" w:rsidTr="00007AF3">
        <w:trPr>
          <w:trHeight w:val="20"/>
        </w:trPr>
        <w:tc>
          <w:tcPr>
            <w:tcW w:w="2376" w:type="dxa"/>
            <w:vMerge/>
            <w:tcBorders>
              <w:bottom w:val="single" w:sz="4" w:space="0" w:color="auto"/>
              <w:right w:val="nil"/>
            </w:tcBorders>
            <w:noWrap/>
            <w:vAlign w:val="center"/>
          </w:tcPr>
          <w:p w14:paraId="1B559069" w14:textId="77777777" w:rsidR="00846A43" w:rsidRPr="00D7142A" w:rsidRDefault="00846A43" w:rsidP="008727A1">
            <w:pPr>
              <w:keepNext/>
              <w:keepLines/>
              <w:spacing w:line="240" w:lineRule="auto"/>
              <w:rPr>
                <w:rFonts w:ascii="Times New Roman" w:hAnsi="Times New Roman" w:cs="Times New Roman"/>
              </w:rPr>
            </w:pPr>
          </w:p>
        </w:tc>
        <w:tc>
          <w:tcPr>
            <w:tcW w:w="4820" w:type="dxa"/>
            <w:tcBorders>
              <w:top w:val="single" w:sz="4" w:space="0" w:color="auto"/>
              <w:left w:val="nil"/>
              <w:bottom w:val="single" w:sz="4" w:space="0" w:color="auto"/>
              <w:right w:val="nil"/>
            </w:tcBorders>
            <w:noWrap/>
            <w:vAlign w:val="center"/>
          </w:tcPr>
          <w:p w14:paraId="3C91BAE6"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Qualitative</w:t>
            </w:r>
          </w:p>
        </w:tc>
        <w:tc>
          <w:tcPr>
            <w:tcW w:w="1417" w:type="dxa"/>
            <w:tcBorders>
              <w:left w:val="nil"/>
              <w:bottom w:val="single" w:sz="4" w:space="0" w:color="auto"/>
            </w:tcBorders>
            <w:vAlign w:val="center"/>
          </w:tcPr>
          <w:p w14:paraId="3DBBF095"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511 (30.9)</w:t>
            </w:r>
          </w:p>
        </w:tc>
      </w:tr>
      <w:tr w:rsidR="00846A43" w:rsidRPr="00D7142A" w14:paraId="6788EECD" w14:textId="77777777" w:rsidTr="00007AF3">
        <w:trPr>
          <w:trHeight w:val="20"/>
        </w:trPr>
        <w:tc>
          <w:tcPr>
            <w:tcW w:w="2376" w:type="dxa"/>
            <w:tcBorders>
              <w:top w:val="single" w:sz="4" w:space="0" w:color="auto"/>
              <w:bottom w:val="single" w:sz="4" w:space="0" w:color="auto"/>
              <w:right w:val="nil"/>
            </w:tcBorders>
            <w:noWrap/>
            <w:vAlign w:val="center"/>
            <w:hideMark/>
          </w:tcPr>
          <w:p w14:paraId="76FF74EE"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Sex</w:t>
            </w:r>
          </w:p>
        </w:tc>
        <w:tc>
          <w:tcPr>
            <w:tcW w:w="4820" w:type="dxa"/>
            <w:tcBorders>
              <w:top w:val="single" w:sz="4" w:space="0" w:color="auto"/>
              <w:left w:val="nil"/>
              <w:bottom w:val="single" w:sz="4" w:space="0" w:color="auto"/>
              <w:right w:val="nil"/>
            </w:tcBorders>
            <w:noWrap/>
            <w:vAlign w:val="center"/>
            <w:hideMark/>
          </w:tcPr>
          <w:p w14:paraId="4135B856"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Female</w:t>
            </w:r>
          </w:p>
        </w:tc>
        <w:tc>
          <w:tcPr>
            <w:tcW w:w="1417" w:type="dxa"/>
            <w:tcBorders>
              <w:left w:val="nil"/>
              <w:bottom w:val="single" w:sz="4" w:space="0" w:color="auto"/>
            </w:tcBorders>
            <w:vAlign w:val="center"/>
          </w:tcPr>
          <w:p w14:paraId="44ED880B"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1,057 (64.5)</w:t>
            </w:r>
          </w:p>
        </w:tc>
      </w:tr>
      <w:tr w:rsidR="00846A43" w:rsidRPr="00D7142A" w14:paraId="1A8EEBBA" w14:textId="77777777" w:rsidTr="00007AF3">
        <w:trPr>
          <w:trHeight w:val="20"/>
        </w:trPr>
        <w:tc>
          <w:tcPr>
            <w:tcW w:w="2376" w:type="dxa"/>
            <w:vMerge w:val="restart"/>
            <w:tcBorders>
              <w:top w:val="single" w:sz="4" w:space="0" w:color="auto"/>
              <w:bottom w:val="single" w:sz="4" w:space="0" w:color="auto"/>
              <w:right w:val="nil"/>
            </w:tcBorders>
            <w:noWrap/>
            <w:vAlign w:val="center"/>
            <w:hideMark/>
          </w:tcPr>
          <w:p w14:paraId="0B3E2264"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Age</w:t>
            </w:r>
          </w:p>
        </w:tc>
        <w:tc>
          <w:tcPr>
            <w:tcW w:w="4820" w:type="dxa"/>
            <w:tcBorders>
              <w:top w:val="single" w:sz="4" w:space="0" w:color="auto"/>
              <w:left w:val="nil"/>
              <w:bottom w:val="nil"/>
              <w:right w:val="nil"/>
            </w:tcBorders>
            <w:noWrap/>
            <w:vAlign w:val="center"/>
            <w:hideMark/>
          </w:tcPr>
          <w:p w14:paraId="69BA09BA"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&lt; 30</w:t>
            </w:r>
          </w:p>
        </w:tc>
        <w:tc>
          <w:tcPr>
            <w:tcW w:w="1417" w:type="dxa"/>
            <w:tcBorders>
              <w:top w:val="single" w:sz="4" w:space="0" w:color="auto"/>
              <w:left w:val="nil"/>
              <w:bottom w:val="nil"/>
            </w:tcBorders>
            <w:vAlign w:val="center"/>
          </w:tcPr>
          <w:p w14:paraId="211415A4"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346 (21.1)</w:t>
            </w:r>
          </w:p>
        </w:tc>
      </w:tr>
      <w:tr w:rsidR="00846A43" w:rsidRPr="00D7142A" w14:paraId="6BEC5CF3" w14:textId="77777777" w:rsidTr="00007AF3">
        <w:trPr>
          <w:trHeight w:val="20"/>
        </w:trPr>
        <w:tc>
          <w:tcPr>
            <w:tcW w:w="2376" w:type="dxa"/>
            <w:vMerge/>
            <w:tcBorders>
              <w:top w:val="single" w:sz="4" w:space="0" w:color="auto"/>
              <w:bottom w:val="single" w:sz="4" w:space="0" w:color="auto"/>
              <w:right w:val="nil"/>
            </w:tcBorders>
            <w:noWrap/>
            <w:vAlign w:val="center"/>
            <w:hideMark/>
          </w:tcPr>
          <w:p w14:paraId="77F60C6B" w14:textId="77777777" w:rsidR="00846A43" w:rsidRPr="00D7142A" w:rsidRDefault="00846A43" w:rsidP="008727A1">
            <w:pPr>
              <w:keepNext/>
              <w:keepLines/>
              <w:spacing w:line="240" w:lineRule="auto"/>
              <w:rPr>
                <w:rFonts w:ascii="Times New Roman" w:hAnsi="Times New Roman" w:cs="Times New Roman"/>
              </w:rPr>
            </w:pPr>
          </w:p>
        </w:tc>
        <w:tc>
          <w:tcPr>
            <w:tcW w:w="4820" w:type="dxa"/>
            <w:tcBorders>
              <w:top w:val="nil"/>
              <w:left w:val="nil"/>
              <w:bottom w:val="nil"/>
              <w:right w:val="nil"/>
            </w:tcBorders>
            <w:noWrap/>
            <w:vAlign w:val="center"/>
            <w:hideMark/>
          </w:tcPr>
          <w:p w14:paraId="35475A82"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30 - 39</w:t>
            </w:r>
          </w:p>
        </w:tc>
        <w:tc>
          <w:tcPr>
            <w:tcW w:w="1417" w:type="dxa"/>
            <w:tcBorders>
              <w:top w:val="nil"/>
              <w:left w:val="nil"/>
              <w:bottom w:val="nil"/>
            </w:tcBorders>
            <w:vAlign w:val="center"/>
          </w:tcPr>
          <w:p w14:paraId="0D680DF6"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718 (43.8)</w:t>
            </w:r>
          </w:p>
        </w:tc>
      </w:tr>
      <w:tr w:rsidR="00846A43" w:rsidRPr="00D7142A" w14:paraId="3D6F7107" w14:textId="77777777" w:rsidTr="00007AF3">
        <w:trPr>
          <w:trHeight w:val="20"/>
        </w:trPr>
        <w:tc>
          <w:tcPr>
            <w:tcW w:w="2376" w:type="dxa"/>
            <w:vMerge/>
            <w:tcBorders>
              <w:top w:val="single" w:sz="4" w:space="0" w:color="auto"/>
              <w:bottom w:val="single" w:sz="4" w:space="0" w:color="auto"/>
              <w:right w:val="nil"/>
            </w:tcBorders>
            <w:noWrap/>
            <w:vAlign w:val="center"/>
            <w:hideMark/>
          </w:tcPr>
          <w:p w14:paraId="65B6B429" w14:textId="77777777" w:rsidR="00846A43" w:rsidRPr="00D7142A" w:rsidRDefault="00846A43" w:rsidP="008727A1">
            <w:pPr>
              <w:keepNext/>
              <w:keepLines/>
              <w:spacing w:line="240" w:lineRule="auto"/>
              <w:rPr>
                <w:rFonts w:ascii="Times New Roman" w:hAnsi="Times New Roman" w:cs="Times New Roman"/>
              </w:rPr>
            </w:pPr>
          </w:p>
        </w:tc>
        <w:tc>
          <w:tcPr>
            <w:tcW w:w="4820" w:type="dxa"/>
            <w:tcBorders>
              <w:top w:val="nil"/>
              <w:left w:val="nil"/>
              <w:bottom w:val="nil"/>
              <w:right w:val="nil"/>
            </w:tcBorders>
            <w:noWrap/>
            <w:vAlign w:val="center"/>
            <w:hideMark/>
          </w:tcPr>
          <w:p w14:paraId="2D2A79AA"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40 - 49</w:t>
            </w:r>
          </w:p>
        </w:tc>
        <w:tc>
          <w:tcPr>
            <w:tcW w:w="1417" w:type="dxa"/>
            <w:tcBorders>
              <w:top w:val="nil"/>
              <w:left w:val="nil"/>
              <w:bottom w:val="nil"/>
            </w:tcBorders>
            <w:vAlign w:val="center"/>
          </w:tcPr>
          <w:p w14:paraId="518A3065"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405 (24.7)</w:t>
            </w:r>
          </w:p>
        </w:tc>
      </w:tr>
      <w:tr w:rsidR="00846A43" w:rsidRPr="00D7142A" w14:paraId="3FABFBBD" w14:textId="77777777" w:rsidTr="00007AF3">
        <w:trPr>
          <w:trHeight w:val="20"/>
        </w:trPr>
        <w:tc>
          <w:tcPr>
            <w:tcW w:w="2376" w:type="dxa"/>
            <w:vMerge/>
            <w:tcBorders>
              <w:top w:val="single" w:sz="4" w:space="0" w:color="auto"/>
              <w:bottom w:val="single" w:sz="4" w:space="0" w:color="auto"/>
              <w:right w:val="nil"/>
            </w:tcBorders>
            <w:noWrap/>
            <w:vAlign w:val="center"/>
            <w:hideMark/>
          </w:tcPr>
          <w:p w14:paraId="774FE751" w14:textId="77777777" w:rsidR="00846A43" w:rsidRPr="00D7142A" w:rsidRDefault="00846A43" w:rsidP="008727A1">
            <w:pPr>
              <w:keepNext/>
              <w:keepLines/>
              <w:spacing w:line="240" w:lineRule="auto"/>
              <w:rPr>
                <w:rFonts w:ascii="Times New Roman" w:hAnsi="Times New Roman" w:cs="Times New Roman"/>
              </w:rPr>
            </w:pPr>
          </w:p>
        </w:tc>
        <w:tc>
          <w:tcPr>
            <w:tcW w:w="4820" w:type="dxa"/>
            <w:tcBorders>
              <w:top w:val="nil"/>
              <w:left w:val="nil"/>
              <w:bottom w:val="single" w:sz="4" w:space="0" w:color="auto"/>
              <w:right w:val="nil"/>
            </w:tcBorders>
            <w:noWrap/>
            <w:vAlign w:val="center"/>
            <w:hideMark/>
          </w:tcPr>
          <w:p w14:paraId="4F69FD18"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50 +</w:t>
            </w:r>
          </w:p>
        </w:tc>
        <w:tc>
          <w:tcPr>
            <w:tcW w:w="1417" w:type="dxa"/>
            <w:tcBorders>
              <w:top w:val="nil"/>
              <w:left w:val="nil"/>
              <w:bottom w:val="single" w:sz="4" w:space="0" w:color="auto"/>
            </w:tcBorders>
            <w:vAlign w:val="center"/>
          </w:tcPr>
          <w:p w14:paraId="301F6680"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172 (10.5)</w:t>
            </w:r>
          </w:p>
        </w:tc>
      </w:tr>
      <w:tr w:rsidR="00846A43" w:rsidRPr="00D7142A" w14:paraId="4624E4BB" w14:textId="77777777" w:rsidTr="00007AF3">
        <w:trPr>
          <w:trHeight w:val="20"/>
        </w:trPr>
        <w:tc>
          <w:tcPr>
            <w:tcW w:w="2376" w:type="dxa"/>
            <w:vMerge w:val="restart"/>
            <w:tcBorders>
              <w:top w:val="single" w:sz="4" w:space="0" w:color="auto"/>
              <w:bottom w:val="single" w:sz="4" w:space="0" w:color="auto"/>
              <w:right w:val="nil"/>
            </w:tcBorders>
            <w:noWrap/>
            <w:vAlign w:val="center"/>
            <w:hideMark/>
          </w:tcPr>
          <w:p w14:paraId="43E56730"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Years in UK</w:t>
            </w:r>
          </w:p>
        </w:tc>
        <w:tc>
          <w:tcPr>
            <w:tcW w:w="4820" w:type="dxa"/>
            <w:tcBorders>
              <w:top w:val="single" w:sz="4" w:space="0" w:color="auto"/>
              <w:left w:val="nil"/>
              <w:bottom w:val="nil"/>
              <w:right w:val="nil"/>
            </w:tcBorders>
            <w:noWrap/>
            <w:vAlign w:val="center"/>
            <w:hideMark/>
          </w:tcPr>
          <w:p w14:paraId="52B47AFF"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Less than 5</w:t>
            </w:r>
          </w:p>
        </w:tc>
        <w:tc>
          <w:tcPr>
            <w:tcW w:w="1417" w:type="dxa"/>
            <w:tcBorders>
              <w:top w:val="single" w:sz="4" w:space="0" w:color="auto"/>
              <w:left w:val="nil"/>
              <w:bottom w:val="nil"/>
            </w:tcBorders>
            <w:vAlign w:val="center"/>
          </w:tcPr>
          <w:p w14:paraId="70DF6B51"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709 (43.1)</w:t>
            </w:r>
          </w:p>
        </w:tc>
      </w:tr>
      <w:tr w:rsidR="00846A43" w:rsidRPr="00D7142A" w14:paraId="308A8EFC" w14:textId="77777777" w:rsidTr="00007AF3">
        <w:trPr>
          <w:trHeight w:val="20"/>
        </w:trPr>
        <w:tc>
          <w:tcPr>
            <w:tcW w:w="2376" w:type="dxa"/>
            <w:vMerge/>
            <w:tcBorders>
              <w:top w:val="single" w:sz="4" w:space="0" w:color="auto"/>
              <w:bottom w:val="single" w:sz="4" w:space="0" w:color="auto"/>
              <w:right w:val="nil"/>
            </w:tcBorders>
            <w:noWrap/>
            <w:vAlign w:val="center"/>
            <w:hideMark/>
          </w:tcPr>
          <w:p w14:paraId="1067BFC4" w14:textId="77777777" w:rsidR="00846A43" w:rsidRPr="00D7142A" w:rsidRDefault="00846A43" w:rsidP="008727A1">
            <w:pPr>
              <w:keepNext/>
              <w:keepLines/>
              <w:spacing w:line="240" w:lineRule="auto"/>
              <w:rPr>
                <w:rFonts w:ascii="Times New Roman" w:hAnsi="Times New Roman" w:cs="Times New Roman"/>
              </w:rPr>
            </w:pPr>
          </w:p>
        </w:tc>
        <w:tc>
          <w:tcPr>
            <w:tcW w:w="4820" w:type="dxa"/>
            <w:tcBorders>
              <w:top w:val="nil"/>
              <w:left w:val="nil"/>
              <w:bottom w:val="nil"/>
              <w:right w:val="nil"/>
            </w:tcBorders>
            <w:noWrap/>
            <w:vAlign w:val="center"/>
            <w:hideMark/>
          </w:tcPr>
          <w:p w14:paraId="77346FE8"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5-10</w:t>
            </w:r>
          </w:p>
        </w:tc>
        <w:tc>
          <w:tcPr>
            <w:tcW w:w="1417" w:type="dxa"/>
            <w:tcBorders>
              <w:top w:val="nil"/>
              <w:left w:val="nil"/>
              <w:bottom w:val="nil"/>
            </w:tcBorders>
            <w:vAlign w:val="center"/>
          </w:tcPr>
          <w:p w14:paraId="31B60FD8"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601 (36.5)</w:t>
            </w:r>
          </w:p>
        </w:tc>
      </w:tr>
      <w:tr w:rsidR="00846A43" w:rsidRPr="00D7142A" w14:paraId="3C58F1B7" w14:textId="77777777" w:rsidTr="00007AF3">
        <w:trPr>
          <w:trHeight w:val="20"/>
        </w:trPr>
        <w:tc>
          <w:tcPr>
            <w:tcW w:w="2376" w:type="dxa"/>
            <w:vMerge/>
            <w:tcBorders>
              <w:top w:val="single" w:sz="4" w:space="0" w:color="auto"/>
              <w:bottom w:val="single" w:sz="4" w:space="0" w:color="auto"/>
              <w:right w:val="nil"/>
            </w:tcBorders>
            <w:noWrap/>
            <w:vAlign w:val="center"/>
            <w:hideMark/>
          </w:tcPr>
          <w:p w14:paraId="4E9C3841" w14:textId="77777777" w:rsidR="00846A43" w:rsidRPr="00D7142A" w:rsidRDefault="00846A43" w:rsidP="008727A1">
            <w:pPr>
              <w:keepNext/>
              <w:keepLines/>
              <w:spacing w:line="240" w:lineRule="auto"/>
              <w:rPr>
                <w:rFonts w:ascii="Times New Roman" w:hAnsi="Times New Roman" w:cs="Times New Roman"/>
              </w:rPr>
            </w:pPr>
          </w:p>
        </w:tc>
        <w:tc>
          <w:tcPr>
            <w:tcW w:w="4820" w:type="dxa"/>
            <w:tcBorders>
              <w:top w:val="nil"/>
              <w:left w:val="nil"/>
              <w:bottom w:val="single" w:sz="4" w:space="0" w:color="auto"/>
              <w:right w:val="nil"/>
            </w:tcBorders>
            <w:noWrap/>
            <w:vAlign w:val="center"/>
            <w:hideMark/>
          </w:tcPr>
          <w:p w14:paraId="5A27063B"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More than 10</w:t>
            </w:r>
          </w:p>
        </w:tc>
        <w:tc>
          <w:tcPr>
            <w:tcW w:w="1417" w:type="dxa"/>
            <w:tcBorders>
              <w:top w:val="nil"/>
              <w:left w:val="nil"/>
              <w:bottom w:val="single" w:sz="4" w:space="0" w:color="auto"/>
            </w:tcBorders>
            <w:vAlign w:val="center"/>
          </w:tcPr>
          <w:p w14:paraId="2626DF80"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336 (20.4)</w:t>
            </w:r>
          </w:p>
        </w:tc>
      </w:tr>
      <w:tr w:rsidR="00846A43" w:rsidRPr="00D7142A" w14:paraId="1C16D988" w14:textId="77777777" w:rsidTr="00007AF3">
        <w:trPr>
          <w:trHeight w:val="20"/>
        </w:trPr>
        <w:tc>
          <w:tcPr>
            <w:tcW w:w="2376" w:type="dxa"/>
            <w:vMerge w:val="restart"/>
            <w:tcBorders>
              <w:top w:val="single" w:sz="4" w:space="0" w:color="auto"/>
              <w:bottom w:val="single" w:sz="4" w:space="0" w:color="auto"/>
              <w:right w:val="nil"/>
            </w:tcBorders>
            <w:noWrap/>
            <w:vAlign w:val="center"/>
            <w:hideMark/>
          </w:tcPr>
          <w:p w14:paraId="3B3DC682"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Place of residence</w:t>
            </w:r>
          </w:p>
        </w:tc>
        <w:tc>
          <w:tcPr>
            <w:tcW w:w="4820" w:type="dxa"/>
            <w:tcBorders>
              <w:top w:val="single" w:sz="4" w:space="0" w:color="auto"/>
              <w:left w:val="nil"/>
              <w:bottom w:val="nil"/>
              <w:right w:val="nil"/>
            </w:tcBorders>
            <w:noWrap/>
            <w:vAlign w:val="center"/>
            <w:hideMark/>
          </w:tcPr>
          <w:p w14:paraId="4BF53893"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London</w:t>
            </w:r>
          </w:p>
        </w:tc>
        <w:tc>
          <w:tcPr>
            <w:tcW w:w="1417" w:type="dxa"/>
            <w:tcBorders>
              <w:top w:val="single" w:sz="4" w:space="0" w:color="auto"/>
              <w:left w:val="nil"/>
              <w:bottom w:val="nil"/>
            </w:tcBorders>
            <w:vAlign w:val="center"/>
          </w:tcPr>
          <w:p w14:paraId="198846F5"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269 (16.3)</w:t>
            </w:r>
          </w:p>
        </w:tc>
      </w:tr>
      <w:tr w:rsidR="00846A43" w:rsidRPr="00D7142A" w14:paraId="71C04F47" w14:textId="77777777" w:rsidTr="00007AF3">
        <w:trPr>
          <w:trHeight w:val="20"/>
        </w:trPr>
        <w:tc>
          <w:tcPr>
            <w:tcW w:w="2376" w:type="dxa"/>
            <w:vMerge/>
            <w:tcBorders>
              <w:top w:val="single" w:sz="4" w:space="0" w:color="auto"/>
              <w:bottom w:val="single" w:sz="4" w:space="0" w:color="auto"/>
              <w:right w:val="nil"/>
            </w:tcBorders>
            <w:noWrap/>
            <w:vAlign w:val="center"/>
            <w:hideMark/>
          </w:tcPr>
          <w:p w14:paraId="33A3F68C" w14:textId="77777777" w:rsidR="00846A43" w:rsidRPr="00D7142A" w:rsidRDefault="00846A43" w:rsidP="008727A1">
            <w:pPr>
              <w:keepNext/>
              <w:keepLines/>
              <w:spacing w:line="240" w:lineRule="auto"/>
              <w:rPr>
                <w:rFonts w:ascii="Times New Roman" w:hAnsi="Times New Roman" w:cs="Times New Roman"/>
              </w:rPr>
            </w:pPr>
          </w:p>
        </w:tc>
        <w:tc>
          <w:tcPr>
            <w:tcW w:w="4820" w:type="dxa"/>
            <w:tcBorders>
              <w:top w:val="nil"/>
              <w:left w:val="nil"/>
              <w:bottom w:val="nil"/>
              <w:right w:val="nil"/>
            </w:tcBorders>
            <w:noWrap/>
            <w:vAlign w:val="center"/>
            <w:hideMark/>
          </w:tcPr>
          <w:p w14:paraId="34361EEB"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Other England and Wales</w:t>
            </w:r>
          </w:p>
        </w:tc>
        <w:tc>
          <w:tcPr>
            <w:tcW w:w="1417" w:type="dxa"/>
            <w:tcBorders>
              <w:top w:val="nil"/>
              <w:left w:val="nil"/>
              <w:bottom w:val="nil"/>
            </w:tcBorders>
            <w:vAlign w:val="center"/>
          </w:tcPr>
          <w:p w14:paraId="1B4CF0D8"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1,164 (70.5)</w:t>
            </w:r>
          </w:p>
        </w:tc>
      </w:tr>
      <w:tr w:rsidR="00846A43" w:rsidRPr="00D7142A" w14:paraId="5BEB22D2" w14:textId="77777777" w:rsidTr="00007AF3">
        <w:trPr>
          <w:trHeight w:val="20"/>
        </w:trPr>
        <w:tc>
          <w:tcPr>
            <w:tcW w:w="2376" w:type="dxa"/>
            <w:vMerge/>
            <w:tcBorders>
              <w:top w:val="single" w:sz="4" w:space="0" w:color="auto"/>
              <w:bottom w:val="single" w:sz="4" w:space="0" w:color="auto"/>
              <w:right w:val="nil"/>
            </w:tcBorders>
            <w:noWrap/>
            <w:vAlign w:val="center"/>
            <w:hideMark/>
          </w:tcPr>
          <w:p w14:paraId="79AE5B90" w14:textId="77777777" w:rsidR="00846A43" w:rsidRPr="00D7142A" w:rsidRDefault="00846A43" w:rsidP="008727A1">
            <w:pPr>
              <w:keepNext/>
              <w:keepLines/>
              <w:spacing w:line="240" w:lineRule="auto"/>
              <w:rPr>
                <w:rFonts w:ascii="Times New Roman" w:hAnsi="Times New Roman" w:cs="Times New Roman"/>
              </w:rPr>
            </w:pPr>
          </w:p>
        </w:tc>
        <w:tc>
          <w:tcPr>
            <w:tcW w:w="4820" w:type="dxa"/>
            <w:tcBorders>
              <w:top w:val="nil"/>
              <w:left w:val="nil"/>
              <w:bottom w:val="single" w:sz="4" w:space="0" w:color="auto"/>
              <w:right w:val="nil"/>
            </w:tcBorders>
            <w:noWrap/>
            <w:vAlign w:val="center"/>
            <w:hideMark/>
          </w:tcPr>
          <w:p w14:paraId="30FB9E6C"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Scotland and Northern Ireland</w:t>
            </w:r>
          </w:p>
        </w:tc>
        <w:tc>
          <w:tcPr>
            <w:tcW w:w="1417" w:type="dxa"/>
            <w:tcBorders>
              <w:top w:val="nil"/>
              <w:left w:val="nil"/>
            </w:tcBorders>
            <w:vAlign w:val="center"/>
          </w:tcPr>
          <w:p w14:paraId="3FF9597F"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219 (13.3)</w:t>
            </w:r>
          </w:p>
        </w:tc>
      </w:tr>
      <w:tr w:rsidR="00846A43" w:rsidRPr="00D7142A" w14:paraId="23B8788B" w14:textId="77777777" w:rsidTr="00007AF3">
        <w:trPr>
          <w:trHeight w:val="20"/>
        </w:trPr>
        <w:tc>
          <w:tcPr>
            <w:tcW w:w="2376" w:type="dxa"/>
            <w:tcBorders>
              <w:top w:val="single" w:sz="4" w:space="0" w:color="auto"/>
              <w:bottom w:val="single" w:sz="4" w:space="0" w:color="auto"/>
              <w:right w:val="nil"/>
            </w:tcBorders>
            <w:noWrap/>
            <w:vAlign w:val="center"/>
            <w:hideMark/>
          </w:tcPr>
          <w:p w14:paraId="66A3A947"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Education</w:t>
            </w:r>
          </w:p>
        </w:tc>
        <w:tc>
          <w:tcPr>
            <w:tcW w:w="4820" w:type="dxa"/>
            <w:tcBorders>
              <w:top w:val="single" w:sz="4" w:space="0" w:color="auto"/>
              <w:left w:val="nil"/>
              <w:bottom w:val="single" w:sz="4" w:space="0" w:color="auto"/>
              <w:right w:val="nil"/>
            </w:tcBorders>
            <w:noWrap/>
            <w:vAlign w:val="center"/>
            <w:hideMark/>
          </w:tcPr>
          <w:p w14:paraId="2FA20493"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Higher education</w:t>
            </w:r>
          </w:p>
        </w:tc>
        <w:tc>
          <w:tcPr>
            <w:tcW w:w="1417" w:type="dxa"/>
            <w:tcBorders>
              <w:left w:val="nil"/>
              <w:bottom w:val="single" w:sz="4" w:space="0" w:color="auto"/>
            </w:tcBorders>
            <w:vAlign w:val="center"/>
          </w:tcPr>
          <w:p w14:paraId="759657F0"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699 (43.4)</w:t>
            </w:r>
          </w:p>
        </w:tc>
      </w:tr>
      <w:tr w:rsidR="00846A43" w:rsidRPr="00D7142A" w14:paraId="03463030" w14:textId="77777777" w:rsidTr="00007AF3">
        <w:trPr>
          <w:trHeight w:val="20"/>
        </w:trPr>
        <w:tc>
          <w:tcPr>
            <w:tcW w:w="2376" w:type="dxa"/>
            <w:vMerge w:val="restart"/>
            <w:tcBorders>
              <w:top w:val="single" w:sz="4" w:space="0" w:color="auto"/>
              <w:bottom w:val="single" w:sz="4" w:space="0" w:color="auto"/>
              <w:right w:val="nil"/>
            </w:tcBorders>
            <w:noWrap/>
            <w:vAlign w:val="center"/>
            <w:hideMark/>
          </w:tcPr>
          <w:p w14:paraId="76F524C4"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Health</w:t>
            </w:r>
          </w:p>
        </w:tc>
        <w:tc>
          <w:tcPr>
            <w:tcW w:w="4820" w:type="dxa"/>
            <w:tcBorders>
              <w:top w:val="single" w:sz="4" w:space="0" w:color="auto"/>
              <w:left w:val="nil"/>
              <w:bottom w:val="single" w:sz="4" w:space="0" w:color="auto"/>
              <w:right w:val="nil"/>
            </w:tcBorders>
            <w:noWrap/>
            <w:vAlign w:val="center"/>
          </w:tcPr>
          <w:p w14:paraId="35905CDA"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Good/very good health (self-declared)</w:t>
            </w:r>
          </w:p>
        </w:tc>
        <w:tc>
          <w:tcPr>
            <w:tcW w:w="1417" w:type="dxa"/>
            <w:tcBorders>
              <w:top w:val="single" w:sz="4" w:space="0" w:color="auto"/>
              <w:left w:val="nil"/>
              <w:bottom w:val="single" w:sz="4" w:space="0" w:color="auto"/>
            </w:tcBorders>
            <w:vAlign w:val="center"/>
          </w:tcPr>
          <w:p w14:paraId="7E46F587" w14:textId="77777777" w:rsidR="00846A43" w:rsidRPr="00D7142A" w:rsidRDefault="00846A43" w:rsidP="008727A1">
            <w:pPr>
              <w:keepNext/>
              <w:keepLines/>
              <w:spacing w:line="240" w:lineRule="auto"/>
              <w:rPr>
                <w:rFonts w:ascii="Times New Roman" w:hAnsi="Times New Roman" w:cs="Times New Roman"/>
              </w:rPr>
            </w:pPr>
            <w:r w:rsidRPr="00D7142A">
              <w:rPr>
                <w:rFonts w:ascii="Times New Roman" w:hAnsi="Times New Roman" w:cs="Times New Roman"/>
              </w:rPr>
              <w:t>1,235 (74.6)</w:t>
            </w:r>
          </w:p>
        </w:tc>
      </w:tr>
      <w:tr w:rsidR="00846A43" w:rsidRPr="00D7142A" w14:paraId="7D2C7D6C" w14:textId="77777777" w:rsidTr="00B97A32">
        <w:trPr>
          <w:trHeight w:val="20"/>
        </w:trPr>
        <w:tc>
          <w:tcPr>
            <w:tcW w:w="2376" w:type="dxa"/>
            <w:vMerge/>
            <w:tcBorders>
              <w:top w:val="single" w:sz="4" w:space="0" w:color="auto"/>
              <w:bottom w:val="single" w:sz="4" w:space="0" w:color="auto"/>
              <w:right w:val="nil"/>
            </w:tcBorders>
            <w:noWrap/>
            <w:hideMark/>
          </w:tcPr>
          <w:p w14:paraId="36B34388" w14:textId="77777777" w:rsidR="00846A43" w:rsidRPr="00D7142A" w:rsidRDefault="00846A43" w:rsidP="008727A1">
            <w:pPr>
              <w:keepLines/>
              <w:spacing w:line="240" w:lineRule="auto"/>
              <w:rPr>
                <w:rFonts w:ascii="Times New Roman" w:hAnsi="Times New Roman" w:cs="Times New Roman"/>
              </w:rPr>
            </w:pPr>
          </w:p>
        </w:tc>
        <w:tc>
          <w:tcPr>
            <w:tcW w:w="4820" w:type="dxa"/>
            <w:tcBorders>
              <w:top w:val="single" w:sz="4" w:space="0" w:color="auto"/>
              <w:left w:val="nil"/>
              <w:bottom w:val="single" w:sz="4" w:space="0" w:color="auto"/>
              <w:right w:val="nil"/>
            </w:tcBorders>
            <w:noWrap/>
            <w:vAlign w:val="center"/>
          </w:tcPr>
          <w:p w14:paraId="163284B0" w14:textId="77777777" w:rsidR="00846A43" w:rsidRPr="00D7142A" w:rsidRDefault="00846A43" w:rsidP="008727A1">
            <w:pPr>
              <w:keepLines/>
              <w:spacing w:line="240" w:lineRule="auto"/>
              <w:rPr>
                <w:rFonts w:ascii="Times New Roman" w:hAnsi="Times New Roman" w:cs="Times New Roman"/>
              </w:rPr>
            </w:pPr>
            <w:r w:rsidRPr="00D7142A">
              <w:rPr>
                <w:rFonts w:ascii="Times New Roman" w:hAnsi="Times New Roman" w:cs="Times New Roman"/>
              </w:rPr>
              <w:t>Longstanding illness (self-declared)</w:t>
            </w:r>
          </w:p>
        </w:tc>
        <w:tc>
          <w:tcPr>
            <w:tcW w:w="1417" w:type="dxa"/>
            <w:tcBorders>
              <w:top w:val="single" w:sz="4" w:space="0" w:color="auto"/>
              <w:left w:val="nil"/>
              <w:bottom w:val="single" w:sz="4" w:space="0" w:color="auto"/>
            </w:tcBorders>
            <w:vAlign w:val="center"/>
          </w:tcPr>
          <w:p w14:paraId="2B191AF9" w14:textId="77777777" w:rsidR="00846A43" w:rsidRPr="00D7142A" w:rsidRDefault="00846A43" w:rsidP="008727A1">
            <w:pPr>
              <w:keepLines/>
              <w:spacing w:line="240" w:lineRule="auto"/>
              <w:rPr>
                <w:rFonts w:ascii="Times New Roman" w:hAnsi="Times New Roman" w:cs="Times New Roman"/>
              </w:rPr>
            </w:pPr>
            <w:r w:rsidRPr="00D7142A">
              <w:rPr>
                <w:rFonts w:ascii="Times New Roman" w:hAnsi="Times New Roman" w:cs="Times New Roman"/>
              </w:rPr>
              <w:t>340 (20.7)</w:t>
            </w:r>
          </w:p>
        </w:tc>
      </w:tr>
      <w:tr w:rsidR="00D44633" w:rsidRPr="00D7142A" w14:paraId="59432BE6" w14:textId="77777777" w:rsidTr="00B97A32">
        <w:trPr>
          <w:trHeight w:val="20"/>
        </w:trPr>
        <w:tc>
          <w:tcPr>
            <w:tcW w:w="8613" w:type="dxa"/>
            <w:gridSpan w:val="3"/>
            <w:tcBorders>
              <w:top w:val="single" w:sz="4" w:space="0" w:color="auto"/>
              <w:bottom w:val="nil"/>
            </w:tcBorders>
            <w:noWrap/>
          </w:tcPr>
          <w:p w14:paraId="1C17D495" w14:textId="7362ED98" w:rsidR="00D44633" w:rsidRPr="00D7142A" w:rsidRDefault="00D44633" w:rsidP="00D44633">
            <w:pPr>
              <w:spacing w:line="240" w:lineRule="auto"/>
            </w:pPr>
            <w:r w:rsidRPr="00D7142A">
              <w:t xml:space="preserve">Source: </w:t>
            </w:r>
            <w:proofErr w:type="spellStart"/>
            <w:r w:rsidRPr="00D7142A">
              <w:t>EUinUK</w:t>
            </w:r>
            <w:proofErr w:type="spellEnd"/>
            <w:r w:rsidRPr="00D7142A">
              <w:t xml:space="preserve"> 2016 survey</w:t>
            </w:r>
          </w:p>
        </w:tc>
      </w:tr>
    </w:tbl>
    <w:p w14:paraId="2BC9F3F4" w14:textId="77777777" w:rsidR="00C40B1A" w:rsidRPr="00D7142A" w:rsidRDefault="00C40B1A" w:rsidP="008727A1">
      <w:pPr>
        <w:keepNext/>
        <w:spacing w:before="240" w:line="240" w:lineRule="auto"/>
        <w:rPr>
          <w:rFonts w:eastAsia="Arial Unicode MS"/>
          <w:b/>
          <w:bCs/>
        </w:rPr>
      </w:pPr>
    </w:p>
    <w:p w14:paraId="1794DB11" w14:textId="77777777" w:rsidR="00C40B1A" w:rsidRPr="00D7142A" w:rsidRDefault="00C40B1A">
      <w:pPr>
        <w:spacing w:line="240" w:lineRule="auto"/>
        <w:rPr>
          <w:rFonts w:eastAsia="Arial Unicode MS"/>
          <w:b/>
          <w:bCs/>
        </w:rPr>
      </w:pPr>
      <w:r w:rsidRPr="00D7142A">
        <w:rPr>
          <w:rFonts w:eastAsia="Arial Unicode MS"/>
          <w:b/>
          <w:bCs/>
        </w:rPr>
        <w:br w:type="page"/>
      </w:r>
    </w:p>
    <w:p w14:paraId="2ED49691" w14:textId="7DA0A989" w:rsidR="00846A43" w:rsidRPr="00D7142A" w:rsidRDefault="00846A43" w:rsidP="008727A1">
      <w:pPr>
        <w:keepNext/>
        <w:spacing w:before="240" w:line="240" w:lineRule="auto"/>
        <w:rPr>
          <w:rFonts w:eastAsia="Arial Unicode MS"/>
          <w:b/>
          <w:bCs/>
        </w:rPr>
      </w:pPr>
      <w:r w:rsidRPr="00D7142A">
        <w:rPr>
          <w:rFonts w:eastAsia="Arial Unicode MS"/>
          <w:b/>
          <w:bCs/>
        </w:rPr>
        <w:lastRenderedPageBreak/>
        <w:t xml:space="preserve">Table 2. Treatment country preference by </w:t>
      </w:r>
      <w:proofErr w:type="spellStart"/>
      <w:r w:rsidR="0083518E" w:rsidRPr="00D7142A">
        <w:rPr>
          <w:rFonts w:eastAsia="Arial Unicode MS"/>
          <w:b/>
          <w:bCs/>
        </w:rPr>
        <w:t>CoO</w:t>
      </w:r>
      <w:proofErr w:type="spellEnd"/>
    </w:p>
    <w:tbl>
      <w:tblPr>
        <w:tblStyle w:val="TableGrid"/>
        <w:tblW w:w="946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18"/>
        <w:gridCol w:w="1276"/>
        <w:gridCol w:w="1276"/>
        <w:gridCol w:w="1275"/>
        <w:gridCol w:w="1276"/>
        <w:gridCol w:w="1451"/>
        <w:gridCol w:w="1492"/>
      </w:tblGrid>
      <w:tr w:rsidR="00645051" w:rsidRPr="00D7142A" w14:paraId="160CDBD4" w14:textId="774D0E18" w:rsidTr="008C4A2A">
        <w:trPr>
          <w:trHeight w:val="20"/>
        </w:trPr>
        <w:tc>
          <w:tcPr>
            <w:tcW w:w="1418" w:type="dxa"/>
            <w:tcBorders>
              <w:top w:val="nil"/>
              <w:bottom w:val="single" w:sz="4" w:space="0" w:color="auto"/>
              <w:right w:val="nil"/>
            </w:tcBorders>
            <w:noWrap/>
            <w:hideMark/>
          </w:tcPr>
          <w:p w14:paraId="771D259F" w14:textId="77777777" w:rsidR="00645051" w:rsidRPr="00D7142A" w:rsidRDefault="00645051" w:rsidP="008727A1">
            <w:pPr>
              <w:spacing w:line="240" w:lineRule="auto"/>
              <w:rPr>
                <w:rFonts w:ascii="Times New Roman" w:eastAsia="Arial Unicode MS" w:hAnsi="Times New Roman" w:cs="Times New Roman"/>
                <w:b/>
                <w:bCs/>
              </w:rPr>
            </w:pPr>
            <w:proofErr w:type="spellStart"/>
            <w:r w:rsidRPr="00D7142A">
              <w:rPr>
                <w:rFonts w:ascii="Times New Roman" w:eastAsia="Arial Unicode MS" w:hAnsi="Times New Roman" w:cs="Times New Roman"/>
                <w:b/>
                <w:bCs/>
              </w:rPr>
              <w:t>CoO</w:t>
            </w:r>
            <w:proofErr w:type="spellEnd"/>
            <w:r w:rsidRPr="00D7142A">
              <w:rPr>
                <w:rFonts w:ascii="Times New Roman" w:eastAsia="Arial Unicode MS" w:hAnsi="Times New Roman" w:cs="Times New Roman"/>
                <w:b/>
                <w:bCs/>
              </w:rPr>
              <w:t xml:space="preserve"> </w:t>
            </w:r>
          </w:p>
          <w:p w14:paraId="2CA0F5BE" w14:textId="02ED9217" w:rsidR="00645051" w:rsidRPr="00D7142A" w:rsidRDefault="00645051" w:rsidP="008727A1">
            <w:pPr>
              <w:spacing w:line="240" w:lineRule="auto"/>
              <w:rPr>
                <w:rFonts w:ascii="Times New Roman" w:eastAsia="Arial Unicode MS" w:hAnsi="Times New Roman" w:cs="Times New Roman"/>
                <w:b/>
                <w:bCs/>
              </w:rPr>
            </w:pPr>
          </w:p>
        </w:tc>
        <w:tc>
          <w:tcPr>
            <w:tcW w:w="1276" w:type="dxa"/>
            <w:tcBorders>
              <w:top w:val="nil"/>
              <w:left w:val="nil"/>
              <w:bottom w:val="single" w:sz="4" w:space="0" w:color="auto"/>
              <w:right w:val="nil"/>
            </w:tcBorders>
            <w:noWrap/>
            <w:hideMark/>
          </w:tcPr>
          <w:p w14:paraId="36005549" w14:textId="77777777" w:rsidR="00645051" w:rsidRPr="00D7142A" w:rsidRDefault="00645051" w:rsidP="008727A1">
            <w:pPr>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In UK</w:t>
            </w:r>
          </w:p>
        </w:tc>
        <w:tc>
          <w:tcPr>
            <w:tcW w:w="1276" w:type="dxa"/>
            <w:tcBorders>
              <w:top w:val="nil"/>
              <w:left w:val="nil"/>
              <w:bottom w:val="single" w:sz="4" w:space="0" w:color="auto"/>
              <w:right w:val="nil"/>
            </w:tcBorders>
            <w:noWrap/>
            <w:hideMark/>
          </w:tcPr>
          <w:p w14:paraId="45D4B480" w14:textId="77777777" w:rsidR="00645051" w:rsidRPr="00D7142A" w:rsidRDefault="00645051" w:rsidP="008727A1">
            <w:pPr>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 xml:space="preserve">In </w:t>
            </w:r>
            <w:proofErr w:type="spellStart"/>
            <w:r w:rsidRPr="00D7142A">
              <w:rPr>
                <w:rFonts w:ascii="Times New Roman" w:eastAsia="Arial Unicode MS" w:hAnsi="Times New Roman" w:cs="Times New Roman"/>
                <w:b/>
                <w:bCs/>
              </w:rPr>
              <w:t>CoO</w:t>
            </w:r>
            <w:proofErr w:type="spellEnd"/>
          </w:p>
        </w:tc>
        <w:tc>
          <w:tcPr>
            <w:tcW w:w="1275" w:type="dxa"/>
            <w:tcBorders>
              <w:top w:val="nil"/>
              <w:left w:val="nil"/>
              <w:bottom w:val="single" w:sz="4" w:space="0" w:color="auto"/>
              <w:right w:val="nil"/>
            </w:tcBorders>
            <w:noWrap/>
            <w:hideMark/>
          </w:tcPr>
          <w:p w14:paraId="0C1D6A52" w14:textId="77777777" w:rsidR="00645051" w:rsidRPr="00D7142A" w:rsidRDefault="00645051" w:rsidP="008727A1">
            <w:pPr>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Elsewhere</w:t>
            </w:r>
          </w:p>
        </w:tc>
        <w:tc>
          <w:tcPr>
            <w:tcW w:w="1276" w:type="dxa"/>
            <w:tcBorders>
              <w:top w:val="nil"/>
              <w:left w:val="nil"/>
              <w:bottom w:val="single" w:sz="4" w:space="0" w:color="auto"/>
              <w:right w:val="single" w:sz="2" w:space="0" w:color="auto"/>
            </w:tcBorders>
            <w:noWrap/>
            <w:hideMark/>
          </w:tcPr>
          <w:p w14:paraId="5F847AC4" w14:textId="77777777" w:rsidR="00645051" w:rsidRPr="00D7142A" w:rsidRDefault="00645051" w:rsidP="008727A1">
            <w:pPr>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Don’t know</w:t>
            </w:r>
          </w:p>
        </w:tc>
        <w:tc>
          <w:tcPr>
            <w:tcW w:w="1451" w:type="dxa"/>
            <w:tcBorders>
              <w:top w:val="nil"/>
              <w:left w:val="single" w:sz="2" w:space="0" w:color="auto"/>
              <w:bottom w:val="single" w:sz="4" w:space="0" w:color="auto"/>
            </w:tcBorders>
            <w:noWrap/>
            <w:hideMark/>
          </w:tcPr>
          <w:p w14:paraId="1550DB4F" w14:textId="2405554E" w:rsidR="00645051" w:rsidRPr="00D7142A" w:rsidRDefault="00D16C42" w:rsidP="008727A1">
            <w:pPr>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Survey</w:t>
            </w:r>
            <w:r w:rsidR="00BA7A4D" w:rsidRPr="00D7142A">
              <w:rPr>
                <w:rFonts w:ascii="Times New Roman" w:eastAsia="Arial Unicode MS" w:hAnsi="Times New Roman" w:cs="Times New Roman"/>
                <w:b/>
                <w:bCs/>
              </w:rPr>
              <w:t xml:space="preserve"> total</w:t>
            </w:r>
          </w:p>
          <w:p w14:paraId="7866AD22" w14:textId="2DBBF36D" w:rsidR="00645051" w:rsidRPr="00D7142A" w:rsidRDefault="00645051" w:rsidP="008727A1">
            <w:pPr>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 xml:space="preserve">N </w:t>
            </w:r>
            <w:r w:rsidR="00B95CF0" w:rsidRPr="00D7142A">
              <w:rPr>
                <w:rFonts w:ascii="Times New Roman" w:eastAsia="Arial Unicode MS" w:hAnsi="Times New Roman" w:cs="Times New Roman"/>
                <w:b/>
                <w:bCs/>
              </w:rPr>
              <w:t>(</w:t>
            </w:r>
            <w:r w:rsidRPr="00D7142A">
              <w:rPr>
                <w:rFonts w:ascii="Times New Roman" w:eastAsia="Arial Unicode MS" w:hAnsi="Times New Roman" w:cs="Times New Roman"/>
                <w:b/>
                <w:bCs/>
              </w:rPr>
              <w:t>%)</w:t>
            </w:r>
          </w:p>
        </w:tc>
        <w:tc>
          <w:tcPr>
            <w:tcW w:w="1492" w:type="dxa"/>
            <w:tcBorders>
              <w:top w:val="nil"/>
              <w:left w:val="single" w:sz="2" w:space="0" w:color="auto"/>
              <w:bottom w:val="single" w:sz="4" w:space="0" w:color="auto"/>
            </w:tcBorders>
          </w:tcPr>
          <w:p w14:paraId="3089FF73" w14:textId="76C66D0F" w:rsidR="00D16C42" w:rsidRPr="00D7142A" w:rsidRDefault="00D16C42" w:rsidP="00D16C42">
            <w:pPr>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Qualitative</w:t>
            </w:r>
          </w:p>
          <w:p w14:paraId="62229E96" w14:textId="3919B88B" w:rsidR="00645051" w:rsidRPr="00D7142A" w:rsidRDefault="00D16C42" w:rsidP="00D16C42">
            <w:pPr>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N (%)</w:t>
            </w:r>
          </w:p>
        </w:tc>
      </w:tr>
      <w:tr w:rsidR="00645051" w:rsidRPr="00D7142A" w14:paraId="1FDDAC83" w14:textId="355123E6" w:rsidTr="008C4A2A">
        <w:trPr>
          <w:trHeight w:val="20"/>
        </w:trPr>
        <w:tc>
          <w:tcPr>
            <w:tcW w:w="1418" w:type="dxa"/>
            <w:tcBorders>
              <w:top w:val="single" w:sz="4" w:space="0" w:color="auto"/>
              <w:bottom w:val="single" w:sz="4" w:space="0" w:color="auto"/>
              <w:right w:val="nil"/>
            </w:tcBorders>
            <w:noWrap/>
            <w:hideMark/>
          </w:tcPr>
          <w:p w14:paraId="065A0BD7"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Poland</w:t>
            </w:r>
          </w:p>
        </w:tc>
        <w:tc>
          <w:tcPr>
            <w:tcW w:w="1276" w:type="dxa"/>
            <w:tcBorders>
              <w:top w:val="single" w:sz="4" w:space="0" w:color="auto"/>
              <w:left w:val="nil"/>
              <w:bottom w:val="single" w:sz="4" w:space="0" w:color="auto"/>
              <w:right w:val="nil"/>
            </w:tcBorders>
            <w:noWrap/>
            <w:hideMark/>
          </w:tcPr>
          <w:p w14:paraId="4784F6F2"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364 (36.4)</w:t>
            </w:r>
          </w:p>
        </w:tc>
        <w:tc>
          <w:tcPr>
            <w:tcW w:w="1276" w:type="dxa"/>
            <w:tcBorders>
              <w:top w:val="single" w:sz="4" w:space="0" w:color="auto"/>
              <w:left w:val="nil"/>
              <w:bottom w:val="single" w:sz="4" w:space="0" w:color="auto"/>
              <w:right w:val="nil"/>
            </w:tcBorders>
            <w:noWrap/>
            <w:hideMark/>
          </w:tcPr>
          <w:p w14:paraId="53027276"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441 (44.1)</w:t>
            </w:r>
          </w:p>
        </w:tc>
        <w:tc>
          <w:tcPr>
            <w:tcW w:w="1275" w:type="dxa"/>
            <w:tcBorders>
              <w:top w:val="single" w:sz="4" w:space="0" w:color="auto"/>
              <w:left w:val="nil"/>
              <w:bottom w:val="single" w:sz="4" w:space="0" w:color="auto"/>
              <w:right w:val="nil"/>
            </w:tcBorders>
            <w:noWrap/>
            <w:hideMark/>
          </w:tcPr>
          <w:p w14:paraId="1FEDFCD3"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10 (1)</w:t>
            </w:r>
          </w:p>
        </w:tc>
        <w:tc>
          <w:tcPr>
            <w:tcW w:w="1276" w:type="dxa"/>
            <w:tcBorders>
              <w:top w:val="single" w:sz="4" w:space="0" w:color="auto"/>
              <w:left w:val="nil"/>
              <w:bottom w:val="single" w:sz="4" w:space="0" w:color="auto"/>
              <w:right w:val="single" w:sz="2" w:space="0" w:color="auto"/>
            </w:tcBorders>
            <w:noWrap/>
            <w:hideMark/>
          </w:tcPr>
          <w:p w14:paraId="0808E9F8"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186 (18.6)</w:t>
            </w:r>
          </w:p>
        </w:tc>
        <w:tc>
          <w:tcPr>
            <w:tcW w:w="1451" w:type="dxa"/>
            <w:tcBorders>
              <w:top w:val="single" w:sz="4" w:space="0" w:color="auto"/>
              <w:left w:val="single" w:sz="2" w:space="0" w:color="auto"/>
              <w:bottom w:val="single" w:sz="4" w:space="0" w:color="auto"/>
            </w:tcBorders>
            <w:noWrap/>
            <w:hideMark/>
          </w:tcPr>
          <w:p w14:paraId="5904953A" w14:textId="77777777" w:rsidR="00645051" w:rsidRPr="00D7142A" w:rsidRDefault="0064505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1,001 (60.4)</w:t>
            </w:r>
          </w:p>
        </w:tc>
        <w:tc>
          <w:tcPr>
            <w:tcW w:w="1492" w:type="dxa"/>
            <w:tcBorders>
              <w:top w:val="single" w:sz="4" w:space="0" w:color="auto"/>
              <w:left w:val="single" w:sz="2" w:space="0" w:color="auto"/>
              <w:bottom w:val="single" w:sz="4" w:space="0" w:color="auto"/>
            </w:tcBorders>
          </w:tcPr>
          <w:p w14:paraId="04DAFB23" w14:textId="7371D6E1" w:rsidR="00645051" w:rsidRPr="00D7142A" w:rsidRDefault="001E4808"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277 (</w:t>
            </w:r>
            <w:r w:rsidR="003919B1" w:rsidRPr="00D7142A">
              <w:rPr>
                <w:rFonts w:ascii="Times New Roman" w:eastAsia="Arial Unicode MS" w:hAnsi="Times New Roman" w:cs="Times New Roman"/>
              </w:rPr>
              <w:t>54.2)</w:t>
            </w:r>
          </w:p>
        </w:tc>
      </w:tr>
      <w:tr w:rsidR="00645051" w:rsidRPr="00D7142A" w14:paraId="7D2995FA" w14:textId="6C7ED9AE" w:rsidTr="008C4A2A">
        <w:trPr>
          <w:trHeight w:val="20"/>
        </w:trPr>
        <w:tc>
          <w:tcPr>
            <w:tcW w:w="1418" w:type="dxa"/>
            <w:tcBorders>
              <w:top w:val="single" w:sz="4" w:space="0" w:color="auto"/>
              <w:bottom w:val="single" w:sz="4" w:space="0" w:color="auto"/>
              <w:right w:val="nil"/>
            </w:tcBorders>
            <w:noWrap/>
            <w:hideMark/>
          </w:tcPr>
          <w:p w14:paraId="162FDA49"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Hungary</w:t>
            </w:r>
          </w:p>
        </w:tc>
        <w:tc>
          <w:tcPr>
            <w:tcW w:w="1276" w:type="dxa"/>
            <w:tcBorders>
              <w:top w:val="single" w:sz="4" w:space="0" w:color="auto"/>
              <w:left w:val="nil"/>
              <w:bottom w:val="single" w:sz="4" w:space="0" w:color="auto"/>
              <w:right w:val="nil"/>
            </w:tcBorders>
            <w:noWrap/>
            <w:hideMark/>
          </w:tcPr>
          <w:p w14:paraId="44D5DAF1"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60 (42.3)</w:t>
            </w:r>
          </w:p>
        </w:tc>
        <w:tc>
          <w:tcPr>
            <w:tcW w:w="1276" w:type="dxa"/>
            <w:tcBorders>
              <w:top w:val="single" w:sz="4" w:space="0" w:color="auto"/>
              <w:left w:val="nil"/>
              <w:bottom w:val="single" w:sz="4" w:space="0" w:color="auto"/>
              <w:right w:val="nil"/>
            </w:tcBorders>
            <w:noWrap/>
            <w:hideMark/>
          </w:tcPr>
          <w:p w14:paraId="5B3D20C6"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58 (40.8)</w:t>
            </w:r>
          </w:p>
        </w:tc>
        <w:tc>
          <w:tcPr>
            <w:tcW w:w="1275" w:type="dxa"/>
            <w:tcBorders>
              <w:top w:val="single" w:sz="4" w:space="0" w:color="auto"/>
              <w:left w:val="nil"/>
              <w:bottom w:val="single" w:sz="4" w:space="0" w:color="auto"/>
              <w:right w:val="nil"/>
            </w:tcBorders>
            <w:noWrap/>
            <w:hideMark/>
          </w:tcPr>
          <w:p w14:paraId="531F21DF"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3 (2.1)</w:t>
            </w:r>
          </w:p>
        </w:tc>
        <w:tc>
          <w:tcPr>
            <w:tcW w:w="1276" w:type="dxa"/>
            <w:tcBorders>
              <w:top w:val="single" w:sz="4" w:space="0" w:color="auto"/>
              <w:left w:val="nil"/>
              <w:bottom w:val="single" w:sz="4" w:space="0" w:color="auto"/>
              <w:right w:val="single" w:sz="2" w:space="0" w:color="auto"/>
            </w:tcBorders>
            <w:noWrap/>
            <w:hideMark/>
          </w:tcPr>
          <w:p w14:paraId="6C634EF6"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21 (14.8)</w:t>
            </w:r>
          </w:p>
        </w:tc>
        <w:tc>
          <w:tcPr>
            <w:tcW w:w="1451" w:type="dxa"/>
            <w:tcBorders>
              <w:top w:val="single" w:sz="4" w:space="0" w:color="auto"/>
              <w:left w:val="single" w:sz="2" w:space="0" w:color="auto"/>
              <w:bottom w:val="single" w:sz="4" w:space="0" w:color="auto"/>
            </w:tcBorders>
            <w:noWrap/>
            <w:hideMark/>
          </w:tcPr>
          <w:p w14:paraId="38D9233C" w14:textId="77777777" w:rsidR="00645051" w:rsidRPr="00D7142A" w:rsidRDefault="0064505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142 (8.6)</w:t>
            </w:r>
          </w:p>
        </w:tc>
        <w:tc>
          <w:tcPr>
            <w:tcW w:w="1492" w:type="dxa"/>
            <w:tcBorders>
              <w:top w:val="single" w:sz="4" w:space="0" w:color="auto"/>
              <w:left w:val="single" w:sz="2" w:space="0" w:color="auto"/>
              <w:bottom w:val="single" w:sz="4" w:space="0" w:color="auto"/>
            </w:tcBorders>
          </w:tcPr>
          <w:p w14:paraId="5971E3D7" w14:textId="2C818A17" w:rsidR="00645051" w:rsidRPr="00D7142A" w:rsidRDefault="005F7C4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45 (</w:t>
            </w:r>
            <w:r w:rsidR="005C5DC6" w:rsidRPr="00D7142A">
              <w:rPr>
                <w:rFonts w:ascii="Times New Roman" w:eastAsia="Arial Unicode MS" w:hAnsi="Times New Roman" w:cs="Times New Roman"/>
              </w:rPr>
              <w:t>8.8%)</w:t>
            </w:r>
          </w:p>
        </w:tc>
      </w:tr>
      <w:tr w:rsidR="00645051" w:rsidRPr="00D7142A" w14:paraId="19DD603E" w14:textId="2DB54D16" w:rsidTr="008C4A2A">
        <w:trPr>
          <w:trHeight w:val="20"/>
        </w:trPr>
        <w:tc>
          <w:tcPr>
            <w:tcW w:w="1418" w:type="dxa"/>
            <w:tcBorders>
              <w:top w:val="single" w:sz="4" w:space="0" w:color="auto"/>
              <w:bottom w:val="single" w:sz="4" w:space="0" w:color="auto"/>
              <w:right w:val="nil"/>
            </w:tcBorders>
            <w:noWrap/>
            <w:hideMark/>
          </w:tcPr>
          <w:p w14:paraId="3F6B8837"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Portugal</w:t>
            </w:r>
          </w:p>
        </w:tc>
        <w:tc>
          <w:tcPr>
            <w:tcW w:w="1276" w:type="dxa"/>
            <w:tcBorders>
              <w:top w:val="single" w:sz="4" w:space="0" w:color="auto"/>
              <w:left w:val="nil"/>
              <w:bottom w:val="single" w:sz="4" w:space="0" w:color="auto"/>
              <w:right w:val="nil"/>
            </w:tcBorders>
            <w:noWrap/>
            <w:hideMark/>
          </w:tcPr>
          <w:p w14:paraId="1B556B24"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53 (37.9)</w:t>
            </w:r>
          </w:p>
        </w:tc>
        <w:tc>
          <w:tcPr>
            <w:tcW w:w="1276" w:type="dxa"/>
            <w:tcBorders>
              <w:top w:val="single" w:sz="4" w:space="0" w:color="auto"/>
              <w:left w:val="nil"/>
              <w:bottom w:val="single" w:sz="4" w:space="0" w:color="auto"/>
              <w:right w:val="nil"/>
            </w:tcBorders>
            <w:noWrap/>
            <w:hideMark/>
          </w:tcPr>
          <w:p w14:paraId="36FC10A8"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64 (45.7)</w:t>
            </w:r>
          </w:p>
        </w:tc>
        <w:tc>
          <w:tcPr>
            <w:tcW w:w="1275" w:type="dxa"/>
            <w:tcBorders>
              <w:top w:val="single" w:sz="4" w:space="0" w:color="auto"/>
              <w:left w:val="nil"/>
              <w:bottom w:val="single" w:sz="4" w:space="0" w:color="auto"/>
              <w:right w:val="nil"/>
            </w:tcBorders>
            <w:noWrap/>
            <w:hideMark/>
          </w:tcPr>
          <w:p w14:paraId="7F17C8EE"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w:t>
            </w:r>
          </w:p>
        </w:tc>
        <w:tc>
          <w:tcPr>
            <w:tcW w:w="1276" w:type="dxa"/>
            <w:tcBorders>
              <w:top w:val="single" w:sz="4" w:space="0" w:color="auto"/>
              <w:left w:val="nil"/>
              <w:bottom w:val="single" w:sz="4" w:space="0" w:color="auto"/>
              <w:right w:val="single" w:sz="2" w:space="0" w:color="auto"/>
            </w:tcBorders>
            <w:noWrap/>
            <w:hideMark/>
          </w:tcPr>
          <w:p w14:paraId="4E8452BD"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23 (16.4)</w:t>
            </w:r>
          </w:p>
        </w:tc>
        <w:tc>
          <w:tcPr>
            <w:tcW w:w="1451" w:type="dxa"/>
            <w:tcBorders>
              <w:top w:val="single" w:sz="4" w:space="0" w:color="auto"/>
              <w:left w:val="single" w:sz="2" w:space="0" w:color="auto"/>
              <w:bottom w:val="single" w:sz="4" w:space="0" w:color="auto"/>
            </w:tcBorders>
            <w:noWrap/>
            <w:hideMark/>
          </w:tcPr>
          <w:p w14:paraId="4566F54D" w14:textId="77777777" w:rsidR="00645051" w:rsidRPr="00D7142A" w:rsidRDefault="0064505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140 (8.5)</w:t>
            </w:r>
          </w:p>
        </w:tc>
        <w:tc>
          <w:tcPr>
            <w:tcW w:w="1492" w:type="dxa"/>
            <w:tcBorders>
              <w:top w:val="single" w:sz="4" w:space="0" w:color="auto"/>
              <w:left w:val="single" w:sz="2" w:space="0" w:color="auto"/>
              <w:bottom w:val="single" w:sz="4" w:space="0" w:color="auto"/>
            </w:tcBorders>
          </w:tcPr>
          <w:p w14:paraId="1F5B0D9A" w14:textId="144A31EA" w:rsidR="00645051" w:rsidRPr="00D7142A" w:rsidRDefault="005C5DC6"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35 (6.9)</w:t>
            </w:r>
          </w:p>
        </w:tc>
      </w:tr>
      <w:tr w:rsidR="00645051" w:rsidRPr="00D7142A" w14:paraId="20796E29" w14:textId="120A2F21" w:rsidTr="008C4A2A">
        <w:trPr>
          <w:trHeight w:val="20"/>
        </w:trPr>
        <w:tc>
          <w:tcPr>
            <w:tcW w:w="1418" w:type="dxa"/>
            <w:tcBorders>
              <w:top w:val="single" w:sz="4" w:space="0" w:color="auto"/>
              <w:bottom w:val="single" w:sz="4" w:space="0" w:color="auto"/>
              <w:right w:val="nil"/>
            </w:tcBorders>
            <w:noWrap/>
            <w:hideMark/>
          </w:tcPr>
          <w:p w14:paraId="5CC1F91F"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Romania</w:t>
            </w:r>
          </w:p>
        </w:tc>
        <w:tc>
          <w:tcPr>
            <w:tcW w:w="1276" w:type="dxa"/>
            <w:tcBorders>
              <w:top w:val="single" w:sz="4" w:space="0" w:color="auto"/>
              <w:left w:val="nil"/>
              <w:bottom w:val="single" w:sz="4" w:space="0" w:color="auto"/>
              <w:right w:val="nil"/>
            </w:tcBorders>
            <w:noWrap/>
            <w:hideMark/>
          </w:tcPr>
          <w:p w14:paraId="187F08DC"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50 (36.2)</w:t>
            </w:r>
          </w:p>
        </w:tc>
        <w:tc>
          <w:tcPr>
            <w:tcW w:w="1276" w:type="dxa"/>
            <w:tcBorders>
              <w:top w:val="single" w:sz="4" w:space="0" w:color="auto"/>
              <w:left w:val="nil"/>
              <w:bottom w:val="single" w:sz="4" w:space="0" w:color="auto"/>
              <w:right w:val="nil"/>
            </w:tcBorders>
            <w:noWrap/>
            <w:hideMark/>
          </w:tcPr>
          <w:p w14:paraId="5C83974B"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53 (38.4)</w:t>
            </w:r>
          </w:p>
        </w:tc>
        <w:tc>
          <w:tcPr>
            <w:tcW w:w="1275" w:type="dxa"/>
            <w:tcBorders>
              <w:top w:val="single" w:sz="4" w:space="0" w:color="auto"/>
              <w:left w:val="nil"/>
              <w:bottom w:val="single" w:sz="4" w:space="0" w:color="auto"/>
              <w:right w:val="nil"/>
            </w:tcBorders>
            <w:noWrap/>
            <w:hideMark/>
          </w:tcPr>
          <w:p w14:paraId="3F4FFB00"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8 (5.8)</w:t>
            </w:r>
          </w:p>
        </w:tc>
        <w:tc>
          <w:tcPr>
            <w:tcW w:w="1276" w:type="dxa"/>
            <w:tcBorders>
              <w:top w:val="single" w:sz="4" w:space="0" w:color="auto"/>
              <w:left w:val="nil"/>
              <w:bottom w:val="single" w:sz="4" w:space="0" w:color="auto"/>
              <w:right w:val="single" w:sz="2" w:space="0" w:color="auto"/>
            </w:tcBorders>
            <w:noWrap/>
            <w:hideMark/>
          </w:tcPr>
          <w:p w14:paraId="7A5D1845"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27 (19.6)</w:t>
            </w:r>
          </w:p>
        </w:tc>
        <w:tc>
          <w:tcPr>
            <w:tcW w:w="1451" w:type="dxa"/>
            <w:tcBorders>
              <w:top w:val="single" w:sz="4" w:space="0" w:color="auto"/>
              <w:left w:val="single" w:sz="2" w:space="0" w:color="auto"/>
              <w:bottom w:val="single" w:sz="4" w:space="0" w:color="auto"/>
            </w:tcBorders>
            <w:noWrap/>
            <w:hideMark/>
          </w:tcPr>
          <w:p w14:paraId="60791722" w14:textId="77777777" w:rsidR="00645051" w:rsidRPr="00D7142A" w:rsidRDefault="0064505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138 (8.3)</w:t>
            </w:r>
          </w:p>
        </w:tc>
        <w:tc>
          <w:tcPr>
            <w:tcW w:w="1492" w:type="dxa"/>
            <w:tcBorders>
              <w:top w:val="single" w:sz="4" w:space="0" w:color="auto"/>
              <w:left w:val="single" w:sz="2" w:space="0" w:color="auto"/>
              <w:bottom w:val="single" w:sz="4" w:space="0" w:color="auto"/>
            </w:tcBorders>
          </w:tcPr>
          <w:p w14:paraId="2BBEC5BA" w14:textId="34F41EB1" w:rsidR="00645051" w:rsidRPr="00D7142A" w:rsidRDefault="00D026DD"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39</w:t>
            </w:r>
            <w:r w:rsidR="003F6648" w:rsidRPr="00D7142A">
              <w:rPr>
                <w:rFonts w:ascii="Times New Roman" w:eastAsia="Arial Unicode MS" w:hAnsi="Times New Roman" w:cs="Times New Roman"/>
              </w:rPr>
              <w:t xml:space="preserve"> (7.6)</w:t>
            </w:r>
          </w:p>
        </w:tc>
      </w:tr>
      <w:tr w:rsidR="00645051" w:rsidRPr="00D7142A" w14:paraId="7113FF29" w14:textId="16DC41D1" w:rsidTr="008C4A2A">
        <w:trPr>
          <w:trHeight w:val="20"/>
        </w:trPr>
        <w:tc>
          <w:tcPr>
            <w:tcW w:w="1418" w:type="dxa"/>
            <w:tcBorders>
              <w:top w:val="single" w:sz="4" w:space="0" w:color="auto"/>
              <w:bottom w:val="single" w:sz="4" w:space="0" w:color="auto"/>
              <w:right w:val="nil"/>
            </w:tcBorders>
            <w:noWrap/>
            <w:hideMark/>
          </w:tcPr>
          <w:p w14:paraId="6D83E991"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Germany</w:t>
            </w:r>
          </w:p>
        </w:tc>
        <w:tc>
          <w:tcPr>
            <w:tcW w:w="1276" w:type="dxa"/>
            <w:tcBorders>
              <w:top w:val="single" w:sz="4" w:space="0" w:color="auto"/>
              <w:left w:val="nil"/>
              <w:bottom w:val="single" w:sz="4" w:space="0" w:color="auto"/>
              <w:right w:val="nil"/>
            </w:tcBorders>
            <w:noWrap/>
            <w:hideMark/>
          </w:tcPr>
          <w:p w14:paraId="78A4553C"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22 (25.6)</w:t>
            </w:r>
          </w:p>
        </w:tc>
        <w:tc>
          <w:tcPr>
            <w:tcW w:w="1276" w:type="dxa"/>
            <w:tcBorders>
              <w:top w:val="single" w:sz="4" w:space="0" w:color="auto"/>
              <w:left w:val="nil"/>
              <w:bottom w:val="single" w:sz="4" w:space="0" w:color="auto"/>
              <w:right w:val="nil"/>
            </w:tcBorders>
            <w:noWrap/>
            <w:hideMark/>
          </w:tcPr>
          <w:p w14:paraId="5366DED9"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54 (62.8)</w:t>
            </w:r>
          </w:p>
        </w:tc>
        <w:tc>
          <w:tcPr>
            <w:tcW w:w="1275" w:type="dxa"/>
            <w:tcBorders>
              <w:top w:val="single" w:sz="4" w:space="0" w:color="auto"/>
              <w:left w:val="nil"/>
              <w:bottom w:val="single" w:sz="4" w:space="0" w:color="auto"/>
              <w:right w:val="nil"/>
            </w:tcBorders>
            <w:noWrap/>
            <w:hideMark/>
          </w:tcPr>
          <w:p w14:paraId="2C801502"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w:t>
            </w:r>
          </w:p>
        </w:tc>
        <w:tc>
          <w:tcPr>
            <w:tcW w:w="1276" w:type="dxa"/>
            <w:tcBorders>
              <w:top w:val="single" w:sz="4" w:space="0" w:color="auto"/>
              <w:left w:val="nil"/>
              <w:bottom w:val="single" w:sz="4" w:space="0" w:color="auto"/>
              <w:right w:val="single" w:sz="2" w:space="0" w:color="auto"/>
            </w:tcBorders>
            <w:noWrap/>
            <w:hideMark/>
          </w:tcPr>
          <w:p w14:paraId="48B2AFF7"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10 (11.6)</w:t>
            </w:r>
          </w:p>
        </w:tc>
        <w:tc>
          <w:tcPr>
            <w:tcW w:w="1451" w:type="dxa"/>
            <w:tcBorders>
              <w:top w:val="single" w:sz="4" w:space="0" w:color="auto"/>
              <w:left w:val="single" w:sz="2" w:space="0" w:color="auto"/>
              <w:bottom w:val="single" w:sz="4" w:space="0" w:color="auto"/>
            </w:tcBorders>
            <w:noWrap/>
            <w:hideMark/>
          </w:tcPr>
          <w:p w14:paraId="0A156017" w14:textId="77777777" w:rsidR="00645051" w:rsidRPr="00D7142A" w:rsidRDefault="0064505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86 (5.2)</w:t>
            </w:r>
          </w:p>
        </w:tc>
        <w:tc>
          <w:tcPr>
            <w:tcW w:w="1492" w:type="dxa"/>
            <w:tcBorders>
              <w:top w:val="single" w:sz="4" w:space="0" w:color="auto"/>
              <w:left w:val="single" w:sz="2" w:space="0" w:color="auto"/>
              <w:bottom w:val="single" w:sz="4" w:space="0" w:color="auto"/>
            </w:tcBorders>
          </w:tcPr>
          <w:p w14:paraId="1AD5B12A" w14:textId="04FE9057" w:rsidR="00645051" w:rsidRPr="00D7142A" w:rsidRDefault="00721D27"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47 (9.2)</w:t>
            </w:r>
          </w:p>
        </w:tc>
      </w:tr>
      <w:tr w:rsidR="00645051" w:rsidRPr="00D7142A" w14:paraId="05D487A2" w14:textId="7BD8978E" w:rsidTr="008C4A2A">
        <w:trPr>
          <w:trHeight w:val="20"/>
        </w:trPr>
        <w:tc>
          <w:tcPr>
            <w:tcW w:w="1418" w:type="dxa"/>
            <w:tcBorders>
              <w:top w:val="single" w:sz="4" w:space="0" w:color="auto"/>
              <w:bottom w:val="single" w:sz="4" w:space="0" w:color="auto"/>
              <w:right w:val="nil"/>
            </w:tcBorders>
            <w:noWrap/>
            <w:hideMark/>
          </w:tcPr>
          <w:p w14:paraId="2730B990"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Spain</w:t>
            </w:r>
          </w:p>
        </w:tc>
        <w:tc>
          <w:tcPr>
            <w:tcW w:w="1276" w:type="dxa"/>
            <w:tcBorders>
              <w:top w:val="single" w:sz="4" w:space="0" w:color="auto"/>
              <w:left w:val="nil"/>
              <w:bottom w:val="single" w:sz="4" w:space="0" w:color="auto"/>
              <w:right w:val="nil"/>
            </w:tcBorders>
            <w:noWrap/>
            <w:hideMark/>
          </w:tcPr>
          <w:p w14:paraId="134B91EC"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6 (11.8)</w:t>
            </w:r>
          </w:p>
        </w:tc>
        <w:tc>
          <w:tcPr>
            <w:tcW w:w="1276" w:type="dxa"/>
            <w:tcBorders>
              <w:top w:val="single" w:sz="4" w:space="0" w:color="auto"/>
              <w:left w:val="nil"/>
              <w:bottom w:val="single" w:sz="4" w:space="0" w:color="auto"/>
              <w:right w:val="nil"/>
            </w:tcBorders>
            <w:noWrap/>
            <w:hideMark/>
          </w:tcPr>
          <w:p w14:paraId="5529BE95"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36 (70.6)</w:t>
            </w:r>
          </w:p>
        </w:tc>
        <w:tc>
          <w:tcPr>
            <w:tcW w:w="1275" w:type="dxa"/>
            <w:tcBorders>
              <w:top w:val="single" w:sz="4" w:space="0" w:color="auto"/>
              <w:left w:val="nil"/>
              <w:bottom w:val="single" w:sz="4" w:space="0" w:color="auto"/>
              <w:right w:val="nil"/>
            </w:tcBorders>
            <w:noWrap/>
            <w:hideMark/>
          </w:tcPr>
          <w:p w14:paraId="3D814EA5"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w:t>
            </w:r>
          </w:p>
        </w:tc>
        <w:tc>
          <w:tcPr>
            <w:tcW w:w="1276" w:type="dxa"/>
            <w:tcBorders>
              <w:top w:val="single" w:sz="4" w:space="0" w:color="auto"/>
              <w:left w:val="nil"/>
              <w:bottom w:val="single" w:sz="4" w:space="0" w:color="auto"/>
              <w:right w:val="single" w:sz="2" w:space="0" w:color="auto"/>
            </w:tcBorders>
            <w:noWrap/>
            <w:hideMark/>
          </w:tcPr>
          <w:p w14:paraId="24B2D4BA"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9 (17.6)</w:t>
            </w:r>
          </w:p>
        </w:tc>
        <w:tc>
          <w:tcPr>
            <w:tcW w:w="1451" w:type="dxa"/>
            <w:tcBorders>
              <w:top w:val="single" w:sz="4" w:space="0" w:color="auto"/>
              <w:left w:val="single" w:sz="2" w:space="0" w:color="auto"/>
              <w:bottom w:val="single" w:sz="4" w:space="0" w:color="auto"/>
            </w:tcBorders>
            <w:noWrap/>
            <w:hideMark/>
          </w:tcPr>
          <w:p w14:paraId="7B97B3AA" w14:textId="77777777" w:rsidR="00645051" w:rsidRPr="00D7142A" w:rsidRDefault="0064505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51 (3.1)</w:t>
            </w:r>
          </w:p>
        </w:tc>
        <w:tc>
          <w:tcPr>
            <w:tcW w:w="1492" w:type="dxa"/>
            <w:tcBorders>
              <w:top w:val="single" w:sz="4" w:space="0" w:color="auto"/>
              <w:left w:val="single" w:sz="2" w:space="0" w:color="auto"/>
              <w:bottom w:val="single" w:sz="4" w:space="0" w:color="auto"/>
            </w:tcBorders>
          </w:tcPr>
          <w:p w14:paraId="3F3B117B" w14:textId="61DA0BAB" w:rsidR="00645051" w:rsidRPr="00D7142A" w:rsidRDefault="00D80E07"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23 (4.5)</w:t>
            </w:r>
          </w:p>
        </w:tc>
      </w:tr>
      <w:tr w:rsidR="00645051" w:rsidRPr="00D7142A" w14:paraId="619DC9BD" w14:textId="70245AB4" w:rsidTr="008C4A2A">
        <w:trPr>
          <w:trHeight w:val="20"/>
        </w:trPr>
        <w:tc>
          <w:tcPr>
            <w:tcW w:w="1418" w:type="dxa"/>
            <w:tcBorders>
              <w:top w:val="single" w:sz="4" w:space="0" w:color="auto"/>
              <w:bottom w:val="single" w:sz="4" w:space="0" w:color="auto"/>
              <w:right w:val="nil"/>
            </w:tcBorders>
            <w:noWrap/>
            <w:hideMark/>
          </w:tcPr>
          <w:p w14:paraId="45640387"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Italy</w:t>
            </w:r>
          </w:p>
        </w:tc>
        <w:tc>
          <w:tcPr>
            <w:tcW w:w="1276" w:type="dxa"/>
            <w:tcBorders>
              <w:top w:val="single" w:sz="4" w:space="0" w:color="auto"/>
              <w:left w:val="nil"/>
              <w:bottom w:val="single" w:sz="4" w:space="0" w:color="auto"/>
              <w:right w:val="nil"/>
            </w:tcBorders>
            <w:noWrap/>
            <w:hideMark/>
          </w:tcPr>
          <w:p w14:paraId="28E83C4B"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10 (29.4)</w:t>
            </w:r>
          </w:p>
        </w:tc>
        <w:tc>
          <w:tcPr>
            <w:tcW w:w="1276" w:type="dxa"/>
            <w:tcBorders>
              <w:top w:val="single" w:sz="4" w:space="0" w:color="auto"/>
              <w:left w:val="nil"/>
              <w:bottom w:val="single" w:sz="4" w:space="0" w:color="auto"/>
              <w:right w:val="nil"/>
            </w:tcBorders>
            <w:noWrap/>
            <w:hideMark/>
          </w:tcPr>
          <w:p w14:paraId="705DD273"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21 (61.8)</w:t>
            </w:r>
          </w:p>
        </w:tc>
        <w:tc>
          <w:tcPr>
            <w:tcW w:w="1275" w:type="dxa"/>
            <w:tcBorders>
              <w:top w:val="single" w:sz="4" w:space="0" w:color="auto"/>
              <w:left w:val="nil"/>
              <w:bottom w:val="single" w:sz="4" w:space="0" w:color="auto"/>
              <w:right w:val="nil"/>
            </w:tcBorders>
            <w:noWrap/>
            <w:hideMark/>
          </w:tcPr>
          <w:p w14:paraId="5A5F7160"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2 (5.9)</w:t>
            </w:r>
          </w:p>
        </w:tc>
        <w:tc>
          <w:tcPr>
            <w:tcW w:w="1276" w:type="dxa"/>
            <w:tcBorders>
              <w:top w:val="single" w:sz="4" w:space="0" w:color="auto"/>
              <w:left w:val="nil"/>
              <w:bottom w:val="single" w:sz="4" w:space="0" w:color="auto"/>
              <w:right w:val="single" w:sz="2" w:space="0" w:color="auto"/>
            </w:tcBorders>
            <w:noWrap/>
            <w:hideMark/>
          </w:tcPr>
          <w:p w14:paraId="1A8D436C"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1 (2.9)</w:t>
            </w:r>
          </w:p>
        </w:tc>
        <w:tc>
          <w:tcPr>
            <w:tcW w:w="1451" w:type="dxa"/>
            <w:tcBorders>
              <w:top w:val="single" w:sz="4" w:space="0" w:color="auto"/>
              <w:left w:val="single" w:sz="2" w:space="0" w:color="auto"/>
              <w:bottom w:val="single" w:sz="4" w:space="0" w:color="auto"/>
            </w:tcBorders>
            <w:noWrap/>
            <w:hideMark/>
          </w:tcPr>
          <w:p w14:paraId="38604E04" w14:textId="77777777" w:rsidR="00645051" w:rsidRPr="00D7142A" w:rsidRDefault="0064505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34 (2.1)</w:t>
            </w:r>
          </w:p>
        </w:tc>
        <w:tc>
          <w:tcPr>
            <w:tcW w:w="1492" w:type="dxa"/>
            <w:tcBorders>
              <w:top w:val="single" w:sz="4" w:space="0" w:color="auto"/>
              <w:left w:val="single" w:sz="2" w:space="0" w:color="auto"/>
              <w:bottom w:val="single" w:sz="4" w:space="0" w:color="auto"/>
            </w:tcBorders>
          </w:tcPr>
          <w:p w14:paraId="3DB8A560" w14:textId="41B1ECE6" w:rsidR="00645051" w:rsidRPr="00D7142A" w:rsidRDefault="00D449D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13 (2.5</w:t>
            </w:r>
            <w:r w:rsidR="006E02A4" w:rsidRPr="00D7142A">
              <w:rPr>
                <w:rFonts w:ascii="Times New Roman" w:eastAsia="Arial Unicode MS" w:hAnsi="Times New Roman" w:cs="Times New Roman"/>
              </w:rPr>
              <w:t>)</w:t>
            </w:r>
          </w:p>
        </w:tc>
      </w:tr>
      <w:tr w:rsidR="00645051" w:rsidRPr="00D7142A" w14:paraId="7E7EBA76" w14:textId="4D6154E3" w:rsidTr="008C4A2A">
        <w:trPr>
          <w:trHeight w:val="20"/>
        </w:trPr>
        <w:tc>
          <w:tcPr>
            <w:tcW w:w="1418" w:type="dxa"/>
            <w:tcBorders>
              <w:top w:val="single" w:sz="4" w:space="0" w:color="auto"/>
              <w:bottom w:val="single" w:sz="4" w:space="0" w:color="auto"/>
              <w:right w:val="nil"/>
            </w:tcBorders>
            <w:noWrap/>
            <w:hideMark/>
          </w:tcPr>
          <w:p w14:paraId="7D515323"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France</w:t>
            </w:r>
          </w:p>
        </w:tc>
        <w:tc>
          <w:tcPr>
            <w:tcW w:w="1276" w:type="dxa"/>
            <w:tcBorders>
              <w:top w:val="single" w:sz="4" w:space="0" w:color="auto"/>
              <w:left w:val="nil"/>
              <w:bottom w:val="single" w:sz="4" w:space="0" w:color="auto"/>
              <w:right w:val="nil"/>
            </w:tcBorders>
            <w:noWrap/>
            <w:hideMark/>
          </w:tcPr>
          <w:p w14:paraId="33EF731B"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8 (38.1)</w:t>
            </w:r>
          </w:p>
        </w:tc>
        <w:tc>
          <w:tcPr>
            <w:tcW w:w="1276" w:type="dxa"/>
            <w:tcBorders>
              <w:top w:val="single" w:sz="4" w:space="0" w:color="auto"/>
              <w:left w:val="nil"/>
              <w:bottom w:val="single" w:sz="4" w:space="0" w:color="auto"/>
              <w:right w:val="nil"/>
            </w:tcBorders>
            <w:noWrap/>
            <w:hideMark/>
          </w:tcPr>
          <w:p w14:paraId="041FA35C"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10 (47.6)</w:t>
            </w:r>
          </w:p>
        </w:tc>
        <w:tc>
          <w:tcPr>
            <w:tcW w:w="1275" w:type="dxa"/>
            <w:tcBorders>
              <w:top w:val="single" w:sz="4" w:space="0" w:color="auto"/>
              <w:left w:val="nil"/>
              <w:bottom w:val="single" w:sz="4" w:space="0" w:color="auto"/>
              <w:right w:val="nil"/>
            </w:tcBorders>
            <w:noWrap/>
            <w:hideMark/>
          </w:tcPr>
          <w:p w14:paraId="4CCABE03"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w:t>
            </w:r>
          </w:p>
        </w:tc>
        <w:tc>
          <w:tcPr>
            <w:tcW w:w="1276" w:type="dxa"/>
            <w:tcBorders>
              <w:top w:val="single" w:sz="4" w:space="0" w:color="auto"/>
              <w:left w:val="nil"/>
              <w:bottom w:val="single" w:sz="4" w:space="0" w:color="auto"/>
              <w:right w:val="single" w:sz="2" w:space="0" w:color="auto"/>
            </w:tcBorders>
            <w:noWrap/>
            <w:hideMark/>
          </w:tcPr>
          <w:p w14:paraId="18E85EC5"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3 (14.3)</w:t>
            </w:r>
          </w:p>
        </w:tc>
        <w:tc>
          <w:tcPr>
            <w:tcW w:w="1451" w:type="dxa"/>
            <w:tcBorders>
              <w:top w:val="single" w:sz="4" w:space="0" w:color="auto"/>
              <w:left w:val="single" w:sz="2" w:space="0" w:color="auto"/>
              <w:bottom w:val="single" w:sz="4" w:space="0" w:color="auto"/>
            </w:tcBorders>
            <w:noWrap/>
            <w:hideMark/>
          </w:tcPr>
          <w:p w14:paraId="258871B4" w14:textId="77777777" w:rsidR="00645051" w:rsidRPr="00D7142A" w:rsidRDefault="0064505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21 (1.3)</w:t>
            </w:r>
          </w:p>
        </w:tc>
        <w:tc>
          <w:tcPr>
            <w:tcW w:w="1492" w:type="dxa"/>
            <w:tcBorders>
              <w:top w:val="single" w:sz="4" w:space="0" w:color="auto"/>
              <w:left w:val="single" w:sz="2" w:space="0" w:color="auto"/>
              <w:bottom w:val="single" w:sz="4" w:space="0" w:color="auto"/>
            </w:tcBorders>
          </w:tcPr>
          <w:p w14:paraId="2A0279E8" w14:textId="0340B6C8" w:rsidR="00645051" w:rsidRPr="00D7142A" w:rsidRDefault="001366B5"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13 (2.5)</w:t>
            </w:r>
          </w:p>
        </w:tc>
      </w:tr>
      <w:tr w:rsidR="00645051" w:rsidRPr="00D7142A" w14:paraId="3BFADBD1" w14:textId="4236C6FF" w:rsidTr="008C4A2A">
        <w:trPr>
          <w:trHeight w:val="20"/>
        </w:trPr>
        <w:tc>
          <w:tcPr>
            <w:tcW w:w="1418" w:type="dxa"/>
            <w:tcBorders>
              <w:top w:val="single" w:sz="4" w:space="0" w:color="auto"/>
              <w:bottom w:val="single" w:sz="4" w:space="0" w:color="auto"/>
              <w:right w:val="nil"/>
            </w:tcBorders>
            <w:noWrap/>
            <w:hideMark/>
          </w:tcPr>
          <w:p w14:paraId="5EC44A49"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Netherlands</w:t>
            </w:r>
          </w:p>
        </w:tc>
        <w:tc>
          <w:tcPr>
            <w:tcW w:w="1276" w:type="dxa"/>
            <w:tcBorders>
              <w:top w:val="single" w:sz="4" w:space="0" w:color="auto"/>
              <w:left w:val="nil"/>
              <w:bottom w:val="single" w:sz="4" w:space="0" w:color="auto"/>
              <w:right w:val="nil"/>
            </w:tcBorders>
            <w:noWrap/>
            <w:hideMark/>
          </w:tcPr>
          <w:p w14:paraId="2B62B175"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7 (35)</w:t>
            </w:r>
          </w:p>
        </w:tc>
        <w:tc>
          <w:tcPr>
            <w:tcW w:w="1276" w:type="dxa"/>
            <w:tcBorders>
              <w:top w:val="single" w:sz="4" w:space="0" w:color="auto"/>
              <w:left w:val="nil"/>
              <w:bottom w:val="single" w:sz="4" w:space="0" w:color="auto"/>
              <w:right w:val="nil"/>
            </w:tcBorders>
            <w:noWrap/>
            <w:hideMark/>
          </w:tcPr>
          <w:p w14:paraId="043E8E4E"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11 (55)</w:t>
            </w:r>
          </w:p>
        </w:tc>
        <w:tc>
          <w:tcPr>
            <w:tcW w:w="1275" w:type="dxa"/>
            <w:tcBorders>
              <w:top w:val="single" w:sz="4" w:space="0" w:color="auto"/>
              <w:left w:val="nil"/>
              <w:bottom w:val="single" w:sz="4" w:space="0" w:color="auto"/>
              <w:right w:val="nil"/>
            </w:tcBorders>
            <w:noWrap/>
            <w:hideMark/>
          </w:tcPr>
          <w:p w14:paraId="6EE5EDAC"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w:t>
            </w:r>
          </w:p>
        </w:tc>
        <w:tc>
          <w:tcPr>
            <w:tcW w:w="1276" w:type="dxa"/>
            <w:tcBorders>
              <w:top w:val="single" w:sz="4" w:space="0" w:color="auto"/>
              <w:left w:val="nil"/>
              <w:bottom w:val="single" w:sz="4" w:space="0" w:color="auto"/>
              <w:right w:val="single" w:sz="2" w:space="0" w:color="auto"/>
            </w:tcBorders>
            <w:noWrap/>
            <w:hideMark/>
          </w:tcPr>
          <w:p w14:paraId="05DBC730"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2 (10)</w:t>
            </w:r>
          </w:p>
        </w:tc>
        <w:tc>
          <w:tcPr>
            <w:tcW w:w="1451" w:type="dxa"/>
            <w:tcBorders>
              <w:top w:val="single" w:sz="4" w:space="0" w:color="auto"/>
              <w:left w:val="single" w:sz="2" w:space="0" w:color="auto"/>
              <w:bottom w:val="single" w:sz="4" w:space="0" w:color="auto"/>
            </w:tcBorders>
            <w:noWrap/>
            <w:hideMark/>
          </w:tcPr>
          <w:p w14:paraId="5B753EE6" w14:textId="77777777" w:rsidR="00645051" w:rsidRPr="00D7142A" w:rsidRDefault="0064505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20 (1.2)</w:t>
            </w:r>
          </w:p>
        </w:tc>
        <w:tc>
          <w:tcPr>
            <w:tcW w:w="1492" w:type="dxa"/>
            <w:tcBorders>
              <w:top w:val="single" w:sz="4" w:space="0" w:color="auto"/>
              <w:left w:val="single" w:sz="2" w:space="0" w:color="auto"/>
              <w:bottom w:val="single" w:sz="4" w:space="0" w:color="auto"/>
            </w:tcBorders>
          </w:tcPr>
          <w:p w14:paraId="4A7CF39C" w14:textId="68ECBC62" w:rsidR="00645051" w:rsidRPr="00D7142A" w:rsidRDefault="00D449D1" w:rsidP="008727A1">
            <w:pPr>
              <w:spacing w:line="240" w:lineRule="auto"/>
              <w:rPr>
                <w:rFonts w:ascii="Times New Roman" w:eastAsia="Arial Unicode MS" w:hAnsi="Times New Roman" w:cs="Times New Roman"/>
              </w:rPr>
            </w:pPr>
            <w:r w:rsidRPr="00D7142A">
              <w:rPr>
                <w:rFonts w:ascii="Times New Roman" w:eastAsia="Arial Unicode MS" w:hAnsi="Times New Roman" w:cs="Times New Roman"/>
              </w:rPr>
              <w:t>11 (</w:t>
            </w:r>
            <w:r w:rsidR="009D7B64" w:rsidRPr="00D7142A">
              <w:rPr>
                <w:rFonts w:ascii="Times New Roman" w:eastAsia="Arial Unicode MS" w:hAnsi="Times New Roman" w:cs="Times New Roman"/>
              </w:rPr>
              <w:t>2.2)</w:t>
            </w:r>
          </w:p>
        </w:tc>
      </w:tr>
      <w:tr w:rsidR="00645051" w:rsidRPr="00D7142A" w14:paraId="5BD21A44" w14:textId="09C21696" w:rsidTr="008C4A2A">
        <w:trPr>
          <w:trHeight w:val="20"/>
        </w:trPr>
        <w:tc>
          <w:tcPr>
            <w:tcW w:w="1418" w:type="dxa"/>
            <w:tcBorders>
              <w:top w:val="single" w:sz="4" w:space="0" w:color="auto"/>
              <w:bottom w:val="single" w:sz="4" w:space="0" w:color="auto"/>
              <w:right w:val="nil"/>
            </w:tcBorders>
            <w:noWrap/>
          </w:tcPr>
          <w:p w14:paraId="21CFA7BC"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hAnsi="Times New Roman" w:cs="Times New Roman"/>
              </w:rPr>
              <w:t>Finland</w:t>
            </w:r>
          </w:p>
        </w:tc>
        <w:tc>
          <w:tcPr>
            <w:tcW w:w="1276" w:type="dxa"/>
            <w:tcBorders>
              <w:top w:val="single" w:sz="4" w:space="0" w:color="auto"/>
              <w:left w:val="nil"/>
              <w:bottom w:val="single" w:sz="4" w:space="0" w:color="auto"/>
              <w:right w:val="nil"/>
            </w:tcBorders>
            <w:noWrap/>
          </w:tcPr>
          <w:p w14:paraId="3662A3BA"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hAnsi="Times New Roman" w:cs="Times New Roman"/>
              </w:rPr>
              <w:t>7 (53.8)</w:t>
            </w:r>
          </w:p>
        </w:tc>
        <w:tc>
          <w:tcPr>
            <w:tcW w:w="1276" w:type="dxa"/>
            <w:tcBorders>
              <w:top w:val="single" w:sz="4" w:space="0" w:color="auto"/>
              <w:left w:val="nil"/>
              <w:bottom w:val="single" w:sz="4" w:space="0" w:color="auto"/>
              <w:right w:val="nil"/>
            </w:tcBorders>
            <w:noWrap/>
          </w:tcPr>
          <w:p w14:paraId="012FD48A"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hAnsi="Times New Roman" w:cs="Times New Roman"/>
              </w:rPr>
              <w:t>3 (23.1)</w:t>
            </w:r>
          </w:p>
        </w:tc>
        <w:tc>
          <w:tcPr>
            <w:tcW w:w="1275" w:type="dxa"/>
            <w:tcBorders>
              <w:top w:val="single" w:sz="4" w:space="0" w:color="auto"/>
              <w:left w:val="nil"/>
              <w:bottom w:val="single" w:sz="4" w:space="0" w:color="auto"/>
              <w:right w:val="nil"/>
            </w:tcBorders>
            <w:noWrap/>
          </w:tcPr>
          <w:p w14:paraId="22F96DED"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w:t>
            </w:r>
          </w:p>
        </w:tc>
        <w:tc>
          <w:tcPr>
            <w:tcW w:w="1276" w:type="dxa"/>
            <w:tcBorders>
              <w:top w:val="single" w:sz="4" w:space="0" w:color="auto"/>
              <w:left w:val="nil"/>
              <w:bottom w:val="single" w:sz="4" w:space="0" w:color="auto"/>
              <w:right w:val="single" w:sz="2" w:space="0" w:color="auto"/>
            </w:tcBorders>
            <w:noWrap/>
          </w:tcPr>
          <w:p w14:paraId="55FAF4FD"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hAnsi="Times New Roman" w:cs="Times New Roman"/>
              </w:rPr>
              <w:t>3 (23.1)</w:t>
            </w:r>
          </w:p>
        </w:tc>
        <w:tc>
          <w:tcPr>
            <w:tcW w:w="1451" w:type="dxa"/>
            <w:tcBorders>
              <w:top w:val="single" w:sz="4" w:space="0" w:color="auto"/>
              <w:left w:val="single" w:sz="2" w:space="0" w:color="auto"/>
              <w:bottom w:val="single" w:sz="4" w:space="0" w:color="auto"/>
            </w:tcBorders>
            <w:noWrap/>
          </w:tcPr>
          <w:p w14:paraId="179575BA" w14:textId="77777777" w:rsidR="00645051" w:rsidRPr="00D7142A" w:rsidRDefault="00645051" w:rsidP="008727A1">
            <w:pPr>
              <w:spacing w:line="240" w:lineRule="auto"/>
              <w:rPr>
                <w:rFonts w:ascii="Times New Roman" w:eastAsia="Arial Unicode MS" w:hAnsi="Times New Roman" w:cs="Times New Roman"/>
                <w:b/>
                <w:bCs/>
                <w:color w:val="FF0000"/>
              </w:rPr>
            </w:pPr>
            <w:r w:rsidRPr="00D7142A">
              <w:rPr>
                <w:rFonts w:ascii="Times New Roman" w:hAnsi="Times New Roman" w:cs="Times New Roman"/>
              </w:rPr>
              <w:t>13 (0.8)</w:t>
            </w:r>
          </w:p>
        </w:tc>
        <w:tc>
          <w:tcPr>
            <w:tcW w:w="1492" w:type="dxa"/>
            <w:tcBorders>
              <w:top w:val="single" w:sz="4" w:space="0" w:color="auto"/>
              <w:left w:val="single" w:sz="2" w:space="0" w:color="auto"/>
              <w:bottom w:val="single" w:sz="4" w:space="0" w:color="auto"/>
            </w:tcBorders>
          </w:tcPr>
          <w:p w14:paraId="75E929CB" w14:textId="5BC90C39" w:rsidR="00645051" w:rsidRPr="00D7142A" w:rsidRDefault="009D7B64" w:rsidP="008727A1">
            <w:pPr>
              <w:spacing w:line="240" w:lineRule="auto"/>
              <w:rPr>
                <w:rFonts w:ascii="Times New Roman" w:hAnsi="Times New Roman" w:cs="Times New Roman"/>
              </w:rPr>
            </w:pPr>
            <w:r w:rsidRPr="00D7142A">
              <w:rPr>
                <w:rFonts w:ascii="Times New Roman" w:hAnsi="Times New Roman" w:cs="Times New Roman"/>
              </w:rPr>
              <w:t>4 (0.8)</w:t>
            </w:r>
          </w:p>
        </w:tc>
      </w:tr>
      <w:tr w:rsidR="00645051" w:rsidRPr="00D7142A" w14:paraId="01BCE737" w14:textId="4BDAA16F" w:rsidTr="008C4A2A">
        <w:trPr>
          <w:trHeight w:val="20"/>
        </w:trPr>
        <w:tc>
          <w:tcPr>
            <w:tcW w:w="1418" w:type="dxa"/>
            <w:tcBorders>
              <w:top w:val="single" w:sz="4" w:space="0" w:color="auto"/>
              <w:bottom w:val="single" w:sz="4" w:space="0" w:color="auto"/>
              <w:right w:val="nil"/>
            </w:tcBorders>
            <w:noWrap/>
          </w:tcPr>
          <w:p w14:paraId="2646774D"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hAnsi="Times New Roman" w:cs="Times New Roman"/>
              </w:rPr>
              <w:t>Greece</w:t>
            </w:r>
          </w:p>
        </w:tc>
        <w:tc>
          <w:tcPr>
            <w:tcW w:w="1276" w:type="dxa"/>
            <w:tcBorders>
              <w:top w:val="single" w:sz="4" w:space="0" w:color="auto"/>
              <w:left w:val="nil"/>
              <w:bottom w:val="single" w:sz="4" w:space="0" w:color="auto"/>
              <w:right w:val="nil"/>
            </w:tcBorders>
            <w:noWrap/>
          </w:tcPr>
          <w:p w14:paraId="785B7B38"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hAnsi="Times New Roman" w:cs="Times New Roman"/>
              </w:rPr>
              <w:t>3 (30)</w:t>
            </w:r>
          </w:p>
        </w:tc>
        <w:tc>
          <w:tcPr>
            <w:tcW w:w="1276" w:type="dxa"/>
            <w:tcBorders>
              <w:top w:val="single" w:sz="4" w:space="0" w:color="auto"/>
              <w:left w:val="nil"/>
              <w:bottom w:val="single" w:sz="4" w:space="0" w:color="auto"/>
              <w:right w:val="nil"/>
            </w:tcBorders>
            <w:noWrap/>
          </w:tcPr>
          <w:p w14:paraId="689300A9"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hAnsi="Times New Roman" w:cs="Times New Roman"/>
              </w:rPr>
              <w:t>6 (60)</w:t>
            </w:r>
          </w:p>
        </w:tc>
        <w:tc>
          <w:tcPr>
            <w:tcW w:w="1275" w:type="dxa"/>
            <w:tcBorders>
              <w:top w:val="single" w:sz="4" w:space="0" w:color="auto"/>
              <w:left w:val="nil"/>
              <w:bottom w:val="single" w:sz="4" w:space="0" w:color="auto"/>
              <w:right w:val="nil"/>
            </w:tcBorders>
            <w:noWrap/>
          </w:tcPr>
          <w:p w14:paraId="6A8D5432"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w:t>
            </w:r>
          </w:p>
        </w:tc>
        <w:tc>
          <w:tcPr>
            <w:tcW w:w="1276" w:type="dxa"/>
            <w:tcBorders>
              <w:top w:val="single" w:sz="4" w:space="0" w:color="auto"/>
              <w:left w:val="nil"/>
              <w:bottom w:val="single" w:sz="4" w:space="0" w:color="auto"/>
              <w:right w:val="single" w:sz="2" w:space="0" w:color="auto"/>
            </w:tcBorders>
            <w:noWrap/>
          </w:tcPr>
          <w:p w14:paraId="4AE3E538" w14:textId="77777777" w:rsidR="00645051" w:rsidRPr="00D7142A" w:rsidRDefault="00645051" w:rsidP="008727A1">
            <w:pPr>
              <w:spacing w:line="240" w:lineRule="auto"/>
              <w:rPr>
                <w:rFonts w:ascii="Times New Roman" w:eastAsia="Arial Unicode MS" w:hAnsi="Times New Roman" w:cs="Times New Roman"/>
                <w:bCs/>
              </w:rPr>
            </w:pPr>
            <w:r w:rsidRPr="00D7142A">
              <w:rPr>
                <w:rFonts w:ascii="Times New Roman" w:hAnsi="Times New Roman" w:cs="Times New Roman"/>
              </w:rPr>
              <w:t>1 (10)</w:t>
            </w:r>
          </w:p>
        </w:tc>
        <w:tc>
          <w:tcPr>
            <w:tcW w:w="1451" w:type="dxa"/>
            <w:tcBorders>
              <w:top w:val="single" w:sz="4" w:space="0" w:color="auto"/>
              <w:left w:val="single" w:sz="2" w:space="0" w:color="auto"/>
              <w:bottom w:val="single" w:sz="4" w:space="0" w:color="auto"/>
            </w:tcBorders>
            <w:noWrap/>
          </w:tcPr>
          <w:p w14:paraId="23DD7421" w14:textId="77777777" w:rsidR="00645051" w:rsidRPr="00D7142A" w:rsidRDefault="00645051" w:rsidP="008727A1">
            <w:pPr>
              <w:spacing w:line="240" w:lineRule="auto"/>
              <w:rPr>
                <w:rFonts w:ascii="Times New Roman" w:eastAsia="Arial Unicode MS" w:hAnsi="Times New Roman" w:cs="Times New Roman"/>
                <w:b/>
                <w:bCs/>
                <w:color w:val="FF0000"/>
              </w:rPr>
            </w:pPr>
            <w:r w:rsidRPr="00D7142A">
              <w:rPr>
                <w:rFonts w:ascii="Times New Roman" w:hAnsi="Times New Roman" w:cs="Times New Roman"/>
              </w:rPr>
              <w:t>10 (0.6)</w:t>
            </w:r>
          </w:p>
        </w:tc>
        <w:tc>
          <w:tcPr>
            <w:tcW w:w="1492" w:type="dxa"/>
            <w:tcBorders>
              <w:top w:val="single" w:sz="4" w:space="0" w:color="auto"/>
              <w:left w:val="single" w:sz="2" w:space="0" w:color="auto"/>
              <w:bottom w:val="single" w:sz="4" w:space="0" w:color="auto"/>
            </w:tcBorders>
          </w:tcPr>
          <w:p w14:paraId="1D70005C" w14:textId="4635ECEB" w:rsidR="00645051" w:rsidRPr="00D7142A" w:rsidRDefault="009D7B64" w:rsidP="008727A1">
            <w:pPr>
              <w:spacing w:line="240" w:lineRule="auto"/>
              <w:rPr>
                <w:rFonts w:ascii="Times New Roman" w:hAnsi="Times New Roman" w:cs="Times New Roman"/>
              </w:rPr>
            </w:pPr>
            <w:r w:rsidRPr="00D7142A">
              <w:rPr>
                <w:rFonts w:ascii="Times New Roman" w:hAnsi="Times New Roman" w:cs="Times New Roman"/>
              </w:rPr>
              <w:t>4 (0.8)</w:t>
            </w:r>
          </w:p>
        </w:tc>
      </w:tr>
      <w:tr w:rsidR="00645051" w:rsidRPr="00D7142A" w14:paraId="6549DDEB" w14:textId="7641FCF5" w:rsidTr="008C4A2A">
        <w:trPr>
          <w:trHeight w:val="20"/>
        </w:trPr>
        <w:tc>
          <w:tcPr>
            <w:tcW w:w="1418" w:type="dxa"/>
            <w:tcBorders>
              <w:top w:val="single" w:sz="4" w:space="0" w:color="auto"/>
              <w:bottom w:val="single" w:sz="4" w:space="0" w:color="auto"/>
              <w:right w:val="nil"/>
            </w:tcBorders>
            <w:noWrap/>
            <w:hideMark/>
          </w:tcPr>
          <w:p w14:paraId="46FED88F" w14:textId="611C642D" w:rsidR="00645051" w:rsidRPr="00D7142A" w:rsidRDefault="00C95A98" w:rsidP="008727A1">
            <w:pPr>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Survey t</w:t>
            </w:r>
            <w:r w:rsidR="00645051" w:rsidRPr="00D7142A">
              <w:rPr>
                <w:rFonts w:ascii="Times New Roman" w:eastAsia="Arial Unicode MS" w:hAnsi="Times New Roman" w:cs="Times New Roman"/>
                <w:b/>
                <w:bCs/>
              </w:rPr>
              <w:t>otal</w:t>
            </w:r>
            <w:r w:rsidR="003D4D01" w:rsidRPr="00D7142A">
              <w:rPr>
                <w:rFonts w:ascii="Times New Roman" w:eastAsia="Arial Unicode MS" w:hAnsi="Times New Roman" w:cs="Times New Roman"/>
                <w:b/>
                <w:bCs/>
              </w:rPr>
              <w:t xml:space="preserve"> </w:t>
            </w:r>
            <w:r w:rsidR="0080664F" w:rsidRPr="00D7142A">
              <w:rPr>
                <w:rFonts w:ascii="Times New Roman" w:eastAsia="Arial Unicode MS" w:hAnsi="Times New Roman" w:cs="Times New Roman"/>
                <w:b/>
                <w:bCs/>
              </w:rPr>
              <w:t>N (row %)</w:t>
            </w:r>
            <w:r w:rsidR="00645051" w:rsidRPr="00D7142A">
              <w:rPr>
                <w:rFonts w:ascii="Times New Roman" w:eastAsia="Arial Unicode MS" w:hAnsi="Times New Roman" w:cs="Times New Roman"/>
                <w:b/>
                <w:bCs/>
              </w:rPr>
              <w:t xml:space="preserve"> </w:t>
            </w:r>
          </w:p>
        </w:tc>
        <w:tc>
          <w:tcPr>
            <w:tcW w:w="1276" w:type="dxa"/>
            <w:tcBorders>
              <w:top w:val="single" w:sz="4" w:space="0" w:color="auto"/>
              <w:left w:val="nil"/>
              <w:bottom w:val="single" w:sz="4" w:space="0" w:color="auto"/>
              <w:right w:val="nil"/>
            </w:tcBorders>
            <w:noWrap/>
            <w:hideMark/>
          </w:tcPr>
          <w:p w14:paraId="39C6CCE7" w14:textId="77777777" w:rsidR="00645051" w:rsidRPr="00D7142A" w:rsidRDefault="00645051" w:rsidP="008727A1">
            <w:pPr>
              <w:spacing w:line="240" w:lineRule="auto"/>
              <w:rPr>
                <w:rFonts w:ascii="Times New Roman" w:eastAsia="Arial Unicode MS" w:hAnsi="Times New Roman" w:cs="Times New Roman"/>
                <w:b/>
                <w:bCs/>
              </w:rPr>
            </w:pPr>
            <w:r w:rsidRPr="00D7142A">
              <w:rPr>
                <w:rFonts w:ascii="Times New Roman" w:hAnsi="Times New Roman" w:cs="Times New Roman"/>
                <w:b/>
                <w:bCs/>
              </w:rPr>
              <w:t>590 (35.6)</w:t>
            </w:r>
          </w:p>
        </w:tc>
        <w:tc>
          <w:tcPr>
            <w:tcW w:w="1276" w:type="dxa"/>
            <w:tcBorders>
              <w:top w:val="single" w:sz="4" w:space="0" w:color="auto"/>
              <w:left w:val="nil"/>
              <w:bottom w:val="single" w:sz="4" w:space="0" w:color="auto"/>
              <w:right w:val="nil"/>
            </w:tcBorders>
            <w:noWrap/>
            <w:hideMark/>
          </w:tcPr>
          <w:p w14:paraId="1AAF9A6E" w14:textId="77777777" w:rsidR="00645051" w:rsidRPr="00D7142A" w:rsidRDefault="00645051" w:rsidP="008727A1">
            <w:pPr>
              <w:spacing w:line="240" w:lineRule="auto"/>
              <w:rPr>
                <w:rFonts w:ascii="Times New Roman" w:eastAsia="Arial Unicode MS" w:hAnsi="Times New Roman" w:cs="Times New Roman"/>
                <w:b/>
                <w:bCs/>
              </w:rPr>
            </w:pPr>
            <w:r w:rsidRPr="00D7142A">
              <w:rPr>
                <w:rFonts w:ascii="Times New Roman" w:hAnsi="Times New Roman" w:cs="Times New Roman"/>
                <w:b/>
                <w:bCs/>
              </w:rPr>
              <w:t>757 (45.7)</w:t>
            </w:r>
          </w:p>
        </w:tc>
        <w:tc>
          <w:tcPr>
            <w:tcW w:w="1275" w:type="dxa"/>
            <w:tcBorders>
              <w:top w:val="single" w:sz="4" w:space="0" w:color="auto"/>
              <w:left w:val="nil"/>
              <w:bottom w:val="single" w:sz="4" w:space="0" w:color="auto"/>
              <w:right w:val="nil"/>
            </w:tcBorders>
            <w:noWrap/>
            <w:hideMark/>
          </w:tcPr>
          <w:p w14:paraId="5DC41FA3" w14:textId="77777777" w:rsidR="00645051" w:rsidRPr="00D7142A" w:rsidRDefault="00645051" w:rsidP="008727A1">
            <w:pPr>
              <w:spacing w:line="240" w:lineRule="auto"/>
              <w:rPr>
                <w:rFonts w:ascii="Times New Roman" w:eastAsia="Arial Unicode MS" w:hAnsi="Times New Roman" w:cs="Times New Roman"/>
                <w:b/>
                <w:bCs/>
              </w:rPr>
            </w:pPr>
            <w:r w:rsidRPr="00D7142A">
              <w:rPr>
                <w:rFonts w:ascii="Times New Roman" w:hAnsi="Times New Roman" w:cs="Times New Roman"/>
                <w:b/>
                <w:bCs/>
              </w:rPr>
              <w:t>23 (1.4)</w:t>
            </w:r>
          </w:p>
        </w:tc>
        <w:tc>
          <w:tcPr>
            <w:tcW w:w="1276" w:type="dxa"/>
            <w:tcBorders>
              <w:top w:val="single" w:sz="4" w:space="0" w:color="auto"/>
              <w:left w:val="nil"/>
              <w:bottom w:val="single" w:sz="4" w:space="0" w:color="auto"/>
              <w:right w:val="single" w:sz="2" w:space="0" w:color="auto"/>
            </w:tcBorders>
            <w:noWrap/>
            <w:hideMark/>
          </w:tcPr>
          <w:p w14:paraId="47FE9A77" w14:textId="77777777" w:rsidR="00645051" w:rsidRPr="00D7142A" w:rsidRDefault="00645051" w:rsidP="008727A1">
            <w:pPr>
              <w:spacing w:line="240" w:lineRule="auto"/>
              <w:rPr>
                <w:rFonts w:ascii="Times New Roman" w:eastAsia="Arial Unicode MS" w:hAnsi="Times New Roman" w:cs="Times New Roman"/>
                <w:b/>
                <w:bCs/>
              </w:rPr>
            </w:pPr>
            <w:r w:rsidRPr="00D7142A">
              <w:rPr>
                <w:rFonts w:ascii="Times New Roman" w:hAnsi="Times New Roman" w:cs="Times New Roman"/>
                <w:b/>
                <w:bCs/>
              </w:rPr>
              <w:t>286 (17.3)</w:t>
            </w:r>
          </w:p>
        </w:tc>
        <w:tc>
          <w:tcPr>
            <w:tcW w:w="1451" w:type="dxa"/>
            <w:tcBorders>
              <w:top w:val="single" w:sz="4" w:space="0" w:color="auto"/>
              <w:left w:val="single" w:sz="2" w:space="0" w:color="auto"/>
              <w:bottom w:val="single" w:sz="4" w:space="0" w:color="auto"/>
            </w:tcBorders>
            <w:noWrap/>
            <w:hideMark/>
          </w:tcPr>
          <w:p w14:paraId="0D789070" w14:textId="11C391C5" w:rsidR="00645051" w:rsidRPr="00D7142A" w:rsidRDefault="00645051" w:rsidP="008727A1">
            <w:pPr>
              <w:spacing w:line="240" w:lineRule="auto"/>
              <w:rPr>
                <w:rFonts w:ascii="Times New Roman" w:eastAsia="Arial Unicode MS" w:hAnsi="Times New Roman" w:cs="Times New Roman"/>
                <w:b/>
                <w:bCs/>
              </w:rPr>
            </w:pPr>
            <w:r w:rsidRPr="00D7142A">
              <w:rPr>
                <w:rFonts w:ascii="Times New Roman" w:hAnsi="Times New Roman" w:cs="Times New Roman"/>
                <w:b/>
                <w:bCs/>
              </w:rPr>
              <w:t>1,656 (100)</w:t>
            </w:r>
          </w:p>
        </w:tc>
        <w:tc>
          <w:tcPr>
            <w:tcW w:w="1492" w:type="dxa"/>
            <w:tcBorders>
              <w:top w:val="single" w:sz="4" w:space="0" w:color="auto"/>
              <w:left w:val="single" w:sz="2" w:space="0" w:color="auto"/>
              <w:bottom w:val="single" w:sz="4" w:space="0" w:color="auto"/>
            </w:tcBorders>
          </w:tcPr>
          <w:p w14:paraId="5C924348" w14:textId="10060202" w:rsidR="00645051" w:rsidRPr="00D7142A" w:rsidRDefault="009B3607" w:rsidP="008727A1">
            <w:pPr>
              <w:spacing w:line="240" w:lineRule="auto"/>
              <w:rPr>
                <w:rFonts w:ascii="Times New Roman" w:hAnsi="Times New Roman" w:cs="Times New Roman"/>
                <w:b/>
                <w:bCs/>
              </w:rPr>
            </w:pPr>
            <w:r w:rsidRPr="00D7142A">
              <w:rPr>
                <w:rFonts w:ascii="Times New Roman" w:hAnsi="Times New Roman" w:cs="Times New Roman"/>
                <w:b/>
                <w:bCs/>
              </w:rPr>
              <w:t>511 (30.9)</w:t>
            </w:r>
          </w:p>
        </w:tc>
      </w:tr>
      <w:tr w:rsidR="00645051" w:rsidRPr="00D7142A" w14:paraId="3B81F9A1" w14:textId="4D8543FD" w:rsidTr="00D44633">
        <w:trPr>
          <w:trHeight w:val="20"/>
        </w:trPr>
        <w:tc>
          <w:tcPr>
            <w:tcW w:w="1418" w:type="dxa"/>
            <w:tcBorders>
              <w:top w:val="single" w:sz="4" w:space="0" w:color="auto"/>
              <w:bottom w:val="single" w:sz="4" w:space="0" w:color="auto"/>
              <w:right w:val="nil"/>
            </w:tcBorders>
            <w:noWrap/>
          </w:tcPr>
          <w:p w14:paraId="5DD37A47" w14:textId="66E9A2D4" w:rsidR="00645051" w:rsidRPr="00D7142A" w:rsidRDefault="00A71B8A" w:rsidP="008727A1">
            <w:pPr>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Qualitative N (row %)</w:t>
            </w:r>
          </w:p>
        </w:tc>
        <w:tc>
          <w:tcPr>
            <w:tcW w:w="1276" w:type="dxa"/>
            <w:tcBorders>
              <w:top w:val="single" w:sz="4" w:space="0" w:color="auto"/>
              <w:left w:val="nil"/>
              <w:bottom w:val="single" w:sz="4" w:space="0" w:color="auto"/>
              <w:right w:val="nil"/>
            </w:tcBorders>
            <w:noWrap/>
          </w:tcPr>
          <w:p w14:paraId="1506E3F1" w14:textId="77777777" w:rsidR="00645051" w:rsidRPr="00D7142A" w:rsidRDefault="00645051" w:rsidP="008727A1">
            <w:pPr>
              <w:spacing w:line="240" w:lineRule="auto"/>
              <w:rPr>
                <w:rFonts w:ascii="Times New Roman" w:hAnsi="Times New Roman" w:cs="Times New Roman"/>
                <w:b/>
                <w:bCs/>
              </w:rPr>
            </w:pPr>
            <w:r w:rsidRPr="00D7142A">
              <w:rPr>
                <w:rFonts w:ascii="Times New Roman" w:hAnsi="Times New Roman" w:cs="Times New Roman"/>
                <w:b/>
                <w:bCs/>
              </w:rPr>
              <w:t>179 (35)</w:t>
            </w:r>
          </w:p>
        </w:tc>
        <w:tc>
          <w:tcPr>
            <w:tcW w:w="1276" w:type="dxa"/>
            <w:tcBorders>
              <w:top w:val="single" w:sz="4" w:space="0" w:color="auto"/>
              <w:left w:val="nil"/>
              <w:bottom w:val="single" w:sz="4" w:space="0" w:color="auto"/>
              <w:right w:val="nil"/>
            </w:tcBorders>
            <w:noWrap/>
          </w:tcPr>
          <w:p w14:paraId="4463487A" w14:textId="77777777" w:rsidR="00645051" w:rsidRPr="00D7142A" w:rsidRDefault="00645051" w:rsidP="008727A1">
            <w:pPr>
              <w:spacing w:line="240" w:lineRule="auto"/>
              <w:rPr>
                <w:rFonts w:ascii="Times New Roman" w:hAnsi="Times New Roman" w:cs="Times New Roman"/>
                <w:b/>
                <w:bCs/>
              </w:rPr>
            </w:pPr>
            <w:r w:rsidRPr="00D7142A">
              <w:rPr>
                <w:rFonts w:ascii="Times New Roman" w:hAnsi="Times New Roman" w:cs="Times New Roman"/>
                <w:b/>
                <w:bCs/>
              </w:rPr>
              <w:t>323 (63.2)</w:t>
            </w:r>
          </w:p>
        </w:tc>
        <w:tc>
          <w:tcPr>
            <w:tcW w:w="1275" w:type="dxa"/>
            <w:tcBorders>
              <w:top w:val="single" w:sz="4" w:space="0" w:color="auto"/>
              <w:left w:val="nil"/>
              <w:bottom w:val="single" w:sz="4" w:space="0" w:color="auto"/>
              <w:right w:val="nil"/>
            </w:tcBorders>
            <w:noWrap/>
          </w:tcPr>
          <w:p w14:paraId="2FE04571" w14:textId="77777777" w:rsidR="00645051" w:rsidRPr="00D7142A" w:rsidRDefault="00645051" w:rsidP="008727A1">
            <w:pPr>
              <w:spacing w:line="240" w:lineRule="auto"/>
              <w:rPr>
                <w:rFonts w:ascii="Times New Roman" w:hAnsi="Times New Roman" w:cs="Times New Roman"/>
                <w:b/>
                <w:bCs/>
              </w:rPr>
            </w:pPr>
            <w:r w:rsidRPr="00D7142A">
              <w:rPr>
                <w:rFonts w:ascii="Times New Roman" w:hAnsi="Times New Roman" w:cs="Times New Roman"/>
                <w:b/>
                <w:bCs/>
              </w:rPr>
              <w:t>9 (1.8)</w:t>
            </w:r>
          </w:p>
        </w:tc>
        <w:tc>
          <w:tcPr>
            <w:tcW w:w="1276" w:type="dxa"/>
            <w:tcBorders>
              <w:top w:val="single" w:sz="4" w:space="0" w:color="auto"/>
              <w:left w:val="nil"/>
              <w:bottom w:val="single" w:sz="4" w:space="0" w:color="auto"/>
              <w:right w:val="single" w:sz="2" w:space="0" w:color="auto"/>
            </w:tcBorders>
            <w:noWrap/>
          </w:tcPr>
          <w:p w14:paraId="49D4C0B7" w14:textId="77777777" w:rsidR="00645051" w:rsidRPr="00D7142A" w:rsidRDefault="00645051" w:rsidP="008727A1">
            <w:pPr>
              <w:spacing w:line="240" w:lineRule="auto"/>
              <w:rPr>
                <w:rFonts w:ascii="Times New Roman" w:hAnsi="Times New Roman" w:cs="Times New Roman"/>
                <w:b/>
                <w:bCs/>
              </w:rPr>
            </w:pPr>
            <w:r w:rsidRPr="00D7142A">
              <w:rPr>
                <w:rFonts w:ascii="Times New Roman" w:hAnsi="Times New Roman" w:cs="Times New Roman"/>
                <w:b/>
                <w:bCs/>
              </w:rPr>
              <w:t>–</w:t>
            </w:r>
          </w:p>
        </w:tc>
        <w:tc>
          <w:tcPr>
            <w:tcW w:w="1451" w:type="dxa"/>
            <w:tcBorders>
              <w:top w:val="single" w:sz="4" w:space="0" w:color="auto"/>
              <w:left w:val="single" w:sz="2" w:space="0" w:color="auto"/>
              <w:bottom w:val="single" w:sz="4" w:space="0" w:color="auto"/>
            </w:tcBorders>
            <w:noWrap/>
          </w:tcPr>
          <w:p w14:paraId="01F1FCF5" w14:textId="5FE2849A" w:rsidR="00645051" w:rsidRPr="00D7142A" w:rsidRDefault="00645051" w:rsidP="008727A1">
            <w:pPr>
              <w:spacing w:line="240" w:lineRule="auto"/>
              <w:rPr>
                <w:rFonts w:ascii="Times New Roman" w:hAnsi="Times New Roman" w:cs="Times New Roman"/>
                <w:b/>
                <w:bCs/>
              </w:rPr>
            </w:pPr>
          </w:p>
        </w:tc>
        <w:tc>
          <w:tcPr>
            <w:tcW w:w="1492" w:type="dxa"/>
            <w:tcBorders>
              <w:top w:val="single" w:sz="4" w:space="0" w:color="auto"/>
              <w:left w:val="single" w:sz="2" w:space="0" w:color="auto"/>
              <w:bottom w:val="single" w:sz="4" w:space="0" w:color="auto"/>
            </w:tcBorders>
          </w:tcPr>
          <w:p w14:paraId="0C8E1715" w14:textId="14D71CF6" w:rsidR="00645051" w:rsidRPr="00D7142A" w:rsidRDefault="00645051" w:rsidP="008727A1">
            <w:pPr>
              <w:spacing w:line="240" w:lineRule="auto"/>
              <w:rPr>
                <w:rFonts w:ascii="Times New Roman" w:hAnsi="Times New Roman" w:cs="Times New Roman"/>
                <w:b/>
                <w:bCs/>
              </w:rPr>
            </w:pPr>
          </w:p>
        </w:tc>
      </w:tr>
      <w:tr w:rsidR="00D44633" w:rsidRPr="00D7142A" w14:paraId="002119CF" w14:textId="77777777" w:rsidTr="0063635F">
        <w:trPr>
          <w:trHeight w:val="20"/>
        </w:trPr>
        <w:tc>
          <w:tcPr>
            <w:tcW w:w="9464" w:type="dxa"/>
            <w:gridSpan w:val="7"/>
            <w:tcBorders>
              <w:top w:val="single" w:sz="4" w:space="0" w:color="auto"/>
              <w:bottom w:val="nil"/>
            </w:tcBorders>
            <w:noWrap/>
          </w:tcPr>
          <w:p w14:paraId="5935CDB2" w14:textId="43353A39" w:rsidR="00D44633" w:rsidRPr="00D7142A" w:rsidRDefault="00D44633" w:rsidP="008727A1">
            <w:pPr>
              <w:spacing w:line="240" w:lineRule="auto"/>
            </w:pPr>
            <w:r w:rsidRPr="00D7142A">
              <w:t xml:space="preserve">Source: </w:t>
            </w:r>
            <w:proofErr w:type="spellStart"/>
            <w:r w:rsidRPr="00D7142A">
              <w:t>EUinUK</w:t>
            </w:r>
            <w:proofErr w:type="spellEnd"/>
            <w:r w:rsidRPr="00D7142A">
              <w:t xml:space="preserve"> 2016 survey</w:t>
            </w:r>
          </w:p>
        </w:tc>
      </w:tr>
    </w:tbl>
    <w:p w14:paraId="03C09583" w14:textId="77777777" w:rsidR="00C40B1A" w:rsidRPr="00D7142A" w:rsidRDefault="00C40B1A" w:rsidP="008727A1">
      <w:pPr>
        <w:keepNext/>
        <w:spacing w:before="240" w:line="240" w:lineRule="auto"/>
        <w:rPr>
          <w:rFonts w:eastAsia="Arial Unicode MS"/>
          <w:b/>
          <w:bCs/>
        </w:rPr>
      </w:pPr>
    </w:p>
    <w:p w14:paraId="0FB8E3CC" w14:textId="77777777" w:rsidR="00C40B1A" w:rsidRPr="00D7142A" w:rsidRDefault="00C40B1A">
      <w:pPr>
        <w:spacing w:line="240" w:lineRule="auto"/>
        <w:rPr>
          <w:rFonts w:eastAsia="Arial Unicode MS"/>
          <w:b/>
          <w:bCs/>
        </w:rPr>
      </w:pPr>
      <w:r w:rsidRPr="00D7142A">
        <w:rPr>
          <w:rFonts w:eastAsia="Arial Unicode MS"/>
          <w:b/>
          <w:bCs/>
        </w:rPr>
        <w:br w:type="page"/>
      </w:r>
    </w:p>
    <w:p w14:paraId="045258EE" w14:textId="0E348401" w:rsidR="00846A43" w:rsidRPr="00D7142A" w:rsidRDefault="00846A43" w:rsidP="008727A1">
      <w:pPr>
        <w:keepNext/>
        <w:spacing w:before="240" w:line="240" w:lineRule="auto"/>
        <w:rPr>
          <w:rFonts w:eastAsia="Arial Unicode MS"/>
          <w:b/>
          <w:bCs/>
        </w:rPr>
      </w:pPr>
      <w:r w:rsidRPr="00D7142A">
        <w:rPr>
          <w:rFonts w:eastAsia="Arial Unicode MS"/>
          <w:b/>
          <w:bCs/>
        </w:rPr>
        <w:lastRenderedPageBreak/>
        <w:t>Table 3. Reasons for treatment country preference (overview thematic groups)</w:t>
      </w:r>
    </w:p>
    <w:tbl>
      <w:tblPr>
        <w:tblStyle w:val="TableGrid"/>
        <w:tblW w:w="918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369"/>
        <w:gridCol w:w="1771"/>
        <w:gridCol w:w="1772"/>
        <w:gridCol w:w="2268"/>
      </w:tblGrid>
      <w:tr w:rsidR="00846A43" w:rsidRPr="00D7142A" w14:paraId="7D94A131" w14:textId="77777777" w:rsidTr="00007AF3">
        <w:trPr>
          <w:trHeight w:val="20"/>
        </w:trPr>
        <w:tc>
          <w:tcPr>
            <w:tcW w:w="3369" w:type="dxa"/>
            <w:tcBorders>
              <w:top w:val="nil"/>
              <w:bottom w:val="single" w:sz="4" w:space="0" w:color="auto"/>
              <w:right w:val="single" w:sz="8" w:space="0" w:color="auto"/>
            </w:tcBorders>
            <w:noWrap/>
          </w:tcPr>
          <w:p w14:paraId="662A58DB" w14:textId="77777777" w:rsidR="00846A43" w:rsidRPr="00D7142A" w:rsidRDefault="00846A43" w:rsidP="008727A1">
            <w:pPr>
              <w:keepNext/>
              <w:spacing w:line="240" w:lineRule="auto"/>
              <w:rPr>
                <w:rFonts w:ascii="Times New Roman" w:eastAsia="Arial Unicode MS" w:hAnsi="Times New Roman" w:cs="Times New Roman"/>
                <w:b/>
                <w:bCs/>
              </w:rPr>
            </w:pPr>
          </w:p>
        </w:tc>
        <w:tc>
          <w:tcPr>
            <w:tcW w:w="3543" w:type="dxa"/>
            <w:gridSpan w:val="2"/>
            <w:tcBorders>
              <w:top w:val="nil"/>
              <w:left w:val="single" w:sz="8" w:space="0" w:color="auto"/>
              <w:bottom w:val="single" w:sz="4" w:space="0" w:color="auto"/>
            </w:tcBorders>
            <w:noWrap/>
          </w:tcPr>
          <w:p w14:paraId="019FC4D2" w14:textId="77777777" w:rsidR="00846A43" w:rsidRPr="00D7142A" w:rsidRDefault="00846A43" w:rsidP="008727A1">
            <w:pPr>
              <w:keepNext/>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Preferred country of treatment</w:t>
            </w:r>
          </w:p>
        </w:tc>
        <w:tc>
          <w:tcPr>
            <w:tcW w:w="2268" w:type="dxa"/>
            <w:noWrap/>
          </w:tcPr>
          <w:p w14:paraId="694E580C" w14:textId="77777777" w:rsidR="00846A43" w:rsidRPr="00D7142A" w:rsidRDefault="00846A43" w:rsidP="008727A1">
            <w:pPr>
              <w:keepNext/>
              <w:spacing w:line="240" w:lineRule="auto"/>
              <w:rPr>
                <w:rFonts w:ascii="Times New Roman" w:eastAsia="Arial Unicode MS" w:hAnsi="Times New Roman" w:cs="Times New Roman"/>
                <w:b/>
                <w:bCs/>
              </w:rPr>
            </w:pPr>
          </w:p>
        </w:tc>
      </w:tr>
      <w:tr w:rsidR="00846A43" w:rsidRPr="00D7142A" w14:paraId="073719E2" w14:textId="77777777" w:rsidTr="00007AF3">
        <w:trPr>
          <w:trHeight w:val="20"/>
        </w:trPr>
        <w:tc>
          <w:tcPr>
            <w:tcW w:w="3369" w:type="dxa"/>
            <w:tcBorders>
              <w:top w:val="nil"/>
              <w:bottom w:val="single" w:sz="4" w:space="0" w:color="auto"/>
              <w:right w:val="single" w:sz="8" w:space="0" w:color="auto"/>
            </w:tcBorders>
            <w:noWrap/>
            <w:hideMark/>
          </w:tcPr>
          <w:p w14:paraId="49F8E27D" w14:textId="77777777" w:rsidR="00846A43" w:rsidRPr="00D7142A" w:rsidRDefault="00846A43" w:rsidP="008727A1">
            <w:pPr>
              <w:keepNext/>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Themes (N, column %)</w:t>
            </w:r>
          </w:p>
        </w:tc>
        <w:tc>
          <w:tcPr>
            <w:tcW w:w="1771" w:type="dxa"/>
            <w:tcBorders>
              <w:top w:val="nil"/>
              <w:left w:val="single" w:sz="8" w:space="0" w:color="auto"/>
              <w:bottom w:val="single" w:sz="4" w:space="0" w:color="auto"/>
              <w:right w:val="nil"/>
            </w:tcBorders>
            <w:noWrap/>
            <w:hideMark/>
          </w:tcPr>
          <w:p w14:paraId="6C15C1D4" w14:textId="0E41100E" w:rsidR="00846A43" w:rsidRPr="00D7142A" w:rsidRDefault="00846A43" w:rsidP="008727A1">
            <w:pPr>
              <w:keepNext/>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 xml:space="preserve">In </w:t>
            </w:r>
            <w:proofErr w:type="spellStart"/>
            <w:r w:rsidRPr="00D7142A">
              <w:rPr>
                <w:rFonts w:ascii="Times New Roman" w:eastAsia="Arial Unicode MS" w:hAnsi="Times New Roman" w:cs="Times New Roman"/>
                <w:b/>
                <w:bCs/>
              </w:rPr>
              <w:t>C</w:t>
            </w:r>
            <w:r w:rsidR="0083518E" w:rsidRPr="00D7142A">
              <w:rPr>
                <w:rFonts w:ascii="Times New Roman" w:eastAsia="Arial Unicode MS" w:hAnsi="Times New Roman" w:cs="Times New Roman"/>
                <w:b/>
                <w:bCs/>
              </w:rPr>
              <w:t>o</w:t>
            </w:r>
            <w:r w:rsidRPr="00D7142A">
              <w:rPr>
                <w:rFonts w:ascii="Times New Roman" w:eastAsia="Arial Unicode MS" w:hAnsi="Times New Roman" w:cs="Times New Roman"/>
                <w:b/>
                <w:bCs/>
              </w:rPr>
              <w:t>O</w:t>
            </w:r>
            <w:proofErr w:type="spellEnd"/>
          </w:p>
        </w:tc>
        <w:tc>
          <w:tcPr>
            <w:tcW w:w="1772" w:type="dxa"/>
            <w:tcBorders>
              <w:top w:val="nil"/>
              <w:left w:val="nil"/>
              <w:bottom w:val="single" w:sz="4" w:space="0" w:color="auto"/>
            </w:tcBorders>
            <w:noWrap/>
            <w:hideMark/>
          </w:tcPr>
          <w:p w14:paraId="19B9DBDA" w14:textId="77777777" w:rsidR="00846A43" w:rsidRPr="00D7142A" w:rsidRDefault="00846A43" w:rsidP="008727A1">
            <w:pPr>
              <w:keepNext/>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In UK</w:t>
            </w:r>
          </w:p>
        </w:tc>
        <w:tc>
          <w:tcPr>
            <w:tcW w:w="2268" w:type="dxa"/>
            <w:noWrap/>
            <w:hideMark/>
          </w:tcPr>
          <w:p w14:paraId="0A33FB29" w14:textId="77777777" w:rsidR="00846A43" w:rsidRPr="00D7142A" w:rsidRDefault="00846A43" w:rsidP="008727A1">
            <w:pPr>
              <w:keepNext/>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Total</w:t>
            </w:r>
          </w:p>
        </w:tc>
      </w:tr>
      <w:tr w:rsidR="00846A43" w:rsidRPr="00D7142A" w14:paraId="70F419D8" w14:textId="77777777" w:rsidTr="00007AF3">
        <w:trPr>
          <w:trHeight w:val="20"/>
        </w:trPr>
        <w:tc>
          <w:tcPr>
            <w:tcW w:w="3369" w:type="dxa"/>
            <w:tcBorders>
              <w:top w:val="single" w:sz="4" w:space="0" w:color="auto"/>
              <w:bottom w:val="single" w:sz="4" w:space="0" w:color="auto"/>
              <w:right w:val="single" w:sz="8" w:space="0" w:color="auto"/>
            </w:tcBorders>
            <w:noWrap/>
          </w:tcPr>
          <w:p w14:paraId="67E8993D" w14:textId="77777777" w:rsidR="00846A43" w:rsidRPr="00D7142A" w:rsidRDefault="00846A43" w:rsidP="008727A1">
            <w:pPr>
              <w:keepNext/>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Quality</w:t>
            </w:r>
          </w:p>
        </w:tc>
        <w:tc>
          <w:tcPr>
            <w:tcW w:w="1771" w:type="dxa"/>
            <w:tcBorders>
              <w:top w:val="single" w:sz="4" w:space="0" w:color="auto"/>
              <w:left w:val="single" w:sz="8" w:space="0" w:color="auto"/>
              <w:bottom w:val="single" w:sz="4" w:space="0" w:color="auto"/>
              <w:right w:val="nil"/>
            </w:tcBorders>
            <w:noWrap/>
          </w:tcPr>
          <w:p w14:paraId="614BA475" w14:textId="77777777" w:rsidR="00846A43" w:rsidRPr="00D7142A" w:rsidRDefault="00846A43" w:rsidP="008727A1">
            <w:pPr>
              <w:keepNext/>
              <w:spacing w:line="240" w:lineRule="auto"/>
              <w:rPr>
                <w:rFonts w:ascii="Times New Roman" w:hAnsi="Times New Roman" w:cs="Times New Roman"/>
              </w:rPr>
            </w:pPr>
            <w:r w:rsidRPr="00D7142A">
              <w:rPr>
                <w:rFonts w:ascii="Times New Roman" w:hAnsi="Times New Roman" w:cs="Times New Roman"/>
              </w:rPr>
              <w:t>303 (78.1)</w:t>
            </w:r>
          </w:p>
        </w:tc>
        <w:tc>
          <w:tcPr>
            <w:tcW w:w="1772" w:type="dxa"/>
            <w:tcBorders>
              <w:top w:val="single" w:sz="4" w:space="0" w:color="auto"/>
              <w:left w:val="nil"/>
              <w:bottom w:val="single" w:sz="4" w:space="0" w:color="auto"/>
            </w:tcBorders>
            <w:noWrap/>
          </w:tcPr>
          <w:p w14:paraId="2DF0FA8A" w14:textId="77777777" w:rsidR="00846A43" w:rsidRPr="00D7142A" w:rsidRDefault="00846A43" w:rsidP="008727A1">
            <w:pPr>
              <w:keepNext/>
              <w:spacing w:line="240" w:lineRule="auto"/>
              <w:rPr>
                <w:rFonts w:ascii="Times New Roman" w:hAnsi="Times New Roman" w:cs="Times New Roman"/>
              </w:rPr>
            </w:pPr>
            <w:r w:rsidRPr="00D7142A">
              <w:rPr>
                <w:rFonts w:ascii="Times New Roman" w:hAnsi="Times New Roman" w:cs="Times New Roman"/>
              </w:rPr>
              <w:t>97 (46)</w:t>
            </w:r>
          </w:p>
        </w:tc>
        <w:tc>
          <w:tcPr>
            <w:tcW w:w="2268" w:type="dxa"/>
            <w:tcBorders>
              <w:bottom w:val="single" w:sz="4" w:space="0" w:color="auto"/>
            </w:tcBorders>
            <w:noWrap/>
          </w:tcPr>
          <w:p w14:paraId="10C85867" w14:textId="77777777" w:rsidR="00846A43" w:rsidRPr="00D7142A" w:rsidRDefault="00846A43" w:rsidP="008727A1">
            <w:pPr>
              <w:keepNext/>
              <w:spacing w:line="240" w:lineRule="auto"/>
              <w:rPr>
                <w:rFonts w:ascii="Times New Roman" w:hAnsi="Times New Roman" w:cs="Times New Roman"/>
              </w:rPr>
            </w:pPr>
            <w:r w:rsidRPr="00D7142A">
              <w:rPr>
                <w:rFonts w:ascii="Times New Roman" w:hAnsi="Times New Roman" w:cs="Times New Roman"/>
              </w:rPr>
              <w:t>400 (66.8)</w:t>
            </w:r>
          </w:p>
        </w:tc>
      </w:tr>
      <w:tr w:rsidR="00846A43" w:rsidRPr="00D7142A" w14:paraId="2A275E65" w14:textId="77777777" w:rsidTr="00007AF3">
        <w:trPr>
          <w:trHeight w:val="20"/>
        </w:trPr>
        <w:tc>
          <w:tcPr>
            <w:tcW w:w="3369" w:type="dxa"/>
            <w:tcBorders>
              <w:top w:val="single" w:sz="4" w:space="0" w:color="auto"/>
              <w:bottom w:val="nil"/>
              <w:right w:val="single" w:sz="8" w:space="0" w:color="auto"/>
            </w:tcBorders>
            <w:noWrap/>
            <w:hideMark/>
          </w:tcPr>
          <w:p w14:paraId="5F9056AC" w14:textId="77777777" w:rsidR="00846A43" w:rsidRPr="00D7142A" w:rsidRDefault="00846A43" w:rsidP="008727A1">
            <w:pPr>
              <w:keepNext/>
              <w:spacing w:line="240" w:lineRule="auto"/>
              <w:ind w:left="720"/>
              <w:rPr>
                <w:rFonts w:ascii="Times New Roman" w:eastAsia="Arial Unicode MS" w:hAnsi="Times New Roman" w:cs="Times New Roman"/>
                <w:bCs/>
                <w:i/>
                <w:iCs/>
              </w:rPr>
            </w:pPr>
            <w:r w:rsidRPr="00D7142A">
              <w:rPr>
                <w:rFonts w:ascii="Times New Roman" w:hAnsi="Times New Roman" w:cs="Times New Roman"/>
              </w:rPr>
              <w:t>Better standards</w:t>
            </w:r>
          </w:p>
        </w:tc>
        <w:tc>
          <w:tcPr>
            <w:tcW w:w="1771" w:type="dxa"/>
            <w:tcBorders>
              <w:top w:val="single" w:sz="4" w:space="0" w:color="auto"/>
              <w:left w:val="single" w:sz="8" w:space="0" w:color="auto"/>
              <w:bottom w:val="nil"/>
              <w:right w:val="nil"/>
            </w:tcBorders>
            <w:noWrap/>
            <w:hideMark/>
          </w:tcPr>
          <w:p w14:paraId="3F59F135" w14:textId="77777777" w:rsidR="00846A43" w:rsidRPr="00D7142A" w:rsidRDefault="00846A43" w:rsidP="008727A1">
            <w:pPr>
              <w:keepNext/>
              <w:spacing w:line="240" w:lineRule="auto"/>
              <w:ind w:left="350"/>
              <w:rPr>
                <w:rFonts w:ascii="Times New Roman" w:eastAsia="Arial Unicode MS" w:hAnsi="Times New Roman" w:cs="Times New Roman"/>
                <w:bCs/>
                <w:i/>
                <w:iCs/>
              </w:rPr>
            </w:pPr>
            <w:r w:rsidRPr="00D7142A">
              <w:rPr>
                <w:rFonts w:ascii="Times New Roman" w:hAnsi="Times New Roman" w:cs="Times New Roman"/>
              </w:rPr>
              <w:t>121 (31.2)</w:t>
            </w:r>
          </w:p>
        </w:tc>
        <w:tc>
          <w:tcPr>
            <w:tcW w:w="1772" w:type="dxa"/>
            <w:tcBorders>
              <w:top w:val="single" w:sz="4" w:space="0" w:color="auto"/>
              <w:left w:val="nil"/>
              <w:bottom w:val="nil"/>
            </w:tcBorders>
            <w:noWrap/>
            <w:hideMark/>
          </w:tcPr>
          <w:p w14:paraId="7887473B" w14:textId="77777777" w:rsidR="00846A43" w:rsidRPr="00D7142A" w:rsidRDefault="00846A43" w:rsidP="008727A1">
            <w:pPr>
              <w:keepNext/>
              <w:spacing w:line="240" w:lineRule="auto"/>
              <w:ind w:left="350"/>
              <w:rPr>
                <w:rFonts w:ascii="Times New Roman" w:eastAsia="Arial Unicode MS" w:hAnsi="Times New Roman" w:cs="Times New Roman"/>
                <w:bCs/>
                <w:i/>
                <w:iCs/>
              </w:rPr>
            </w:pPr>
            <w:r w:rsidRPr="00D7142A">
              <w:rPr>
                <w:rFonts w:ascii="Times New Roman" w:hAnsi="Times New Roman" w:cs="Times New Roman"/>
              </w:rPr>
              <w:t>48 (22.7)</w:t>
            </w:r>
          </w:p>
        </w:tc>
        <w:tc>
          <w:tcPr>
            <w:tcW w:w="2268" w:type="dxa"/>
            <w:tcBorders>
              <w:top w:val="single" w:sz="4" w:space="0" w:color="auto"/>
              <w:bottom w:val="nil"/>
            </w:tcBorders>
            <w:noWrap/>
            <w:hideMark/>
          </w:tcPr>
          <w:p w14:paraId="78C49F7C" w14:textId="77777777" w:rsidR="00846A43" w:rsidRPr="00D7142A" w:rsidRDefault="00846A43" w:rsidP="008727A1">
            <w:pPr>
              <w:keepNext/>
              <w:spacing w:line="240" w:lineRule="auto"/>
              <w:ind w:left="350"/>
              <w:rPr>
                <w:rFonts w:ascii="Times New Roman" w:eastAsia="Arial Unicode MS" w:hAnsi="Times New Roman" w:cs="Times New Roman"/>
                <w:bCs/>
                <w:i/>
                <w:iCs/>
              </w:rPr>
            </w:pPr>
            <w:r w:rsidRPr="00D7142A">
              <w:rPr>
                <w:rFonts w:ascii="Times New Roman" w:hAnsi="Times New Roman" w:cs="Times New Roman"/>
              </w:rPr>
              <w:t>169 (28.2)</w:t>
            </w:r>
          </w:p>
        </w:tc>
      </w:tr>
      <w:tr w:rsidR="00846A43" w:rsidRPr="00D7142A" w14:paraId="3B79EDF4" w14:textId="77777777" w:rsidTr="00007AF3">
        <w:trPr>
          <w:trHeight w:val="20"/>
        </w:trPr>
        <w:tc>
          <w:tcPr>
            <w:tcW w:w="3369" w:type="dxa"/>
            <w:tcBorders>
              <w:top w:val="nil"/>
              <w:bottom w:val="nil"/>
              <w:right w:val="single" w:sz="8" w:space="0" w:color="auto"/>
            </w:tcBorders>
            <w:noWrap/>
            <w:hideMark/>
          </w:tcPr>
          <w:p w14:paraId="435D1664" w14:textId="77777777" w:rsidR="00846A43" w:rsidRPr="00D7142A" w:rsidRDefault="00846A43" w:rsidP="008727A1">
            <w:pPr>
              <w:keepNext/>
              <w:spacing w:line="240" w:lineRule="auto"/>
              <w:ind w:left="720"/>
              <w:rPr>
                <w:rFonts w:ascii="Times New Roman" w:eastAsia="Arial Unicode MS" w:hAnsi="Times New Roman" w:cs="Times New Roman"/>
                <w:bCs/>
                <w:i/>
                <w:iCs/>
              </w:rPr>
            </w:pPr>
            <w:r w:rsidRPr="00D7142A">
              <w:rPr>
                <w:rFonts w:ascii="Times New Roman" w:hAnsi="Times New Roman" w:cs="Times New Roman"/>
              </w:rPr>
              <w:t>Better access</w:t>
            </w:r>
          </w:p>
        </w:tc>
        <w:tc>
          <w:tcPr>
            <w:tcW w:w="1771" w:type="dxa"/>
            <w:tcBorders>
              <w:top w:val="nil"/>
              <w:left w:val="single" w:sz="8" w:space="0" w:color="auto"/>
              <w:bottom w:val="nil"/>
              <w:right w:val="nil"/>
            </w:tcBorders>
            <w:noWrap/>
            <w:hideMark/>
          </w:tcPr>
          <w:p w14:paraId="6530E207" w14:textId="77777777" w:rsidR="00846A43" w:rsidRPr="00D7142A" w:rsidRDefault="00846A43" w:rsidP="008727A1">
            <w:pPr>
              <w:keepNext/>
              <w:spacing w:line="240" w:lineRule="auto"/>
              <w:ind w:left="350"/>
              <w:rPr>
                <w:rFonts w:ascii="Times New Roman" w:eastAsia="Arial Unicode MS" w:hAnsi="Times New Roman" w:cs="Times New Roman"/>
                <w:bCs/>
                <w:i/>
                <w:iCs/>
              </w:rPr>
            </w:pPr>
            <w:r w:rsidRPr="00D7142A">
              <w:rPr>
                <w:rFonts w:ascii="Times New Roman" w:hAnsi="Times New Roman" w:cs="Times New Roman"/>
              </w:rPr>
              <w:t>35 (9)</w:t>
            </w:r>
          </w:p>
        </w:tc>
        <w:tc>
          <w:tcPr>
            <w:tcW w:w="1772" w:type="dxa"/>
            <w:tcBorders>
              <w:top w:val="nil"/>
              <w:left w:val="nil"/>
              <w:bottom w:val="nil"/>
            </w:tcBorders>
            <w:noWrap/>
            <w:hideMark/>
          </w:tcPr>
          <w:p w14:paraId="1F5C0F5F" w14:textId="77777777" w:rsidR="00846A43" w:rsidRPr="00D7142A" w:rsidRDefault="00846A43" w:rsidP="008727A1">
            <w:pPr>
              <w:keepNext/>
              <w:spacing w:line="240" w:lineRule="auto"/>
              <w:ind w:left="350"/>
              <w:rPr>
                <w:rFonts w:ascii="Times New Roman" w:eastAsia="Arial Unicode MS" w:hAnsi="Times New Roman" w:cs="Times New Roman"/>
                <w:bCs/>
                <w:i/>
                <w:iCs/>
              </w:rPr>
            </w:pPr>
            <w:r w:rsidRPr="00D7142A">
              <w:rPr>
                <w:rFonts w:ascii="Times New Roman" w:hAnsi="Times New Roman" w:cs="Times New Roman"/>
              </w:rPr>
              <w:t>17 (8.1)</w:t>
            </w:r>
          </w:p>
        </w:tc>
        <w:tc>
          <w:tcPr>
            <w:tcW w:w="2268" w:type="dxa"/>
            <w:tcBorders>
              <w:top w:val="nil"/>
              <w:bottom w:val="nil"/>
            </w:tcBorders>
            <w:noWrap/>
            <w:hideMark/>
          </w:tcPr>
          <w:p w14:paraId="29C66769" w14:textId="77777777" w:rsidR="00846A43" w:rsidRPr="00D7142A" w:rsidRDefault="00846A43" w:rsidP="008727A1">
            <w:pPr>
              <w:keepNext/>
              <w:spacing w:line="240" w:lineRule="auto"/>
              <w:ind w:left="350"/>
              <w:rPr>
                <w:rFonts w:ascii="Times New Roman" w:eastAsia="Arial Unicode MS" w:hAnsi="Times New Roman" w:cs="Times New Roman"/>
                <w:bCs/>
                <w:i/>
                <w:iCs/>
              </w:rPr>
            </w:pPr>
            <w:r w:rsidRPr="00D7142A">
              <w:rPr>
                <w:rFonts w:ascii="Times New Roman" w:hAnsi="Times New Roman" w:cs="Times New Roman"/>
              </w:rPr>
              <w:t>52 (8.7)</w:t>
            </w:r>
          </w:p>
        </w:tc>
      </w:tr>
      <w:tr w:rsidR="00846A43" w:rsidRPr="00D7142A" w14:paraId="57D98C10" w14:textId="77777777" w:rsidTr="00007AF3">
        <w:trPr>
          <w:trHeight w:val="20"/>
        </w:trPr>
        <w:tc>
          <w:tcPr>
            <w:tcW w:w="3369" w:type="dxa"/>
            <w:tcBorders>
              <w:top w:val="nil"/>
              <w:bottom w:val="nil"/>
              <w:right w:val="single" w:sz="8" w:space="0" w:color="auto"/>
            </w:tcBorders>
            <w:noWrap/>
            <w:hideMark/>
          </w:tcPr>
          <w:p w14:paraId="4FAA7611" w14:textId="77777777" w:rsidR="00846A43" w:rsidRPr="00D7142A" w:rsidRDefault="00846A43" w:rsidP="008727A1">
            <w:pPr>
              <w:keepNext/>
              <w:spacing w:line="240" w:lineRule="auto"/>
              <w:ind w:left="720"/>
              <w:rPr>
                <w:rFonts w:ascii="Times New Roman" w:eastAsia="Arial Unicode MS" w:hAnsi="Times New Roman" w:cs="Times New Roman"/>
                <w:bCs/>
                <w:i/>
                <w:iCs/>
              </w:rPr>
            </w:pPr>
            <w:r w:rsidRPr="00D7142A">
              <w:rPr>
                <w:rFonts w:ascii="Times New Roman" w:hAnsi="Times New Roman" w:cs="Times New Roman"/>
              </w:rPr>
              <w:t>Better service</w:t>
            </w:r>
          </w:p>
        </w:tc>
        <w:tc>
          <w:tcPr>
            <w:tcW w:w="1771" w:type="dxa"/>
            <w:tcBorders>
              <w:top w:val="nil"/>
              <w:left w:val="single" w:sz="8" w:space="0" w:color="auto"/>
              <w:bottom w:val="nil"/>
              <w:right w:val="nil"/>
            </w:tcBorders>
            <w:noWrap/>
            <w:hideMark/>
          </w:tcPr>
          <w:p w14:paraId="59804E81" w14:textId="77777777" w:rsidR="00846A43" w:rsidRPr="00D7142A" w:rsidRDefault="00846A43" w:rsidP="008727A1">
            <w:pPr>
              <w:keepNext/>
              <w:spacing w:line="240" w:lineRule="auto"/>
              <w:ind w:left="350"/>
              <w:rPr>
                <w:rFonts w:ascii="Times New Roman" w:eastAsia="Arial Unicode MS" w:hAnsi="Times New Roman" w:cs="Times New Roman"/>
                <w:bCs/>
                <w:i/>
                <w:iCs/>
              </w:rPr>
            </w:pPr>
            <w:r w:rsidRPr="00D7142A">
              <w:rPr>
                <w:rFonts w:ascii="Times New Roman" w:hAnsi="Times New Roman" w:cs="Times New Roman"/>
              </w:rPr>
              <w:t>17 (4.4)</w:t>
            </w:r>
          </w:p>
        </w:tc>
        <w:tc>
          <w:tcPr>
            <w:tcW w:w="1772" w:type="dxa"/>
            <w:tcBorders>
              <w:top w:val="nil"/>
              <w:left w:val="nil"/>
              <w:bottom w:val="nil"/>
            </w:tcBorders>
            <w:noWrap/>
            <w:hideMark/>
          </w:tcPr>
          <w:p w14:paraId="2A508D05" w14:textId="77777777" w:rsidR="00846A43" w:rsidRPr="00D7142A" w:rsidRDefault="00846A43" w:rsidP="008727A1">
            <w:pPr>
              <w:keepNext/>
              <w:spacing w:line="240" w:lineRule="auto"/>
              <w:ind w:left="350"/>
              <w:rPr>
                <w:rFonts w:ascii="Times New Roman" w:eastAsia="Arial Unicode MS" w:hAnsi="Times New Roman" w:cs="Times New Roman"/>
                <w:bCs/>
                <w:i/>
                <w:iCs/>
              </w:rPr>
            </w:pPr>
            <w:r w:rsidRPr="00D7142A">
              <w:rPr>
                <w:rFonts w:ascii="Times New Roman" w:hAnsi="Times New Roman" w:cs="Times New Roman"/>
              </w:rPr>
              <w:t>5 (2.4)</w:t>
            </w:r>
          </w:p>
        </w:tc>
        <w:tc>
          <w:tcPr>
            <w:tcW w:w="2268" w:type="dxa"/>
            <w:tcBorders>
              <w:top w:val="nil"/>
              <w:bottom w:val="nil"/>
            </w:tcBorders>
            <w:noWrap/>
            <w:hideMark/>
          </w:tcPr>
          <w:p w14:paraId="6F3ED0B4" w14:textId="77777777" w:rsidR="00846A43" w:rsidRPr="00D7142A" w:rsidRDefault="00846A43" w:rsidP="008727A1">
            <w:pPr>
              <w:keepNext/>
              <w:spacing w:line="240" w:lineRule="auto"/>
              <w:ind w:left="350"/>
              <w:rPr>
                <w:rFonts w:ascii="Times New Roman" w:eastAsia="Arial Unicode MS" w:hAnsi="Times New Roman" w:cs="Times New Roman"/>
                <w:bCs/>
                <w:i/>
                <w:iCs/>
              </w:rPr>
            </w:pPr>
            <w:r w:rsidRPr="00D7142A">
              <w:rPr>
                <w:rFonts w:ascii="Times New Roman" w:hAnsi="Times New Roman" w:cs="Times New Roman"/>
              </w:rPr>
              <w:t>22 (3.7)</w:t>
            </w:r>
          </w:p>
        </w:tc>
      </w:tr>
      <w:tr w:rsidR="00846A43" w:rsidRPr="00D7142A" w14:paraId="654A96A2" w14:textId="77777777" w:rsidTr="00007AF3">
        <w:trPr>
          <w:trHeight w:val="20"/>
        </w:trPr>
        <w:tc>
          <w:tcPr>
            <w:tcW w:w="3369" w:type="dxa"/>
            <w:tcBorders>
              <w:top w:val="nil"/>
              <w:bottom w:val="dotted" w:sz="4" w:space="0" w:color="auto"/>
              <w:right w:val="single" w:sz="8" w:space="0" w:color="auto"/>
            </w:tcBorders>
            <w:noWrap/>
          </w:tcPr>
          <w:p w14:paraId="4FDF399F" w14:textId="77777777" w:rsidR="00846A43" w:rsidRPr="00D7142A" w:rsidRDefault="00846A43" w:rsidP="008727A1">
            <w:pPr>
              <w:keepNext/>
              <w:spacing w:line="240" w:lineRule="auto"/>
              <w:ind w:left="720"/>
              <w:rPr>
                <w:rFonts w:ascii="Times New Roman" w:eastAsia="Arial Unicode MS" w:hAnsi="Times New Roman" w:cs="Times New Roman"/>
                <w:bCs/>
                <w:i/>
                <w:iCs/>
              </w:rPr>
            </w:pPr>
            <w:r w:rsidRPr="00D7142A">
              <w:rPr>
                <w:rFonts w:ascii="Times New Roman" w:hAnsi="Times New Roman" w:cs="Times New Roman"/>
              </w:rPr>
              <w:t>Better doctors</w:t>
            </w:r>
          </w:p>
        </w:tc>
        <w:tc>
          <w:tcPr>
            <w:tcW w:w="1771" w:type="dxa"/>
            <w:tcBorders>
              <w:top w:val="nil"/>
              <w:left w:val="single" w:sz="8" w:space="0" w:color="auto"/>
              <w:bottom w:val="dotted" w:sz="4" w:space="0" w:color="auto"/>
              <w:right w:val="nil"/>
            </w:tcBorders>
            <w:noWrap/>
          </w:tcPr>
          <w:p w14:paraId="41B2739C"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74 (19.1)</w:t>
            </w:r>
          </w:p>
        </w:tc>
        <w:tc>
          <w:tcPr>
            <w:tcW w:w="1772" w:type="dxa"/>
            <w:tcBorders>
              <w:top w:val="nil"/>
              <w:left w:val="nil"/>
              <w:bottom w:val="dotted" w:sz="4" w:space="0" w:color="auto"/>
            </w:tcBorders>
            <w:noWrap/>
          </w:tcPr>
          <w:p w14:paraId="760A0242"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8 (3.8)</w:t>
            </w:r>
          </w:p>
        </w:tc>
        <w:tc>
          <w:tcPr>
            <w:tcW w:w="2268" w:type="dxa"/>
            <w:tcBorders>
              <w:top w:val="nil"/>
              <w:bottom w:val="dotted" w:sz="4" w:space="0" w:color="auto"/>
            </w:tcBorders>
            <w:noWrap/>
          </w:tcPr>
          <w:p w14:paraId="79058EF7"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82 (13.7)</w:t>
            </w:r>
          </w:p>
        </w:tc>
      </w:tr>
      <w:tr w:rsidR="00846A43" w:rsidRPr="00D7142A" w14:paraId="2D843209" w14:textId="77777777" w:rsidTr="00007AF3">
        <w:trPr>
          <w:trHeight w:val="20"/>
        </w:trPr>
        <w:tc>
          <w:tcPr>
            <w:tcW w:w="3369" w:type="dxa"/>
            <w:tcBorders>
              <w:top w:val="dotted" w:sz="4" w:space="0" w:color="auto"/>
              <w:bottom w:val="nil"/>
              <w:right w:val="single" w:sz="8" w:space="0" w:color="auto"/>
            </w:tcBorders>
            <w:noWrap/>
          </w:tcPr>
          <w:p w14:paraId="7981BD42" w14:textId="77777777" w:rsidR="00846A43" w:rsidRPr="00D7142A" w:rsidRDefault="00846A43" w:rsidP="008727A1">
            <w:pPr>
              <w:keepNext/>
              <w:spacing w:line="240" w:lineRule="auto"/>
              <w:ind w:left="720"/>
              <w:rPr>
                <w:rFonts w:ascii="Times New Roman" w:eastAsia="Arial Unicode MS" w:hAnsi="Times New Roman" w:cs="Times New Roman"/>
                <w:bCs/>
                <w:i/>
                <w:iCs/>
              </w:rPr>
            </w:pPr>
            <w:r w:rsidRPr="00D7142A">
              <w:rPr>
                <w:rFonts w:ascii="Times New Roman" w:hAnsi="Times New Roman" w:cs="Times New Roman"/>
              </w:rPr>
              <w:t>Personal experience</w:t>
            </w:r>
          </w:p>
        </w:tc>
        <w:tc>
          <w:tcPr>
            <w:tcW w:w="1771" w:type="dxa"/>
            <w:tcBorders>
              <w:top w:val="dotted" w:sz="4" w:space="0" w:color="auto"/>
              <w:left w:val="single" w:sz="8" w:space="0" w:color="auto"/>
              <w:bottom w:val="nil"/>
              <w:right w:val="nil"/>
            </w:tcBorders>
            <w:noWrap/>
          </w:tcPr>
          <w:p w14:paraId="01468936"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15 (3.9)</w:t>
            </w:r>
          </w:p>
        </w:tc>
        <w:tc>
          <w:tcPr>
            <w:tcW w:w="1772" w:type="dxa"/>
            <w:tcBorders>
              <w:top w:val="dotted" w:sz="4" w:space="0" w:color="auto"/>
              <w:left w:val="nil"/>
              <w:bottom w:val="nil"/>
            </w:tcBorders>
            <w:noWrap/>
          </w:tcPr>
          <w:p w14:paraId="0A0A9664"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5 (2.4)</w:t>
            </w:r>
          </w:p>
        </w:tc>
        <w:tc>
          <w:tcPr>
            <w:tcW w:w="2268" w:type="dxa"/>
            <w:tcBorders>
              <w:top w:val="dotted" w:sz="4" w:space="0" w:color="auto"/>
              <w:bottom w:val="nil"/>
            </w:tcBorders>
            <w:noWrap/>
          </w:tcPr>
          <w:p w14:paraId="53382F87"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20 (3.3)</w:t>
            </w:r>
          </w:p>
        </w:tc>
      </w:tr>
      <w:tr w:rsidR="00846A43" w:rsidRPr="00D7142A" w14:paraId="610BAEBD" w14:textId="77777777" w:rsidTr="00007AF3">
        <w:trPr>
          <w:trHeight w:val="20"/>
        </w:trPr>
        <w:tc>
          <w:tcPr>
            <w:tcW w:w="3369" w:type="dxa"/>
            <w:tcBorders>
              <w:top w:val="nil"/>
              <w:bottom w:val="nil"/>
              <w:right w:val="single" w:sz="8" w:space="0" w:color="auto"/>
            </w:tcBorders>
            <w:noWrap/>
          </w:tcPr>
          <w:p w14:paraId="4380594A" w14:textId="77777777" w:rsidR="00846A43" w:rsidRPr="00D7142A" w:rsidRDefault="00846A43" w:rsidP="008727A1">
            <w:pPr>
              <w:keepNext/>
              <w:spacing w:line="240" w:lineRule="auto"/>
              <w:ind w:left="720"/>
              <w:rPr>
                <w:rFonts w:ascii="Times New Roman" w:eastAsia="Arial Unicode MS" w:hAnsi="Times New Roman" w:cs="Times New Roman"/>
                <w:bCs/>
                <w:i/>
                <w:iCs/>
              </w:rPr>
            </w:pPr>
            <w:r w:rsidRPr="00D7142A">
              <w:rPr>
                <w:rFonts w:ascii="Times New Roman" w:hAnsi="Times New Roman" w:cs="Times New Roman"/>
              </w:rPr>
              <w:t>Trust</w:t>
            </w:r>
          </w:p>
        </w:tc>
        <w:tc>
          <w:tcPr>
            <w:tcW w:w="1771" w:type="dxa"/>
            <w:tcBorders>
              <w:top w:val="nil"/>
              <w:left w:val="single" w:sz="8" w:space="0" w:color="auto"/>
              <w:bottom w:val="nil"/>
              <w:right w:val="nil"/>
            </w:tcBorders>
            <w:noWrap/>
          </w:tcPr>
          <w:p w14:paraId="2DEE3371"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22 (5.7)</w:t>
            </w:r>
          </w:p>
        </w:tc>
        <w:tc>
          <w:tcPr>
            <w:tcW w:w="1772" w:type="dxa"/>
            <w:tcBorders>
              <w:top w:val="nil"/>
              <w:left w:val="nil"/>
              <w:bottom w:val="nil"/>
            </w:tcBorders>
            <w:noWrap/>
          </w:tcPr>
          <w:p w14:paraId="26383B70"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6 (2.8)</w:t>
            </w:r>
          </w:p>
        </w:tc>
        <w:tc>
          <w:tcPr>
            <w:tcW w:w="2268" w:type="dxa"/>
            <w:tcBorders>
              <w:top w:val="nil"/>
              <w:bottom w:val="nil"/>
            </w:tcBorders>
            <w:noWrap/>
          </w:tcPr>
          <w:p w14:paraId="564CF2CE"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28 (4.7)</w:t>
            </w:r>
          </w:p>
        </w:tc>
      </w:tr>
      <w:tr w:rsidR="00846A43" w:rsidRPr="00D7142A" w14:paraId="477EAF1A" w14:textId="77777777" w:rsidTr="00007AF3">
        <w:trPr>
          <w:trHeight w:val="20"/>
        </w:trPr>
        <w:tc>
          <w:tcPr>
            <w:tcW w:w="3369" w:type="dxa"/>
            <w:tcBorders>
              <w:top w:val="nil"/>
              <w:bottom w:val="single" w:sz="4" w:space="0" w:color="auto"/>
              <w:right w:val="single" w:sz="8" w:space="0" w:color="auto"/>
            </w:tcBorders>
            <w:noWrap/>
          </w:tcPr>
          <w:p w14:paraId="183B63B3" w14:textId="77777777" w:rsidR="00846A43" w:rsidRPr="00D7142A" w:rsidRDefault="00846A43" w:rsidP="008727A1">
            <w:pPr>
              <w:keepNext/>
              <w:spacing w:line="240" w:lineRule="auto"/>
              <w:ind w:left="720"/>
              <w:rPr>
                <w:rFonts w:ascii="Times New Roman" w:eastAsia="Arial Unicode MS" w:hAnsi="Times New Roman" w:cs="Times New Roman"/>
                <w:bCs/>
                <w:i/>
                <w:iCs/>
              </w:rPr>
            </w:pPr>
            <w:r w:rsidRPr="00D7142A">
              <w:rPr>
                <w:rFonts w:ascii="Times New Roman" w:hAnsi="Times New Roman" w:cs="Times New Roman"/>
              </w:rPr>
              <w:t>Treatment culture</w:t>
            </w:r>
          </w:p>
        </w:tc>
        <w:tc>
          <w:tcPr>
            <w:tcW w:w="1771" w:type="dxa"/>
            <w:tcBorders>
              <w:top w:val="nil"/>
              <w:left w:val="single" w:sz="8" w:space="0" w:color="auto"/>
              <w:bottom w:val="single" w:sz="4" w:space="0" w:color="auto"/>
              <w:right w:val="nil"/>
            </w:tcBorders>
            <w:noWrap/>
          </w:tcPr>
          <w:p w14:paraId="396C981A"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19 (4.9)</w:t>
            </w:r>
          </w:p>
        </w:tc>
        <w:tc>
          <w:tcPr>
            <w:tcW w:w="1772" w:type="dxa"/>
            <w:tcBorders>
              <w:top w:val="nil"/>
              <w:left w:val="nil"/>
              <w:bottom w:val="single" w:sz="4" w:space="0" w:color="auto"/>
            </w:tcBorders>
            <w:noWrap/>
          </w:tcPr>
          <w:p w14:paraId="161401A1"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8 (3.8)</w:t>
            </w:r>
          </w:p>
        </w:tc>
        <w:tc>
          <w:tcPr>
            <w:tcW w:w="2268" w:type="dxa"/>
            <w:tcBorders>
              <w:top w:val="nil"/>
            </w:tcBorders>
            <w:noWrap/>
          </w:tcPr>
          <w:p w14:paraId="188F2B59" w14:textId="77777777" w:rsidR="00846A43" w:rsidRPr="00D7142A" w:rsidRDefault="00846A43" w:rsidP="008727A1">
            <w:pPr>
              <w:keepNext/>
              <w:spacing w:line="240" w:lineRule="auto"/>
              <w:ind w:left="350"/>
              <w:rPr>
                <w:rFonts w:ascii="Times New Roman" w:hAnsi="Times New Roman" w:cs="Times New Roman"/>
                <w:i/>
                <w:iCs/>
              </w:rPr>
            </w:pPr>
            <w:r w:rsidRPr="00D7142A">
              <w:rPr>
                <w:rFonts w:ascii="Times New Roman" w:hAnsi="Times New Roman" w:cs="Times New Roman"/>
              </w:rPr>
              <w:t>27 (4.5)</w:t>
            </w:r>
          </w:p>
        </w:tc>
      </w:tr>
      <w:tr w:rsidR="00846A43" w:rsidRPr="00D7142A" w14:paraId="1ED634C9" w14:textId="77777777" w:rsidTr="00007AF3">
        <w:trPr>
          <w:trHeight w:val="20"/>
        </w:trPr>
        <w:tc>
          <w:tcPr>
            <w:tcW w:w="3369" w:type="dxa"/>
            <w:tcBorders>
              <w:top w:val="single" w:sz="4" w:space="0" w:color="auto"/>
              <w:bottom w:val="single" w:sz="4" w:space="0" w:color="auto"/>
              <w:right w:val="single" w:sz="8" w:space="0" w:color="auto"/>
            </w:tcBorders>
            <w:noWrap/>
            <w:hideMark/>
          </w:tcPr>
          <w:p w14:paraId="62105402" w14:textId="77777777" w:rsidR="00846A43" w:rsidRPr="00D7142A" w:rsidRDefault="00846A43" w:rsidP="008727A1">
            <w:pPr>
              <w:keepNext/>
              <w:spacing w:line="240" w:lineRule="auto"/>
              <w:rPr>
                <w:rFonts w:ascii="Times New Roman" w:eastAsia="Arial Unicode MS" w:hAnsi="Times New Roman" w:cs="Times New Roman"/>
                <w:bCs/>
              </w:rPr>
            </w:pPr>
            <w:r w:rsidRPr="00D7142A">
              <w:rPr>
                <w:rFonts w:ascii="Times New Roman" w:eastAsia="Arial Unicode MS" w:hAnsi="Times New Roman" w:cs="Times New Roman"/>
                <w:bCs/>
              </w:rPr>
              <w:t>Convenience</w:t>
            </w:r>
          </w:p>
        </w:tc>
        <w:tc>
          <w:tcPr>
            <w:tcW w:w="1771" w:type="dxa"/>
            <w:tcBorders>
              <w:top w:val="single" w:sz="4" w:space="0" w:color="auto"/>
              <w:left w:val="single" w:sz="8" w:space="0" w:color="auto"/>
              <w:bottom w:val="single" w:sz="4" w:space="0" w:color="auto"/>
              <w:right w:val="nil"/>
            </w:tcBorders>
            <w:noWrap/>
            <w:hideMark/>
          </w:tcPr>
          <w:p w14:paraId="2773A938" w14:textId="77777777" w:rsidR="00846A43" w:rsidRPr="00D7142A" w:rsidRDefault="00846A43" w:rsidP="008727A1">
            <w:pPr>
              <w:keepNext/>
              <w:spacing w:line="240" w:lineRule="auto"/>
              <w:rPr>
                <w:rFonts w:ascii="Times New Roman" w:eastAsia="Arial Unicode MS" w:hAnsi="Times New Roman" w:cs="Times New Roman"/>
                <w:bCs/>
              </w:rPr>
            </w:pPr>
            <w:r w:rsidRPr="00D7142A">
              <w:rPr>
                <w:rFonts w:ascii="Times New Roman" w:hAnsi="Times New Roman" w:cs="Times New Roman"/>
              </w:rPr>
              <w:t>57 (14.7)</w:t>
            </w:r>
          </w:p>
        </w:tc>
        <w:tc>
          <w:tcPr>
            <w:tcW w:w="1772" w:type="dxa"/>
            <w:tcBorders>
              <w:top w:val="single" w:sz="4" w:space="0" w:color="auto"/>
              <w:left w:val="nil"/>
              <w:bottom w:val="single" w:sz="4" w:space="0" w:color="auto"/>
            </w:tcBorders>
            <w:noWrap/>
            <w:hideMark/>
          </w:tcPr>
          <w:p w14:paraId="1B2F90AE" w14:textId="77777777" w:rsidR="00846A43" w:rsidRPr="00D7142A" w:rsidRDefault="00846A43" w:rsidP="008727A1">
            <w:pPr>
              <w:keepNext/>
              <w:spacing w:line="240" w:lineRule="auto"/>
              <w:rPr>
                <w:rFonts w:ascii="Times New Roman" w:eastAsia="Arial Unicode MS" w:hAnsi="Times New Roman" w:cs="Times New Roman"/>
                <w:bCs/>
              </w:rPr>
            </w:pPr>
            <w:r w:rsidRPr="00D7142A">
              <w:rPr>
                <w:rFonts w:ascii="Times New Roman" w:hAnsi="Times New Roman" w:cs="Times New Roman"/>
              </w:rPr>
              <w:t>79 (37.4)</w:t>
            </w:r>
          </w:p>
        </w:tc>
        <w:tc>
          <w:tcPr>
            <w:tcW w:w="2268" w:type="dxa"/>
            <w:noWrap/>
            <w:hideMark/>
          </w:tcPr>
          <w:p w14:paraId="0ACE13B1" w14:textId="77777777" w:rsidR="00846A43" w:rsidRPr="00D7142A" w:rsidRDefault="00846A43" w:rsidP="008727A1">
            <w:pPr>
              <w:keepNext/>
              <w:spacing w:line="240" w:lineRule="auto"/>
              <w:rPr>
                <w:rFonts w:ascii="Times New Roman" w:eastAsia="Arial Unicode MS" w:hAnsi="Times New Roman" w:cs="Times New Roman"/>
                <w:bCs/>
              </w:rPr>
            </w:pPr>
            <w:r w:rsidRPr="00D7142A">
              <w:rPr>
                <w:rFonts w:ascii="Times New Roman" w:hAnsi="Times New Roman" w:cs="Times New Roman"/>
              </w:rPr>
              <w:t>136 (22.7)</w:t>
            </w:r>
          </w:p>
        </w:tc>
      </w:tr>
      <w:tr w:rsidR="00846A43" w:rsidRPr="00D7142A" w14:paraId="7A971920" w14:textId="77777777" w:rsidTr="00007AF3">
        <w:trPr>
          <w:trHeight w:val="20"/>
        </w:trPr>
        <w:tc>
          <w:tcPr>
            <w:tcW w:w="3369" w:type="dxa"/>
            <w:tcBorders>
              <w:top w:val="single" w:sz="4" w:space="0" w:color="auto"/>
              <w:bottom w:val="single" w:sz="4" w:space="0" w:color="auto"/>
              <w:right w:val="single" w:sz="8" w:space="0" w:color="auto"/>
            </w:tcBorders>
            <w:noWrap/>
            <w:hideMark/>
          </w:tcPr>
          <w:p w14:paraId="1AB3C170" w14:textId="77777777" w:rsidR="00846A43" w:rsidRPr="00D7142A" w:rsidRDefault="00846A43" w:rsidP="008727A1">
            <w:pPr>
              <w:keepNext/>
              <w:spacing w:line="240" w:lineRule="auto"/>
              <w:rPr>
                <w:rFonts w:ascii="Times New Roman" w:eastAsia="Arial Unicode MS" w:hAnsi="Times New Roman" w:cs="Times New Roman"/>
                <w:bCs/>
              </w:rPr>
            </w:pPr>
            <w:r w:rsidRPr="00D7142A">
              <w:rPr>
                <w:rFonts w:ascii="Times New Roman" w:hAnsi="Times New Roman" w:cs="Times New Roman"/>
              </w:rPr>
              <w:t>Financing</w:t>
            </w:r>
          </w:p>
        </w:tc>
        <w:tc>
          <w:tcPr>
            <w:tcW w:w="1771" w:type="dxa"/>
            <w:tcBorders>
              <w:top w:val="single" w:sz="4" w:space="0" w:color="auto"/>
              <w:left w:val="single" w:sz="8" w:space="0" w:color="auto"/>
              <w:bottom w:val="single" w:sz="4" w:space="0" w:color="auto"/>
              <w:right w:val="nil"/>
            </w:tcBorders>
            <w:noWrap/>
            <w:hideMark/>
          </w:tcPr>
          <w:p w14:paraId="7D10A4EC" w14:textId="77777777" w:rsidR="00846A43" w:rsidRPr="00D7142A" w:rsidRDefault="00846A43" w:rsidP="008727A1">
            <w:pPr>
              <w:keepNext/>
              <w:spacing w:line="240" w:lineRule="auto"/>
              <w:rPr>
                <w:rFonts w:ascii="Times New Roman" w:eastAsia="Arial Unicode MS" w:hAnsi="Times New Roman" w:cs="Times New Roman"/>
                <w:bCs/>
              </w:rPr>
            </w:pPr>
            <w:r w:rsidRPr="00D7142A">
              <w:rPr>
                <w:rFonts w:ascii="Times New Roman" w:hAnsi="Times New Roman" w:cs="Times New Roman"/>
              </w:rPr>
              <w:t>21 (5.4)</w:t>
            </w:r>
          </w:p>
        </w:tc>
        <w:tc>
          <w:tcPr>
            <w:tcW w:w="1772" w:type="dxa"/>
            <w:tcBorders>
              <w:top w:val="single" w:sz="4" w:space="0" w:color="auto"/>
              <w:left w:val="nil"/>
              <w:bottom w:val="single" w:sz="4" w:space="0" w:color="auto"/>
            </w:tcBorders>
            <w:noWrap/>
            <w:hideMark/>
          </w:tcPr>
          <w:p w14:paraId="0293FDA1" w14:textId="77777777" w:rsidR="00846A43" w:rsidRPr="00D7142A" w:rsidRDefault="00846A43" w:rsidP="008727A1">
            <w:pPr>
              <w:keepNext/>
              <w:spacing w:line="240" w:lineRule="auto"/>
              <w:rPr>
                <w:rFonts w:ascii="Times New Roman" w:eastAsia="Arial Unicode MS" w:hAnsi="Times New Roman" w:cs="Times New Roman"/>
                <w:bCs/>
              </w:rPr>
            </w:pPr>
            <w:r w:rsidRPr="00D7142A">
              <w:rPr>
                <w:rFonts w:ascii="Times New Roman" w:hAnsi="Times New Roman" w:cs="Times New Roman"/>
              </w:rPr>
              <w:t>31 (14.7)</w:t>
            </w:r>
          </w:p>
        </w:tc>
        <w:tc>
          <w:tcPr>
            <w:tcW w:w="2268" w:type="dxa"/>
            <w:noWrap/>
            <w:hideMark/>
          </w:tcPr>
          <w:p w14:paraId="0275C1C3" w14:textId="77777777" w:rsidR="00846A43" w:rsidRPr="00D7142A" w:rsidRDefault="00846A43" w:rsidP="008727A1">
            <w:pPr>
              <w:keepNext/>
              <w:spacing w:line="240" w:lineRule="auto"/>
              <w:rPr>
                <w:rFonts w:ascii="Times New Roman" w:eastAsia="Arial Unicode MS" w:hAnsi="Times New Roman" w:cs="Times New Roman"/>
                <w:bCs/>
              </w:rPr>
            </w:pPr>
            <w:r w:rsidRPr="00D7142A">
              <w:rPr>
                <w:rFonts w:ascii="Times New Roman" w:hAnsi="Times New Roman" w:cs="Times New Roman"/>
              </w:rPr>
              <w:t>52 (8.7)</w:t>
            </w:r>
          </w:p>
        </w:tc>
      </w:tr>
      <w:tr w:rsidR="00846A43" w:rsidRPr="00D7142A" w14:paraId="68D0C070" w14:textId="77777777" w:rsidTr="00007AF3">
        <w:trPr>
          <w:trHeight w:val="20"/>
        </w:trPr>
        <w:tc>
          <w:tcPr>
            <w:tcW w:w="3369" w:type="dxa"/>
            <w:tcBorders>
              <w:top w:val="single" w:sz="4" w:space="0" w:color="auto"/>
              <w:bottom w:val="single" w:sz="4" w:space="0" w:color="auto"/>
              <w:right w:val="single" w:sz="8" w:space="0" w:color="auto"/>
            </w:tcBorders>
            <w:noWrap/>
          </w:tcPr>
          <w:p w14:paraId="11ABD5D0" w14:textId="77777777" w:rsidR="00846A43" w:rsidRPr="00D7142A" w:rsidRDefault="00846A43" w:rsidP="008727A1">
            <w:pPr>
              <w:keepNext/>
              <w:spacing w:line="240" w:lineRule="auto"/>
              <w:rPr>
                <w:rFonts w:ascii="Times New Roman" w:eastAsia="Arial Unicode MS" w:hAnsi="Times New Roman" w:cs="Times New Roman"/>
                <w:bCs/>
              </w:rPr>
            </w:pPr>
            <w:r w:rsidRPr="00D7142A">
              <w:rPr>
                <w:rFonts w:ascii="Times New Roman" w:hAnsi="Times New Roman" w:cs="Times New Roman"/>
              </w:rPr>
              <w:t>Bricolage</w:t>
            </w:r>
          </w:p>
        </w:tc>
        <w:tc>
          <w:tcPr>
            <w:tcW w:w="1771" w:type="dxa"/>
            <w:tcBorders>
              <w:top w:val="single" w:sz="4" w:space="0" w:color="auto"/>
              <w:left w:val="single" w:sz="8" w:space="0" w:color="auto"/>
              <w:bottom w:val="single" w:sz="4" w:space="0" w:color="auto"/>
              <w:right w:val="nil"/>
            </w:tcBorders>
            <w:noWrap/>
          </w:tcPr>
          <w:p w14:paraId="08363BD9" w14:textId="77777777" w:rsidR="00846A43" w:rsidRPr="00D7142A" w:rsidRDefault="00846A43" w:rsidP="008727A1">
            <w:pPr>
              <w:keepNext/>
              <w:spacing w:line="240" w:lineRule="auto"/>
              <w:rPr>
                <w:rFonts w:ascii="Times New Roman" w:hAnsi="Times New Roman" w:cs="Times New Roman"/>
              </w:rPr>
            </w:pPr>
            <w:r w:rsidRPr="00D7142A">
              <w:rPr>
                <w:rFonts w:ascii="Times New Roman" w:hAnsi="Times New Roman" w:cs="Times New Roman"/>
              </w:rPr>
              <w:t>6 (1.6)</w:t>
            </w:r>
          </w:p>
        </w:tc>
        <w:tc>
          <w:tcPr>
            <w:tcW w:w="1772" w:type="dxa"/>
            <w:tcBorders>
              <w:top w:val="single" w:sz="4" w:space="0" w:color="auto"/>
              <w:left w:val="nil"/>
              <w:bottom w:val="single" w:sz="4" w:space="0" w:color="auto"/>
            </w:tcBorders>
            <w:noWrap/>
          </w:tcPr>
          <w:p w14:paraId="23A2988D" w14:textId="77777777" w:rsidR="00846A43" w:rsidRPr="00D7142A" w:rsidRDefault="00846A43" w:rsidP="008727A1">
            <w:pPr>
              <w:keepNext/>
              <w:spacing w:line="240" w:lineRule="auto"/>
              <w:rPr>
                <w:rFonts w:ascii="Times New Roman" w:hAnsi="Times New Roman" w:cs="Times New Roman"/>
              </w:rPr>
            </w:pPr>
            <w:r w:rsidRPr="00D7142A">
              <w:rPr>
                <w:rFonts w:ascii="Times New Roman" w:hAnsi="Times New Roman" w:cs="Times New Roman"/>
              </w:rPr>
              <w:t>4 (1.9)</w:t>
            </w:r>
          </w:p>
        </w:tc>
        <w:tc>
          <w:tcPr>
            <w:tcW w:w="2268" w:type="dxa"/>
            <w:noWrap/>
          </w:tcPr>
          <w:p w14:paraId="2FC30CD9" w14:textId="77777777" w:rsidR="00846A43" w:rsidRPr="00D7142A" w:rsidRDefault="00846A43" w:rsidP="008727A1">
            <w:pPr>
              <w:keepNext/>
              <w:spacing w:line="240" w:lineRule="auto"/>
              <w:rPr>
                <w:rFonts w:ascii="Times New Roman" w:hAnsi="Times New Roman" w:cs="Times New Roman"/>
              </w:rPr>
            </w:pPr>
            <w:r w:rsidRPr="00D7142A">
              <w:rPr>
                <w:rFonts w:ascii="Times New Roman" w:hAnsi="Times New Roman" w:cs="Times New Roman"/>
              </w:rPr>
              <w:t>10 (1.7)</w:t>
            </w:r>
          </w:p>
        </w:tc>
      </w:tr>
      <w:tr w:rsidR="00846A43" w:rsidRPr="00D7142A" w14:paraId="0359360A" w14:textId="77777777" w:rsidTr="00D44633">
        <w:trPr>
          <w:trHeight w:val="20"/>
        </w:trPr>
        <w:tc>
          <w:tcPr>
            <w:tcW w:w="3369" w:type="dxa"/>
            <w:tcBorders>
              <w:top w:val="single" w:sz="4" w:space="0" w:color="auto"/>
              <w:bottom w:val="single" w:sz="4" w:space="0" w:color="auto"/>
              <w:right w:val="single" w:sz="8" w:space="0" w:color="auto"/>
            </w:tcBorders>
            <w:noWrap/>
            <w:hideMark/>
          </w:tcPr>
          <w:p w14:paraId="2B738033" w14:textId="77777777" w:rsidR="00846A43" w:rsidRPr="00D7142A" w:rsidRDefault="00846A43" w:rsidP="008727A1">
            <w:pPr>
              <w:keepNext/>
              <w:spacing w:line="240" w:lineRule="auto"/>
              <w:rPr>
                <w:rFonts w:ascii="Times New Roman" w:eastAsia="Arial Unicode MS" w:hAnsi="Times New Roman" w:cs="Times New Roman"/>
                <w:b/>
                <w:bCs/>
              </w:rPr>
            </w:pPr>
            <w:r w:rsidRPr="00D7142A">
              <w:rPr>
                <w:rFonts w:ascii="Times New Roman" w:eastAsia="Arial Unicode MS" w:hAnsi="Times New Roman" w:cs="Times New Roman"/>
                <w:b/>
                <w:bCs/>
              </w:rPr>
              <w:t>Total mentions (N, row %)</w:t>
            </w:r>
          </w:p>
        </w:tc>
        <w:tc>
          <w:tcPr>
            <w:tcW w:w="1771" w:type="dxa"/>
            <w:tcBorders>
              <w:top w:val="single" w:sz="4" w:space="0" w:color="auto"/>
              <w:left w:val="single" w:sz="8" w:space="0" w:color="auto"/>
              <w:bottom w:val="single" w:sz="4" w:space="0" w:color="auto"/>
              <w:right w:val="nil"/>
            </w:tcBorders>
            <w:noWrap/>
            <w:hideMark/>
          </w:tcPr>
          <w:p w14:paraId="0909F381" w14:textId="77777777" w:rsidR="00846A43" w:rsidRPr="00D7142A" w:rsidRDefault="00846A43" w:rsidP="008727A1">
            <w:pPr>
              <w:keepNext/>
              <w:spacing w:line="240" w:lineRule="auto"/>
              <w:rPr>
                <w:rFonts w:ascii="Times New Roman" w:eastAsia="Arial Unicode MS" w:hAnsi="Times New Roman" w:cs="Times New Roman"/>
                <w:b/>
                <w:bCs/>
              </w:rPr>
            </w:pPr>
            <w:r w:rsidRPr="00D7142A">
              <w:rPr>
                <w:rFonts w:ascii="Times New Roman" w:hAnsi="Times New Roman" w:cs="Times New Roman"/>
              </w:rPr>
              <w:t>387 (64.7)</w:t>
            </w:r>
          </w:p>
        </w:tc>
        <w:tc>
          <w:tcPr>
            <w:tcW w:w="1772" w:type="dxa"/>
            <w:tcBorders>
              <w:top w:val="single" w:sz="4" w:space="0" w:color="auto"/>
              <w:left w:val="nil"/>
              <w:bottom w:val="single" w:sz="4" w:space="0" w:color="auto"/>
            </w:tcBorders>
            <w:noWrap/>
            <w:hideMark/>
          </w:tcPr>
          <w:p w14:paraId="5DCF6092" w14:textId="77777777" w:rsidR="00846A43" w:rsidRPr="00D7142A" w:rsidRDefault="00846A43" w:rsidP="008727A1">
            <w:pPr>
              <w:keepNext/>
              <w:spacing w:line="240" w:lineRule="auto"/>
              <w:rPr>
                <w:rFonts w:ascii="Times New Roman" w:eastAsia="Arial Unicode MS" w:hAnsi="Times New Roman" w:cs="Times New Roman"/>
                <w:b/>
                <w:bCs/>
              </w:rPr>
            </w:pPr>
            <w:r w:rsidRPr="00D7142A">
              <w:rPr>
                <w:rFonts w:ascii="Times New Roman" w:hAnsi="Times New Roman" w:cs="Times New Roman"/>
              </w:rPr>
              <w:t>211 (35.3)</w:t>
            </w:r>
          </w:p>
        </w:tc>
        <w:tc>
          <w:tcPr>
            <w:tcW w:w="2268" w:type="dxa"/>
            <w:noWrap/>
            <w:hideMark/>
          </w:tcPr>
          <w:p w14:paraId="77B8B087" w14:textId="77777777" w:rsidR="00846A43" w:rsidRPr="00D7142A" w:rsidRDefault="00846A43" w:rsidP="008727A1">
            <w:pPr>
              <w:keepNext/>
              <w:spacing w:line="240" w:lineRule="auto"/>
              <w:rPr>
                <w:rFonts w:ascii="Times New Roman" w:eastAsia="Arial Unicode MS" w:hAnsi="Times New Roman" w:cs="Times New Roman"/>
                <w:b/>
                <w:bCs/>
              </w:rPr>
            </w:pPr>
            <w:r w:rsidRPr="00D7142A">
              <w:rPr>
                <w:rFonts w:ascii="Times New Roman" w:hAnsi="Times New Roman" w:cs="Times New Roman"/>
              </w:rPr>
              <w:t>598 (100)</w:t>
            </w:r>
          </w:p>
        </w:tc>
      </w:tr>
      <w:tr w:rsidR="00D44633" w:rsidRPr="00D7142A" w14:paraId="6AC31186" w14:textId="77777777" w:rsidTr="00696C12">
        <w:trPr>
          <w:trHeight w:val="20"/>
        </w:trPr>
        <w:tc>
          <w:tcPr>
            <w:tcW w:w="9180" w:type="dxa"/>
            <w:gridSpan w:val="4"/>
            <w:tcBorders>
              <w:top w:val="single" w:sz="4" w:space="0" w:color="auto"/>
              <w:bottom w:val="nil"/>
            </w:tcBorders>
            <w:noWrap/>
          </w:tcPr>
          <w:p w14:paraId="5CDB7923" w14:textId="22F2D009" w:rsidR="00D44633" w:rsidRPr="00D7142A" w:rsidRDefault="00D44633" w:rsidP="00D44633">
            <w:pPr>
              <w:spacing w:line="240" w:lineRule="auto"/>
            </w:pPr>
            <w:r w:rsidRPr="00D7142A">
              <w:t xml:space="preserve">Source: </w:t>
            </w:r>
            <w:proofErr w:type="spellStart"/>
            <w:r w:rsidRPr="00D7142A">
              <w:t>EUinUK</w:t>
            </w:r>
            <w:proofErr w:type="spellEnd"/>
            <w:r w:rsidRPr="00D7142A">
              <w:t xml:space="preserve"> 2016 survey</w:t>
            </w:r>
          </w:p>
        </w:tc>
      </w:tr>
    </w:tbl>
    <w:p w14:paraId="206552E8" w14:textId="77777777" w:rsidR="00846A43" w:rsidRPr="00D7142A" w:rsidRDefault="00846A43" w:rsidP="00846A43">
      <w:pPr>
        <w:sectPr w:rsidR="00846A43" w:rsidRPr="00D7142A" w:rsidSect="0083518E">
          <w:type w:val="continuous"/>
          <w:pgSz w:w="11906" w:h="16838"/>
          <w:pgMar w:top="1440" w:right="1133" w:bottom="1440" w:left="1440" w:header="708" w:footer="708" w:gutter="0"/>
          <w:cols w:space="708"/>
          <w:docGrid w:linePitch="360"/>
        </w:sectPr>
      </w:pPr>
    </w:p>
    <w:p w14:paraId="72D4D2EB" w14:textId="77777777" w:rsidR="00846A43" w:rsidRPr="00D7142A" w:rsidRDefault="00846A43" w:rsidP="008727A1">
      <w:pPr>
        <w:spacing w:line="240" w:lineRule="auto"/>
      </w:pPr>
      <w:r w:rsidRPr="00D7142A">
        <w:rPr>
          <w:b/>
          <w:bCs/>
        </w:rPr>
        <w:lastRenderedPageBreak/>
        <w:t xml:space="preserve">Table 4: </w:t>
      </w:r>
      <w:r w:rsidRPr="00D7142A">
        <w:rPr>
          <w:rFonts w:eastAsia="Arial Unicode MS"/>
          <w:b/>
          <w:bCs/>
        </w:rPr>
        <w:t>Reasons for treatment country preference (detailed coding, coded mentions)</w:t>
      </w:r>
    </w:p>
    <w:tbl>
      <w:tblPr>
        <w:tblpPr w:leftFromText="180" w:rightFromText="180" w:vertAnchor="page" w:horzAnchor="margin" w:tblpY="2152"/>
        <w:tblW w:w="14467" w:type="dxa"/>
        <w:tblLook w:val="04A0" w:firstRow="1" w:lastRow="0" w:firstColumn="1" w:lastColumn="0" w:noHBand="0" w:noVBand="1"/>
      </w:tblPr>
      <w:tblGrid>
        <w:gridCol w:w="1985"/>
        <w:gridCol w:w="3118"/>
        <w:gridCol w:w="576"/>
        <w:gridCol w:w="1282"/>
        <w:gridCol w:w="1276"/>
        <w:gridCol w:w="3245"/>
        <w:gridCol w:w="576"/>
        <w:gridCol w:w="1165"/>
        <w:gridCol w:w="1244"/>
      </w:tblGrid>
      <w:tr w:rsidR="00846A43" w:rsidRPr="00D7142A" w14:paraId="5FDD9169" w14:textId="77777777" w:rsidTr="00007AF3">
        <w:trPr>
          <w:trHeight w:val="227"/>
        </w:trPr>
        <w:tc>
          <w:tcPr>
            <w:tcW w:w="1985" w:type="dxa"/>
            <w:tcBorders>
              <w:top w:val="nil"/>
              <w:left w:val="nil"/>
              <w:bottom w:val="single" w:sz="4" w:space="0" w:color="auto"/>
              <w:right w:val="nil"/>
            </w:tcBorders>
            <w:shd w:val="clear" w:color="auto" w:fill="auto"/>
            <w:noWrap/>
            <w:vAlign w:val="bottom"/>
            <w:hideMark/>
          </w:tcPr>
          <w:p w14:paraId="69AC6B78" w14:textId="77777777" w:rsidR="00846A43" w:rsidRPr="00D7142A" w:rsidRDefault="00846A43" w:rsidP="008727A1">
            <w:pPr>
              <w:spacing w:line="240" w:lineRule="auto"/>
              <w:rPr>
                <w:b/>
                <w:bCs/>
                <w:color w:val="000000"/>
              </w:rPr>
            </w:pPr>
          </w:p>
        </w:tc>
        <w:tc>
          <w:tcPr>
            <w:tcW w:w="3118" w:type="dxa"/>
            <w:tcBorders>
              <w:top w:val="nil"/>
              <w:left w:val="nil"/>
              <w:bottom w:val="single" w:sz="4" w:space="0" w:color="auto"/>
              <w:right w:val="nil"/>
            </w:tcBorders>
            <w:shd w:val="clear" w:color="auto" w:fill="auto"/>
            <w:vAlign w:val="center"/>
          </w:tcPr>
          <w:p w14:paraId="16A3BC3A" w14:textId="4B34778C" w:rsidR="00846A43" w:rsidRPr="00D7142A" w:rsidRDefault="00846A43" w:rsidP="008727A1">
            <w:pPr>
              <w:spacing w:line="240" w:lineRule="auto"/>
              <w:rPr>
                <w:b/>
                <w:bCs/>
                <w:color w:val="000000"/>
              </w:rPr>
            </w:pPr>
            <w:r w:rsidRPr="00D7142A">
              <w:rPr>
                <w:b/>
                <w:bCs/>
                <w:color w:val="000000"/>
              </w:rPr>
              <w:t xml:space="preserve">Preference: </w:t>
            </w:r>
            <w:proofErr w:type="spellStart"/>
            <w:r w:rsidRPr="00D7142A">
              <w:rPr>
                <w:b/>
                <w:bCs/>
                <w:color w:val="000000"/>
              </w:rPr>
              <w:t>C</w:t>
            </w:r>
            <w:r w:rsidR="0083518E" w:rsidRPr="00D7142A">
              <w:rPr>
                <w:b/>
                <w:bCs/>
                <w:color w:val="000000"/>
              </w:rPr>
              <w:t>o</w:t>
            </w:r>
            <w:r w:rsidRPr="00D7142A">
              <w:rPr>
                <w:b/>
                <w:bCs/>
                <w:color w:val="000000"/>
              </w:rPr>
              <w:t>O</w:t>
            </w:r>
            <w:proofErr w:type="spellEnd"/>
          </w:p>
        </w:tc>
        <w:tc>
          <w:tcPr>
            <w:tcW w:w="576" w:type="dxa"/>
            <w:tcBorders>
              <w:top w:val="nil"/>
              <w:left w:val="nil"/>
              <w:bottom w:val="nil"/>
              <w:right w:val="nil"/>
            </w:tcBorders>
            <w:shd w:val="clear" w:color="auto" w:fill="auto"/>
            <w:noWrap/>
            <w:vAlign w:val="center"/>
            <w:hideMark/>
          </w:tcPr>
          <w:p w14:paraId="2278CA8C" w14:textId="77777777" w:rsidR="00846A43" w:rsidRPr="00D7142A" w:rsidRDefault="00846A43" w:rsidP="008727A1">
            <w:pPr>
              <w:spacing w:line="240" w:lineRule="auto"/>
              <w:jc w:val="center"/>
              <w:rPr>
                <w:color w:val="000000"/>
              </w:rPr>
            </w:pPr>
            <w:r w:rsidRPr="00D7142A">
              <w:rPr>
                <w:color w:val="000000"/>
              </w:rPr>
              <w:t>N</w:t>
            </w:r>
          </w:p>
        </w:tc>
        <w:tc>
          <w:tcPr>
            <w:tcW w:w="1282" w:type="dxa"/>
            <w:tcBorders>
              <w:top w:val="nil"/>
              <w:left w:val="nil"/>
              <w:bottom w:val="nil"/>
              <w:right w:val="nil"/>
            </w:tcBorders>
            <w:shd w:val="clear" w:color="auto" w:fill="auto"/>
            <w:noWrap/>
            <w:vAlign w:val="center"/>
            <w:hideMark/>
          </w:tcPr>
          <w:p w14:paraId="0EFF2FA9" w14:textId="77777777" w:rsidR="00846A43" w:rsidRPr="00D7142A" w:rsidRDefault="00846A43" w:rsidP="008727A1">
            <w:pPr>
              <w:spacing w:line="240" w:lineRule="auto"/>
              <w:jc w:val="center"/>
              <w:rPr>
                <w:color w:val="000000"/>
              </w:rPr>
            </w:pPr>
            <w:r w:rsidRPr="00D7142A">
              <w:rPr>
                <w:color w:val="000000"/>
              </w:rPr>
              <w:t xml:space="preserve">% </w:t>
            </w:r>
            <w:proofErr w:type="gramStart"/>
            <w:r w:rsidRPr="00D7142A">
              <w:rPr>
                <w:color w:val="000000"/>
              </w:rPr>
              <w:t>themes</w:t>
            </w:r>
            <w:proofErr w:type="gramEnd"/>
          </w:p>
        </w:tc>
        <w:tc>
          <w:tcPr>
            <w:tcW w:w="1276" w:type="dxa"/>
            <w:tcBorders>
              <w:top w:val="nil"/>
              <w:left w:val="nil"/>
              <w:bottom w:val="single" w:sz="4" w:space="0" w:color="auto"/>
              <w:right w:val="single" w:sz="18" w:space="0" w:color="auto"/>
            </w:tcBorders>
            <w:shd w:val="clear" w:color="auto" w:fill="auto"/>
            <w:noWrap/>
            <w:vAlign w:val="center"/>
            <w:hideMark/>
          </w:tcPr>
          <w:p w14:paraId="6ED40EDA" w14:textId="77777777" w:rsidR="00846A43" w:rsidRPr="00D7142A" w:rsidRDefault="00846A43" w:rsidP="008727A1">
            <w:pPr>
              <w:spacing w:line="240" w:lineRule="auto"/>
              <w:jc w:val="center"/>
            </w:pPr>
            <w:r w:rsidRPr="00D7142A">
              <w:t xml:space="preserve">% </w:t>
            </w:r>
            <w:proofErr w:type="gramStart"/>
            <w:r w:rsidRPr="00D7142A">
              <w:t>sample</w:t>
            </w:r>
            <w:proofErr w:type="gramEnd"/>
          </w:p>
        </w:tc>
        <w:tc>
          <w:tcPr>
            <w:tcW w:w="3245" w:type="dxa"/>
            <w:tcBorders>
              <w:top w:val="nil"/>
              <w:left w:val="single" w:sz="18" w:space="0" w:color="auto"/>
              <w:bottom w:val="nil"/>
              <w:right w:val="nil"/>
            </w:tcBorders>
            <w:shd w:val="clear" w:color="auto" w:fill="auto"/>
            <w:noWrap/>
            <w:vAlign w:val="center"/>
            <w:hideMark/>
          </w:tcPr>
          <w:p w14:paraId="584AC4B1" w14:textId="77777777" w:rsidR="00846A43" w:rsidRPr="00D7142A" w:rsidRDefault="00846A43" w:rsidP="008727A1">
            <w:pPr>
              <w:spacing w:line="240" w:lineRule="auto"/>
              <w:rPr>
                <w:b/>
                <w:bCs/>
                <w:color w:val="000000"/>
              </w:rPr>
            </w:pPr>
            <w:r w:rsidRPr="00D7142A">
              <w:rPr>
                <w:b/>
                <w:bCs/>
                <w:color w:val="000000"/>
              </w:rPr>
              <w:t>Preference: UK</w:t>
            </w:r>
          </w:p>
        </w:tc>
        <w:tc>
          <w:tcPr>
            <w:tcW w:w="576" w:type="dxa"/>
            <w:tcBorders>
              <w:top w:val="nil"/>
              <w:left w:val="nil"/>
              <w:bottom w:val="nil"/>
              <w:right w:val="nil"/>
            </w:tcBorders>
            <w:shd w:val="clear" w:color="auto" w:fill="auto"/>
            <w:noWrap/>
            <w:vAlign w:val="center"/>
            <w:hideMark/>
          </w:tcPr>
          <w:p w14:paraId="4768B21C" w14:textId="77777777" w:rsidR="00846A43" w:rsidRPr="00D7142A" w:rsidRDefault="00846A43" w:rsidP="008727A1">
            <w:pPr>
              <w:spacing w:line="240" w:lineRule="auto"/>
              <w:jc w:val="center"/>
              <w:rPr>
                <w:b/>
                <w:bCs/>
                <w:color w:val="000000"/>
              </w:rPr>
            </w:pPr>
            <w:r w:rsidRPr="00D7142A">
              <w:rPr>
                <w:b/>
                <w:bCs/>
                <w:color w:val="000000"/>
              </w:rPr>
              <w:t>N</w:t>
            </w:r>
          </w:p>
        </w:tc>
        <w:tc>
          <w:tcPr>
            <w:tcW w:w="1165" w:type="dxa"/>
            <w:tcBorders>
              <w:top w:val="nil"/>
              <w:left w:val="nil"/>
              <w:bottom w:val="single" w:sz="4" w:space="0" w:color="auto"/>
              <w:right w:val="nil"/>
            </w:tcBorders>
            <w:shd w:val="clear" w:color="auto" w:fill="auto"/>
            <w:noWrap/>
            <w:vAlign w:val="center"/>
            <w:hideMark/>
          </w:tcPr>
          <w:p w14:paraId="1685C706" w14:textId="77777777" w:rsidR="00846A43" w:rsidRPr="00D7142A" w:rsidRDefault="00846A43" w:rsidP="008727A1">
            <w:pPr>
              <w:spacing w:line="240" w:lineRule="auto"/>
              <w:jc w:val="center"/>
              <w:rPr>
                <w:b/>
                <w:bCs/>
                <w:color w:val="000000"/>
              </w:rPr>
            </w:pPr>
            <w:r w:rsidRPr="00D7142A">
              <w:rPr>
                <w:color w:val="000000"/>
              </w:rPr>
              <w:t xml:space="preserve">% </w:t>
            </w:r>
            <w:proofErr w:type="gramStart"/>
            <w:r w:rsidRPr="00D7142A">
              <w:rPr>
                <w:color w:val="000000"/>
              </w:rPr>
              <w:t>themes</w:t>
            </w:r>
            <w:proofErr w:type="gramEnd"/>
          </w:p>
        </w:tc>
        <w:tc>
          <w:tcPr>
            <w:tcW w:w="1244" w:type="dxa"/>
            <w:tcBorders>
              <w:top w:val="nil"/>
              <w:left w:val="nil"/>
              <w:bottom w:val="single" w:sz="4" w:space="0" w:color="auto"/>
            </w:tcBorders>
            <w:shd w:val="clear" w:color="auto" w:fill="auto"/>
            <w:noWrap/>
            <w:vAlign w:val="center"/>
            <w:hideMark/>
          </w:tcPr>
          <w:p w14:paraId="2530E568" w14:textId="77777777" w:rsidR="00846A43" w:rsidRPr="00D7142A" w:rsidRDefault="00846A43" w:rsidP="008727A1">
            <w:pPr>
              <w:spacing w:line="240" w:lineRule="auto"/>
              <w:jc w:val="center"/>
            </w:pPr>
            <w:r w:rsidRPr="00D7142A">
              <w:t xml:space="preserve">% </w:t>
            </w:r>
            <w:proofErr w:type="gramStart"/>
            <w:r w:rsidRPr="00D7142A">
              <w:t>sample</w:t>
            </w:r>
            <w:proofErr w:type="gramEnd"/>
          </w:p>
        </w:tc>
      </w:tr>
      <w:tr w:rsidR="00846A43" w:rsidRPr="00D7142A" w14:paraId="5B654DEB" w14:textId="77777777" w:rsidTr="00007AF3">
        <w:trPr>
          <w:trHeight w:val="227"/>
        </w:trPr>
        <w:tc>
          <w:tcPr>
            <w:tcW w:w="1985" w:type="dxa"/>
            <w:vMerge w:val="restart"/>
            <w:tcBorders>
              <w:top w:val="single" w:sz="4" w:space="0" w:color="auto"/>
              <w:right w:val="nil"/>
            </w:tcBorders>
            <w:shd w:val="clear" w:color="auto" w:fill="auto"/>
            <w:noWrap/>
            <w:vAlign w:val="center"/>
            <w:hideMark/>
          </w:tcPr>
          <w:p w14:paraId="52203FB0" w14:textId="77777777" w:rsidR="00846A43" w:rsidRPr="00D7142A" w:rsidRDefault="00846A43" w:rsidP="008727A1">
            <w:pPr>
              <w:spacing w:line="240" w:lineRule="auto"/>
              <w:rPr>
                <w:color w:val="000000"/>
              </w:rPr>
            </w:pPr>
            <w:r w:rsidRPr="00D7142A">
              <w:rPr>
                <w:color w:val="000000"/>
              </w:rPr>
              <w:t>Standards</w:t>
            </w:r>
          </w:p>
          <w:p w14:paraId="3A3814E9" w14:textId="77777777" w:rsidR="00846A43" w:rsidRPr="00D7142A" w:rsidRDefault="00846A43" w:rsidP="008727A1">
            <w:pPr>
              <w:spacing w:line="240" w:lineRule="auto"/>
              <w:rPr>
                <w:color w:val="000000"/>
              </w:rPr>
            </w:pPr>
          </w:p>
        </w:tc>
        <w:tc>
          <w:tcPr>
            <w:tcW w:w="3118" w:type="dxa"/>
            <w:tcBorders>
              <w:top w:val="single" w:sz="4" w:space="0" w:color="auto"/>
              <w:left w:val="nil"/>
              <w:bottom w:val="nil"/>
              <w:right w:val="nil"/>
            </w:tcBorders>
            <w:shd w:val="clear" w:color="auto" w:fill="auto"/>
            <w:noWrap/>
            <w:vAlign w:val="center"/>
            <w:hideMark/>
          </w:tcPr>
          <w:p w14:paraId="1486FD8C" w14:textId="0AB73191" w:rsidR="00846A43" w:rsidRPr="00D7142A" w:rsidRDefault="00846A43" w:rsidP="008727A1">
            <w:pPr>
              <w:spacing w:line="240" w:lineRule="auto"/>
              <w:rPr>
                <w:color w:val="000000"/>
              </w:rPr>
            </w:pPr>
            <w:proofErr w:type="spellStart"/>
            <w:r w:rsidRPr="00D7142A">
              <w:rPr>
                <w:color w:val="000000"/>
              </w:rPr>
              <w:t>C</w:t>
            </w:r>
            <w:r w:rsidR="0083518E" w:rsidRPr="00D7142A">
              <w:rPr>
                <w:color w:val="000000"/>
              </w:rPr>
              <w:t>o</w:t>
            </w:r>
            <w:r w:rsidRPr="00D7142A">
              <w:rPr>
                <w:color w:val="000000"/>
              </w:rPr>
              <w:t>O</w:t>
            </w:r>
            <w:proofErr w:type="spellEnd"/>
            <w:r w:rsidRPr="00D7142A">
              <w:rPr>
                <w:color w:val="000000"/>
              </w:rPr>
              <w:t xml:space="preserve"> has high standards</w:t>
            </w:r>
          </w:p>
        </w:tc>
        <w:tc>
          <w:tcPr>
            <w:tcW w:w="576" w:type="dxa"/>
            <w:tcBorders>
              <w:top w:val="single" w:sz="4" w:space="0" w:color="auto"/>
              <w:left w:val="nil"/>
              <w:bottom w:val="nil"/>
              <w:right w:val="nil"/>
            </w:tcBorders>
            <w:shd w:val="clear" w:color="auto" w:fill="auto"/>
            <w:noWrap/>
            <w:vAlign w:val="center"/>
            <w:hideMark/>
          </w:tcPr>
          <w:p w14:paraId="19B9A19A" w14:textId="77777777" w:rsidR="00846A43" w:rsidRPr="00D7142A" w:rsidRDefault="00846A43" w:rsidP="008727A1">
            <w:pPr>
              <w:spacing w:line="240" w:lineRule="auto"/>
              <w:jc w:val="center"/>
              <w:rPr>
                <w:color w:val="000000"/>
              </w:rPr>
            </w:pPr>
            <w:r w:rsidRPr="00D7142A">
              <w:rPr>
                <w:color w:val="000000"/>
              </w:rPr>
              <w:t>2</w:t>
            </w:r>
          </w:p>
        </w:tc>
        <w:tc>
          <w:tcPr>
            <w:tcW w:w="1282" w:type="dxa"/>
            <w:tcBorders>
              <w:top w:val="single" w:sz="4" w:space="0" w:color="auto"/>
              <w:left w:val="nil"/>
              <w:bottom w:val="nil"/>
              <w:right w:val="nil"/>
            </w:tcBorders>
            <w:shd w:val="clear" w:color="auto" w:fill="auto"/>
            <w:noWrap/>
            <w:vAlign w:val="center"/>
            <w:hideMark/>
          </w:tcPr>
          <w:p w14:paraId="01795E33" w14:textId="77777777" w:rsidR="00846A43" w:rsidRPr="00D7142A" w:rsidRDefault="00846A43" w:rsidP="008727A1">
            <w:pPr>
              <w:spacing w:line="240" w:lineRule="auto"/>
              <w:jc w:val="center"/>
              <w:rPr>
                <w:color w:val="000000"/>
              </w:rPr>
            </w:pPr>
            <w:r w:rsidRPr="00D7142A">
              <w:rPr>
                <w:color w:val="000000"/>
              </w:rPr>
              <w:t>0.5</w:t>
            </w:r>
          </w:p>
        </w:tc>
        <w:tc>
          <w:tcPr>
            <w:tcW w:w="1276" w:type="dxa"/>
            <w:tcBorders>
              <w:top w:val="single" w:sz="4" w:space="0" w:color="auto"/>
              <w:left w:val="nil"/>
              <w:bottom w:val="nil"/>
              <w:right w:val="single" w:sz="18" w:space="0" w:color="auto"/>
            </w:tcBorders>
            <w:shd w:val="clear" w:color="auto" w:fill="auto"/>
            <w:noWrap/>
            <w:vAlign w:val="center"/>
            <w:hideMark/>
          </w:tcPr>
          <w:p w14:paraId="281F886B" w14:textId="77777777" w:rsidR="00846A43" w:rsidRPr="00D7142A" w:rsidRDefault="00846A43" w:rsidP="008727A1">
            <w:pPr>
              <w:spacing w:line="240" w:lineRule="auto"/>
              <w:jc w:val="center"/>
              <w:rPr>
                <w:color w:val="000000"/>
              </w:rPr>
            </w:pPr>
            <w:r w:rsidRPr="00D7142A">
              <w:rPr>
                <w:color w:val="000000"/>
              </w:rPr>
              <w:t>0.6</w:t>
            </w:r>
          </w:p>
        </w:tc>
        <w:tc>
          <w:tcPr>
            <w:tcW w:w="3245" w:type="dxa"/>
            <w:tcBorders>
              <w:top w:val="single" w:sz="4" w:space="0" w:color="auto"/>
              <w:left w:val="single" w:sz="18" w:space="0" w:color="auto"/>
              <w:bottom w:val="nil"/>
              <w:right w:val="nil"/>
            </w:tcBorders>
            <w:shd w:val="clear" w:color="auto" w:fill="auto"/>
            <w:noWrap/>
            <w:vAlign w:val="center"/>
            <w:hideMark/>
          </w:tcPr>
          <w:p w14:paraId="5CC14C0F" w14:textId="77777777" w:rsidR="00846A43" w:rsidRPr="00D7142A" w:rsidRDefault="00846A43" w:rsidP="008727A1">
            <w:pPr>
              <w:spacing w:line="240" w:lineRule="auto"/>
              <w:rPr>
                <w:color w:val="000000"/>
              </w:rPr>
            </w:pPr>
            <w:r w:rsidRPr="00D7142A">
              <w:rPr>
                <w:color w:val="000000"/>
              </w:rPr>
              <w:t>UK has high standards</w:t>
            </w:r>
          </w:p>
        </w:tc>
        <w:tc>
          <w:tcPr>
            <w:tcW w:w="576" w:type="dxa"/>
            <w:tcBorders>
              <w:top w:val="single" w:sz="4" w:space="0" w:color="auto"/>
              <w:left w:val="nil"/>
              <w:bottom w:val="nil"/>
            </w:tcBorders>
            <w:shd w:val="clear" w:color="auto" w:fill="auto"/>
            <w:noWrap/>
            <w:vAlign w:val="center"/>
            <w:hideMark/>
          </w:tcPr>
          <w:p w14:paraId="7E8FC2F6" w14:textId="77777777" w:rsidR="00846A43" w:rsidRPr="00D7142A" w:rsidRDefault="00846A43" w:rsidP="008727A1">
            <w:pPr>
              <w:spacing w:line="240" w:lineRule="auto"/>
              <w:jc w:val="center"/>
              <w:rPr>
                <w:color w:val="000000"/>
              </w:rPr>
            </w:pPr>
            <w:r w:rsidRPr="00D7142A">
              <w:rPr>
                <w:color w:val="000000"/>
              </w:rPr>
              <w:t>19</w:t>
            </w:r>
          </w:p>
        </w:tc>
        <w:tc>
          <w:tcPr>
            <w:tcW w:w="1165" w:type="dxa"/>
            <w:tcBorders>
              <w:top w:val="single" w:sz="4" w:space="0" w:color="auto"/>
              <w:bottom w:val="nil"/>
              <w:right w:val="nil"/>
            </w:tcBorders>
            <w:shd w:val="clear" w:color="auto" w:fill="auto"/>
            <w:noWrap/>
            <w:vAlign w:val="center"/>
            <w:hideMark/>
          </w:tcPr>
          <w:p w14:paraId="6C3741EA" w14:textId="77777777" w:rsidR="00846A43" w:rsidRPr="00D7142A" w:rsidRDefault="00846A43" w:rsidP="008727A1">
            <w:pPr>
              <w:spacing w:line="240" w:lineRule="auto"/>
              <w:jc w:val="center"/>
              <w:rPr>
                <w:color w:val="000000"/>
              </w:rPr>
            </w:pPr>
            <w:r w:rsidRPr="00D7142A">
              <w:rPr>
                <w:color w:val="000000"/>
              </w:rPr>
              <w:t>9.0</w:t>
            </w:r>
          </w:p>
        </w:tc>
        <w:tc>
          <w:tcPr>
            <w:tcW w:w="1244" w:type="dxa"/>
            <w:tcBorders>
              <w:top w:val="single" w:sz="4" w:space="0" w:color="auto"/>
              <w:left w:val="nil"/>
            </w:tcBorders>
            <w:shd w:val="clear" w:color="auto" w:fill="auto"/>
            <w:noWrap/>
            <w:vAlign w:val="center"/>
            <w:hideMark/>
          </w:tcPr>
          <w:p w14:paraId="1EE8933D" w14:textId="77777777" w:rsidR="00846A43" w:rsidRPr="00D7142A" w:rsidRDefault="00846A43" w:rsidP="008727A1">
            <w:pPr>
              <w:spacing w:line="240" w:lineRule="auto"/>
              <w:jc w:val="center"/>
              <w:rPr>
                <w:color w:val="000000"/>
              </w:rPr>
            </w:pPr>
            <w:r w:rsidRPr="00D7142A">
              <w:rPr>
                <w:color w:val="000000"/>
              </w:rPr>
              <w:t>10.9</w:t>
            </w:r>
          </w:p>
        </w:tc>
      </w:tr>
      <w:tr w:rsidR="00846A43" w:rsidRPr="00D7142A" w14:paraId="699DF225" w14:textId="77777777" w:rsidTr="00007AF3">
        <w:trPr>
          <w:trHeight w:val="227"/>
        </w:trPr>
        <w:tc>
          <w:tcPr>
            <w:tcW w:w="1985" w:type="dxa"/>
            <w:vMerge/>
            <w:tcBorders>
              <w:right w:val="nil"/>
            </w:tcBorders>
            <w:shd w:val="clear" w:color="auto" w:fill="auto"/>
            <w:noWrap/>
            <w:vAlign w:val="center"/>
            <w:hideMark/>
          </w:tcPr>
          <w:p w14:paraId="586B2A81" w14:textId="77777777" w:rsidR="00846A43" w:rsidRPr="00D7142A" w:rsidRDefault="00846A43" w:rsidP="008727A1">
            <w:pPr>
              <w:spacing w:line="240" w:lineRule="auto"/>
              <w:rPr>
                <w:color w:val="000000"/>
              </w:rPr>
            </w:pPr>
          </w:p>
        </w:tc>
        <w:tc>
          <w:tcPr>
            <w:tcW w:w="3118" w:type="dxa"/>
            <w:tcBorders>
              <w:top w:val="nil"/>
              <w:left w:val="nil"/>
              <w:bottom w:val="nil"/>
              <w:right w:val="nil"/>
            </w:tcBorders>
            <w:shd w:val="clear" w:color="auto" w:fill="auto"/>
            <w:noWrap/>
            <w:vAlign w:val="center"/>
            <w:hideMark/>
          </w:tcPr>
          <w:p w14:paraId="224A738D" w14:textId="4DA2B98B" w:rsidR="00846A43" w:rsidRPr="00D7142A" w:rsidRDefault="00846A43" w:rsidP="008727A1">
            <w:pPr>
              <w:spacing w:line="240" w:lineRule="auto"/>
            </w:pPr>
            <w:proofErr w:type="spellStart"/>
            <w:r w:rsidRPr="00D7142A">
              <w:t>C</w:t>
            </w:r>
            <w:r w:rsidR="0083518E" w:rsidRPr="00D7142A">
              <w:t>o</w:t>
            </w:r>
            <w:r w:rsidRPr="00D7142A">
              <w:t>O</w:t>
            </w:r>
            <w:proofErr w:type="spellEnd"/>
            <w:r w:rsidRPr="00D7142A">
              <w:t xml:space="preserve"> has higher standards</w:t>
            </w:r>
          </w:p>
        </w:tc>
        <w:tc>
          <w:tcPr>
            <w:tcW w:w="576" w:type="dxa"/>
            <w:tcBorders>
              <w:top w:val="nil"/>
              <w:left w:val="nil"/>
              <w:bottom w:val="nil"/>
              <w:right w:val="nil"/>
            </w:tcBorders>
            <w:shd w:val="clear" w:color="auto" w:fill="auto"/>
            <w:noWrap/>
            <w:vAlign w:val="center"/>
            <w:hideMark/>
          </w:tcPr>
          <w:p w14:paraId="1D3FB627" w14:textId="77777777" w:rsidR="00846A43" w:rsidRPr="00D7142A" w:rsidRDefault="00846A43" w:rsidP="008727A1">
            <w:pPr>
              <w:spacing w:line="240" w:lineRule="auto"/>
              <w:jc w:val="center"/>
            </w:pPr>
            <w:r w:rsidRPr="00D7142A">
              <w:t>74</w:t>
            </w:r>
          </w:p>
        </w:tc>
        <w:tc>
          <w:tcPr>
            <w:tcW w:w="1282" w:type="dxa"/>
            <w:tcBorders>
              <w:top w:val="nil"/>
              <w:left w:val="nil"/>
              <w:bottom w:val="nil"/>
              <w:right w:val="nil"/>
            </w:tcBorders>
            <w:shd w:val="clear" w:color="auto" w:fill="auto"/>
            <w:noWrap/>
            <w:vAlign w:val="center"/>
            <w:hideMark/>
          </w:tcPr>
          <w:p w14:paraId="303BA60C" w14:textId="77777777" w:rsidR="00846A43" w:rsidRPr="00D7142A" w:rsidRDefault="00846A43" w:rsidP="008727A1">
            <w:pPr>
              <w:spacing w:line="240" w:lineRule="auto"/>
              <w:jc w:val="center"/>
            </w:pPr>
            <w:r w:rsidRPr="00D7142A">
              <w:t>19.1</w:t>
            </w:r>
          </w:p>
        </w:tc>
        <w:tc>
          <w:tcPr>
            <w:tcW w:w="1276" w:type="dxa"/>
            <w:tcBorders>
              <w:left w:val="nil"/>
              <w:bottom w:val="nil"/>
              <w:right w:val="single" w:sz="18" w:space="0" w:color="auto"/>
            </w:tcBorders>
            <w:shd w:val="clear" w:color="auto" w:fill="auto"/>
            <w:noWrap/>
            <w:vAlign w:val="center"/>
            <w:hideMark/>
          </w:tcPr>
          <w:p w14:paraId="7B5DF6D1" w14:textId="77777777" w:rsidR="00846A43" w:rsidRPr="00D7142A" w:rsidRDefault="00846A43" w:rsidP="008727A1">
            <w:pPr>
              <w:spacing w:line="240" w:lineRule="auto"/>
              <w:jc w:val="center"/>
            </w:pPr>
            <w:r w:rsidRPr="00D7142A">
              <w:t>23.1</w:t>
            </w:r>
          </w:p>
        </w:tc>
        <w:tc>
          <w:tcPr>
            <w:tcW w:w="3245" w:type="dxa"/>
            <w:tcBorders>
              <w:top w:val="nil"/>
              <w:left w:val="single" w:sz="18" w:space="0" w:color="auto"/>
              <w:bottom w:val="nil"/>
              <w:right w:val="nil"/>
            </w:tcBorders>
            <w:shd w:val="clear" w:color="auto" w:fill="auto"/>
            <w:noWrap/>
            <w:vAlign w:val="center"/>
            <w:hideMark/>
          </w:tcPr>
          <w:p w14:paraId="5ED2B5AC" w14:textId="77777777" w:rsidR="00846A43" w:rsidRPr="00D7142A" w:rsidRDefault="00846A43" w:rsidP="008727A1">
            <w:pPr>
              <w:spacing w:line="240" w:lineRule="auto"/>
            </w:pPr>
            <w:r w:rsidRPr="00D7142A">
              <w:t xml:space="preserve">UK has higher standards </w:t>
            </w:r>
          </w:p>
        </w:tc>
        <w:tc>
          <w:tcPr>
            <w:tcW w:w="576" w:type="dxa"/>
            <w:tcBorders>
              <w:top w:val="nil"/>
              <w:left w:val="nil"/>
              <w:bottom w:val="nil"/>
            </w:tcBorders>
            <w:shd w:val="clear" w:color="auto" w:fill="auto"/>
            <w:noWrap/>
            <w:vAlign w:val="center"/>
            <w:hideMark/>
          </w:tcPr>
          <w:p w14:paraId="54906A2A" w14:textId="77777777" w:rsidR="00846A43" w:rsidRPr="00D7142A" w:rsidRDefault="00846A43" w:rsidP="008727A1">
            <w:pPr>
              <w:spacing w:line="240" w:lineRule="auto"/>
              <w:jc w:val="center"/>
            </w:pPr>
            <w:r w:rsidRPr="00D7142A">
              <w:t>27</w:t>
            </w:r>
          </w:p>
        </w:tc>
        <w:tc>
          <w:tcPr>
            <w:tcW w:w="1165" w:type="dxa"/>
            <w:tcBorders>
              <w:top w:val="nil"/>
              <w:bottom w:val="nil"/>
            </w:tcBorders>
            <w:shd w:val="clear" w:color="auto" w:fill="auto"/>
            <w:noWrap/>
            <w:vAlign w:val="center"/>
            <w:hideMark/>
          </w:tcPr>
          <w:p w14:paraId="4345AF90" w14:textId="77777777" w:rsidR="00846A43" w:rsidRPr="00D7142A" w:rsidRDefault="00846A43" w:rsidP="008727A1">
            <w:pPr>
              <w:spacing w:line="240" w:lineRule="auto"/>
              <w:jc w:val="center"/>
              <w:rPr>
                <w:color w:val="000000"/>
              </w:rPr>
            </w:pPr>
            <w:r w:rsidRPr="00D7142A">
              <w:rPr>
                <w:color w:val="000000"/>
              </w:rPr>
              <w:t>12.8</w:t>
            </w:r>
          </w:p>
        </w:tc>
        <w:tc>
          <w:tcPr>
            <w:tcW w:w="1244" w:type="dxa"/>
            <w:tcBorders>
              <w:bottom w:val="nil"/>
            </w:tcBorders>
            <w:shd w:val="clear" w:color="auto" w:fill="auto"/>
            <w:noWrap/>
            <w:vAlign w:val="center"/>
            <w:hideMark/>
          </w:tcPr>
          <w:p w14:paraId="636D0D23" w14:textId="77777777" w:rsidR="00846A43" w:rsidRPr="00D7142A" w:rsidRDefault="00846A43" w:rsidP="008727A1">
            <w:pPr>
              <w:spacing w:line="240" w:lineRule="auto"/>
              <w:jc w:val="center"/>
              <w:rPr>
                <w:color w:val="000000"/>
              </w:rPr>
            </w:pPr>
            <w:r w:rsidRPr="00D7142A">
              <w:rPr>
                <w:color w:val="000000"/>
              </w:rPr>
              <w:t>15.5</w:t>
            </w:r>
          </w:p>
        </w:tc>
      </w:tr>
      <w:tr w:rsidR="00846A43" w:rsidRPr="00D7142A" w14:paraId="06D845D4" w14:textId="77777777" w:rsidTr="00007AF3">
        <w:trPr>
          <w:trHeight w:val="227"/>
        </w:trPr>
        <w:tc>
          <w:tcPr>
            <w:tcW w:w="1985" w:type="dxa"/>
            <w:vMerge/>
            <w:tcBorders>
              <w:right w:val="nil"/>
            </w:tcBorders>
            <w:shd w:val="clear" w:color="auto" w:fill="auto"/>
            <w:noWrap/>
            <w:vAlign w:val="center"/>
            <w:hideMark/>
          </w:tcPr>
          <w:p w14:paraId="6B5F6E00" w14:textId="77777777" w:rsidR="00846A43" w:rsidRPr="00D7142A" w:rsidRDefault="00846A43" w:rsidP="008727A1">
            <w:pPr>
              <w:spacing w:line="240" w:lineRule="auto"/>
              <w:rPr>
                <w:color w:val="000000"/>
              </w:rPr>
            </w:pPr>
          </w:p>
        </w:tc>
        <w:tc>
          <w:tcPr>
            <w:tcW w:w="3118" w:type="dxa"/>
            <w:tcBorders>
              <w:top w:val="nil"/>
              <w:left w:val="nil"/>
              <w:bottom w:val="nil"/>
              <w:right w:val="nil"/>
            </w:tcBorders>
            <w:shd w:val="clear" w:color="auto" w:fill="auto"/>
            <w:noWrap/>
            <w:vAlign w:val="center"/>
            <w:hideMark/>
          </w:tcPr>
          <w:p w14:paraId="470BD9CE" w14:textId="77777777" w:rsidR="00846A43" w:rsidRPr="00D7142A" w:rsidRDefault="00846A43" w:rsidP="008727A1">
            <w:pPr>
              <w:spacing w:line="240" w:lineRule="auto"/>
            </w:pPr>
            <w:r w:rsidRPr="00D7142A">
              <w:t>UK has lower standards</w:t>
            </w:r>
          </w:p>
        </w:tc>
        <w:tc>
          <w:tcPr>
            <w:tcW w:w="576" w:type="dxa"/>
            <w:tcBorders>
              <w:top w:val="nil"/>
              <w:left w:val="nil"/>
              <w:bottom w:val="nil"/>
              <w:right w:val="nil"/>
            </w:tcBorders>
            <w:shd w:val="clear" w:color="auto" w:fill="auto"/>
            <w:noWrap/>
            <w:vAlign w:val="center"/>
            <w:hideMark/>
          </w:tcPr>
          <w:p w14:paraId="2CAF8B94" w14:textId="77777777" w:rsidR="00846A43" w:rsidRPr="00D7142A" w:rsidRDefault="00846A43" w:rsidP="008727A1">
            <w:pPr>
              <w:spacing w:line="240" w:lineRule="auto"/>
              <w:jc w:val="center"/>
            </w:pPr>
            <w:r w:rsidRPr="00D7142A">
              <w:t>33</w:t>
            </w:r>
          </w:p>
        </w:tc>
        <w:tc>
          <w:tcPr>
            <w:tcW w:w="1282" w:type="dxa"/>
            <w:tcBorders>
              <w:top w:val="nil"/>
              <w:left w:val="nil"/>
              <w:bottom w:val="nil"/>
              <w:right w:val="nil"/>
            </w:tcBorders>
            <w:shd w:val="clear" w:color="auto" w:fill="auto"/>
            <w:noWrap/>
            <w:vAlign w:val="center"/>
            <w:hideMark/>
          </w:tcPr>
          <w:p w14:paraId="658A7B23" w14:textId="77777777" w:rsidR="00846A43" w:rsidRPr="00D7142A" w:rsidRDefault="00846A43" w:rsidP="008727A1">
            <w:pPr>
              <w:spacing w:line="240" w:lineRule="auto"/>
              <w:jc w:val="center"/>
            </w:pPr>
            <w:r w:rsidRPr="00D7142A">
              <w:t>8.5</w:t>
            </w:r>
          </w:p>
        </w:tc>
        <w:tc>
          <w:tcPr>
            <w:tcW w:w="1276" w:type="dxa"/>
            <w:tcBorders>
              <w:left w:val="nil"/>
              <w:bottom w:val="nil"/>
              <w:right w:val="single" w:sz="18" w:space="0" w:color="auto"/>
            </w:tcBorders>
            <w:shd w:val="clear" w:color="auto" w:fill="auto"/>
            <w:noWrap/>
            <w:vAlign w:val="center"/>
            <w:hideMark/>
          </w:tcPr>
          <w:p w14:paraId="0CA2EDC5" w14:textId="77777777" w:rsidR="00846A43" w:rsidRPr="00D7142A" w:rsidRDefault="00846A43" w:rsidP="008727A1">
            <w:pPr>
              <w:spacing w:line="240" w:lineRule="auto"/>
              <w:jc w:val="center"/>
            </w:pPr>
            <w:r w:rsidRPr="00D7142A">
              <w:t>10.3</w:t>
            </w:r>
          </w:p>
        </w:tc>
        <w:tc>
          <w:tcPr>
            <w:tcW w:w="3245" w:type="dxa"/>
            <w:tcBorders>
              <w:top w:val="nil"/>
              <w:left w:val="single" w:sz="18" w:space="0" w:color="auto"/>
              <w:bottom w:val="nil"/>
              <w:right w:val="nil"/>
            </w:tcBorders>
            <w:shd w:val="clear" w:color="auto" w:fill="auto"/>
            <w:noWrap/>
            <w:vAlign w:val="center"/>
            <w:hideMark/>
          </w:tcPr>
          <w:p w14:paraId="6188624D" w14:textId="1476AC6F" w:rsidR="00846A43" w:rsidRPr="00D7142A" w:rsidRDefault="00846A43" w:rsidP="008727A1">
            <w:pPr>
              <w:spacing w:line="240" w:lineRule="auto"/>
            </w:pPr>
            <w:proofErr w:type="spellStart"/>
            <w:r w:rsidRPr="00D7142A">
              <w:t>C</w:t>
            </w:r>
            <w:r w:rsidR="0083518E" w:rsidRPr="00D7142A">
              <w:t>o</w:t>
            </w:r>
            <w:r w:rsidRPr="00D7142A">
              <w:t>O</w:t>
            </w:r>
            <w:proofErr w:type="spellEnd"/>
            <w:r w:rsidRPr="00D7142A">
              <w:t xml:space="preserve"> has low standards</w:t>
            </w:r>
          </w:p>
        </w:tc>
        <w:tc>
          <w:tcPr>
            <w:tcW w:w="576" w:type="dxa"/>
            <w:tcBorders>
              <w:top w:val="nil"/>
              <w:left w:val="nil"/>
              <w:bottom w:val="nil"/>
            </w:tcBorders>
            <w:shd w:val="clear" w:color="auto" w:fill="auto"/>
            <w:noWrap/>
            <w:vAlign w:val="center"/>
            <w:hideMark/>
          </w:tcPr>
          <w:p w14:paraId="4830059B" w14:textId="77777777" w:rsidR="00846A43" w:rsidRPr="00D7142A" w:rsidRDefault="00846A43" w:rsidP="008727A1">
            <w:pPr>
              <w:spacing w:line="240" w:lineRule="auto"/>
              <w:jc w:val="center"/>
            </w:pPr>
            <w:r w:rsidRPr="00D7142A">
              <w:t>2</w:t>
            </w:r>
          </w:p>
        </w:tc>
        <w:tc>
          <w:tcPr>
            <w:tcW w:w="1165" w:type="dxa"/>
            <w:tcBorders>
              <w:top w:val="nil"/>
              <w:bottom w:val="nil"/>
            </w:tcBorders>
            <w:shd w:val="clear" w:color="auto" w:fill="auto"/>
            <w:noWrap/>
            <w:vAlign w:val="center"/>
            <w:hideMark/>
          </w:tcPr>
          <w:p w14:paraId="7553D8C8" w14:textId="77777777" w:rsidR="00846A43" w:rsidRPr="00D7142A" w:rsidRDefault="00846A43" w:rsidP="008727A1">
            <w:pPr>
              <w:spacing w:line="240" w:lineRule="auto"/>
              <w:jc w:val="center"/>
              <w:rPr>
                <w:color w:val="000000"/>
              </w:rPr>
            </w:pPr>
            <w:r w:rsidRPr="00D7142A">
              <w:rPr>
                <w:color w:val="000000"/>
              </w:rPr>
              <w:t>0.9</w:t>
            </w:r>
          </w:p>
        </w:tc>
        <w:tc>
          <w:tcPr>
            <w:tcW w:w="1244" w:type="dxa"/>
            <w:tcBorders>
              <w:bottom w:val="nil"/>
            </w:tcBorders>
            <w:shd w:val="clear" w:color="auto" w:fill="auto"/>
            <w:noWrap/>
            <w:vAlign w:val="center"/>
            <w:hideMark/>
          </w:tcPr>
          <w:p w14:paraId="2CB069D1" w14:textId="77777777" w:rsidR="00846A43" w:rsidRPr="00D7142A" w:rsidRDefault="00846A43" w:rsidP="008727A1">
            <w:pPr>
              <w:spacing w:line="240" w:lineRule="auto"/>
              <w:jc w:val="center"/>
              <w:rPr>
                <w:color w:val="000000"/>
              </w:rPr>
            </w:pPr>
            <w:r w:rsidRPr="00D7142A">
              <w:rPr>
                <w:color w:val="000000"/>
              </w:rPr>
              <w:t>1.1</w:t>
            </w:r>
          </w:p>
        </w:tc>
      </w:tr>
      <w:tr w:rsidR="00846A43" w:rsidRPr="00D7142A" w14:paraId="21AAAACA" w14:textId="77777777" w:rsidTr="00007AF3">
        <w:trPr>
          <w:trHeight w:val="227"/>
        </w:trPr>
        <w:tc>
          <w:tcPr>
            <w:tcW w:w="1985" w:type="dxa"/>
            <w:vMerge/>
            <w:tcBorders>
              <w:bottom w:val="nil"/>
              <w:right w:val="nil"/>
            </w:tcBorders>
            <w:shd w:val="clear" w:color="auto" w:fill="auto"/>
            <w:noWrap/>
            <w:vAlign w:val="center"/>
            <w:hideMark/>
          </w:tcPr>
          <w:p w14:paraId="31FB93C2" w14:textId="77777777" w:rsidR="00846A43" w:rsidRPr="00D7142A" w:rsidRDefault="00846A43" w:rsidP="008727A1">
            <w:pPr>
              <w:spacing w:line="240" w:lineRule="auto"/>
              <w:rPr>
                <w:color w:val="000000"/>
              </w:rPr>
            </w:pPr>
          </w:p>
        </w:tc>
        <w:tc>
          <w:tcPr>
            <w:tcW w:w="3118" w:type="dxa"/>
            <w:tcBorders>
              <w:top w:val="nil"/>
              <w:left w:val="nil"/>
              <w:bottom w:val="single" w:sz="4" w:space="0" w:color="auto"/>
              <w:right w:val="nil"/>
            </w:tcBorders>
            <w:shd w:val="clear" w:color="auto" w:fill="auto"/>
            <w:noWrap/>
            <w:vAlign w:val="center"/>
            <w:hideMark/>
          </w:tcPr>
          <w:p w14:paraId="1B6046BB" w14:textId="77777777" w:rsidR="00846A43" w:rsidRPr="00D7142A" w:rsidRDefault="00846A43" w:rsidP="008727A1">
            <w:pPr>
              <w:spacing w:line="240" w:lineRule="auto"/>
            </w:pPr>
            <w:r w:rsidRPr="00D7142A">
              <w:t>NHS particularly substandard</w:t>
            </w:r>
          </w:p>
        </w:tc>
        <w:tc>
          <w:tcPr>
            <w:tcW w:w="576" w:type="dxa"/>
            <w:tcBorders>
              <w:top w:val="nil"/>
              <w:left w:val="nil"/>
              <w:bottom w:val="single" w:sz="4" w:space="0" w:color="auto"/>
              <w:right w:val="nil"/>
            </w:tcBorders>
            <w:shd w:val="clear" w:color="auto" w:fill="auto"/>
            <w:noWrap/>
            <w:vAlign w:val="center"/>
            <w:hideMark/>
          </w:tcPr>
          <w:p w14:paraId="578631D3" w14:textId="77777777" w:rsidR="00846A43" w:rsidRPr="00D7142A" w:rsidRDefault="00846A43" w:rsidP="008727A1">
            <w:pPr>
              <w:spacing w:line="240" w:lineRule="auto"/>
              <w:jc w:val="center"/>
            </w:pPr>
            <w:r w:rsidRPr="00D7142A">
              <w:t>12</w:t>
            </w:r>
          </w:p>
        </w:tc>
        <w:tc>
          <w:tcPr>
            <w:tcW w:w="1282" w:type="dxa"/>
            <w:tcBorders>
              <w:top w:val="nil"/>
              <w:left w:val="nil"/>
              <w:bottom w:val="single" w:sz="4" w:space="0" w:color="auto"/>
              <w:right w:val="nil"/>
            </w:tcBorders>
            <w:shd w:val="clear" w:color="auto" w:fill="auto"/>
            <w:noWrap/>
            <w:vAlign w:val="center"/>
            <w:hideMark/>
          </w:tcPr>
          <w:p w14:paraId="523246D7" w14:textId="77777777" w:rsidR="00846A43" w:rsidRPr="00D7142A" w:rsidRDefault="00846A43" w:rsidP="008727A1">
            <w:pPr>
              <w:spacing w:line="240" w:lineRule="auto"/>
              <w:jc w:val="center"/>
            </w:pPr>
            <w:r w:rsidRPr="00D7142A">
              <w:t>3.1</w:t>
            </w:r>
          </w:p>
        </w:tc>
        <w:tc>
          <w:tcPr>
            <w:tcW w:w="1276" w:type="dxa"/>
            <w:tcBorders>
              <w:left w:val="nil"/>
              <w:bottom w:val="single" w:sz="4" w:space="0" w:color="auto"/>
              <w:right w:val="single" w:sz="18" w:space="0" w:color="auto"/>
            </w:tcBorders>
            <w:shd w:val="clear" w:color="auto" w:fill="auto"/>
            <w:noWrap/>
            <w:vAlign w:val="center"/>
            <w:hideMark/>
          </w:tcPr>
          <w:p w14:paraId="6DD4821D" w14:textId="77777777" w:rsidR="00846A43" w:rsidRPr="00D7142A" w:rsidRDefault="00846A43" w:rsidP="008727A1">
            <w:pPr>
              <w:spacing w:line="240" w:lineRule="auto"/>
              <w:jc w:val="center"/>
            </w:pPr>
            <w:r w:rsidRPr="00D7142A">
              <w:t>3.8</w:t>
            </w:r>
          </w:p>
        </w:tc>
        <w:tc>
          <w:tcPr>
            <w:tcW w:w="6230" w:type="dxa"/>
            <w:gridSpan w:val="4"/>
            <w:tcBorders>
              <w:top w:val="nil"/>
              <w:left w:val="single" w:sz="18" w:space="0" w:color="auto"/>
              <w:bottom w:val="single" w:sz="4" w:space="0" w:color="auto"/>
            </w:tcBorders>
            <w:shd w:val="clear" w:color="auto" w:fill="auto"/>
            <w:noWrap/>
            <w:vAlign w:val="center"/>
            <w:hideMark/>
          </w:tcPr>
          <w:p w14:paraId="0C9094D7" w14:textId="77777777" w:rsidR="00846A43" w:rsidRPr="00D7142A" w:rsidRDefault="00846A43" w:rsidP="008727A1">
            <w:pPr>
              <w:spacing w:line="240" w:lineRule="auto"/>
            </w:pPr>
            <w:r w:rsidRPr="00D7142A">
              <w:t>(</w:t>
            </w:r>
            <w:proofErr w:type="gramStart"/>
            <w:r w:rsidRPr="00D7142A">
              <w:t>of</w:t>
            </w:r>
            <w:proofErr w:type="gramEnd"/>
            <w:r w:rsidRPr="00D7142A">
              <w:t xml:space="preserve"> care, equipment, resources)</w:t>
            </w:r>
          </w:p>
        </w:tc>
      </w:tr>
      <w:tr w:rsidR="00846A43" w:rsidRPr="00D7142A" w14:paraId="200B75F4" w14:textId="77777777" w:rsidTr="00007AF3">
        <w:trPr>
          <w:trHeight w:val="227"/>
        </w:trPr>
        <w:tc>
          <w:tcPr>
            <w:tcW w:w="1985" w:type="dxa"/>
            <w:vMerge w:val="restart"/>
            <w:tcBorders>
              <w:top w:val="nil"/>
              <w:right w:val="nil"/>
            </w:tcBorders>
            <w:shd w:val="clear" w:color="auto" w:fill="auto"/>
            <w:noWrap/>
            <w:vAlign w:val="center"/>
            <w:hideMark/>
          </w:tcPr>
          <w:p w14:paraId="2B66C114" w14:textId="77777777" w:rsidR="00846A43" w:rsidRPr="00D7142A" w:rsidRDefault="00846A43" w:rsidP="008727A1">
            <w:pPr>
              <w:spacing w:line="240" w:lineRule="auto"/>
              <w:rPr>
                <w:color w:val="000000"/>
              </w:rPr>
            </w:pPr>
            <w:r w:rsidRPr="00D7142A">
              <w:rPr>
                <w:color w:val="000000"/>
              </w:rPr>
              <w:t>Access</w:t>
            </w:r>
          </w:p>
          <w:p w14:paraId="2009F0DD" w14:textId="77777777" w:rsidR="00846A43" w:rsidRPr="00D7142A" w:rsidRDefault="00846A43" w:rsidP="008727A1">
            <w:pPr>
              <w:spacing w:line="240" w:lineRule="auto"/>
              <w:rPr>
                <w:color w:val="000000"/>
              </w:rPr>
            </w:pPr>
            <w:r w:rsidRPr="00D7142A">
              <w:rPr>
                <w:color w:val="000000"/>
              </w:rPr>
              <w:t> </w:t>
            </w:r>
          </w:p>
        </w:tc>
        <w:tc>
          <w:tcPr>
            <w:tcW w:w="3118" w:type="dxa"/>
            <w:tcBorders>
              <w:top w:val="single" w:sz="4" w:space="0" w:color="auto"/>
              <w:left w:val="nil"/>
              <w:bottom w:val="nil"/>
              <w:right w:val="nil"/>
            </w:tcBorders>
            <w:shd w:val="clear" w:color="auto" w:fill="auto"/>
            <w:noWrap/>
            <w:vAlign w:val="center"/>
            <w:hideMark/>
          </w:tcPr>
          <w:p w14:paraId="386A0489" w14:textId="54075B36" w:rsidR="00846A43" w:rsidRPr="00D7142A" w:rsidRDefault="00846A43" w:rsidP="008727A1">
            <w:pPr>
              <w:spacing w:line="240" w:lineRule="auto"/>
            </w:pPr>
            <w:proofErr w:type="spellStart"/>
            <w:r w:rsidRPr="00D7142A">
              <w:t>C</w:t>
            </w:r>
            <w:r w:rsidR="0083518E" w:rsidRPr="00D7142A">
              <w:t>o</w:t>
            </w:r>
            <w:r w:rsidRPr="00D7142A">
              <w:t>O</w:t>
            </w:r>
            <w:proofErr w:type="spellEnd"/>
            <w:r w:rsidRPr="00D7142A">
              <w:t xml:space="preserve"> has better access</w:t>
            </w:r>
          </w:p>
        </w:tc>
        <w:tc>
          <w:tcPr>
            <w:tcW w:w="576" w:type="dxa"/>
            <w:tcBorders>
              <w:top w:val="single" w:sz="4" w:space="0" w:color="auto"/>
              <w:left w:val="nil"/>
              <w:bottom w:val="nil"/>
              <w:right w:val="nil"/>
            </w:tcBorders>
            <w:shd w:val="clear" w:color="auto" w:fill="auto"/>
            <w:noWrap/>
            <w:vAlign w:val="center"/>
            <w:hideMark/>
          </w:tcPr>
          <w:p w14:paraId="563CC2BA" w14:textId="77777777" w:rsidR="00846A43" w:rsidRPr="00D7142A" w:rsidRDefault="00846A43" w:rsidP="008727A1">
            <w:pPr>
              <w:spacing w:line="240" w:lineRule="auto"/>
              <w:jc w:val="center"/>
            </w:pPr>
            <w:r w:rsidRPr="00D7142A">
              <w:t>25</w:t>
            </w:r>
          </w:p>
        </w:tc>
        <w:tc>
          <w:tcPr>
            <w:tcW w:w="1282" w:type="dxa"/>
            <w:tcBorders>
              <w:top w:val="single" w:sz="4" w:space="0" w:color="auto"/>
              <w:left w:val="nil"/>
              <w:bottom w:val="nil"/>
              <w:right w:val="nil"/>
            </w:tcBorders>
            <w:shd w:val="clear" w:color="auto" w:fill="auto"/>
            <w:noWrap/>
            <w:vAlign w:val="center"/>
            <w:hideMark/>
          </w:tcPr>
          <w:p w14:paraId="740733EE" w14:textId="77777777" w:rsidR="00846A43" w:rsidRPr="00D7142A" w:rsidRDefault="00846A43" w:rsidP="008727A1">
            <w:pPr>
              <w:spacing w:line="240" w:lineRule="auto"/>
              <w:jc w:val="center"/>
            </w:pPr>
            <w:r w:rsidRPr="00D7142A">
              <w:t>6.4</w:t>
            </w:r>
          </w:p>
        </w:tc>
        <w:tc>
          <w:tcPr>
            <w:tcW w:w="1276" w:type="dxa"/>
            <w:tcBorders>
              <w:top w:val="single" w:sz="4" w:space="0" w:color="auto"/>
              <w:left w:val="nil"/>
              <w:bottom w:val="nil"/>
              <w:right w:val="single" w:sz="18" w:space="0" w:color="auto"/>
            </w:tcBorders>
            <w:shd w:val="clear" w:color="auto" w:fill="auto"/>
            <w:noWrap/>
            <w:vAlign w:val="center"/>
            <w:hideMark/>
          </w:tcPr>
          <w:p w14:paraId="536033E9" w14:textId="77777777" w:rsidR="00846A43" w:rsidRPr="00D7142A" w:rsidRDefault="00846A43" w:rsidP="008727A1">
            <w:pPr>
              <w:spacing w:line="240" w:lineRule="auto"/>
              <w:jc w:val="center"/>
            </w:pPr>
            <w:r w:rsidRPr="00D7142A">
              <w:t>7.8</w:t>
            </w:r>
          </w:p>
        </w:tc>
        <w:tc>
          <w:tcPr>
            <w:tcW w:w="3245" w:type="dxa"/>
            <w:tcBorders>
              <w:top w:val="single" w:sz="4" w:space="0" w:color="auto"/>
              <w:left w:val="single" w:sz="18" w:space="0" w:color="auto"/>
              <w:bottom w:val="nil"/>
              <w:right w:val="nil"/>
            </w:tcBorders>
            <w:shd w:val="clear" w:color="auto" w:fill="auto"/>
            <w:noWrap/>
            <w:vAlign w:val="center"/>
            <w:hideMark/>
          </w:tcPr>
          <w:p w14:paraId="2CB454A0" w14:textId="77777777" w:rsidR="00846A43" w:rsidRPr="00D7142A" w:rsidRDefault="00846A43" w:rsidP="008727A1">
            <w:pPr>
              <w:spacing w:line="240" w:lineRule="auto"/>
            </w:pPr>
            <w:r w:rsidRPr="00D7142A">
              <w:t xml:space="preserve">UK has better access </w:t>
            </w:r>
          </w:p>
        </w:tc>
        <w:tc>
          <w:tcPr>
            <w:tcW w:w="576" w:type="dxa"/>
            <w:tcBorders>
              <w:top w:val="single" w:sz="4" w:space="0" w:color="auto"/>
              <w:left w:val="nil"/>
              <w:bottom w:val="nil"/>
            </w:tcBorders>
            <w:shd w:val="clear" w:color="auto" w:fill="auto"/>
            <w:noWrap/>
            <w:vAlign w:val="center"/>
            <w:hideMark/>
          </w:tcPr>
          <w:p w14:paraId="1D1F55F2" w14:textId="77777777" w:rsidR="00846A43" w:rsidRPr="00D7142A" w:rsidRDefault="00846A43" w:rsidP="008727A1">
            <w:pPr>
              <w:spacing w:line="240" w:lineRule="auto"/>
              <w:jc w:val="center"/>
            </w:pPr>
            <w:r w:rsidRPr="00D7142A">
              <w:t>17</w:t>
            </w:r>
          </w:p>
        </w:tc>
        <w:tc>
          <w:tcPr>
            <w:tcW w:w="1165" w:type="dxa"/>
            <w:tcBorders>
              <w:top w:val="single" w:sz="4" w:space="0" w:color="auto"/>
              <w:bottom w:val="nil"/>
            </w:tcBorders>
            <w:shd w:val="clear" w:color="auto" w:fill="auto"/>
            <w:noWrap/>
            <w:vAlign w:val="center"/>
            <w:hideMark/>
          </w:tcPr>
          <w:p w14:paraId="5630D3E5" w14:textId="77777777" w:rsidR="00846A43" w:rsidRPr="00D7142A" w:rsidRDefault="00846A43" w:rsidP="008727A1">
            <w:pPr>
              <w:spacing w:line="240" w:lineRule="auto"/>
              <w:jc w:val="center"/>
              <w:rPr>
                <w:color w:val="000000"/>
              </w:rPr>
            </w:pPr>
            <w:r w:rsidRPr="00D7142A">
              <w:rPr>
                <w:color w:val="000000"/>
              </w:rPr>
              <w:t>8.1</w:t>
            </w:r>
          </w:p>
        </w:tc>
        <w:tc>
          <w:tcPr>
            <w:tcW w:w="1244" w:type="dxa"/>
            <w:tcBorders>
              <w:top w:val="single" w:sz="4" w:space="0" w:color="auto"/>
              <w:bottom w:val="nil"/>
            </w:tcBorders>
            <w:shd w:val="clear" w:color="auto" w:fill="auto"/>
            <w:noWrap/>
            <w:vAlign w:val="center"/>
            <w:hideMark/>
          </w:tcPr>
          <w:p w14:paraId="2A3DCDC3" w14:textId="77777777" w:rsidR="00846A43" w:rsidRPr="00D7142A" w:rsidRDefault="00846A43" w:rsidP="008727A1">
            <w:pPr>
              <w:spacing w:line="240" w:lineRule="auto"/>
              <w:jc w:val="center"/>
              <w:rPr>
                <w:color w:val="000000"/>
              </w:rPr>
            </w:pPr>
            <w:r w:rsidRPr="00D7142A">
              <w:rPr>
                <w:color w:val="000000"/>
              </w:rPr>
              <w:t>9.8</w:t>
            </w:r>
          </w:p>
        </w:tc>
      </w:tr>
      <w:tr w:rsidR="00846A43" w:rsidRPr="00D7142A" w14:paraId="3EDC4859" w14:textId="77777777" w:rsidTr="00007AF3">
        <w:trPr>
          <w:trHeight w:val="227"/>
        </w:trPr>
        <w:tc>
          <w:tcPr>
            <w:tcW w:w="1985" w:type="dxa"/>
            <w:vMerge/>
            <w:tcBorders>
              <w:right w:val="nil"/>
            </w:tcBorders>
            <w:shd w:val="clear" w:color="auto" w:fill="auto"/>
            <w:noWrap/>
            <w:vAlign w:val="center"/>
            <w:hideMark/>
          </w:tcPr>
          <w:p w14:paraId="72B8C962" w14:textId="77777777" w:rsidR="00846A43" w:rsidRPr="00D7142A" w:rsidRDefault="00846A43" w:rsidP="008727A1">
            <w:pPr>
              <w:spacing w:line="240" w:lineRule="auto"/>
              <w:rPr>
                <w:color w:val="000000"/>
              </w:rPr>
            </w:pPr>
          </w:p>
        </w:tc>
        <w:tc>
          <w:tcPr>
            <w:tcW w:w="3118" w:type="dxa"/>
            <w:tcBorders>
              <w:top w:val="nil"/>
              <w:left w:val="nil"/>
              <w:bottom w:val="single" w:sz="4" w:space="0" w:color="auto"/>
              <w:right w:val="nil"/>
            </w:tcBorders>
            <w:shd w:val="clear" w:color="auto" w:fill="auto"/>
            <w:noWrap/>
            <w:vAlign w:val="center"/>
            <w:hideMark/>
          </w:tcPr>
          <w:p w14:paraId="3612BA33" w14:textId="77777777" w:rsidR="00846A43" w:rsidRPr="00D7142A" w:rsidRDefault="00846A43" w:rsidP="008727A1">
            <w:pPr>
              <w:spacing w:line="240" w:lineRule="auto"/>
            </w:pPr>
            <w:r w:rsidRPr="00D7142A">
              <w:t xml:space="preserve">UK has worse access </w:t>
            </w:r>
          </w:p>
        </w:tc>
        <w:tc>
          <w:tcPr>
            <w:tcW w:w="576" w:type="dxa"/>
            <w:tcBorders>
              <w:top w:val="nil"/>
              <w:left w:val="nil"/>
              <w:bottom w:val="single" w:sz="4" w:space="0" w:color="auto"/>
              <w:right w:val="nil"/>
            </w:tcBorders>
            <w:shd w:val="clear" w:color="auto" w:fill="auto"/>
            <w:noWrap/>
            <w:vAlign w:val="center"/>
            <w:hideMark/>
          </w:tcPr>
          <w:p w14:paraId="077E0B46" w14:textId="77777777" w:rsidR="00846A43" w:rsidRPr="00D7142A" w:rsidRDefault="00846A43" w:rsidP="008727A1">
            <w:pPr>
              <w:spacing w:line="240" w:lineRule="auto"/>
              <w:jc w:val="center"/>
            </w:pPr>
            <w:r w:rsidRPr="00D7142A">
              <w:t>10</w:t>
            </w:r>
          </w:p>
        </w:tc>
        <w:tc>
          <w:tcPr>
            <w:tcW w:w="1282" w:type="dxa"/>
            <w:tcBorders>
              <w:top w:val="nil"/>
              <w:left w:val="nil"/>
              <w:bottom w:val="single" w:sz="4" w:space="0" w:color="auto"/>
              <w:right w:val="nil"/>
            </w:tcBorders>
            <w:shd w:val="clear" w:color="auto" w:fill="auto"/>
            <w:noWrap/>
            <w:vAlign w:val="center"/>
            <w:hideMark/>
          </w:tcPr>
          <w:p w14:paraId="0983409E" w14:textId="77777777" w:rsidR="00846A43" w:rsidRPr="00D7142A" w:rsidRDefault="00846A43" w:rsidP="008727A1">
            <w:pPr>
              <w:spacing w:line="240" w:lineRule="auto"/>
              <w:jc w:val="center"/>
            </w:pPr>
            <w:r w:rsidRPr="00D7142A">
              <w:t>2.6</w:t>
            </w:r>
          </w:p>
        </w:tc>
        <w:tc>
          <w:tcPr>
            <w:tcW w:w="1276" w:type="dxa"/>
            <w:tcBorders>
              <w:left w:val="nil"/>
              <w:bottom w:val="single" w:sz="4" w:space="0" w:color="auto"/>
              <w:right w:val="single" w:sz="18" w:space="0" w:color="auto"/>
            </w:tcBorders>
            <w:shd w:val="clear" w:color="auto" w:fill="auto"/>
            <w:noWrap/>
            <w:vAlign w:val="center"/>
            <w:hideMark/>
          </w:tcPr>
          <w:p w14:paraId="0B52AC1E" w14:textId="77777777" w:rsidR="00846A43" w:rsidRPr="00D7142A" w:rsidRDefault="00846A43" w:rsidP="008727A1">
            <w:pPr>
              <w:spacing w:line="240" w:lineRule="auto"/>
              <w:jc w:val="center"/>
            </w:pPr>
            <w:r w:rsidRPr="00D7142A">
              <w:t>3.1</w:t>
            </w:r>
          </w:p>
        </w:tc>
        <w:tc>
          <w:tcPr>
            <w:tcW w:w="6230" w:type="dxa"/>
            <w:gridSpan w:val="4"/>
            <w:tcBorders>
              <w:top w:val="nil"/>
              <w:left w:val="single" w:sz="18" w:space="0" w:color="auto"/>
              <w:bottom w:val="single" w:sz="4" w:space="0" w:color="auto"/>
            </w:tcBorders>
            <w:shd w:val="clear" w:color="auto" w:fill="auto"/>
            <w:noWrap/>
            <w:vAlign w:val="center"/>
            <w:hideMark/>
          </w:tcPr>
          <w:p w14:paraId="7DA1AFA5" w14:textId="77777777" w:rsidR="00846A43" w:rsidRPr="00D7142A" w:rsidRDefault="00846A43" w:rsidP="008727A1">
            <w:pPr>
              <w:spacing w:line="240" w:lineRule="auto"/>
            </w:pPr>
            <w:r w:rsidRPr="00D7142A">
              <w:t>(</w:t>
            </w:r>
            <w:proofErr w:type="gramStart"/>
            <w:r w:rsidRPr="00D7142A">
              <w:t>to</w:t>
            </w:r>
            <w:proofErr w:type="gramEnd"/>
            <w:r w:rsidRPr="00D7142A">
              <w:t xml:space="preserve"> treatments, doctors, waiting times) </w:t>
            </w:r>
          </w:p>
        </w:tc>
      </w:tr>
      <w:tr w:rsidR="00846A43" w:rsidRPr="00D7142A" w14:paraId="5A369A18" w14:textId="77777777" w:rsidTr="00007AF3">
        <w:trPr>
          <w:trHeight w:val="227"/>
        </w:trPr>
        <w:tc>
          <w:tcPr>
            <w:tcW w:w="1985" w:type="dxa"/>
            <w:tcBorders>
              <w:bottom w:val="nil"/>
              <w:right w:val="nil"/>
            </w:tcBorders>
            <w:shd w:val="clear" w:color="auto" w:fill="auto"/>
            <w:noWrap/>
            <w:vAlign w:val="center"/>
            <w:hideMark/>
          </w:tcPr>
          <w:p w14:paraId="23D05E78" w14:textId="77777777" w:rsidR="00846A43" w:rsidRPr="00D7142A" w:rsidRDefault="00846A43" w:rsidP="008727A1">
            <w:pPr>
              <w:spacing w:line="240" w:lineRule="auto"/>
              <w:rPr>
                <w:color w:val="000000"/>
              </w:rPr>
            </w:pPr>
            <w:r w:rsidRPr="00D7142A">
              <w:rPr>
                <w:color w:val="000000"/>
              </w:rPr>
              <w:t>Service</w:t>
            </w:r>
          </w:p>
        </w:tc>
        <w:tc>
          <w:tcPr>
            <w:tcW w:w="3118" w:type="dxa"/>
            <w:tcBorders>
              <w:top w:val="single" w:sz="8" w:space="0" w:color="auto"/>
              <w:left w:val="nil"/>
              <w:bottom w:val="nil"/>
              <w:right w:val="nil"/>
            </w:tcBorders>
            <w:shd w:val="clear" w:color="auto" w:fill="auto"/>
            <w:noWrap/>
            <w:vAlign w:val="center"/>
            <w:hideMark/>
          </w:tcPr>
          <w:p w14:paraId="0BC4D6CC" w14:textId="59392866" w:rsidR="00846A43" w:rsidRPr="00D7142A" w:rsidRDefault="00846A43" w:rsidP="008727A1">
            <w:pPr>
              <w:spacing w:line="240" w:lineRule="auto"/>
            </w:pPr>
            <w:proofErr w:type="spellStart"/>
            <w:r w:rsidRPr="00D7142A">
              <w:t>C</w:t>
            </w:r>
            <w:r w:rsidR="0083518E" w:rsidRPr="00D7142A">
              <w:t>o</w:t>
            </w:r>
            <w:r w:rsidRPr="00D7142A">
              <w:t>O</w:t>
            </w:r>
            <w:proofErr w:type="spellEnd"/>
            <w:r w:rsidRPr="00D7142A">
              <w:t xml:space="preserve"> has better service</w:t>
            </w:r>
          </w:p>
        </w:tc>
        <w:tc>
          <w:tcPr>
            <w:tcW w:w="576" w:type="dxa"/>
            <w:tcBorders>
              <w:top w:val="single" w:sz="8" w:space="0" w:color="auto"/>
              <w:left w:val="nil"/>
              <w:bottom w:val="nil"/>
              <w:right w:val="nil"/>
            </w:tcBorders>
            <w:shd w:val="clear" w:color="auto" w:fill="auto"/>
            <w:noWrap/>
            <w:vAlign w:val="center"/>
            <w:hideMark/>
          </w:tcPr>
          <w:p w14:paraId="1971023D" w14:textId="77777777" w:rsidR="00846A43" w:rsidRPr="00D7142A" w:rsidRDefault="00846A43" w:rsidP="008727A1">
            <w:pPr>
              <w:spacing w:line="240" w:lineRule="auto"/>
              <w:jc w:val="center"/>
            </w:pPr>
            <w:r w:rsidRPr="00D7142A">
              <w:t>8</w:t>
            </w:r>
          </w:p>
        </w:tc>
        <w:tc>
          <w:tcPr>
            <w:tcW w:w="1282" w:type="dxa"/>
            <w:tcBorders>
              <w:top w:val="single" w:sz="8" w:space="0" w:color="auto"/>
              <w:left w:val="nil"/>
              <w:bottom w:val="nil"/>
              <w:right w:val="nil"/>
            </w:tcBorders>
            <w:shd w:val="clear" w:color="auto" w:fill="auto"/>
            <w:noWrap/>
            <w:vAlign w:val="center"/>
            <w:hideMark/>
          </w:tcPr>
          <w:p w14:paraId="1F6FA57F" w14:textId="77777777" w:rsidR="00846A43" w:rsidRPr="00D7142A" w:rsidRDefault="00846A43" w:rsidP="008727A1">
            <w:pPr>
              <w:spacing w:line="240" w:lineRule="auto"/>
              <w:jc w:val="center"/>
            </w:pPr>
            <w:r w:rsidRPr="00D7142A">
              <w:t>2.1</w:t>
            </w:r>
          </w:p>
        </w:tc>
        <w:tc>
          <w:tcPr>
            <w:tcW w:w="1276" w:type="dxa"/>
            <w:tcBorders>
              <w:top w:val="single" w:sz="8" w:space="0" w:color="auto"/>
              <w:left w:val="nil"/>
              <w:bottom w:val="nil"/>
              <w:right w:val="single" w:sz="18" w:space="0" w:color="auto"/>
            </w:tcBorders>
            <w:shd w:val="clear" w:color="auto" w:fill="auto"/>
            <w:noWrap/>
            <w:vAlign w:val="center"/>
            <w:hideMark/>
          </w:tcPr>
          <w:p w14:paraId="192CA99E" w14:textId="77777777" w:rsidR="00846A43" w:rsidRPr="00D7142A" w:rsidRDefault="00846A43" w:rsidP="008727A1">
            <w:pPr>
              <w:spacing w:line="240" w:lineRule="auto"/>
              <w:jc w:val="center"/>
            </w:pPr>
            <w:r w:rsidRPr="00D7142A">
              <w:t>2.5</w:t>
            </w:r>
          </w:p>
        </w:tc>
        <w:tc>
          <w:tcPr>
            <w:tcW w:w="3245" w:type="dxa"/>
            <w:tcBorders>
              <w:top w:val="single" w:sz="8" w:space="0" w:color="auto"/>
              <w:left w:val="single" w:sz="18" w:space="0" w:color="auto"/>
              <w:bottom w:val="nil"/>
              <w:right w:val="nil"/>
            </w:tcBorders>
            <w:shd w:val="clear" w:color="auto" w:fill="auto"/>
            <w:noWrap/>
            <w:vAlign w:val="center"/>
            <w:hideMark/>
          </w:tcPr>
          <w:p w14:paraId="6173D9E1" w14:textId="77777777" w:rsidR="00846A43" w:rsidRPr="00D7142A" w:rsidRDefault="00846A43" w:rsidP="008727A1">
            <w:pPr>
              <w:spacing w:line="240" w:lineRule="auto"/>
            </w:pPr>
            <w:r w:rsidRPr="00D7142A">
              <w:t>UK has better service</w:t>
            </w:r>
          </w:p>
        </w:tc>
        <w:tc>
          <w:tcPr>
            <w:tcW w:w="576" w:type="dxa"/>
            <w:tcBorders>
              <w:top w:val="single" w:sz="8" w:space="0" w:color="auto"/>
              <w:left w:val="nil"/>
              <w:bottom w:val="nil"/>
            </w:tcBorders>
            <w:shd w:val="clear" w:color="auto" w:fill="auto"/>
            <w:noWrap/>
            <w:vAlign w:val="center"/>
            <w:hideMark/>
          </w:tcPr>
          <w:p w14:paraId="347A7185" w14:textId="77777777" w:rsidR="00846A43" w:rsidRPr="00D7142A" w:rsidRDefault="00846A43" w:rsidP="008727A1">
            <w:pPr>
              <w:spacing w:line="240" w:lineRule="auto"/>
              <w:jc w:val="center"/>
            </w:pPr>
            <w:r w:rsidRPr="00D7142A">
              <w:t>5</w:t>
            </w:r>
          </w:p>
        </w:tc>
        <w:tc>
          <w:tcPr>
            <w:tcW w:w="1165" w:type="dxa"/>
            <w:tcBorders>
              <w:top w:val="single" w:sz="8" w:space="0" w:color="auto"/>
              <w:bottom w:val="nil"/>
            </w:tcBorders>
            <w:shd w:val="clear" w:color="auto" w:fill="auto"/>
            <w:noWrap/>
            <w:vAlign w:val="center"/>
            <w:hideMark/>
          </w:tcPr>
          <w:p w14:paraId="5861BA8E" w14:textId="77777777" w:rsidR="00846A43" w:rsidRPr="00D7142A" w:rsidRDefault="00846A43" w:rsidP="008727A1">
            <w:pPr>
              <w:spacing w:line="240" w:lineRule="auto"/>
              <w:jc w:val="center"/>
              <w:rPr>
                <w:color w:val="000000"/>
              </w:rPr>
            </w:pPr>
            <w:r w:rsidRPr="00D7142A">
              <w:rPr>
                <w:color w:val="000000"/>
              </w:rPr>
              <w:t>2.4</w:t>
            </w:r>
          </w:p>
        </w:tc>
        <w:tc>
          <w:tcPr>
            <w:tcW w:w="1244" w:type="dxa"/>
            <w:tcBorders>
              <w:top w:val="single" w:sz="8" w:space="0" w:color="auto"/>
              <w:bottom w:val="nil"/>
            </w:tcBorders>
            <w:shd w:val="clear" w:color="auto" w:fill="auto"/>
            <w:noWrap/>
            <w:vAlign w:val="center"/>
            <w:hideMark/>
          </w:tcPr>
          <w:p w14:paraId="383EBF1D" w14:textId="77777777" w:rsidR="00846A43" w:rsidRPr="00D7142A" w:rsidRDefault="00846A43" w:rsidP="008727A1">
            <w:pPr>
              <w:spacing w:line="240" w:lineRule="auto"/>
              <w:jc w:val="center"/>
              <w:rPr>
                <w:color w:val="000000"/>
              </w:rPr>
            </w:pPr>
            <w:r w:rsidRPr="00D7142A">
              <w:rPr>
                <w:color w:val="000000"/>
              </w:rPr>
              <w:t>2.9</w:t>
            </w:r>
          </w:p>
        </w:tc>
      </w:tr>
      <w:tr w:rsidR="00846A43" w:rsidRPr="00D7142A" w14:paraId="1E8856C1" w14:textId="77777777" w:rsidTr="00007AF3">
        <w:trPr>
          <w:trHeight w:val="227"/>
        </w:trPr>
        <w:tc>
          <w:tcPr>
            <w:tcW w:w="1985" w:type="dxa"/>
            <w:tcBorders>
              <w:top w:val="nil"/>
              <w:bottom w:val="nil"/>
              <w:right w:val="nil"/>
            </w:tcBorders>
            <w:shd w:val="clear" w:color="auto" w:fill="auto"/>
            <w:noWrap/>
            <w:vAlign w:val="center"/>
            <w:hideMark/>
          </w:tcPr>
          <w:p w14:paraId="7BC26D65" w14:textId="77777777" w:rsidR="00846A43" w:rsidRPr="00D7142A" w:rsidRDefault="00846A43" w:rsidP="008727A1">
            <w:pPr>
              <w:spacing w:line="240" w:lineRule="auto"/>
              <w:rPr>
                <w:color w:val="000000"/>
              </w:rPr>
            </w:pPr>
            <w:r w:rsidRPr="00D7142A">
              <w:rPr>
                <w:color w:val="000000"/>
              </w:rPr>
              <w:t> </w:t>
            </w:r>
          </w:p>
        </w:tc>
        <w:tc>
          <w:tcPr>
            <w:tcW w:w="3118" w:type="dxa"/>
            <w:tcBorders>
              <w:top w:val="nil"/>
              <w:left w:val="nil"/>
              <w:bottom w:val="single" w:sz="4" w:space="0" w:color="auto"/>
              <w:right w:val="nil"/>
            </w:tcBorders>
            <w:shd w:val="clear" w:color="auto" w:fill="auto"/>
            <w:noWrap/>
            <w:vAlign w:val="center"/>
            <w:hideMark/>
          </w:tcPr>
          <w:p w14:paraId="6CEBC45C" w14:textId="77777777" w:rsidR="00846A43" w:rsidRPr="00D7142A" w:rsidRDefault="00846A43" w:rsidP="008727A1">
            <w:pPr>
              <w:spacing w:line="240" w:lineRule="auto"/>
            </w:pPr>
            <w:r w:rsidRPr="00D7142A">
              <w:t>UK has worse service</w:t>
            </w:r>
          </w:p>
        </w:tc>
        <w:tc>
          <w:tcPr>
            <w:tcW w:w="576" w:type="dxa"/>
            <w:tcBorders>
              <w:top w:val="nil"/>
              <w:left w:val="nil"/>
              <w:bottom w:val="single" w:sz="4" w:space="0" w:color="auto"/>
              <w:right w:val="nil"/>
            </w:tcBorders>
            <w:shd w:val="clear" w:color="auto" w:fill="auto"/>
            <w:noWrap/>
            <w:vAlign w:val="center"/>
            <w:hideMark/>
          </w:tcPr>
          <w:p w14:paraId="2BD8E340" w14:textId="77777777" w:rsidR="00846A43" w:rsidRPr="00D7142A" w:rsidRDefault="00846A43" w:rsidP="008727A1">
            <w:pPr>
              <w:spacing w:line="240" w:lineRule="auto"/>
              <w:jc w:val="center"/>
            </w:pPr>
            <w:r w:rsidRPr="00D7142A">
              <w:t>9</w:t>
            </w:r>
          </w:p>
        </w:tc>
        <w:tc>
          <w:tcPr>
            <w:tcW w:w="1282" w:type="dxa"/>
            <w:tcBorders>
              <w:top w:val="nil"/>
              <w:left w:val="nil"/>
              <w:bottom w:val="single" w:sz="4" w:space="0" w:color="auto"/>
              <w:right w:val="nil"/>
            </w:tcBorders>
            <w:shd w:val="clear" w:color="auto" w:fill="auto"/>
            <w:noWrap/>
            <w:vAlign w:val="center"/>
            <w:hideMark/>
          </w:tcPr>
          <w:p w14:paraId="3A92E265" w14:textId="77777777" w:rsidR="00846A43" w:rsidRPr="00D7142A" w:rsidRDefault="00846A43" w:rsidP="008727A1">
            <w:pPr>
              <w:spacing w:line="240" w:lineRule="auto"/>
              <w:jc w:val="center"/>
            </w:pPr>
            <w:r w:rsidRPr="00D7142A">
              <w:t>2.3</w:t>
            </w:r>
          </w:p>
        </w:tc>
        <w:tc>
          <w:tcPr>
            <w:tcW w:w="1276" w:type="dxa"/>
            <w:tcBorders>
              <w:left w:val="nil"/>
              <w:bottom w:val="single" w:sz="4" w:space="0" w:color="auto"/>
              <w:right w:val="single" w:sz="18" w:space="0" w:color="auto"/>
            </w:tcBorders>
            <w:shd w:val="clear" w:color="auto" w:fill="auto"/>
            <w:noWrap/>
            <w:vAlign w:val="center"/>
            <w:hideMark/>
          </w:tcPr>
          <w:p w14:paraId="300415DB" w14:textId="77777777" w:rsidR="00846A43" w:rsidRPr="00D7142A" w:rsidRDefault="00846A43" w:rsidP="008727A1">
            <w:pPr>
              <w:spacing w:line="240" w:lineRule="auto"/>
              <w:jc w:val="center"/>
            </w:pPr>
            <w:r w:rsidRPr="00D7142A">
              <w:t>2.8</w:t>
            </w:r>
          </w:p>
        </w:tc>
        <w:tc>
          <w:tcPr>
            <w:tcW w:w="3245" w:type="dxa"/>
            <w:tcBorders>
              <w:top w:val="nil"/>
              <w:left w:val="single" w:sz="18" w:space="0" w:color="auto"/>
              <w:bottom w:val="single" w:sz="4" w:space="0" w:color="auto"/>
              <w:right w:val="nil"/>
            </w:tcBorders>
            <w:shd w:val="clear" w:color="auto" w:fill="auto"/>
            <w:noWrap/>
            <w:vAlign w:val="center"/>
            <w:hideMark/>
          </w:tcPr>
          <w:p w14:paraId="27C7523E" w14:textId="77777777" w:rsidR="00846A43" w:rsidRPr="00D7142A" w:rsidRDefault="00846A43" w:rsidP="008727A1">
            <w:pPr>
              <w:spacing w:line="240" w:lineRule="auto"/>
            </w:pPr>
          </w:p>
        </w:tc>
        <w:tc>
          <w:tcPr>
            <w:tcW w:w="576" w:type="dxa"/>
            <w:tcBorders>
              <w:top w:val="nil"/>
              <w:left w:val="nil"/>
              <w:bottom w:val="single" w:sz="4" w:space="0" w:color="auto"/>
            </w:tcBorders>
            <w:shd w:val="clear" w:color="auto" w:fill="auto"/>
            <w:noWrap/>
            <w:vAlign w:val="center"/>
            <w:hideMark/>
          </w:tcPr>
          <w:p w14:paraId="24AAECA4" w14:textId="77777777" w:rsidR="00846A43" w:rsidRPr="00D7142A" w:rsidRDefault="00846A43" w:rsidP="008727A1">
            <w:pPr>
              <w:spacing w:line="240" w:lineRule="auto"/>
              <w:jc w:val="center"/>
            </w:pPr>
          </w:p>
        </w:tc>
        <w:tc>
          <w:tcPr>
            <w:tcW w:w="1165" w:type="dxa"/>
            <w:tcBorders>
              <w:top w:val="nil"/>
              <w:bottom w:val="single" w:sz="4" w:space="0" w:color="auto"/>
            </w:tcBorders>
            <w:shd w:val="clear" w:color="auto" w:fill="auto"/>
            <w:noWrap/>
            <w:vAlign w:val="center"/>
            <w:hideMark/>
          </w:tcPr>
          <w:p w14:paraId="4C451A6E" w14:textId="77777777" w:rsidR="00846A43" w:rsidRPr="00D7142A" w:rsidRDefault="00846A43" w:rsidP="008727A1">
            <w:pPr>
              <w:spacing w:line="240" w:lineRule="auto"/>
              <w:jc w:val="center"/>
              <w:rPr>
                <w:color w:val="000000"/>
              </w:rPr>
            </w:pPr>
          </w:p>
        </w:tc>
        <w:tc>
          <w:tcPr>
            <w:tcW w:w="1244" w:type="dxa"/>
            <w:tcBorders>
              <w:bottom w:val="single" w:sz="4" w:space="0" w:color="auto"/>
            </w:tcBorders>
            <w:shd w:val="clear" w:color="auto" w:fill="auto"/>
            <w:noWrap/>
            <w:vAlign w:val="center"/>
            <w:hideMark/>
          </w:tcPr>
          <w:p w14:paraId="1213D969" w14:textId="77777777" w:rsidR="00846A43" w:rsidRPr="00D7142A" w:rsidRDefault="00846A43" w:rsidP="008727A1">
            <w:pPr>
              <w:spacing w:line="240" w:lineRule="auto"/>
              <w:jc w:val="center"/>
              <w:rPr>
                <w:color w:val="000000"/>
              </w:rPr>
            </w:pPr>
            <w:r w:rsidRPr="00D7142A">
              <w:rPr>
                <w:color w:val="000000"/>
              </w:rPr>
              <w:t>0.0</w:t>
            </w:r>
          </w:p>
        </w:tc>
      </w:tr>
      <w:tr w:rsidR="00846A43" w:rsidRPr="00D7142A" w14:paraId="05029C5B" w14:textId="77777777" w:rsidTr="00007AF3">
        <w:trPr>
          <w:trHeight w:val="227"/>
        </w:trPr>
        <w:tc>
          <w:tcPr>
            <w:tcW w:w="1985" w:type="dxa"/>
            <w:tcBorders>
              <w:top w:val="nil"/>
              <w:right w:val="nil"/>
            </w:tcBorders>
            <w:shd w:val="clear" w:color="auto" w:fill="auto"/>
            <w:noWrap/>
            <w:vAlign w:val="center"/>
          </w:tcPr>
          <w:p w14:paraId="6F74FA22" w14:textId="77777777" w:rsidR="00846A43" w:rsidRPr="00D7142A" w:rsidRDefault="00846A43" w:rsidP="008727A1">
            <w:pPr>
              <w:spacing w:line="240" w:lineRule="auto"/>
              <w:rPr>
                <w:color w:val="000000"/>
              </w:rPr>
            </w:pPr>
            <w:r w:rsidRPr="00D7142A">
              <w:rPr>
                <w:color w:val="000000"/>
              </w:rPr>
              <w:t>Doctors</w:t>
            </w:r>
          </w:p>
        </w:tc>
        <w:tc>
          <w:tcPr>
            <w:tcW w:w="3118" w:type="dxa"/>
            <w:tcBorders>
              <w:top w:val="single" w:sz="4" w:space="0" w:color="auto"/>
              <w:left w:val="nil"/>
              <w:right w:val="nil"/>
            </w:tcBorders>
            <w:shd w:val="clear" w:color="auto" w:fill="auto"/>
            <w:noWrap/>
            <w:vAlign w:val="center"/>
          </w:tcPr>
          <w:p w14:paraId="75ACEA40" w14:textId="3E7C2F95" w:rsidR="00846A43" w:rsidRPr="00D7142A" w:rsidRDefault="00846A43" w:rsidP="008727A1">
            <w:pPr>
              <w:spacing w:line="240" w:lineRule="auto"/>
            </w:pPr>
            <w:proofErr w:type="spellStart"/>
            <w:r w:rsidRPr="00D7142A">
              <w:t>C</w:t>
            </w:r>
            <w:r w:rsidR="0083518E" w:rsidRPr="00D7142A">
              <w:t>o</w:t>
            </w:r>
            <w:r w:rsidRPr="00D7142A">
              <w:t>O</w:t>
            </w:r>
            <w:proofErr w:type="spellEnd"/>
            <w:r w:rsidRPr="00D7142A">
              <w:t xml:space="preserve"> doctors are better</w:t>
            </w:r>
          </w:p>
        </w:tc>
        <w:tc>
          <w:tcPr>
            <w:tcW w:w="576" w:type="dxa"/>
            <w:tcBorders>
              <w:top w:val="single" w:sz="4" w:space="0" w:color="auto"/>
              <w:left w:val="nil"/>
              <w:right w:val="nil"/>
            </w:tcBorders>
            <w:shd w:val="clear" w:color="auto" w:fill="auto"/>
            <w:noWrap/>
            <w:vAlign w:val="center"/>
          </w:tcPr>
          <w:p w14:paraId="05A39BDB" w14:textId="77777777" w:rsidR="00846A43" w:rsidRPr="00D7142A" w:rsidRDefault="00846A43" w:rsidP="008727A1">
            <w:pPr>
              <w:spacing w:line="240" w:lineRule="auto"/>
              <w:jc w:val="center"/>
            </w:pPr>
            <w:r w:rsidRPr="00D7142A">
              <w:t>74</w:t>
            </w:r>
          </w:p>
        </w:tc>
        <w:tc>
          <w:tcPr>
            <w:tcW w:w="1282" w:type="dxa"/>
            <w:tcBorders>
              <w:top w:val="single" w:sz="4" w:space="0" w:color="auto"/>
              <w:left w:val="nil"/>
              <w:right w:val="nil"/>
            </w:tcBorders>
            <w:shd w:val="clear" w:color="auto" w:fill="auto"/>
            <w:noWrap/>
            <w:vAlign w:val="center"/>
          </w:tcPr>
          <w:p w14:paraId="709EC4BF" w14:textId="77777777" w:rsidR="00846A43" w:rsidRPr="00D7142A" w:rsidRDefault="00846A43" w:rsidP="008727A1">
            <w:pPr>
              <w:spacing w:line="240" w:lineRule="auto"/>
              <w:jc w:val="center"/>
            </w:pPr>
            <w:r w:rsidRPr="00D7142A">
              <w:t>19.1</w:t>
            </w:r>
          </w:p>
        </w:tc>
        <w:tc>
          <w:tcPr>
            <w:tcW w:w="1276" w:type="dxa"/>
            <w:tcBorders>
              <w:top w:val="single" w:sz="4" w:space="0" w:color="auto"/>
              <w:left w:val="nil"/>
              <w:right w:val="single" w:sz="18" w:space="0" w:color="auto"/>
            </w:tcBorders>
            <w:shd w:val="clear" w:color="auto" w:fill="auto"/>
            <w:noWrap/>
            <w:vAlign w:val="center"/>
          </w:tcPr>
          <w:p w14:paraId="15EEC954" w14:textId="77777777" w:rsidR="00846A43" w:rsidRPr="00D7142A" w:rsidRDefault="00846A43" w:rsidP="008727A1">
            <w:pPr>
              <w:spacing w:line="240" w:lineRule="auto"/>
              <w:jc w:val="center"/>
            </w:pPr>
            <w:r w:rsidRPr="00D7142A">
              <w:t>23.1</w:t>
            </w:r>
          </w:p>
        </w:tc>
        <w:tc>
          <w:tcPr>
            <w:tcW w:w="3245" w:type="dxa"/>
            <w:tcBorders>
              <w:top w:val="single" w:sz="4" w:space="0" w:color="auto"/>
              <w:left w:val="single" w:sz="18" w:space="0" w:color="auto"/>
              <w:right w:val="nil"/>
            </w:tcBorders>
            <w:shd w:val="clear" w:color="auto" w:fill="auto"/>
            <w:noWrap/>
            <w:vAlign w:val="center"/>
          </w:tcPr>
          <w:p w14:paraId="04AE4B66" w14:textId="77777777" w:rsidR="00846A43" w:rsidRPr="00D7142A" w:rsidRDefault="00846A43" w:rsidP="008727A1">
            <w:pPr>
              <w:spacing w:line="240" w:lineRule="auto"/>
            </w:pPr>
            <w:r w:rsidRPr="00D7142A">
              <w:t>UK doctors are better</w:t>
            </w:r>
          </w:p>
        </w:tc>
        <w:tc>
          <w:tcPr>
            <w:tcW w:w="576" w:type="dxa"/>
            <w:tcBorders>
              <w:top w:val="single" w:sz="4" w:space="0" w:color="auto"/>
              <w:left w:val="nil"/>
            </w:tcBorders>
            <w:shd w:val="clear" w:color="auto" w:fill="auto"/>
            <w:noWrap/>
            <w:vAlign w:val="center"/>
          </w:tcPr>
          <w:p w14:paraId="2D8F3E28" w14:textId="77777777" w:rsidR="00846A43" w:rsidRPr="00D7142A" w:rsidRDefault="00846A43" w:rsidP="008727A1">
            <w:pPr>
              <w:spacing w:line="240" w:lineRule="auto"/>
              <w:jc w:val="center"/>
            </w:pPr>
            <w:r w:rsidRPr="00D7142A">
              <w:t>8</w:t>
            </w:r>
          </w:p>
        </w:tc>
        <w:tc>
          <w:tcPr>
            <w:tcW w:w="1165" w:type="dxa"/>
            <w:tcBorders>
              <w:top w:val="single" w:sz="4" w:space="0" w:color="auto"/>
            </w:tcBorders>
            <w:shd w:val="clear" w:color="auto" w:fill="auto"/>
            <w:noWrap/>
            <w:vAlign w:val="center"/>
          </w:tcPr>
          <w:p w14:paraId="6B503D8D" w14:textId="77777777" w:rsidR="00846A43" w:rsidRPr="00D7142A" w:rsidRDefault="00846A43" w:rsidP="008727A1">
            <w:pPr>
              <w:spacing w:line="240" w:lineRule="auto"/>
              <w:jc w:val="center"/>
              <w:rPr>
                <w:color w:val="000000"/>
              </w:rPr>
            </w:pPr>
            <w:r w:rsidRPr="00D7142A">
              <w:rPr>
                <w:color w:val="000000"/>
              </w:rPr>
              <w:t>3.8</w:t>
            </w:r>
          </w:p>
        </w:tc>
        <w:tc>
          <w:tcPr>
            <w:tcW w:w="1244" w:type="dxa"/>
            <w:tcBorders>
              <w:top w:val="single" w:sz="4" w:space="0" w:color="auto"/>
            </w:tcBorders>
            <w:shd w:val="clear" w:color="auto" w:fill="auto"/>
            <w:noWrap/>
            <w:vAlign w:val="center"/>
          </w:tcPr>
          <w:p w14:paraId="00562CD5" w14:textId="77777777" w:rsidR="00846A43" w:rsidRPr="00D7142A" w:rsidRDefault="00846A43" w:rsidP="008727A1">
            <w:pPr>
              <w:spacing w:line="240" w:lineRule="auto"/>
              <w:jc w:val="center"/>
              <w:rPr>
                <w:color w:val="000000"/>
              </w:rPr>
            </w:pPr>
            <w:r w:rsidRPr="00D7142A">
              <w:rPr>
                <w:color w:val="000000"/>
              </w:rPr>
              <w:t>4.6</w:t>
            </w:r>
          </w:p>
        </w:tc>
      </w:tr>
      <w:tr w:rsidR="00846A43" w:rsidRPr="00D7142A" w14:paraId="6CAF6D88" w14:textId="77777777" w:rsidTr="00007AF3">
        <w:trPr>
          <w:trHeight w:val="227"/>
        </w:trPr>
        <w:tc>
          <w:tcPr>
            <w:tcW w:w="1985" w:type="dxa"/>
            <w:tcBorders>
              <w:right w:val="nil"/>
            </w:tcBorders>
            <w:shd w:val="clear" w:color="auto" w:fill="auto"/>
            <w:noWrap/>
            <w:vAlign w:val="center"/>
            <w:hideMark/>
          </w:tcPr>
          <w:p w14:paraId="503512A5" w14:textId="77777777" w:rsidR="00846A43" w:rsidRPr="00D7142A" w:rsidRDefault="00846A43" w:rsidP="008727A1">
            <w:pPr>
              <w:spacing w:line="240" w:lineRule="auto"/>
            </w:pPr>
            <w:r w:rsidRPr="00D7142A">
              <w:t>Experience</w:t>
            </w:r>
          </w:p>
        </w:tc>
        <w:tc>
          <w:tcPr>
            <w:tcW w:w="3118" w:type="dxa"/>
            <w:tcBorders>
              <w:top w:val="single" w:sz="4" w:space="0" w:color="auto"/>
              <w:left w:val="nil"/>
              <w:bottom w:val="single" w:sz="4" w:space="0" w:color="auto"/>
              <w:right w:val="nil"/>
            </w:tcBorders>
            <w:shd w:val="clear" w:color="auto" w:fill="auto"/>
            <w:noWrap/>
            <w:vAlign w:val="center"/>
            <w:hideMark/>
          </w:tcPr>
          <w:p w14:paraId="1F192603" w14:textId="77777777" w:rsidR="00846A43" w:rsidRPr="00D7142A" w:rsidRDefault="00846A43" w:rsidP="008727A1">
            <w:pPr>
              <w:spacing w:line="240" w:lineRule="auto"/>
            </w:pPr>
            <w:r w:rsidRPr="00D7142A">
              <w:t>Bad experience in UK</w:t>
            </w:r>
          </w:p>
        </w:tc>
        <w:tc>
          <w:tcPr>
            <w:tcW w:w="576" w:type="dxa"/>
            <w:tcBorders>
              <w:top w:val="single" w:sz="4" w:space="0" w:color="auto"/>
              <w:left w:val="nil"/>
              <w:bottom w:val="single" w:sz="4" w:space="0" w:color="auto"/>
              <w:right w:val="nil"/>
            </w:tcBorders>
            <w:shd w:val="clear" w:color="auto" w:fill="auto"/>
            <w:noWrap/>
            <w:vAlign w:val="center"/>
            <w:hideMark/>
          </w:tcPr>
          <w:p w14:paraId="22D3FB29" w14:textId="77777777" w:rsidR="00846A43" w:rsidRPr="00D7142A" w:rsidRDefault="00846A43" w:rsidP="008727A1">
            <w:pPr>
              <w:spacing w:line="240" w:lineRule="auto"/>
              <w:jc w:val="center"/>
            </w:pPr>
            <w:r w:rsidRPr="00D7142A">
              <w:t>15</w:t>
            </w:r>
          </w:p>
        </w:tc>
        <w:tc>
          <w:tcPr>
            <w:tcW w:w="1282" w:type="dxa"/>
            <w:tcBorders>
              <w:top w:val="single" w:sz="4" w:space="0" w:color="auto"/>
              <w:left w:val="nil"/>
              <w:bottom w:val="single" w:sz="4" w:space="0" w:color="auto"/>
              <w:right w:val="nil"/>
            </w:tcBorders>
            <w:shd w:val="clear" w:color="auto" w:fill="auto"/>
            <w:noWrap/>
            <w:vAlign w:val="center"/>
            <w:hideMark/>
          </w:tcPr>
          <w:p w14:paraId="395724F8" w14:textId="77777777" w:rsidR="00846A43" w:rsidRPr="00D7142A" w:rsidRDefault="00846A43" w:rsidP="008727A1">
            <w:pPr>
              <w:spacing w:line="240" w:lineRule="auto"/>
              <w:jc w:val="center"/>
            </w:pPr>
            <w:r w:rsidRPr="00D7142A">
              <w:t>3.9</w:t>
            </w:r>
          </w:p>
        </w:tc>
        <w:tc>
          <w:tcPr>
            <w:tcW w:w="1276" w:type="dxa"/>
            <w:tcBorders>
              <w:top w:val="single" w:sz="4" w:space="0" w:color="auto"/>
              <w:left w:val="nil"/>
              <w:bottom w:val="single" w:sz="4" w:space="0" w:color="auto"/>
              <w:right w:val="single" w:sz="18" w:space="0" w:color="auto"/>
            </w:tcBorders>
            <w:shd w:val="clear" w:color="auto" w:fill="auto"/>
            <w:noWrap/>
            <w:vAlign w:val="center"/>
            <w:hideMark/>
          </w:tcPr>
          <w:p w14:paraId="5F320619" w14:textId="77777777" w:rsidR="00846A43" w:rsidRPr="00D7142A" w:rsidRDefault="00846A43" w:rsidP="008727A1">
            <w:pPr>
              <w:spacing w:line="240" w:lineRule="auto"/>
              <w:jc w:val="center"/>
            </w:pPr>
            <w:r w:rsidRPr="00D7142A">
              <w:t>4.7</w:t>
            </w:r>
          </w:p>
        </w:tc>
        <w:tc>
          <w:tcPr>
            <w:tcW w:w="3245" w:type="dxa"/>
            <w:tcBorders>
              <w:top w:val="single" w:sz="4" w:space="0" w:color="auto"/>
              <w:left w:val="single" w:sz="18" w:space="0" w:color="auto"/>
              <w:bottom w:val="single" w:sz="4" w:space="0" w:color="auto"/>
              <w:right w:val="nil"/>
            </w:tcBorders>
            <w:shd w:val="clear" w:color="auto" w:fill="auto"/>
            <w:noWrap/>
            <w:vAlign w:val="center"/>
            <w:hideMark/>
          </w:tcPr>
          <w:p w14:paraId="1D20DC47" w14:textId="77777777" w:rsidR="00846A43" w:rsidRPr="00D7142A" w:rsidRDefault="00846A43" w:rsidP="008727A1">
            <w:pPr>
              <w:spacing w:line="240" w:lineRule="auto"/>
            </w:pPr>
            <w:r w:rsidRPr="00D7142A">
              <w:t>Good experience in UK</w:t>
            </w:r>
          </w:p>
        </w:tc>
        <w:tc>
          <w:tcPr>
            <w:tcW w:w="576" w:type="dxa"/>
            <w:tcBorders>
              <w:top w:val="single" w:sz="4" w:space="0" w:color="auto"/>
              <w:left w:val="nil"/>
              <w:bottom w:val="single" w:sz="4" w:space="0" w:color="auto"/>
            </w:tcBorders>
            <w:shd w:val="clear" w:color="auto" w:fill="auto"/>
            <w:noWrap/>
            <w:vAlign w:val="center"/>
            <w:hideMark/>
          </w:tcPr>
          <w:p w14:paraId="10AF588D" w14:textId="77777777" w:rsidR="00846A43" w:rsidRPr="00D7142A" w:rsidRDefault="00846A43" w:rsidP="008727A1">
            <w:pPr>
              <w:spacing w:line="240" w:lineRule="auto"/>
              <w:jc w:val="center"/>
            </w:pPr>
            <w:r w:rsidRPr="00D7142A">
              <w:t>5</w:t>
            </w:r>
          </w:p>
        </w:tc>
        <w:tc>
          <w:tcPr>
            <w:tcW w:w="1165" w:type="dxa"/>
            <w:tcBorders>
              <w:top w:val="single" w:sz="4" w:space="0" w:color="auto"/>
              <w:bottom w:val="single" w:sz="4" w:space="0" w:color="auto"/>
            </w:tcBorders>
            <w:shd w:val="clear" w:color="auto" w:fill="auto"/>
            <w:noWrap/>
            <w:vAlign w:val="center"/>
            <w:hideMark/>
          </w:tcPr>
          <w:p w14:paraId="31E4DB03" w14:textId="77777777" w:rsidR="00846A43" w:rsidRPr="00D7142A" w:rsidRDefault="00846A43" w:rsidP="008727A1">
            <w:pPr>
              <w:spacing w:line="240" w:lineRule="auto"/>
              <w:jc w:val="center"/>
            </w:pPr>
            <w:r w:rsidRPr="00D7142A">
              <w:t>2.4</w:t>
            </w:r>
          </w:p>
        </w:tc>
        <w:tc>
          <w:tcPr>
            <w:tcW w:w="1244" w:type="dxa"/>
            <w:tcBorders>
              <w:top w:val="single" w:sz="4" w:space="0" w:color="auto"/>
              <w:bottom w:val="single" w:sz="4" w:space="0" w:color="auto"/>
            </w:tcBorders>
            <w:shd w:val="clear" w:color="auto" w:fill="auto"/>
            <w:noWrap/>
            <w:vAlign w:val="center"/>
            <w:hideMark/>
          </w:tcPr>
          <w:p w14:paraId="33B2C800" w14:textId="77777777" w:rsidR="00846A43" w:rsidRPr="00D7142A" w:rsidRDefault="00846A43" w:rsidP="008727A1">
            <w:pPr>
              <w:spacing w:line="240" w:lineRule="auto"/>
              <w:jc w:val="center"/>
            </w:pPr>
            <w:r w:rsidRPr="00D7142A">
              <w:t>2.9</w:t>
            </w:r>
          </w:p>
        </w:tc>
      </w:tr>
      <w:tr w:rsidR="00846A43" w:rsidRPr="00D7142A" w14:paraId="6A884E27" w14:textId="77777777" w:rsidTr="00007AF3">
        <w:trPr>
          <w:trHeight w:val="227"/>
        </w:trPr>
        <w:tc>
          <w:tcPr>
            <w:tcW w:w="1985" w:type="dxa"/>
            <w:vMerge w:val="restart"/>
            <w:tcBorders>
              <w:right w:val="nil"/>
            </w:tcBorders>
            <w:shd w:val="clear" w:color="auto" w:fill="auto"/>
            <w:noWrap/>
            <w:vAlign w:val="center"/>
            <w:hideMark/>
          </w:tcPr>
          <w:p w14:paraId="2109E9D4" w14:textId="77777777" w:rsidR="00846A43" w:rsidRPr="00D7142A" w:rsidRDefault="00846A43" w:rsidP="008727A1">
            <w:pPr>
              <w:spacing w:line="240" w:lineRule="auto"/>
            </w:pPr>
            <w:r w:rsidRPr="00D7142A">
              <w:t>Trust</w:t>
            </w:r>
          </w:p>
        </w:tc>
        <w:tc>
          <w:tcPr>
            <w:tcW w:w="3118" w:type="dxa"/>
            <w:tcBorders>
              <w:top w:val="single" w:sz="4" w:space="0" w:color="auto"/>
              <w:left w:val="nil"/>
              <w:bottom w:val="nil"/>
              <w:right w:val="nil"/>
            </w:tcBorders>
            <w:shd w:val="clear" w:color="auto" w:fill="auto"/>
            <w:noWrap/>
            <w:vAlign w:val="center"/>
            <w:hideMark/>
          </w:tcPr>
          <w:p w14:paraId="145C2164" w14:textId="7D4E9913" w:rsidR="00846A43" w:rsidRPr="00D7142A" w:rsidRDefault="00846A43" w:rsidP="008727A1">
            <w:pPr>
              <w:spacing w:line="240" w:lineRule="auto"/>
            </w:pPr>
            <w:r w:rsidRPr="00D7142A">
              <w:t xml:space="preserve">Trust in </w:t>
            </w:r>
            <w:proofErr w:type="spellStart"/>
            <w:r w:rsidRPr="00D7142A">
              <w:t>C</w:t>
            </w:r>
            <w:r w:rsidR="0083518E" w:rsidRPr="00D7142A">
              <w:t>o</w:t>
            </w:r>
            <w:r w:rsidRPr="00D7142A">
              <w:t>O</w:t>
            </w:r>
            <w:proofErr w:type="spellEnd"/>
            <w:r w:rsidRPr="00D7142A">
              <w:t xml:space="preserve"> healthcare</w:t>
            </w:r>
          </w:p>
        </w:tc>
        <w:tc>
          <w:tcPr>
            <w:tcW w:w="576" w:type="dxa"/>
            <w:tcBorders>
              <w:top w:val="single" w:sz="4" w:space="0" w:color="auto"/>
              <w:left w:val="nil"/>
              <w:bottom w:val="nil"/>
              <w:right w:val="nil"/>
            </w:tcBorders>
            <w:shd w:val="clear" w:color="auto" w:fill="auto"/>
            <w:noWrap/>
            <w:vAlign w:val="center"/>
            <w:hideMark/>
          </w:tcPr>
          <w:p w14:paraId="2D79B5B9" w14:textId="77777777" w:rsidR="00846A43" w:rsidRPr="00D7142A" w:rsidRDefault="00846A43" w:rsidP="008727A1">
            <w:pPr>
              <w:spacing w:line="240" w:lineRule="auto"/>
              <w:jc w:val="center"/>
            </w:pPr>
            <w:r w:rsidRPr="00D7142A">
              <w:t>5</w:t>
            </w:r>
          </w:p>
        </w:tc>
        <w:tc>
          <w:tcPr>
            <w:tcW w:w="1282" w:type="dxa"/>
            <w:tcBorders>
              <w:top w:val="single" w:sz="4" w:space="0" w:color="auto"/>
              <w:left w:val="nil"/>
              <w:bottom w:val="nil"/>
              <w:right w:val="nil"/>
            </w:tcBorders>
            <w:shd w:val="clear" w:color="auto" w:fill="auto"/>
            <w:noWrap/>
            <w:vAlign w:val="center"/>
            <w:hideMark/>
          </w:tcPr>
          <w:p w14:paraId="313D3D1F" w14:textId="77777777" w:rsidR="00846A43" w:rsidRPr="00D7142A" w:rsidRDefault="00846A43" w:rsidP="008727A1">
            <w:pPr>
              <w:spacing w:line="240" w:lineRule="auto"/>
              <w:jc w:val="center"/>
            </w:pPr>
            <w:r w:rsidRPr="00D7142A">
              <w:t>1.3</w:t>
            </w:r>
          </w:p>
        </w:tc>
        <w:tc>
          <w:tcPr>
            <w:tcW w:w="1276" w:type="dxa"/>
            <w:tcBorders>
              <w:top w:val="single" w:sz="4" w:space="0" w:color="auto"/>
              <w:left w:val="nil"/>
              <w:bottom w:val="nil"/>
              <w:right w:val="single" w:sz="18" w:space="0" w:color="auto"/>
            </w:tcBorders>
            <w:shd w:val="clear" w:color="auto" w:fill="auto"/>
            <w:noWrap/>
            <w:vAlign w:val="center"/>
            <w:hideMark/>
          </w:tcPr>
          <w:p w14:paraId="155E899C" w14:textId="77777777" w:rsidR="00846A43" w:rsidRPr="00D7142A" w:rsidRDefault="00846A43" w:rsidP="008727A1">
            <w:pPr>
              <w:spacing w:line="240" w:lineRule="auto"/>
              <w:jc w:val="center"/>
            </w:pPr>
            <w:r w:rsidRPr="00D7142A">
              <w:t>1.6</w:t>
            </w:r>
          </w:p>
        </w:tc>
        <w:tc>
          <w:tcPr>
            <w:tcW w:w="3245" w:type="dxa"/>
            <w:tcBorders>
              <w:top w:val="single" w:sz="4" w:space="0" w:color="auto"/>
              <w:left w:val="single" w:sz="18" w:space="0" w:color="auto"/>
              <w:bottom w:val="nil"/>
              <w:right w:val="nil"/>
            </w:tcBorders>
            <w:shd w:val="clear" w:color="auto" w:fill="auto"/>
            <w:noWrap/>
            <w:vAlign w:val="center"/>
            <w:hideMark/>
          </w:tcPr>
          <w:p w14:paraId="66D1D3C0" w14:textId="77777777" w:rsidR="00846A43" w:rsidRPr="00D7142A" w:rsidRDefault="00846A43" w:rsidP="008727A1">
            <w:pPr>
              <w:spacing w:line="240" w:lineRule="auto"/>
            </w:pPr>
            <w:r w:rsidRPr="00D7142A">
              <w:t>Trust in UK healthcare</w:t>
            </w:r>
          </w:p>
        </w:tc>
        <w:tc>
          <w:tcPr>
            <w:tcW w:w="576" w:type="dxa"/>
            <w:tcBorders>
              <w:top w:val="single" w:sz="4" w:space="0" w:color="auto"/>
              <w:left w:val="nil"/>
              <w:bottom w:val="nil"/>
            </w:tcBorders>
            <w:shd w:val="clear" w:color="auto" w:fill="auto"/>
            <w:noWrap/>
            <w:vAlign w:val="center"/>
            <w:hideMark/>
          </w:tcPr>
          <w:p w14:paraId="1AB561CA" w14:textId="77777777" w:rsidR="00846A43" w:rsidRPr="00D7142A" w:rsidRDefault="00846A43" w:rsidP="008727A1">
            <w:pPr>
              <w:spacing w:line="240" w:lineRule="auto"/>
              <w:jc w:val="center"/>
            </w:pPr>
            <w:r w:rsidRPr="00D7142A">
              <w:t>6</w:t>
            </w:r>
          </w:p>
        </w:tc>
        <w:tc>
          <w:tcPr>
            <w:tcW w:w="1165" w:type="dxa"/>
            <w:tcBorders>
              <w:top w:val="single" w:sz="4" w:space="0" w:color="auto"/>
              <w:bottom w:val="nil"/>
            </w:tcBorders>
            <w:shd w:val="clear" w:color="auto" w:fill="auto"/>
            <w:noWrap/>
            <w:vAlign w:val="center"/>
            <w:hideMark/>
          </w:tcPr>
          <w:p w14:paraId="3B755195" w14:textId="77777777" w:rsidR="00846A43" w:rsidRPr="00D7142A" w:rsidRDefault="00846A43" w:rsidP="008727A1">
            <w:pPr>
              <w:spacing w:line="240" w:lineRule="auto"/>
              <w:jc w:val="center"/>
            </w:pPr>
            <w:r w:rsidRPr="00D7142A">
              <w:t>2.8</w:t>
            </w:r>
          </w:p>
        </w:tc>
        <w:tc>
          <w:tcPr>
            <w:tcW w:w="1244" w:type="dxa"/>
            <w:tcBorders>
              <w:top w:val="single" w:sz="4" w:space="0" w:color="auto"/>
              <w:bottom w:val="nil"/>
            </w:tcBorders>
            <w:shd w:val="clear" w:color="auto" w:fill="auto"/>
            <w:noWrap/>
            <w:vAlign w:val="center"/>
            <w:hideMark/>
          </w:tcPr>
          <w:p w14:paraId="1EC79ABF" w14:textId="77777777" w:rsidR="00846A43" w:rsidRPr="00D7142A" w:rsidRDefault="00846A43" w:rsidP="008727A1">
            <w:pPr>
              <w:spacing w:line="240" w:lineRule="auto"/>
              <w:jc w:val="center"/>
            </w:pPr>
            <w:r w:rsidRPr="00D7142A">
              <w:t>3.4</w:t>
            </w:r>
          </w:p>
        </w:tc>
      </w:tr>
      <w:tr w:rsidR="00846A43" w:rsidRPr="00D7142A" w14:paraId="42FC6D3E" w14:textId="77777777" w:rsidTr="00007AF3">
        <w:trPr>
          <w:trHeight w:val="227"/>
        </w:trPr>
        <w:tc>
          <w:tcPr>
            <w:tcW w:w="1985" w:type="dxa"/>
            <w:vMerge/>
            <w:tcBorders>
              <w:right w:val="nil"/>
            </w:tcBorders>
            <w:shd w:val="clear" w:color="auto" w:fill="auto"/>
            <w:noWrap/>
            <w:vAlign w:val="center"/>
            <w:hideMark/>
          </w:tcPr>
          <w:p w14:paraId="0A2B13ED" w14:textId="77777777" w:rsidR="00846A43" w:rsidRPr="00D7142A" w:rsidRDefault="00846A43" w:rsidP="008727A1">
            <w:pPr>
              <w:spacing w:line="240" w:lineRule="auto"/>
            </w:pPr>
          </w:p>
        </w:tc>
        <w:tc>
          <w:tcPr>
            <w:tcW w:w="3118" w:type="dxa"/>
            <w:tcBorders>
              <w:top w:val="nil"/>
              <w:left w:val="nil"/>
              <w:bottom w:val="nil"/>
              <w:right w:val="nil"/>
            </w:tcBorders>
            <w:shd w:val="clear" w:color="auto" w:fill="auto"/>
            <w:noWrap/>
            <w:vAlign w:val="center"/>
            <w:hideMark/>
          </w:tcPr>
          <w:p w14:paraId="31A811D6" w14:textId="586C4DBB" w:rsidR="00846A43" w:rsidRPr="00D7142A" w:rsidRDefault="00846A43" w:rsidP="008727A1">
            <w:pPr>
              <w:spacing w:line="240" w:lineRule="auto"/>
            </w:pPr>
            <w:r w:rsidRPr="00D7142A">
              <w:t xml:space="preserve">More trust in </w:t>
            </w:r>
            <w:proofErr w:type="spellStart"/>
            <w:r w:rsidRPr="00D7142A">
              <w:t>C</w:t>
            </w:r>
            <w:r w:rsidR="0083518E" w:rsidRPr="00D7142A">
              <w:t>o</w:t>
            </w:r>
            <w:r w:rsidRPr="00D7142A">
              <w:t>O</w:t>
            </w:r>
            <w:proofErr w:type="spellEnd"/>
            <w:r w:rsidRPr="00D7142A">
              <w:t xml:space="preserve"> healthcare</w:t>
            </w:r>
          </w:p>
        </w:tc>
        <w:tc>
          <w:tcPr>
            <w:tcW w:w="576" w:type="dxa"/>
            <w:tcBorders>
              <w:top w:val="nil"/>
              <w:left w:val="nil"/>
              <w:bottom w:val="nil"/>
              <w:right w:val="nil"/>
            </w:tcBorders>
            <w:shd w:val="clear" w:color="auto" w:fill="auto"/>
            <w:noWrap/>
            <w:vAlign w:val="center"/>
            <w:hideMark/>
          </w:tcPr>
          <w:p w14:paraId="17C11510" w14:textId="77777777" w:rsidR="00846A43" w:rsidRPr="00D7142A" w:rsidRDefault="00846A43" w:rsidP="008727A1">
            <w:pPr>
              <w:spacing w:line="240" w:lineRule="auto"/>
              <w:jc w:val="center"/>
            </w:pPr>
            <w:r w:rsidRPr="00D7142A">
              <w:t>10</w:t>
            </w:r>
          </w:p>
        </w:tc>
        <w:tc>
          <w:tcPr>
            <w:tcW w:w="1282" w:type="dxa"/>
            <w:tcBorders>
              <w:top w:val="nil"/>
              <w:left w:val="nil"/>
              <w:bottom w:val="nil"/>
              <w:right w:val="nil"/>
            </w:tcBorders>
            <w:shd w:val="clear" w:color="auto" w:fill="auto"/>
            <w:noWrap/>
            <w:vAlign w:val="center"/>
            <w:hideMark/>
          </w:tcPr>
          <w:p w14:paraId="6551C3E1" w14:textId="77777777" w:rsidR="00846A43" w:rsidRPr="00D7142A" w:rsidRDefault="00846A43" w:rsidP="008727A1">
            <w:pPr>
              <w:spacing w:line="240" w:lineRule="auto"/>
              <w:jc w:val="center"/>
            </w:pPr>
            <w:r w:rsidRPr="00D7142A">
              <w:t>2.6</w:t>
            </w:r>
          </w:p>
        </w:tc>
        <w:tc>
          <w:tcPr>
            <w:tcW w:w="1276" w:type="dxa"/>
            <w:tcBorders>
              <w:left w:val="nil"/>
              <w:bottom w:val="nil"/>
              <w:right w:val="single" w:sz="18" w:space="0" w:color="auto"/>
            </w:tcBorders>
            <w:shd w:val="clear" w:color="auto" w:fill="auto"/>
            <w:noWrap/>
            <w:vAlign w:val="center"/>
            <w:hideMark/>
          </w:tcPr>
          <w:p w14:paraId="0CD46A01" w14:textId="77777777" w:rsidR="00846A43" w:rsidRPr="00D7142A" w:rsidRDefault="00846A43" w:rsidP="008727A1">
            <w:pPr>
              <w:spacing w:line="240" w:lineRule="auto"/>
              <w:jc w:val="center"/>
            </w:pPr>
            <w:r w:rsidRPr="00D7142A">
              <w:t>3.1</w:t>
            </w:r>
          </w:p>
        </w:tc>
        <w:tc>
          <w:tcPr>
            <w:tcW w:w="3245" w:type="dxa"/>
            <w:tcBorders>
              <w:top w:val="nil"/>
              <w:left w:val="single" w:sz="18" w:space="0" w:color="auto"/>
              <w:bottom w:val="nil"/>
              <w:right w:val="nil"/>
            </w:tcBorders>
            <w:shd w:val="clear" w:color="auto" w:fill="auto"/>
            <w:noWrap/>
            <w:vAlign w:val="center"/>
            <w:hideMark/>
          </w:tcPr>
          <w:p w14:paraId="4BF364FB" w14:textId="77777777" w:rsidR="00846A43" w:rsidRPr="00D7142A" w:rsidRDefault="00846A43" w:rsidP="008727A1">
            <w:pPr>
              <w:spacing w:line="240" w:lineRule="auto"/>
            </w:pPr>
          </w:p>
        </w:tc>
        <w:tc>
          <w:tcPr>
            <w:tcW w:w="576" w:type="dxa"/>
            <w:tcBorders>
              <w:top w:val="nil"/>
              <w:left w:val="nil"/>
              <w:bottom w:val="nil"/>
            </w:tcBorders>
            <w:shd w:val="clear" w:color="auto" w:fill="auto"/>
            <w:noWrap/>
            <w:vAlign w:val="center"/>
            <w:hideMark/>
          </w:tcPr>
          <w:p w14:paraId="5375C900" w14:textId="77777777" w:rsidR="00846A43" w:rsidRPr="00D7142A" w:rsidRDefault="00846A43" w:rsidP="008727A1">
            <w:pPr>
              <w:spacing w:line="240" w:lineRule="auto"/>
              <w:jc w:val="center"/>
            </w:pPr>
          </w:p>
        </w:tc>
        <w:tc>
          <w:tcPr>
            <w:tcW w:w="1165" w:type="dxa"/>
            <w:tcBorders>
              <w:top w:val="nil"/>
              <w:bottom w:val="nil"/>
            </w:tcBorders>
            <w:shd w:val="clear" w:color="auto" w:fill="auto"/>
            <w:noWrap/>
            <w:vAlign w:val="center"/>
            <w:hideMark/>
          </w:tcPr>
          <w:p w14:paraId="68ACDA57" w14:textId="77777777" w:rsidR="00846A43" w:rsidRPr="00D7142A" w:rsidRDefault="00846A43" w:rsidP="008727A1">
            <w:pPr>
              <w:spacing w:line="240" w:lineRule="auto"/>
              <w:jc w:val="center"/>
            </w:pPr>
          </w:p>
        </w:tc>
        <w:tc>
          <w:tcPr>
            <w:tcW w:w="1244" w:type="dxa"/>
            <w:tcBorders>
              <w:bottom w:val="nil"/>
            </w:tcBorders>
            <w:shd w:val="clear" w:color="auto" w:fill="auto"/>
            <w:noWrap/>
            <w:vAlign w:val="center"/>
          </w:tcPr>
          <w:p w14:paraId="4A413789" w14:textId="77777777" w:rsidR="00846A43" w:rsidRPr="00D7142A" w:rsidRDefault="00846A43" w:rsidP="008727A1">
            <w:pPr>
              <w:spacing w:line="240" w:lineRule="auto"/>
              <w:jc w:val="center"/>
            </w:pPr>
          </w:p>
        </w:tc>
      </w:tr>
      <w:tr w:rsidR="00846A43" w:rsidRPr="00D7142A" w14:paraId="61348A2F" w14:textId="77777777" w:rsidTr="00007AF3">
        <w:trPr>
          <w:trHeight w:val="227"/>
        </w:trPr>
        <w:tc>
          <w:tcPr>
            <w:tcW w:w="1985" w:type="dxa"/>
            <w:vMerge/>
            <w:tcBorders>
              <w:right w:val="nil"/>
            </w:tcBorders>
            <w:shd w:val="clear" w:color="auto" w:fill="auto"/>
            <w:noWrap/>
            <w:vAlign w:val="center"/>
            <w:hideMark/>
          </w:tcPr>
          <w:p w14:paraId="68F7C1A2" w14:textId="77777777" w:rsidR="00846A43" w:rsidRPr="00D7142A" w:rsidRDefault="00846A43" w:rsidP="008727A1">
            <w:pPr>
              <w:spacing w:line="240" w:lineRule="auto"/>
            </w:pPr>
          </w:p>
        </w:tc>
        <w:tc>
          <w:tcPr>
            <w:tcW w:w="3118" w:type="dxa"/>
            <w:tcBorders>
              <w:top w:val="nil"/>
              <w:left w:val="nil"/>
              <w:bottom w:val="nil"/>
              <w:right w:val="nil"/>
            </w:tcBorders>
            <w:shd w:val="clear" w:color="auto" w:fill="auto"/>
            <w:noWrap/>
            <w:vAlign w:val="center"/>
            <w:hideMark/>
          </w:tcPr>
          <w:p w14:paraId="03CC4317" w14:textId="77777777" w:rsidR="00846A43" w:rsidRPr="00D7142A" w:rsidRDefault="00846A43" w:rsidP="008727A1">
            <w:pPr>
              <w:spacing w:line="240" w:lineRule="auto"/>
            </w:pPr>
            <w:r w:rsidRPr="00D7142A">
              <w:t>Mistrust of UK healthcare</w:t>
            </w:r>
          </w:p>
        </w:tc>
        <w:tc>
          <w:tcPr>
            <w:tcW w:w="576" w:type="dxa"/>
            <w:tcBorders>
              <w:top w:val="nil"/>
              <w:left w:val="nil"/>
              <w:bottom w:val="nil"/>
              <w:right w:val="nil"/>
            </w:tcBorders>
            <w:shd w:val="clear" w:color="auto" w:fill="auto"/>
            <w:noWrap/>
            <w:vAlign w:val="center"/>
            <w:hideMark/>
          </w:tcPr>
          <w:p w14:paraId="4E3677A9" w14:textId="77777777" w:rsidR="00846A43" w:rsidRPr="00D7142A" w:rsidRDefault="00846A43" w:rsidP="008727A1">
            <w:pPr>
              <w:spacing w:line="240" w:lineRule="auto"/>
              <w:jc w:val="center"/>
            </w:pPr>
            <w:r w:rsidRPr="00D7142A">
              <w:t>3</w:t>
            </w:r>
          </w:p>
        </w:tc>
        <w:tc>
          <w:tcPr>
            <w:tcW w:w="1282" w:type="dxa"/>
            <w:tcBorders>
              <w:top w:val="nil"/>
              <w:left w:val="nil"/>
              <w:bottom w:val="nil"/>
              <w:right w:val="nil"/>
            </w:tcBorders>
            <w:shd w:val="clear" w:color="auto" w:fill="auto"/>
            <w:noWrap/>
            <w:vAlign w:val="center"/>
            <w:hideMark/>
          </w:tcPr>
          <w:p w14:paraId="1A9971FA" w14:textId="77777777" w:rsidR="00846A43" w:rsidRPr="00D7142A" w:rsidRDefault="00846A43" w:rsidP="008727A1">
            <w:pPr>
              <w:spacing w:line="240" w:lineRule="auto"/>
              <w:jc w:val="center"/>
            </w:pPr>
            <w:r w:rsidRPr="00D7142A">
              <w:t>0.8</w:t>
            </w:r>
          </w:p>
        </w:tc>
        <w:tc>
          <w:tcPr>
            <w:tcW w:w="1276" w:type="dxa"/>
            <w:tcBorders>
              <w:left w:val="nil"/>
              <w:bottom w:val="nil"/>
              <w:right w:val="single" w:sz="18" w:space="0" w:color="auto"/>
            </w:tcBorders>
            <w:shd w:val="clear" w:color="auto" w:fill="auto"/>
            <w:noWrap/>
            <w:vAlign w:val="center"/>
            <w:hideMark/>
          </w:tcPr>
          <w:p w14:paraId="0BB646A9" w14:textId="77777777" w:rsidR="00846A43" w:rsidRPr="00D7142A" w:rsidRDefault="00846A43" w:rsidP="008727A1">
            <w:pPr>
              <w:spacing w:line="240" w:lineRule="auto"/>
              <w:jc w:val="center"/>
            </w:pPr>
            <w:r w:rsidRPr="00D7142A">
              <w:t>0.9</w:t>
            </w:r>
          </w:p>
        </w:tc>
        <w:tc>
          <w:tcPr>
            <w:tcW w:w="3245" w:type="dxa"/>
            <w:tcBorders>
              <w:top w:val="nil"/>
              <w:left w:val="single" w:sz="18" w:space="0" w:color="auto"/>
              <w:bottom w:val="nil"/>
              <w:right w:val="nil"/>
            </w:tcBorders>
            <w:shd w:val="clear" w:color="auto" w:fill="auto"/>
            <w:noWrap/>
            <w:vAlign w:val="center"/>
            <w:hideMark/>
          </w:tcPr>
          <w:p w14:paraId="6AC175C4" w14:textId="77777777" w:rsidR="00846A43" w:rsidRPr="00D7142A" w:rsidRDefault="00846A43" w:rsidP="008727A1">
            <w:pPr>
              <w:spacing w:line="240" w:lineRule="auto"/>
            </w:pPr>
          </w:p>
        </w:tc>
        <w:tc>
          <w:tcPr>
            <w:tcW w:w="576" w:type="dxa"/>
            <w:tcBorders>
              <w:top w:val="nil"/>
              <w:left w:val="nil"/>
              <w:bottom w:val="nil"/>
            </w:tcBorders>
            <w:shd w:val="clear" w:color="auto" w:fill="auto"/>
            <w:noWrap/>
            <w:vAlign w:val="center"/>
            <w:hideMark/>
          </w:tcPr>
          <w:p w14:paraId="1ACFDF22" w14:textId="77777777" w:rsidR="00846A43" w:rsidRPr="00D7142A" w:rsidRDefault="00846A43" w:rsidP="008727A1">
            <w:pPr>
              <w:spacing w:line="240" w:lineRule="auto"/>
              <w:jc w:val="center"/>
            </w:pPr>
          </w:p>
        </w:tc>
        <w:tc>
          <w:tcPr>
            <w:tcW w:w="1165" w:type="dxa"/>
            <w:tcBorders>
              <w:top w:val="nil"/>
              <w:bottom w:val="nil"/>
            </w:tcBorders>
            <w:shd w:val="clear" w:color="auto" w:fill="auto"/>
            <w:noWrap/>
            <w:vAlign w:val="center"/>
            <w:hideMark/>
          </w:tcPr>
          <w:p w14:paraId="33AFE9A7" w14:textId="77777777" w:rsidR="00846A43" w:rsidRPr="00D7142A" w:rsidRDefault="00846A43" w:rsidP="008727A1">
            <w:pPr>
              <w:spacing w:line="240" w:lineRule="auto"/>
              <w:jc w:val="center"/>
            </w:pPr>
          </w:p>
        </w:tc>
        <w:tc>
          <w:tcPr>
            <w:tcW w:w="1244" w:type="dxa"/>
            <w:tcBorders>
              <w:bottom w:val="nil"/>
            </w:tcBorders>
            <w:shd w:val="clear" w:color="auto" w:fill="auto"/>
            <w:noWrap/>
            <w:vAlign w:val="center"/>
          </w:tcPr>
          <w:p w14:paraId="7EA37E63" w14:textId="77777777" w:rsidR="00846A43" w:rsidRPr="00D7142A" w:rsidRDefault="00846A43" w:rsidP="008727A1">
            <w:pPr>
              <w:spacing w:line="240" w:lineRule="auto"/>
              <w:jc w:val="center"/>
            </w:pPr>
          </w:p>
        </w:tc>
      </w:tr>
      <w:tr w:rsidR="00846A43" w:rsidRPr="00D7142A" w14:paraId="00C944A2" w14:textId="77777777" w:rsidTr="00007AF3">
        <w:trPr>
          <w:trHeight w:val="227"/>
        </w:trPr>
        <w:tc>
          <w:tcPr>
            <w:tcW w:w="1985" w:type="dxa"/>
            <w:vMerge/>
            <w:tcBorders>
              <w:right w:val="nil"/>
            </w:tcBorders>
            <w:shd w:val="clear" w:color="auto" w:fill="auto"/>
            <w:noWrap/>
            <w:vAlign w:val="center"/>
            <w:hideMark/>
          </w:tcPr>
          <w:p w14:paraId="37A60E68" w14:textId="77777777" w:rsidR="00846A43" w:rsidRPr="00D7142A" w:rsidRDefault="00846A43" w:rsidP="008727A1">
            <w:pPr>
              <w:spacing w:line="240" w:lineRule="auto"/>
            </w:pPr>
          </w:p>
        </w:tc>
        <w:tc>
          <w:tcPr>
            <w:tcW w:w="3118" w:type="dxa"/>
            <w:tcBorders>
              <w:top w:val="nil"/>
              <w:left w:val="nil"/>
              <w:bottom w:val="single" w:sz="4" w:space="0" w:color="auto"/>
              <w:right w:val="nil"/>
            </w:tcBorders>
            <w:shd w:val="clear" w:color="auto" w:fill="auto"/>
            <w:noWrap/>
            <w:vAlign w:val="center"/>
            <w:hideMark/>
          </w:tcPr>
          <w:p w14:paraId="788383BE" w14:textId="77777777" w:rsidR="00846A43" w:rsidRPr="00D7142A" w:rsidRDefault="00846A43" w:rsidP="008727A1">
            <w:pPr>
              <w:spacing w:line="240" w:lineRule="auto"/>
            </w:pPr>
            <w:r w:rsidRPr="00D7142A">
              <w:t>Mistrust of NHS in particular</w:t>
            </w:r>
          </w:p>
        </w:tc>
        <w:tc>
          <w:tcPr>
            <w:tcW w:w="576" w:type="dxa"/>
            <w:tcBorders>
              <w:top w:val="nil"/>
              <w:left w:val="nil"/>
              <w:bottom w:val="single" w:sz="4" w:space="0" w:color="auto"/>
              <w:right w:val="nil"/>
            </w:tcBorders>
            <w:shd w:val="clear" w:color="auto" w:fill="auto"/>
            <w:noWrap/>
            <w:vAlign w:val="center"/>
            <w:hideMark/>
          </w:tcPr>
          <w:p w14:paraId="686219AA" w14:textId="77777777" w:rsidR="00846A43" w:rsidRPr="00D7142A" w:rsidRDefault="00846A43" w:rsidP="008727A1">
            <w:pPr>
              <w:spacing w:line="240" w:lineRule="auto"/>
              <w:jc w:val="center"/>
            </w:pPr>
            <w:r w:rsidRPr="00D7142A">
              <w:t>4</w:t>
            </w:r>
          </w:p>
        </w:tc>
        <w:tc>
          <w:tcPr>
            <w:tcW w:w="1282" w:type="dxa"/>
            <w:tcBorders>
              <w:top w:val="nil"/>
              <w:left w:val="nil"/>
              <w:bottom w:val="single" w:sz="4" w:space="0" w:color="auto"/>
              <w:right w:val="nil"/>
            </w:tcBorders>
            <w:shd w:val="clear" w:color="auto" w:fill="auto"/>
            <w:noWrap/>
            <w:vAlign w:val="center"/>
            <w:hideMark/>
          </w:tcPr>
          <w:p w14:paraId="167F8286" w14:textId="77777777" w:rsidR="00846A43" w:rsidRPr="00D7142A" w:rsidRDefault="00846A43" w:rsidP="008727A1">
            <w:pPr>
              <w:spacing w:line="240" w:lineRule="auto"/>
              <w:jc w:val="center"/>
            </w:pPr>
            <w:r w:rsidRPr="00D7142A">
              <w:t>1.0</w:t>
            </w:r>
          </w:p>
        </w:tc>
        <w:tc>
          <w:tcPr>
            <w:tcW w:w="1276" w:type="dxa"/>
            <w:tcBorders>
              <w:left w:val="nil"/>
              <w:bottom w:val="single" w:sz="4" w:space="0" w:color="auto"/>
              <w:right w:val="single" w:sz="18" w:space="0" w:color="auto"/>
            </w:tcBorders>
            <w:shd w:val="clear" w:color="auto" w:fill="auto"/>
            <w:noWrap/>
            <w:vAlign w:val="center"/>
            <w:hideMark/>
          </w:tcPr>
          <w:p w14:paraId="34BF1A82" w14:textId="77777777" w:rsidR="00846A43" w:rsidRPr="00D7142A" w:rsidRDefault="00846A43" w:rsidP="008727A1">
            <w:pPr>
              <w:spacing w:line="240" w:lineRule="auto"/>
              <w:jc w:val="center"/>
            </w:pPr>
            <w:r w:rsidRPr="00D7142A">
              <w:t>1.3</w:t>
            </w:r>
          </w:p>
        </w:tc>
        <w:tc>
          <w:tcPr>
            <w:tcW w:w="3245" w:type="dxa"/>
            <w:tcBorders>
              <w:top w:val="nil"/>
              <w:left w:val="single" w:sz="18" w:space="0" w:color="auto"/>
              <w:bottom w:val="single" w:sz="4" w:space="0" w:color="auto"/>
              <w:right w:val="nil"/>
            </w:tcBorders>
            <w:shd w:val="clear" w:color="auto" w:fill="auto"/>
            <w:noWrap/>
            <w:vAlign w:val="center"/>
            <w:hideMark/>
          </w:tcPr>
          <w:p w14:paraId="2268C02D" w14:textId="77777777" w:rsidR="00846A43" w:rsidRPr="00D7142A" w:rsidRDefault="00846A43" w:rsidP="008727A1">
            <w:pPr>
              <w:spacing w:line="240" w:lineRule="auto"/>
            </w:pPr>
            <w:r w:rsidRPr="00D7142A">
              <w:t> </w:t>
            </w:r>
          </w:p>
        </w:tc>
        <w:tc>
          <w:tcPr>
            <w:tcW w:w="576" w:type="dxa"/>
            <w:tcBorders>
              <w:top w:val="nil"/>
              <w:left w:val="nil"/>
              <w:bottom w:val="single" w:sz="4" w:space="0" w:color="auto"/>
            </w:tcBorders>
            <w:shd w:val="clear" w:color="auto" w:fill="auto"/>
            <w:noWrap/>
            <w:vAlign w:val="center"/>
            <w:hideMark/>
          </w:tcPr>
          <w:p w14:paraId="27A134BF" w14:textId="77777777" w:rsidR="00846A43" w:rsidRPr="00D7142A" w:rsidRDefault="00846A43" w:rsidP="008727A1">
            <w:pPr>
              <w:spacing w:line="240" w:lineRule="auto"/>
              <w:jc w:val="center"/>
            </w:pPr>
          </w:p>
        </w:tc>
        <w:tc>
          <w:tcPr>
            <w:tcW w:w="1165" w:type="dxa"/>
            <w:tcBorders>
              <w:top w:val="nil"/>
              <w:bottom w:val="single" w:sz="4" w:space="0" w:color="auto"/>
            </w:tcBorders>
            <w:shd w:val="clear" w:color="auto" w:fill="auto"/>
            <w:noWrap/>
            <w:vAlign w:val="center"/>
            <w:hideMark/>
          </w:tcPr>
          <w:p w14:paraId="6E715847" w14:textId="77777777" w:rsidR="00846A43" w:rsidRPr="00D7142A" w:rsidRDefault="00846A43" w:rsidP="008727A1">
            <w:pPr>
              <w:spacing w:line="240" w:lineRule="auto"/>
              <w:jc w:val="center"/>
            </w:pPr>
          </w:p>
        </w:tc>
        <w:tc>
          <w:tcPr>
            <w:tcW w:w="1244" w:type="dxa"/>
            <w:tcBorders>
              <w:bottom w:val="single" w:sz="4" w:space="0" w:color="auto"/>
            </w:tcBorders>
            <w:shd w:val="clear" w:color="auto" w:fill="auto"/>
            <w:noWrap/>
            <w:vAlign w:val="center"/>
          </w:tcPr>
          <w:p w14:paraId="0D549448" w14:textId="77777777" w:rsidR="00846A43" w:rsidRPr="00D7142A" w:rsidRDefault="00846A43" w:rsidP="008727A1">
            <w:pPr>
              <w:spacing w:line="240" w:lineRule="auto"/>
              <w:jc w:val="center"/>
            </w:pPr>
          </w:p>
        </w:tc>
      </w:tr>
      <w:tr w:rsidR="00846A43" w:rsidRPr="00D7142A" w14:paraId="01B3F502" w14:textId="77777777" w:rsidTr="00007AF3">
        <w:trPr>
          <w:trHeight w:val="227"/>
        </w:trPr>
        <w:tc>
          <w:tcPr>
            <w:tcW w:w="1985" w:type="dxa"/>
            <w:tcBorders>
              <w:bottom w:val="single" w:sz="4" w:space="0" w:color="auto"/>
              <w:right w:val="nil"/>
            </w:tcBorders>
            <w:shd w:val="clear" w:color="auto" w:fill="auto"/>
            <w:noWrap/>
            <w:vAlign w:val="center"/>
            <w:hideMark/>
          </w:tcPr>
          <w:p w14:paraId="445AB05A" w14:textId="77777777" w:rsidR="00846A43" w:rsidRPr="00D7142A" w:rsidRDefault="00846A43" w:rsidP="008727A1">
            <w:pPr>
              <w:spacing w:line="240" w:lineRule="auto"/>
            </w:pPr>
            <w:r w:rsidRPr="00D7142A">
              <w:t>Treatment culture</w:t>
            </w:r>
          </w:p>
        </w:tc>
        <w:tc>
          <w:tcPr>
            <w:tcW w:w="3118" w:type="dxa"/>
            <w:tcBorders>
              <w:top w:val="nil"/>
              <w:left w:val="nil"/>
              <w:bottom w:val="single" w:sz="4" w:space="0" w:color="auto"/>
              <w:right w:val="nil"/>
            </w:tcBorders>
            <w:shd w:val="clear" w:color="auto" w:fill="auto"/>
            <w:noWrap/>
            <w:vAlign w:val="center"/>
            <w:hideMark/>
          </w:tcPr>
          <w:p w14:paraId="662C3AB2" w14:textId="77777777" w:rsidR="00846A43" w:rsidRPr="00D7142A" w:rsidRDefault="00846A43" w:rsidP="008727A1">
            <w:pPr>
              <w:spacing w:line="240" w:lineRule="auto"/>
              <w:rPr>
                <w:i/>
                <w:iCs/>
              </w:rPr>
            </w:pPr>
            <w:r w:rsidRPr="00D7142A">
              <w:rPr>
                <w:i/>
                <w:iCs/>
              </w:rPr>
              <w:t>Medication</w:t>
            </w:r>
          </w:p>
        </w:tc>
        <w:tc>
          <w:tcPr>
            <w:tcW w:w="576" w:type="dxa"/>
            <w:tcBorders>
              <w:top w:val="nil"/>
              <w:left w:val="nil"/>
              <w:bottom w:val="single" w:sz="4" w:space="0" w:color="auto"/>
              <w:right w:val="nil"/>
            </w:tcBorders>
            <w:shd w:val="clear" w:color="auto" w:fill="auto"/>
            <w:noWrap/>
            <w:vAlign w:val="center"/>
            <w:hideMark/>
          </w:tcPr>
          <w:p w14:paraId="49D4A757" w14:textId="77777777" w:rsidR="00846A43" w:rsidRPr="00D7142A" w:rsidRDefault="00846A43" w:rsidP="008727A1">
            <w:pPr>
              <w:spacing w:line="240" w:lineRule="auto"/>
              <w:jc w:val="center"/>
            </w:pPr>
            <w:r w:rsidRPr="00D7142A">
              <w:t>19</w:t>
            </w:r>
          </w:p>
        </w:tc>
        <w:tc>
          <w:tcPr>
            <w:tcW w:w="1282" w:type="dxa"/>
            <w:tcBorders>
              <w:top w:val="nil"/>
              <w:left w:val="nil"/>
              <w:bottom w:val="single" w:sz="4" w:space="0" w:color="auto"/>
              <w:right w:val="nil"/>
            </w:tcBorders>
            <w:shd w:val="clear" w:color="auto" w:fill="auto"/>
            <w:noWrap/>
            <w:vAlign w:val="center"/>
            <w:hideMark/>
          </w:tcPr>
          <w:p w14:paraId="7E2484ED" w14:textId="77777777" w:rsidR="00846A43" w:rsidRPr="00D7142A" w:rsidRDefault="00846A43" w:rsidP="008727A1">
            <w:pPr>
              <w:spacing w:line="240" w:lineRule="auto"/>
              <w:jc w:val="center"/>
            </w:pPr>
            <w:r w:rsidRPr="00D7142A">
              <w:t>4.9</w:t>
            </w:r>
          </w:p>
        </w:tc>
        <w:tc>
          <w:tcPr>
            <w:tcW w:w="1276" w:type="dxa"/>
            <w:tcBorders>
              <w:left w:val="nil"/>
              <w:bottom w:val="single" w:sz="4" w:space="0" w:color="auto"/>
              <w:right w:val="single" w:sz="18" w:space="0" w:color="auto"/>
            </w:tcBorders>
            <w:shd w:val="clear" w:color="auto" w:fill="auto"/>
            <w:noWrap/>
            <w:vAlign w:val="center"/>
            <w:hideMark/>
          </w:tcPr>
          <w:p w14:paraId="5A0C6D82" w14:textId="77777777" w:rsidR="00846A43" w:rsidRPr="00D7142A" w:rsidRDefault="00846A43" w:rsidP="008727A1">
            <w:pPr>
              <w:spacing w:line="240" w:lineRule="auto"/>
              <w:jc w:val="center"/>
            </w:pPr>
            <w:r w:rsidRPr="00D7142A">
              <w:t>5.9</w:t>
            </w:r>
          </w:p>
        </w:tc>
        <w:tc>
          <w:tcPr>
            <w:tcW w:w="3245" w:type="dxa"/>
            <w:tcBorders>
              <w:top w:val="nil"/>
              <w:left w:val="single" w:sz="18" w:space="0" w:color="auto"/>
              <w:bottom w:val="single" w:sz="4" w:space="0" w:color="auto"/>
              <w:right w:val="nil"/>
            </w:tcBorders>
            <w:shd w:val="clear" w:color="auto" w:fill="auto"/>
            <w:noWrap/>
            <w:vAlign w:val="center"/>
            <w:hideMark/>
          </w:tcPr>
          <w:p w14:paraId="29D20658" w14:textId="77777777" w:rsidR="00846A43" w:rsidRPr="00D7142A" w:rsidRDefault="00846A43" w:rsidP="008727A1">
            <w:pPr>
              <w:spacing w:line="240" w:lineRule="auto"/>
              <w:rPr>
                <w:i/>
                <w:iCs/>
              </w:rPr>
            </w:pPr>
            <w:r w:rsidRPr="00D7142A">
              <w:rPr>
                <w:i/>
                <w:iCs/>
              </w:rPr>
              <w:t xml:space="preserve">Corruption in </w:t>
            </w:r>
            <w:proofErr w:type="spellStart"/>
            <w:r w:rsidRPr="00D7142A">
              <w:rPr>
                <w:i/>
                <w:iCs/>
              </w:rPr>
              <w:t>CoO</w:t>
            </w:r>
            <w:proofErr w:type="spellEnd"/>
          </w:p>
        </w:tc>
        <w:tc>
          <w:tcPr>
            <w:tcW w:w="576" w:type="dxa"/>
            <w:tcBorders>
              <w:top w:val="nil"/>
              <w:left w:val="nil"/>
              <w:bottom w:val="single" w:sz="4" w:space="0" w:color="auto"/>
            </w:tcBorders>
            <w:shd w:val="clear" w:color="auto" w:fill="auto"/>
            <w:noWrap/>
            <w:vAlign w:val="center"/>
            <w:hideMark/>
          </w:tcPr>
          <w:p w14:paraId="794A29F1" w14:textId="77777777" w:rsidR="00846A43" w:rsidRPr="00D7142A" w:rsidRDefault="00846A43" w:rsidP="008727A1">
            <w:pPr>
              <w:spacing w:line="240" w:lineRule="auto"/>
              <w:jc w:val="center"/>
            </w:pPr>
            <w:r w:rsidRPr="00D7142A">
              <w:t>8</w:t>
            </w:r>
          </w:p>
        </w:tc>
        <w:tc>
          <w:tcPr>
            <w:tcW w:w="1165" w:type="dxa"/>
            <w:tcBorders>
              <w:top w:val="nil"/>
              <w:bottom w:val="single" w:sz="4" w:space="0" w:color="auto"/>
            </w:tcBorders>
            <w:shd w:val="clear" w:color="auto" w:fill="auto"/>
            <w:noWrap/>
            <w:vAlign w:val="center"/>
            <w:hideMark/>
          </w:tcPr>
          <w:p w14:paraId="2D3809CC" w14:textId="77777777" w:rsidR="00846A43" w:rsidRPr="00D7142A" w:rsidRDefault="00846A43" w:rsidP="008727A1">
            <w:pPr>
              <w:spacing w:line="240" w:lineRule="auto"/>
              <w:jc w:val="center"/>
            </w:pPr>
            <w:r w:rsidRPr="00D7142A">
              <w:t>3.8</w:t>
            </w:r>
          </w:p>
        </w:tc>
        <w:tc>
          <w:tcPr>
            <w:tcW w:w="1244" w:type="dxa"/>
            <w:tcBorders>
              <w:bottom w:val="single" w:sz="4" w:space="0" w:color="auto"/>
            </w:tcBorders>
            <w:shd w:val="clear" w:color="auto" w:fill="auto"/>
            <w:noWrap/>
            <w:vAlign w:val="center"/>
            <w:hideMark/>
          </w:tcPr>
          <w:p w14:paraId="59DCABB4" w14:textId="77777777" w:rsidR="00846A43" w:rsidRPr="00D7142A" w:rsidRDefault="00846A43" w:rsidP="008727A1">
            <w:pPr>
              <w:spacing w:line="240" w:lineRule="auto"/>
              <w:jc w:val="center"/>
            </w:pPr>
            <w:r w:rsidRPr="00D7142A">
              <w:t>4.6</w:t>
            </w:r>
          </w:p>
        </w:tc>
      </w:tr>
      <w:tr w:rsidR="00846A43" w:rsidRPr="00D7142A" w14:paraId="57AF8F94" w14:textId="77777777" w:rsidTr="00007AF3">
        <w:trPr>
          <w:trHeight w:val="227"/>
        </w:trPr>
        <w:tc>
          <w:tcPr>
            <w:tcW w:w="1985" w:type="dxa"/>
            <w:tcBorders>
              <w:top w:val="single" w:sz="4" w:space="0" w:color="auto"/>
              <w:bottom w:val="nil"/>
              <w:right w:val="nil"/>
            </w:tcBorders>
            <w:shd w:val="clear" w:color="auto" w:fill="auto"/>
            <w:noWrap/>
            <w:vAlign w:val="center"/>
            <w:hideMark/>
          </w:tcPr>
          <w:p w14:paraId="6FCAEE51" w14:textId="77777777" w:rsidR="00846A43" w:rsidRPr="00D7142A" w:rsidRDefault="00846A43" w:rsidP="008727A1">
            <w:pPr>
              <w:spacing w:line="240" w:lineRule="auto"/>
              <w:rPr>
                <w:color w:val="000000"/>
              </w:rPr>
            </w:pPr>
            <w:r w:rsidRPr="00D7142A">
              <w:rPr>
                <w:color w:val="000000"/>
              </w:rPr>
              <w:t>Convenience</w:t>
            </w:r>
          </w:p>
        </w:tc>
        <w:tc>
          <w:tcPr>
            <w:tcW w:w="3118" w:type="dxa"/>
            <w:tcBorders>
              <w:top w:val="single" w:sz="4" w:space="0" w:color="auto"/>
              <w:left w:val="nil"/>
              <w:bottom w:val="nil"/>
              <w:right w:val="nil"/>
            </w:tcBorders>
            <w:shd w:val="clear" w:color="auto" w:fill="auto"/>
            <w:noWrap/>
            <w:vAlign w:val="center"/>
            <w:hideMark/>
          </w:tcPr>
          <w:p w14:paraId="57259A27" w14:textId="77777777" w:rsidR="00846A43" w:rsidRPr="00D7142A" w:rsidRDefault="00846A43" w:rsidP="008727A1">
            <w:pPr>
              <w:spacing w:line="240" w:lineRule="auto"/>
            </w:pPr>
            <w:r w:rsidRPr="00D7142A">
              <w:t>Convenience (general)</w:t>
            </w:r>
          </w:p>
        </w:tc>
        <w:tc>
          <w:tcPr>
            <w:tcW w:w="576" w:type="dxa"/>
            <w:tcBorders>
              <w:top w:val="single" w:sz="4" w:space="0" w:color="auto"/>
              <w:left w:val="nil"/>
              <w:bottom w:val="nil"/>
              <w:right w:val="nil"/>
            </w:tcBorders>
            <w:shd w:val="clear" w:color="auto" w:fill="auto"/>
            <w:noWrap/>
            <w:vAlign w:val="center"/>
            <w:hideMark/>
          </w:tcPr>
          <w:p w14:paraId="5897BD55" w14:textId="77777777" w:rsidR="00846A43" w:rsidRPr="00D7142A" w:rsidRDefault="00846A43" w:rsidP="008727A1">
            <w:pPr>
              <w:spacing w:line="240" w:lineRule="auto"/>
              <w:jc w:val="center"/>
            </w:pPr>
            <w:r w:rsidRPr="00D7142A">
              <w:t>2</w:t>
            </w:r>
          </w:p>
        </w:tc>
        <w:tc>
          <w:tcPr>
            <w:tcW w:w="1282" w:type="dxa"/>
            <w:tcBorders>
              <w:top w:val="single" w:sz="4" w:space="0" w:color="auto"/>
              <w:left w:val="nil"/>
              <w:bottom w:val="nil"/>
              <w:right w:val="nil"/>
            </w:tcBorders>
            <w:shd w:val="clear" w:color="auto" w:fill="auto"/>
            <w:noWrap/>
            <w:vAlign w:val="center"/>
            <w:hideMark/>
          </w:tcPr>
          <w:p w14:paraId="504746B0" w14:textId="77777777" w:rsidR="00846A43" w:rsidRPr="00D7142A" w:rsidRDefault="00846A43" w:rsidP="008727A1">
            <w:pPr>
              <w:spacing w:line="240" w:lineRule="auto"/>
              <w:jc w:val="center"/>
            </w:pPr>
            <w:r w:rsidRPr="00D7142A">
              <w:t>0.5</w:t>
            </w:r>
          </w:p>
        </w:tc>
        <w:tc>
          <w:tcPr>
            <w:tcW w:w="1276" w:type="dxa"/>
            <w:tcBorders>
              <w:top w:val="single" w:sz="4" w:space="0" w:color="auto"/>
              <w:left w:val="nil"/>
              <w:bottom w:val="nil"/>
              <w:right w:val="single" w:sz="18" w:space="0" w:color="auto"/>
            </w:tcBorders>
            <w:shd w:val="clear" w:color="auto" w:fill="auto"/>
            <w:noWrap/>
            <w:vAlign w:val="center"/>
            <w:hideMark/>
          </w:tcPr>
          <w:p w14:paraId="596F9B7D" w14:textId="77777777" w:rsidR="00846A43" w:rsidRPr="00D7142A" w:rsidRDefault="00846A43" w:rsidP="008727A1">
            <w:pPr>
              <w:spacing w:line="240" w:lineRule="auto"/>
              <w:jc w:val="center"/>
            </w:pPr>
            <w:r w:rsidRPr="00D7142A">
              <w:t>0.6</w:t>
            </w:r>
          </w:p>
        </w:tc>
        <w:tc>
          <w:tcPr>
            <w:tcW w:w="3245" w:type="dxa"/>
            <w:tcBorders>
              <w:top w:val="single" w:sz="4" w:space="0" w:color="auto"/>
              <w:left w:val="single" w:sz="18" w:space="0" w:color="auto"/>
              <w:bottom w:val="nil"/>
              <w:right w:val="nil"/>
            </w:tcBorders>
            <w:shd w:val="clear" w:color="auto" w:fill="auto"/>
            <w:noWrap/>
            <w:vAlign w:val="center"/>
            <w:hideMark/>
          </w:tcPr>
          <w:p w14:paraId="29ACE42D" w14:textId="77777777" w:rsidR="00846A43" w:rsidRPr="00D7142A" w:rsidRDefault="00846A43" w:rsidP="008727A1">
            <w:pPr>
              <w:spacing w:line="240" w:lineRule="auto"/>
            </w:pPr>
            <w:r w:rsidRPr="00D7142A">
              <w:t>Convenience (general)</w:t>
            </w:r>
          </w:p>
        </w:tc>
        <w:tc>
          <w:tcPr>
            <w:tcW w:w="576" w:type="dxa"/>
            <w:tcBorders>
              <w:top w:val="single" w:sz="4" w:space="0" w:color="auto"/>
              <w:left w:val="nil"/>
              <w:bottom w:val="nil"/>
            </w:tcBorders>
            <w:shd w:val="clear" w:color="auto" w:fill="auto"/>
            <w:noWrap/>
            <w:vAlign w:val="center"/>
            <w:hideMark/>
          </w:tcPr>
          <w:p w14:paraId="68BA5D0D" w14:textId="77777777" w:rsidR="00846A43" w:rsidRPr="00D7142A" w:rsidRDefault="00846A43" w:rsidP="008727A1">
            <w:pPr>
              <w:spacing w:line="240" w:lineRule="auto"/>
              <w:jc w:val="center"/>
            </w:pPr>
            <w:r w:rsidRPr="00D7142A">
              <w:t>11</w:t>
            </w:r>
          </w:p>
        </w:tc>
        <w:tc>
          <w:tcPr>
            <w:tcW w:w="1165" w:type="dxa"/>
            <w:tcBorders>
              <w:top w:val="single" w:sz="4" w:space="0" w:color="auto"/>
              <w:bottom w:val="nil"/>
            </w:tcBorders>
            <w:shd w:val="clear" w:color="auto" w:fill="auto"/>
            <w:noWrap/>
            <w:vAlign w:val="center"/>
            <w:hideMark/>
          </w:tcPr>
          <w:p w14:paraId="5090993C" w14:textId="77777777" w:rsidR="00846A43" w:rsidRPr="00D7142A" w:rsidRDefault="00846A43" w:rsidP="008727A1">
            <w:pPr>
              <w:spacing w:line="240" w:lineRule="auto"/>
              <w:jc w:val="center"/>
              <w:rPr>
                <w:color w:val="000000"/>
              </w:rPr>
            </w:pPr>
            <w:r w:rsidRPr="00D7142A">
              <w:rPr>
                <w:color w:val="000000"/>
              </w:rPr>
              <w:t>5.2</w:t>
            </w:r>
          </w:p>
        </w:tc>
        <w:tc>
          <w:tcPr>
            <w:tcW w:w="1244" w:type="dxa"/>
            <w:tcBorders>
              <w:top w:val="single" w:sz="4" w:space="0" w:color="auto"/>
              <w:bottom w:val="nil"/>
            </w:tcBorders>
            <w:shd w:val="clear" w:color="auto" w:fill="auto"/>
            <w:noWrap/>
            <w:vAlign w:val="center"/>
            <w:hideMark/>
          </w:tcPr>
          <w:p w14:paraId="565360A5" w14:textId="77777777" w:rsidR="00846A43" w:rsidRPr="00D7142A" w:rsidRDefault="00846A43" w:rsidP="008727A1">
            <w:pPr>
              <w:spacing w:line="240" w:lineRule="auto"/>
              <w:jc w:val="center"/>
              <w:rPr>
                <w:color w:val="000000"/>
              </w:rPr>
            </w:pPr>
            <w:r w:rsidRPr="00D7142A">
              <w:rPr>
                <w:color w:val="000000"/>
              </w:rPr>
              <w:t>6.3</w:t>
            </w:r>
          </w:p>
        </w:tc>
      </w:tr>
      <w:tr w:rsidR="00846A43" w:rsidRPr="00D7142A" w14:paraId="64AA9D25" w14:textId="77777777" w:rsidTr="00007AF3">
        <w:trPr>
          <w:trHeight w:val="227"/>
        </w:trPr>
        <w:tc>
          <w:tcPr>
            <w:tcW w:w="1985" w:type="dxa"/>
            <w:tcBorders>
              <w:top w:val="nil"/>
              <w:bottom w:val="nil"/>
              <w:right w:val="nil"/>
            </w:tcBorders>
            <w:shd w:val="clear" w:color="auto" w:fill="auto"/>
            <w:noWrap/>
            <w:vAlign w:val="center"/>
          </w:tcPr>
          <w:p w14:paraId="0524015A" w14:textId="77777777" w:rsidR="00846A43" w:rsidRPr="00D7142A" w:rsidRDefault="00846A43" w:rsidP="008727A1">
            <w:pPr>
              <w:spacing w:line="240" w:lineRule="auto"/>
              <w:rPr>
                <w:color w:val="000000"/>
              </w:rPr>
            </w:pPr>
          </w:p>
        </w:tc>
        <w:tc>
          <w:tcPr>
            <w:tcW w:w="3118" w:type="dxa"/>
            <w:tcBorders>
              <w:top w:val="nil"/>
              <w:left w:val="nil"/>
              <w:bottom w:val="nil"/>
              <w:right w:val="nil"/>
            </w:tcBorders>
            <w:shd w:val="clear" w:color="auto" w:fill="auto"/>
            <w:noWrap/>
            <w:vAlign w:val="center"/>
          </w:tcPr>
          <w:p w14:paraId="51549257" w14:textId="77777777" w:rsidR="00846A43" w:rsidRPr="00D7142A" w:rsidRDefault="00846A43" w:rsidP="008727A1">
            <w:pPr>
              <w:spacing w:line="240" w:lineRule="auto"/>
            </w:pPr>
            <w:r w:rsidRPr="00D7142A">
              <w:t>Family</w:t>
            </w:r>
          </w:p>
        </w:tc>
        <w:tc>
          <w:tcPr>
            <w:tcW w:w="576" w:type="dxa"/>
            <w:tcBorders>
              <w:top w:val="nil"/>
              <w:left w:val="nil"/>
              <w:bottom w:val="nil"/>
              <w:right w:val="nil"/>
            </w:tcBorders>
            <w:shd w:val="clear" w:color="auto" w:fill="auto"/>
            <w:noWrap/>
            <w:vAlign w:val="center"/>
          </w:tcPr>
          <w:p w14:paraId="347EF9BC" w14:textId="77777777" w:rsidR="00846A43" w:rsidRPr="00D7142A" w:rsidRDefault="00846A43" w:rsidP="008727A1">
            <w:pPr>
              <w:spacing w:line="240" w:lineRule="auto"/>
              <w:jc w:val="center"/>
            </w:pPr>
            <w:r w:rsidRPr="00D7142A">
              <w:t>8</w:t>
            </w:r>
          </w:p>
        </w:tc>
        <w:tc>
          <w:tcPr>
            <w:tcW w:w="1282" w:type="dxa"/>
            <w:tcBorders>
              <w:top w:val="nil"/>
              <w:left w:val="nil"/>
              <w:bottom w:val="nil"/>
              <w:right w:val="nil"/>
            </w:tcBorders>
            <w:shd w:val="clear" w:color="auto" w:fill="auto"/>
            <w:noWrap/>
            <w:vAlign w:val="center"/>
          </w:tcPr>
          <w:p w14:paraId="063F6AE1" w14:textId="77777777" w:rsidR="00846A43" w:rsidRPr="00D7142A" w:rsidRDefault="00846A43" w:rsidP="008727A1">
            <w:pPr>
              <w:spacing w:line="240" w:lineRule="auto"/>
              <w:jc w:val="center"/>
            </w:pPr>
            <w:r w:rsidRPr="00D7142A">
              <w:t>2.1</w:t>
            </w:r>
          </w:p>
        </w:tc>
        <w:tc>
          <w:tcPr>
            <w:tcW w:w="1276" w:type="dxa"/>
            <w:tcBorders>
              <w:left w:val="nil"/>
              <w:bottom w:val="nil"/>
              <w:right w:val="single" w:sz="18" w:space="0" w:color="auto"/>
            </w:tcBorders>
            <w:shd w:val="clear" w:color="auto" w:fill="auto"/>
            <w:noWrap/>
            <w:vAlign w:val="center"/>
          </w:tcPr>
          <w:p w14:paraId="49F3FB73" w14:textId="77777777" w:rsidR="00846A43" w:rsidRPr="00D7142A" w:rsidRDefault="00846A43" w:rsidP="008727A1">
            <w:pPr>
              <w:spacing w:line="240" w:lineRule="auto"/>
              <w:jc w:val="center"/>
            </w:pPr>
            <w:r w:rsidRPr="00D7142A">
              <w:t>2.5</w:t>
            </w:r>
          </w:p>
        </w:tc>
        <w:tc>
          <w:tcPr>
            <w:tcW w:w="3245" w:type="dxa"/>
            <w:tcBorders>
              <w:top w:val="nil"/>
              <w:left w:val="single" w:sz="18" w:space="0" w:color="auto"/>
              <w:bottom w:val="nil"/>
              <w:right w:val="nil"/>
            </w:tcBorders>
            <w:shd w:val="clear" w:color="auto" w:fill="auto"/>
            <w:noWrap/>
            <w:vAlign w:val="center"/>
          </w:tcPr>
          <w:p w14:paraId="30025015" w14:textId="77777777" w:rsidR="00846A43" w:rsidRPr="00D7142A" w:rsidRDefault="00846A43" w:rsidP="008727A1">
            <w:pPr>
              <w:spacing w:line="240" w:lineRule="auto"/>
              <w:rPr>
                <w:i/>
                <w:iCs/>
              </w:rPr>
            </w:pPr>
            <w:r w:rsidRPr="00D7142A">
              <w:t>Family</w:t>
            </w:r>
          </w:p>
        </w:tc>
        <w:tc>
          <w:tcPr>
            <w:tcW w:w="576" w:type="dxa"/>
            <w:tcBorders>
              <w:top w:val="nil"/>
              <w:left w:val="nil"/>
              <w:bottom w:val="nil"/>
            </w:tcBorders>
            <w:shd w:val="clear" w:color="auto" w:fill="auto"/>
            <w:noWrap/>
            <w:vAlign w:val="center"/>
          </w:tcPr>
          <w:p w14:paraId="63C6FF48" w14:textId="77777777" w:rsidR="00846A43" w:rsidRPr="00D7142A" w:rsidRDefault="00846A43" w:rsidP="008727A1">
            <w:pPr>
              <w:spacing w:line="240" w:lineRule="auto"/>
              <w:jc w:val="center"/>
            </w:pPr>
            <w:r w:rsidRPr="00D7142A">
              <w:t>9</w:t>
            </w:r>
          </w:p>
        </w:tc>
        <w:tc>
          <w:tcPr>
            <w:tcW w:w="1165" w:type="dxa"/>
            <w:tcBorders>
              <w:top w:val="nil"/>
              <w:bottom w:val="nil"/>
            </w:tcBorders>
            <w:shd w:val="clear" w:color="auto" w:fill="auto"/>
            <w:noWrap/>
            <w:vAlign w:val="center"/>
          </w:tcPr>
          <w:p w14:paraId="643C5C33" w14:textId="77777777" w:rsidR="00846A43" w:rsidRPr="00D7142A" w:rsidRDefault="00846A43" w:rsidP="008727A1">
            <w:pPr>
              <w:spacing w:line="240" w:lineRule="auto"/>
              <w:jc w:val="center"/>
              <w:rPr>
                <w:color w:val="000000"/>
              </w:rPr>
            </w:pPr>
            <w:r w:rsidRPr="00D7142A">
              <w:rPr>
                <w:color w:val="000000"/>
              </w:rPr>
              <w:t>4.3</w:t>
            </w:r>
          </w:p>
        </w:tc>
        <w:tc>
          <w:tcPr>
            <w:tcW w:w="1244" w:type="dxa"/>
            <w:tcBorders>
              <w:bottom w:val="nil"/>
            </w:tcBorders>
            <w:shd w:val="clear" w:color="auto" w:fill="auto"/>
            <w:noWrap/>
            <w:vAlign w:val="center"/>
          </w:tcPr>
          <w:p w14:paraId="7AA9F1B5" w14:textId="77777777" w:rsidR="00846A43" w:rsidRPr="00D7142A" w:rsidRDefault="00846A43" w:rsidP="008727A1">
            <w:pPr>
              <w:spacing w:line="240" w:lineRule="auto"/>
              <w:jc w:val="center"/>
              <w:rPr>
                <w:color w:val="000000"/>
              </w:rPr>
            </w:pPr>
            <w:r w:rsidRPr="00D7142A">
              <w:rPr>
                <w:color w:val="000000"/>
              </w:rPr>
              <w:t>5.2</w:t>
            </w:r>
          </w:p>
        </w:tc>
      </w:tr>
      <w:tr w:rsidR="00846A43" w:rsidRPr="00D7142A" w14:paraId="041F2C2B" w14:textId="77777777" w:rsidTr="00007AF3">
        <w:trPr>
          <w:trHeight w:val="227"/>
        </w:trPr>
        <w:tc>
          <w:tcPr>
            <w:tcW w:w="1985" w:type="dxa"/>
            <w:tcBorders>
              <w:top w:val="nil"/>
              <w:bottom w:val="nil"/>
              <w:right w:val="nil"/>
            </w:tcBorders>
            <w:shd w:val="clear" w:color="auto" w:fill="auto"/>
            <w:noWrap/>
            <w:vAlign w:val="center"/>
            <w:hideMark/>
          </w:tcPr>
          <w:p w14:paraId="005B7FF8" w14:textId="77777777" w:rsidR="00846A43" w:rsidRPr="00D7142A" w:rsidRDefault="00846A43" w:rsidP="008727A1">
            <w:pPr>
              <w:spacing w:line="240" w:lineRule="auto"/>
              <w:rPr>
                <w:color w:val="000000"/>
              </w:rPr>
            </w:pPr>
            <w:r w:rsidRPr="00D7142A">
              <w:rPr>
                <w:color w:val="000000"/>
              </w:rPr>
              <w:lastRenderedPageBreak/>
              <w:t> </w:t>
            </w:r>
          </w:p>
        </w:tc>
        <w:tc>
          <w:tcPr>
            <w:tcW w:w="3118" w:type="dxa"/>
            <w:tcBorders>
              <w:top w:val="nil"/>
              <w:left w:val="nil"/>
              <w:bottom w:val="nil"/>
              <w:right w:val="nil"/>
            </w:tcBorders>
            <w:shd w:val="clear" w:color="auto" w:fill="auto"/>
            <w:noWrap/>
            <w:vAlign w:val="center"/>
          </w:tcPr>
          <w:p w14:paraId="5148F34E" w14:textId="77777777" w:rsidR="00846A43" w:rsidRPr="00D7142A" w:rsidRDefault="00846A43" w:rsidP="008727A1">
            <w:pPr>
              <w:spacing w:line="240" w:lineRule="auto"/>
            </w:pPr>
            <w:r w:rsidRPr="00D7142A">
              <w:t>Familiarity</w:t>
            </w:r>
          </w:p>
        </w:tc>
        <w:tc>
          <w:tcPr>
            <w:tcW w:w="576" w:type="dxa"/>
            <w:tcBorders>
              <w:top w:val="nil"/>
              <w:left w:val="nil"/>
              <w:bottom w:val="nil"/>
              <w:right w:val="nil"/>
            </w:tcBorders>
            <w:shd w:val="clear" w:color="auto" w:fill="auto"/>
            <w:noWrap/>
            <w:vAlign w:val="center"/>
          </w:tcPr>
          <w:p w14:paraId="76AAE99A" w14:textId="77777777" w:rsidR="00846A43" w:rsidRPr="00D7142A" w:rsidRDefault="00846A43" w:rsidP="008727A1">
            <w:pPr>
              <w:spacing w:line="240" w:lineRule="auto"/>
              <w:jc w:val="center"/>
            </w:pPr>
            <w:r w:rsidRPr="00D7142A">
              <w:t>19</w:t>
            </w:r>
          </w:p>
        </w:tc>
        <w:tc>
          <w:tcPr>
            <w:tcW w:w="1282" w:type="dxa"/>
            <w:tcBorders>
              <w:top w:val="nil"/>
              <w:left w:val="nil"/>
              <w:bottom w:val="nil"/>
              <w:right w:val="nil"/>
            </w:tcBorders>
            <w:shd w:val="clear" w:color="auto" w:fill="auto"/>
            <w:noWrap/>
            <w:vAlign w:val="center"/>
          </w:tcPr>
          <w:p w14:paraId="15D0A140" w14:textId="77777777" w:rsidR="00846A43" w:rsidRPr="00D7142A" w:rsidRDefault="00846A43" w:rsidP="008727A1">
            <w:pPr>
              <w:spacing w:line="240" w:lineRule="auto"/>
              <w:jc w:val="center"/>
            </w:pPr>
            <w:r w:rsidRPr="00D7142A">
              <w:t>4.9</w:t>
            </w:r>
          </w:p>
        </w:tc>
        <w:tc>
          <w:tcPr>
            <w:tcW w:w="1276" w:type="dxa"/>
            <w:tcBorders>
              <w:left w:val="nil"/>
              <w:bottom w:val="nil"/>
              <w:right w:val="single" w:sz="18" w:space="0" w:color="auto"/>
            </w:tcBorders>
            <w:shd w:val="clear" w:color="auto" w:fill="auto"/>
            <w:noWrap/>
            <w:vAlign w:val="center"/>
          </w:tcPr>
          <w:p w14:paraId="7FC6C1BA" w14:textId="77777777" w:rsidR="00846A43" w:rsidRPr="00D7142A" w:rsidRDefault="00846A43" w:rsidP="008727A1">
            <w:pPr>
              <w:spacing w:line="240" w:lineRule="auto"/>
              <w:jc w:val="center"/>
            </w:pPr>
            <w:r w:rsidRPr="00D7142A">
              <w:t>5.9</w:t>
            </w:r>
          </w:p>
        </w:tc>
        <w:tc>
          <w:tcPr>
            <w:tcW w:w="3245" w:type="dxa"/>
            <w:tcBorders>
              <w:top w:val="nil"/>
              <w:left w:val="single" w:sz="18" w:space="0" w:color="auto"/>
              <w:bottom w:val="nil"/>
              <w:right w:val="nil"/>
            </w:tcBorders>
            <w:shd w:val="clear" w:color="auto" w:fill="auto"/>
            <w:noWrap/>
            <w:vAlign w:val="center"/>
          </w:tcPr>
          <w:p w14:paraId="07030698" w14:textId="77777777" w:rsidR="00846A43" w:rsidRPr="00D7142A" w:rsidRDefault="00846A43" w:rsidP="008727A1">
            <w:pPr>
              <w:spacing w:line="240" w:lineRule="auto"/>
              <w:rPr>
                <w:i/>
                <w:iCs/>
              </w:rPr>
            </w:pPr>
            <w:r w:rsidRPr="00D7142A">
              <w:t>Residence (attachment)</w:t>
            </w:r>
          </w:p>
        </w:tc>
        <w:tc>
          <w:tcPr>
            <w:tcW w:w="576" w:type="dxa"/>
            <w:tcBorders>
              <w:top w:val="nil"/>
              <w:left w:val="nil"/>
              <w:bottom w:val="nil"/>
            </w:tcBorders>
            <w:shd w:val="clear" w:color="auto" w:fill="auto"/>
            <w:noWrap/>
            <w:vAlign w:val="center"/>
          </w:tcPr>
          <w:p w14:paraId="1A2098D0" w14:textId="77777777" w:rsidR="00846A43" w:rsidRPr="00D7142A" w:rsidRDefault="00846A43" w:rsidP="008727A1">
            <w:pPr>
              <w:spacing w:line="240" w:lineRule="auto"/>
              <w:jc w:val="center"/>
            </w:pPr>
            <w:r w:rsidRPr="00D7142A">
              <w:t>8</w:t>
            </w:r>
          </w:p>
        </w:tc>
        <w:tc>
          <w:tcPr>
            <w:tcW w:w="1165" w:type="dxa"/>
            <w:tcBorders>
              <w:top w:val="nil"/>
              <w:bottom w:val="nil"/>
            </w:tcBorders>
            <w:shd w:val="clear" w:color="auto" w:fill="auto"/>
            <w:noWrap/>
            <w:vAlign w:val="center"/>
          </w:tcPr>
          <w:p w14:paraId="6F9321C0" w14:textId="77777777" w:rsidR="00846A43" w:rsidRPr="00D7142A" w:rsidRDefault="00846A43" w:rsidP="008727A1">
            <w:pPr>
              <w:spacing w:line="240" w:lineRule="auto"/>
              <w:jc w:val="center"/>
              <w:rPr>
                <w:color w:val="000000"/>
              </w:rPr>
            </w:pPr>
            <w:r w:rsidRPr="00D7142A">
              <w:rPr>
                <w:color w:val="000000"/>
              </w:rPr>
              <w:t>3.8</w:t>
            </w:r>
          </w:p>
        </w:tc>
        <w:tc>
          <w:tcPr>
            <w:tcW w:w="1244" w:type="dxa"/>
            <w:tcBorders>
              <w:bottom w:val="nil"/>
            </w:tcBorders>
            <w:shd w:val="clear" w:color="auto" w:fill="auto"/>
            <w:noWrap/>
            <w:vAlign w:val="center"/>
          </w:tcPr>
          <w:p w14:paraId="7A82B9CF" w14:textId="77777777" w:rsidR="00846A43" w:rsidRPr="00D7142A" w:rsidRDefault="00846A43" w:rsidP="008727A1">
            <w:pPr>
              <w:spacing w:line="240" w:lineRule="auto"/>
              <w:jc w:val="center"/>
              <w:rPr>
                <w:color w:val="000000"/>
              </w:rPr>
            </w:pPr>
            <w:r w:rsidRPr="00D7142A">
              <w:rPr>
                <w:color w:val="000000"/>
              </w:rPr>
              <w:t>4.6</w:t>
            </w:r>
          </w:p>
        </w:tc>
      </w:tr>
      <w:tr w:rsidR="00846A43" w:rsidRPr="00D7142A" w14:paraId="0BC9C165" w14:textId="77777777" w:rsidTr="00007AF3">
        <w:trPr>
          <w:trHeight w:val="227"/>
        </w:trPr>
        <w:tc>
          <w:tcPr>
            <w:tcW w:w="1985" w:type="dxa"/>
            <w:tcBorders>
              <w:top w:val="nil"/>
              <w:bottom w:val="single" w:sz="4" w:space="0" w:color="auto"/>
              <w:right w:val="nil"/>
            </w:tcBorders>
            <w:shd w:val="clear" w:color="auto" w:fill="auto"/>
            <w:noWrap/>
            <w:vAlign w:val="center"/>
            <w:hideMark/>
          </w:tcPr>
          <w:p w14:paraId="3AEE2BBD" w14:textId="77777777" w:rsidR="00846A43" w:rsidRPr="00D7142A" w:rsidRDefault="00846A43" w:rsidP="008727A1">
            <w:pPr>
              <w:spacing w:line="240" w:lineRule="auto"/>
              <w:rPr>
                <w:color w:val="000000"/>
              </w:rPr>
            </w:pPr>
            <w:r w:rsidRPr="00D7142A">
              <w:rPr>
                <w:color w:val="000000"/>
              </w:rPr>
              <w:t> </w:t>
            </w:r>
          </w:p>
        </w:tc>
        <w:tc>
          <w:tcPr>
            <w:tcW w:w="3118" w:type="dxa"/>
            <w:tcBorders>
              <w:top w:val="nil"/>
              <w:left w:val="nil"/>
              <w:bottom w:val="single" w:sz="4" w:space="0" w:color="auto"/>
              <w:right w:val="nil"/>
            </w:tcBorders>
            <w:shd w:val="clear" w:color="auto" w:fill="auto"/>
            <w:noWrap/>
            <w:vAlign w:val="center"/>
          </w:tcPr>
          <w:p w14:paraId="5E10BB63" w14:textId="77777777" w:rsidR="00846A43" w:rsidRPr="00D7142A" w:rsidRDefault="00846A43" w:rsidP="008727A1">
            <w:pPr>
              <w:spacing w:line="240" w:lineRule="auto"/>
              <w:rPr>
                <w:i/>
                <w:iCs/>
              </w:rPr>
            </w:pPr>
            <w:r w:rsidRPr="00D7142A">
              <w:rPr>
                <w:i/>
                <w:iCs/>
              </w:rPr>
              <w:t>Familiarity (linguistic)</w:t>
            </w:r>
          </w:p>
        </w:tc>
        <w:tc>
          <w:tcPr>
            <w:tcW w:w="576" w:type="dxa"/>
            <w:tcBorders>
              <w:top w:val="nil"/>
              <w:left w:val="nil"/>
              <w:bottom w:val="single" w:sz="4" w:space="0" w:color="auto"/>
              <w:right w:val="nil"/>
            </w:tcBorders>
            <w:shd w:val="clear" w:color="auto" w:fill="auto"/>
            <w:noWrap/>
            <w:vAlign w:val="center"/>
          </w:tcPr>
          <w:p w14:paraId="42F1BAFA" w14:textId="77777777" w:rsidR="00846A43" w:rsidRPr="00D7142A" w:rsidRDefault="00846A43" w:rsidP="008727A1">
            <w:pPr>
              <w:spacing w:line="240" w:lineRule="auto"/>
              <w:jc w:val="center"/>
            </w:pPr>
            <w:r w:rsidRPr="00D7142A">
              <w:t>28</w:t>
            </w:r>
          </w:p>
        </w:tc>
        <w:tc>
          <w:tcPr>
            <w:tcW w:w="1282" w:type="dxa"/>
            <w:tcBorders>
              <w:top w:val="nil"/>
              <w:left w:val="nil"/>
              <w:bottom w:val="single" w:sz="4" w:space="0" w:color="auto"/>
              <w:right w:val="nil"/>
            </w:tcBorders>
            <w:shd w:val="clear" w:color="auto" w:fill="auto"/>
            <w:noWrap/>
            <w:vAlign w:val="center"/>
          </w:tcPr>
          <w:p w14:paraId="4E9EE5E1" w14:textId="77777777" w:rsidR="00846A43" w:rsidRPr="00D7142A" w:rsidRDefault="00846A43" w:rsidP="008727A1">
            <w:pPr>
              <w:spacing w:line="240" w:lineRule="auto"/>
              <w:jc w:val="center"/>
            </w:pPr>
            <w:r w:rsidRPr="00D7142A">
              <w:t>7.2</w:t>
            </w:r>
          </w:p>
        </w:tc>
        <w:tc>
          <w:tcPr>
            <w:tcW w:w="1276" w:type="dxa"/>
            <w:tcBorders>
              <w:left w:val="nil"/>
              <w:bottom w:val="single" w:sz="4" w:space="0" w:color="auto"/>
              <w:right w:val="single" w:sz="18" w:space="0" w:color="auto"/>
            </w:tcBorders>
            <w:shd w:val="clear" w:color="auto" w:fill="auto"/>
            <w:noWrap/>
            <w:vAlign w:val="center"/>
          </w:tcPr>
          <w:p w14:paraId="40E5D981" w14:textId="77777777" w:rsidR="00846A43" w:rsidRPr="00D7142A" w:rsidRDefault="00846A43" w:rsidP="008727A1">
            <w:pPr>
              <w:spacing w:line="240" w:lineRule="auto"/>
              <w:jc w:val="center"/>
            </w:pPr>
            <w:r w:rsidRPr="00D7142A">
              <w:t>8.8</w:t>
            </w:r>
          </w:p>
        </w:tc>
        <w:tc>
          <w:tcPr>
            <w:tcW w:w="3245" w:type="dxa"/>
            <w:tcBorders>
              <w:top w:val="nil"/>
              <w:left w:val="single" w:sz="18" w:space="0" w:color="auto"/>
              <w:bottom w:val="single" w:sz="4" w:space="0" w:color="auto"/>
              <w:right w:val="nil"/>
            </w:tcBorders>
            <w:shd w:val="clear" w:color="auto" w:fill="auto"/>
            <w:noWrap/>
            <w:vAlign w:val="center"/>
          </w:tcPr>
          <w:p w14:paraId="4CD611DD" w14:textId="77777777" w:rsidR="00846A43" w:rsidRPr="00D7142A" w:rsidRDefault="00846A43" w:rsidP="008727A1">
            <w:pPr>
              <w:spacing w:line="240" w:lineRule="auto"/>
            </w:pPr>
            <w:r w:rsidRPr="00D7142A">
              <w:rPr>
                <w:i/>
                <w:iCs/>
              </w:rPr>
              <w:t>Residence (factual)</w:t>
            </w:r>
          </w:p>
        </w:tc>
        <w:tc>
          <w:tcPr>
            <w:tcW w:w="576" w:type="dxa"/>
            <w:tcBorders>
              <w:top w:val="nil"/>
              <w:left w:val="nil"/>
              <w:bottom w:val="single" w:sz="4" w:space="0" w:color="auto"/>
            </w:tcBorders>
            <w:shd w:val="clear" w:color="auto" w:fill="auto"/>
            <w:noWrap/>
            <w:vAlign w:val="center"/>
          </w:tcPr>
          <w:p w14:paraId="4B78299F" w14:textId="77777777" w:rsidR="00846A43" w:rsidRPr="00D7142A" w:rsidRDefault="00846A43" w:rsidP="008727A1">
            <w:pPr>
              <w:spacing w:line="240" w:lineRule="auto"/>
              <w:jc w:val="center"/>
            </w:pPr>
            <w:r w:rsidRPr="00D7142A">
              <w:t>51</w:t>
            </w:r>
          </w:p>
        </w:tc>
        <w:tc>
          <w:tcPr>
            <w:tcW w:w="1165" w:type="dxa"/>
            <w:tcBorders>
              <w:top w:val="nil"/>
              <w:bottom w:val="single" w:sz="4" w:space="0" w:color="auto"/>
            </w:tcBorders>
            <w:shd w:val="clear" w:color="auto" w:fill="auto"/>
            <w:noWrap/>
            <w:vAlign w:val="center"/>
          </w:tcPr>
          <w:p w14:paraId="5BE18689" w14:textId="77777777" w:rsidR="00846A43" w:rsidRPr="00D7142A" w:rsidRDefault="00846A43" w:rsidP="008727A1">
            <w:pPr>
              <w:spacing w:line="240" w:lineRule="auto"/>
              <w:jc w:val="center"/>
              <w:rPr>
                <w:color w:val="000000"/>
              </w:rPr>
            </w:pPr>
            <w:r w:rsidRPr="00D7142A">
              <w:rPr>
                <w:color w:val="000000"/>
              </w:rPr>
              <w:t>24.2</w:t>
            </w:r>
          </w:p>
        </w:tc>
        <w:tc>
          <w:tcPr>
            <w:tcW w:w="1244" w:type="dxa"/>
            <w:tcBorders>
              <w:bottom w:val="single" w:sz="4" w:space="0" w:color="auto"/>
            </w:tcBorders>
            <w:shd w:val="clear" w:color="auto" w:fill="auto"/>
            <w:noWrap/>
            <w:vAlign w:val="center"/>
          </w:tcPr>
          <w:p w14:paraId="75F32470" w14:textId="77777777" w:rsidR="00846A43" w:rsidRPr="00D7142A" w:rsidRDefault="00846A43" w:rsidP="008727A1">
            <w:pPr>
              <w:spacing w:line="240" w:lineRule="auto"/>
              <w:jc w:val="center"/>
              <w:rPr>
                <w:color w:val="000000"/>
              </w:rPr>
            </w:pPr>
            <w:r w:rsidRPr="00D7142A">
              <w:rPr>
                <w:color w:val="000000"/>
              </w:rPr>
              <w:t>29.3</w:t>
            </w:r>
          </w:p>
        </w:tc>
      </w:tr>
      <w:tr w:rsidR="00846A43" w:rsidRPr="00D7142A" w14:paraId="3FDEB719" w14:textId="77777777" w:rsidTr="00007AF3">
        <w:trPr>
          <w:trHeight w:val="227"/>
        </w:trPr>
        <w:tc>
          <w:tcPr>
            <w:tcW w:w="1985" w:type="dxa"/>
            <w:tcBorders>
              <w:top w:val="nil"/>
              <w:bottom w:val="nil"/>
              <w:right w:val="nil"/>
            </w:tcBorders>
            <w:shd w:val="clear" w:color="auto" w:fill="auto"/>
            <w:noWrap/>
            <w:vAlign w:val="center"/>
            <w:hideMark/>
          </w:tcPr>
          <w:p w14:paraId="560CF7F6" w14:textId="77777777" w:rsidR="00846A43" w:rsidRPr="00D7142A" w:rsidRDefault="00846A43" w:rsidP="008727A1">
            <w:pPr>
              <w:spacing w:line="240" w:lineRule="auto"/>
              <w:rPr>
                <w:color w:val="000000"/>
              </w:rPr>
            </w:pPr>
            <w:r w:rsidRPr="00D7142A">
              <w:rPr>
                <w:color w:val="000000"/>
              </w:rPr>
              <w:t> </w:t>
            </w:r>
          </w:p>
        </w:tc>
        <w:tc>
          <w:tcPr>
            <w:tcW w:w="3118" w:type="dxa"/>
            <w:tcBorders>
              <w:top w:val="nil"/>
              <w:left w:val="nil"/>
              <w:bottom w:val="nil"/>
              <w:right w:val="nil"/>
            </w:tcBorders>
            <w:shd w:val="clear" w:color="auto" w:fill="auto"/>
            <w:noWrap/>
            <w:vAlign w:val="center"/>
            <w:hideMark/>
          </w:tcPr>
          <w:p w14:paraId="4A918204" w14:textId="77777777" w:rsidR="00846A43" w:rsidRPr="00D7142A" w:rsidRDefault="00846A43" w:rsidP="008727A1">
            <w:pPr>
              <w:spacing w:line="240" w:lineRule="auto"/>
            </w:pPr>
            <w:r w:rsidRPr="00D7142A">
              <w:t>UK expensive</w:t>
            </w:r>
          </w:p>
        </w:tc>
        <w:tc>
          <w:tcPr>
            <w:tcW w:w="576" w:type="dxa"/>
            <w:tcBorders>
              <w:top w:val="nil"/>
              <w:left w:val="nil"/>
              <w:bottom w:val="nil"/>
              <w:right w:val="nil"/>
            </w:tcBorders>
            <w:shd w:val="clear" w:color="auto" w:fill="auto"/>
            <w:noWrap/>
            <w:vAlign w:val="center"/>
            <w:hideMark/>
          </w:tcPr>
          <w:p w14:paraId="4B35B1A3" w14:textId="77777777" w:rsidR="00846A43" w:rsidRPr="00D7142A" w:rsidRDefault="00846A43" w:rsidP="008727A1">
            <w:pPr>
              <w:spacing w:line="240" w:lineRule="auto"/>
              <w:jc w:val="center"/>
            </w:pPr>
            <w:r w:rsidRPr="00D7142A">
              <w:t>4</w:t>
            </w:r>
          </w:p>
        </w:tc>
        <w:tc>
          <w:tcPr>
            <w:tcW w:w="1282" w:type="dxa"/>
            <w:tcBorders>
              <w:top w:val="nil"/>
              <w:left w:val="nil"/>
              <w:bottom w:val="nil"/>
              <w:right w:val="nil"/>
            </w:tcBorders>
            <w:shd w:val="clear" w:color="auto" w:fill="auto"/>
            <w:noWrap/>
            <w:vAlign w:val="center"/>
            <w:hideMark/>
          </w:tcPr>
          <w:p w14:paraId="65ECA06A" w14:textId="77777777" w:rsidR="00846A43" w:rsidRPr="00D7142A" w:rsidRDefault="00846A43" w:rsidP="008727A1">
            <w:pPr>
              <w:spacing w:line="240" w:lineRule="auto"/>
              <w:jc w:val="center"/>
            </w:pPr>
            <w:r w:rsidRPr="00D7142A">
              <w:t>1.0</w:t>
            </w:r>
          </w:p>
        </w:tc>
        <w:tc>
          <w:tcPr>
            <w:tcW w:w="1276" w:type="dxa"/>
            <w:tcBorders>
              <w:top w:val="single" w:sz="4" w:space="0" w:color="auto"/>
              <w:left w:val="nil"/>
              <w:bottom w:val="nil"/>
              <w:right w:val="single" w:sz="18" w:space="0" w:color="auto"/>
            </w:tcBorders>
            <w:shd w:val="clear" w:color="auto" w:fill="auto"/>
            <w:noWrap/>
            <w:vAlign w:val="center"/>
            <w:hideMark/>
          </w:tcPr>
          <w:p w14:paraId="41D2F96B" w14:textId="77777777" w:rsidR="00846A43" w:rsidRPr="00D7142A" w:rsidRDefault="00846A43" w:rsidP="008727A1">
            <w:pPr>
              <w:spacing w:line="240" w:lineRule="auto"/>
              <w:jc w:val="center"/>
            </w:pPr>
            <w:r w:rsidRPr="00D7142A">
              <w:t>1.3</w:t>
            </w:r>
          </w:p>
        </w:tc>
        <w:tc>
          <w:tcPr>
            <w:tcW w:w="3245" w:type="dxa"/>
            <w:tcBorders>
              <w:top w:val="nil"/>
              <w:left w:val="single" w:sz="18" w:space="0" w:color="auto"/>
              <w:bottom w:val="nil"/>
              <w:right w:val="nil"/>
            </w:tcBorders>
            <w:shd w:val="clear" w:color="auto" w:fill="auto"/>
            <w:noWrap/>
            <w:vAlign w:val="center"/>
            <w:hideMark/>
          </w:tcPr>
          <w:p w14:paraId="55B761D3" w14:textId="77777777" w:rsidR="00846A43" w:rsidRPr="00D7142A" w:rsidRDefault="00846A43" w:rsidP="008727A1">
            <w:pPr>
              <w:spacing w:line="240" w:lineRule="auto"/>
              <w:rPr>
                <w:i/>
                <w:iCs/>
              </w:rPr>
            </w:pPr>
            <w:r w:rsidRPr="00D7142A">
              <w:rPr>
                <w:i/>
                <w:iCs/>
              </w:rPr>
              <w:t>Residence (contribution)</w:t>
            </w:r>
          </w:p>
        </w:tc>
        <w:tc>
          <w:tcPr>
            <w:tcW w:w="576" w:type="dxa"/>
            <w:tcBorders>
              <w:top w:val="nil"/>
              <w:left w:val="nil"/>
              <w:bottom w:val="nil"/>
            </w:tcBorders>
            <w:shd w:val="clear" w:color="auto" w:fill="auto"/>
            <w:noWrap/>
            <w:vAlign w:val="center"/>
            <w:hideMark/>
          </w:tcPr>
          <w:p w14:paraId="7730C154" w14:textId="77777777" w:rsidR="00846A43" w:rsidRPr="00D7142A" w:rsidRDefault="00846A43" w:rsidP="008727A1">
            <w:pPr>
              <w:spacing w:line="240" w:lineRule="auto"/>
              <w:jc w:val="center"/>
            </w:pPr>
            <w:r w:rsidRPr="00D7142A">
              <w:t>13</w:t>
            </w:r>
          </w:p>
        </w:tc>
        <w:tc>
          <w:tcPr>
            <w:tcW w:w="1165" w:type="dxa"/>
            <w:tcBorders>
              <w:top w:val="nil"/>
              <w:bottom w:val="nil"/>
            </w:tcBorders>
            <w:shd w:val="clear" w:color="auto" w:fill="auto"/>
            <w:noWrap/>
            <w:vAlign w:val="center"/>
            <w:hideMark/>
          </w:tcPr>
          <w:p w14:paraId="2475A004" w14:textId="77777777" w:rsidR="00846A43" w:rsidRPr="00D7142A" w:rsidRDefault="00846A43" w:rsidP="008727A1">
            <w:pPr>
              <w:spacing w:line="240" w:lineRule="auto"/>
              <w:jc w:val="center"/>
              <w:rPr>
                <w:color w:val="000000"/>
              </w:rPr>
            </w:pPr>
            <w:r w:rsidRPr="00D7142A">
              <w:rPr>
                <w:color w:val="000000"/>
              </w:rPr>
              <w:t>6.2</w:t>
            </w:r>
          </w:p>
        </w:tc>
        <w:tc>
          <w:tcPr>
            <w:tcW w:w="1244" w:type="dxa"/>
            <w:tcBorders>
              <w:top w:val="single" w:sz="4" w:space="0" w:color="auto"/>
              <w:bottom w:val="nil"/>
            </w:tcBorders>
            <w:shd w:val="clear" w:color="auto" w:fill="auto"/>
            <w:noWrap/>
            <w:vAlign w:val="center"/>
            <w:hideMark/>
          </w:tcPr>
          <w:p w14:paraId="4F886D87" w14:textId="77777777" w:rsidR="00846A43" w:rsidRPr="00D7142A" w:rsidRDefault="00846A43" w:rsidP="008727A1">
            <w:pPr>
              <w:spacing w:line="240" w:lineRule="auto"/>
              <w:jc w:val="center"/>
              <w:rPr>
                <w:color w:val="000000"/>
              </w:rPr>
            </w:pPr>
            <w:r w:rsidRPr="00D7142A">
              <w:rPr>
                <w:color w:val="000000"/>
              </w:rPr>
              <w:t>7.5</w:t>
            </w:r>
          </w:p>
        </w:tc>
      </w:tr>
      <w:tr w:rsidR="00846A43" w:rsidRPr="00D7142A" w14:paraId="0FE1FD4A" w14:textId="77777777" w:rsidTr="00007AF3">
        <w:trPr>
          <w:trHeight w:val="227"/>
        </w:trPr>
        <w:tc>
          <w:tcPr>
            <w:tcW w:w="1985" w:type="dxa"/>
            <w:tcBorders>
              <w:top w:val="nil"/>
              <w:bottom w:val="nil"/>
              <w:right w:val="nil"/>
            </w:tcBorders>
            <w:shd w:val="clear" w:color="auto" w:fill="auto"/>
            <w:noWrap/>
            <w:vAlign w:val="center"/>
            <w:hideMark/>
          </w:tcPr>
          <w:p w14:paraId="5E2318DD" w14:textId="77777777" w:rsidR="00846A43" w:rsidRPr="00D7142A" w:rsidRDefault="00846A43" w:rsidP="008727A1">
            <w:pPr>
              <w:spacing w:line="240" w:lineRule="auto"/>
              <w:rPr>
                <w:color w:val="000000"/>
              </w:rPr>
            </w:pPr>
            <w:r w:rsidRPr="00D7142A">
              <w:rPr>
                <w:color w:val="000000"/>
              </w:rPr>
              <w:t>Financing</w:t>
            </w:r>
          </w:p>
        </w:tc>
        <w:tc>
          <w:tcPr>
            <w:tcW w:w="3118" w:type="dxa"/>
            <w:tcBorders>
              <w:top w:val="nil"/>
              <w:left w:val="nil"/>
              <w:bottom w:val="nil"/>
              <w:right w:val="nil"/>
            </w:tcBorders>
            <w:shd w:val="clear" w:color="auto" w:fill="auto"/>
            <w:noWrap/>
            <w:vAlign w:val="center"/>
            <w:hideMark/>
          </w:tcPr>
          <w:p w14:paraId="037DCDE0" w14:textId="6390E0F7" w:rsidR="00846A43" w:rsidRPr="00D7142A" w:rsidRDefault="00846A43" w:rsidP="008727A1">
            <w:pPr>
              <w:spacing w:line="240" w:lineRule="auto"/>
            </w:pPr>
            <w:proofErr w:type="spellStart"/>
            <w:r w:rsidRPr="00D7142A">
              <w:t>C</w:t>
            </w:r>
            <w:r w:rsidR="0083518E" w:rsidRPr="00D7142A">
              <w:t>o</w:t>
            </w:r>
            <w:r w:rsidRPr="00D7142A">
              <w:t>O</w:t>
            </w:r>
            <w:proofErr w:type="spellEnd"/>
            <w:r w:rsidRPr="00D7142A">
              <w:t xml:space="preserve"> cheaper/free</w:t>
            </w:r>
          </w:p>
        </w:tc>
        <w:tc>
          <w:tcPr>
            <w:tcW w:w="576" w:type="dxa"/>
            <w:tcBorders>
              <w:top w:val="nil"/>
              <w:left w:val="nil"/>
              <w:bottom w:val="nil"/>
              <w:right w:val="nil"/>
            </w:tcBorders>
            <w:shd w:val="clear" w:color="auto" w:fill="auto"/>
            <w:noWrap/>
            <w:vAlign w:val="center"/>
            <w:hideMark/>
          </w:tcPr>
          <w:p w14:paraId="0C4FB9F5" w14:textId="77777777" w:rsidR="00846A43" w:rsidRPr="00D7142A" w:rsidRDefault="00846A43" w:rsidP="008727A1">
            <w:pPr>
              <w:spacing w:line="240" w:lineRule="auto"/>
              <w:jc w:val="center"/>
            </w:pPr>
            <w:r w:rsidRPr="00D7142A">
              <w:t>9</w:t>
            </w:r>
          </w:p>
        </w:tc>
        <w:tc>
          <w:tcPr>
            <w:tcW w:w="1282" w:type="dxa"/>
            <w:tcBorders>
              <w:top w:val="nil"/>
              <w:left w:val="nil"/>
              <w:bottom w:val="nil"/>
              <w:right w:val="nil"/>
            </w:tcBorders>
            <w:shd w:val="clear" w:color="auto" w:fill="auto"/>
            <w:noWrap/>
            <w:vAlign w:val="center"/>
            <w:hideMark/>
          </w:tcPr>
          <w:p w14:paraId="699DAC97" w14:textId="77777777" w:rsidR="00846A43" w:rsidRPr="00D7142A" w:rsidRDefault="00846A43" w:rsidP="008727A1">
            <w:pPr>
              <w:spacing w:line="240" w:lineRule="auto"/>
              <w:jc w:val="center"/>
            </w:pPr>
            <w:r w:rsidRPr="00D7142A">
              <w:t>2.3</w:t>
            </w:r>
          </w:p>
        </w:tc>
        <w:tc>
          <w:tcPr>
            <w:tcW w:w="1276" w:type="dxa"/>
            <w:tcBorders>
              <w:left w:val="nil"/>
              <w:bottom w:val="nil"/>
              <w:right w:val="single" w:sz="18" w:space="0" w:color="auto"/>
            </w:tcBorders>
            <w:shd w:val="clear" w:color="auto" w:fill="auto"/>
            <w:noWrap/>
            <w:vAlign w:val="center"/>
            <w:hideMark/>
          </w:tcPr>
          <w:p w14:paraId="60F30CB9" w14:textId="77777777" w:rsidR="00846A43" w:rsidRPr="00D7142A" w:rsidRDefault="00846A43" w:rsidP="008727A1">
            <w:pPr>
              <w:spacing w:line="240" w:lineRule="auto"/>
              <w:jc w:val="center"/>
            </w:pPr>
            <w:r w:rsidRPr="00D7142A">
              <w:t>2.8</w:t>
            </w:r>
          </w:p>
        </w:tc>
        <w:tc>
          <w:tcPr>
            <w:tcW w:w="3245" w:type="dxa"/>
            <w:tcBorders>
              <w:top w:val="nil"/>
              <w:left w:val="single" w:sz="18" w:space="0" w:color="auto"/>
              <w:bottom w:val="nil"/>
              <w:right w:val="nil"/>
            </w:tcBorders>
            <w:shd w:val="clear" w:color="auto" w:fill="auto"/>
            <w:noWrap/>
            <w:vAlign w:val="center"/>
            <w:hideMark/>
          </w:tcPr>
          <w:p w14:paraId="673BF650" w14:textId="77777777" w:rsidR="00846A43" w:rsidRPr="00D7142A" w:rsidRDefault="00846A43" w:rsidP="008727A1">
            <w:pPr>
              <w:spacing w:line="240" w:lineRule="auto"/>
            </w:pPr>
            <w:r w:rsidRPr="00D7142A">
              <w:t>UK cheaper/free</w:t>
            </w:r>
          </w:p>
        </w:tc>
        <w:tc>
          <w:tcPr>
            <w:tcW w:w="576" w:type="dxa"/>
            <w:tcBorders>
              <w:top w:val="nil"/>
              <w:left w:val="nil"/>
              <w:bottom w:val="nil"/>
            </w:tcBorders>
            <w:shd w:val="clear" w:color="auto" w:fill="auto"/>
            <w:noWrap/>
            <w:vAlign w:val="center"/>
            <w:hideMark/>
          </w:tcPr>
          <w:p w14:paraId="0265447E" w14:textId="77777777" w:rsidR="00846A43" w:rsidRPr="00D7142A" w:rsidRDefault="00846A43" w:rsidP="008727A1">
            <w:pPr>
              <w:spacing w:line="240" w:lineRule="auto"/>
              <w:jc w:val="center"/>
            </w:pPr>
            <w:r w:rsidRPr="00D7142A">
              <w:t>15</w:t>
            </w:r>
          </w:p>
        </w:tc>
        <w:tc>
          <w:tcPr>
            <w:tcW w:w="1165" w:type="dxa"/>
            <w:tcBorders>
              <w:top w:val="nil"/>
              <w:bottom w:val="nil"/>
            </w:tcBorders>
            <w:shd w:val="clear" w:color="auto" w:fill="auto"/>
            <w:noWrap/>
            <w:vAlign w:val="center"/>
            <w:hideMark/>
          </w:tcPr>
          <w:p w14:paraId="020138B2" w14:textId="77777777" w:rsidR="00846A43" w:rsidRPr="00D7142A" w:rsidRDefault="00846A43" w:rsidP="008727A1">
            <w:pPr>
              <w:spacing w:line="240" w:lineRule="auto"/>
              <w:jc w:val="center"/>
              <w:rPr>
                <w:color w:val="000000"/>
              </w:rPr>
            </w:pPr>
            <w:r w:rsidRPr="00D7142A">
              <w:rPr>
                <w:color w:val="000000"/>
              </w:rPr>
              <w:t>7.1</w:t>
            </w:r>
          </w:p>
        </w:tc>
        <w:tc>
          <w:tcPr>
            <w:tcW w:w="1244" w:type="dxa"/>
            <w:tcBorders>
              <w:bottom w:val="nil"/>
            </w:tcBorders>
            <w:shd w:val="clear" w:color="auto" w:fill="auto"/>
            <w:noWrap/>
            <w:vAlign w:val="center"/>
            <w:hideMark/>
          </w:tcPr>
          <w:p w14:paraId="03E8AA82" w14:textId="77777777" w:rsidR="00846A43" w:rsidRPr="00D7142A" w:rsidRDefault="00846A43" w:rsidP="008727A1">
            <w:pPr>
              <w:spacing w:line="240" w:lineRule="auto"/>
              <w:jc w:val="center"/>
              <w:rPr>
                <w:color w:val="000000"/>
              </w:rPr>
            </w:pPr>
            <w:r w:rsidRPr="00D7142A">
              <w:rPr>
                <w:color w:val="000000"/>
              </w:rPr>
              <w:t>8.6</w:t>
            </w:r>
          </w:p>
        </w:tc>
      </w:tr>
      <w:tr w:rsidR="00846A43" w:rsidRPr="00D7142A" w14:paraId="17845AD2" w14:textId="77777777" w:rsidTr="00007AF3">
        <w:trPr>
          <w:trHeight w:val="227"/>
        </w:trPr>
        <w:tc>
          <w:tcPr>
            <w:tcW w:w="1985" w:type="dxa"/>
            <w:tcBorders>
              <w:top w:val="nil"/>
              <w:bottom w:val="nil"/>
              <w:right w:val="nil"/>
            </w:tcBorders>
            <w:shd w:val="clear" w:color="auto" w:fill="auto"/>
            <w:noWrap/>
            <w:vAlign w:val="center"/>
            <w:hideMark/>
          </w:tcPr>
          <w:p w14:paraId="6BBEB757" w14:textId="77777777" w:rsidR="00846A43" w:rsidRPr="00D7142A" w:rsidRDefault="00846A43" w:rsidP="008727A1">
            <w:pPr>
              <w:spacing w:line="240" w:lineRule="auto"/>
              <w:rPr>
                <w:color w:val="000000"/>
              </w:rPr>
            </w:pPr>
          </w:p>
        </w:tc>
        <w:tc>
          <w:tcPr>
            <w:tcW w:w="3118" w:type="dxa"/>
            <w:tcBorders>
              <w:top w:val="nil"/>
              <w:left w:val="nil"/>
              <w:bottom w:val="nil"/>
              <w:right w:val="nil"/>
            </w:tcBorders>
            <w:shd w:val="clear" w:color="auto" w:fill="auto"/>
            <w:noWrap/>
            <w:vAlign w:val="center"/>
            <w:hideMark/>
          </w:tcPr>
          <w:p w14:paraId="0E8C8539" w14:textId="77777777" w:rsidR="00846A43" w:rsidRPr="00D7142A" w:rsidRDefault="00846A43" w:rsidP="008727A1">
            <w:pPr>
              <w:spacing w:line="240" w:lineRule="auto"/>
            </w:pPr>
            <w:r w:rsidRPr="00D7142A">
              <w:t>Private insurance</w:t>
            </w:r>
          </w:p>
        </w:tc>
        <w:tc>
          <w:tcPr>
            <w:tcW w:w="576" w:type="dxa"/>
            <w:tcBorders>
              <w:top w:val="nil"/>
              <w:left w:val="nil"/>
              <w:bottom w:val="nil"/>
              <w:right w:val="nil"/>
            </w:tcBorders>
            <w:shd w:val="clear" w:color="auto" w:fill="auto"/>
            <w:noWrap/>
            <w:vAlign w:val="center"/>
            <w:hideMark/>
          </w:tcPr>
          <w:p w14:paraId="3FDF9A46" w14:textId="77777777" w:rsidR="00846A43" w:rsidRPr="00D7142A" w:rsidRDefault="00846A43" w:rsidP="008727A1">
            <w:pPr>
              <w:spacing w:line="240" w:lineRule="auto"/>
              <w:jc w:val="center"/>
            </w:pPr>
            <w:r w:rsidRPr="00D7142A">
              <w:t>8</w:t>
            </w:r>
          </w:p>
        </w:tc>
        <w:tc>
          <w:tcPr>
            <w:tcW w:w="1282" w:type="dxa"/>
            <w:tcBorders>
              <w:top w:val="nil"/>
              <w:left w:val="nil"/>
              <w:bottom w:val="nil"/>
              <w:right w:val="nil"/>
            </w:tcBorders>
            <w:shd w:val="clear" w:color="auto" w:fill="auto"/>
            <w:noWrap/>
            <w:vAlign w:val="center"/>
            <w:hideMark/>
          </w:tcPr>
          <w:p w14:paraId="002E3C9C" w14:textId="77777777" w:rsidR="00846A43" w:rsidRPr="00D7142A" w:rsidRDefault="00846A43" w:rsidP="008727A1">
            <w:pPr>
              <w:spacing w:line="240" w:lineRule="auto"/>
              <w:jc w:val="center"/>
            </w:pPr>
            <w:r w:rsidRPr="00D7142A">
              <w:t>2.0</w:t>
            </w:r>
          </w:p>
        </w:tc>
        <w:tc>
          <w:tcPr>
            <w:tcW w:w="1276" w:type="dxa"/>
            <w:tcBorders>
              <w:left w:val="nil"/>
              <w:bottom w:val="nil"/>
              <w:right w:val="single" w:sz="18" w:space="0" w:color="auto"/>
            </w:tcBorders>
            <w:shd w:val="clear" w:color="auto" w:fill="auto"/>
            <w:noWrap/>
            <w:vAlign w:val="center"/>
            <w:hideMark/>
          </w:tcPr>
          <w:p w14:paraId="08D7E399" w14:textId="77777777" w:rsidR="00846A43" w:rsidRPr="00D7142A" w:rsidRDefault="00846A43" w:rsidP="008727A1">
            <w:pPr>
              <w:spacing w:line="240" w:lineRule="auto"/>
              <w:jc w:val="center"/>
            </w:pPr>
            <w:r w:rsidRPr="00D7142A">
              <w:t>2.5</w:t>
            </w:r>
          </w:p>
        </w:tc>
        <w:tc>
          <w:tcPr>
            <w:tcW w:w="3245" w:type="dxa"/>
            <w:tcBorders>
              <w:top w:val="nil"/>
              <w:left w:val="single" w:sz="18" w:space="0" w:color="auto"/>
              <w:bottom w:val="nil"/>
              <w:right w:val="nil"/>
            </w:tcBorders>
            <w:shd w:val="clear" w:color="auto" w:fill="auto"/>
            <w:noWrap/>
            <w:vAlign w:val="center"/>
            <w:hideMark/>
          </w:tcPr>
          <w:p w14:paraId="5D431D87" w14:textId="77777777" w:rsidR="00846A43" w:rsidRPr="00D7142A" w:rsidRDefault="00846A43" w:rsidP="008727A1">
            <w:pPr>
              <w:spacing w:line="240" w:lineRule="auto"/>
            </w:pPr>
            <w:r w:rsidRPr="00D7142A">
              <w:t>Private insurance</w:t>
            </w:r>
          </w:p>
        </w:tc>
        <w:tc>
          <w:tcPr>
            <w:tcW w:w="576" w:type="dxa"/>
            <w:tcBorders>
              <w:top w:val="nil"/>
              <w:left w:val="nil"/>
              <w:bottom w:val="nil"/>
            </w:tcBorders>
            <w:shd w:val="clear" w:color="auto" w:fill="auto"/>
            <w:noWrap/>
            <w:vAlign w:val="center"/>
            <w:hideMark/>
          </w:tcPr>
          <w:p w14:paraId="72D0AE0E" w14:textId="77777777" w:rsidR="00846A43" w:rsidRPr="00D7142A" w:rsidRDefault="00846A43" w:rsidP="008727A1">
            <w:pPr>
              <w:spacing w:line="240" w:lineRule="auto"/>
              <w:jc w:val="center"/>
            </w:pPr>
            <w:r w:rsidRPr="00D7142A">
              <w:t>3</w:t>
            </w:r>
          </w:p>
        </w:tc>
        <w:tc>
          <w:tcPr>
            <w:tcW w:w="1165" w:type="dxa"/>
            <w:tcBorders>
              <w:top w:val="nil"/>
              <w:bottom w:val="nil"/>
            </w:tcBorders>
            <w:shd w:val="clear" w:color="auto" w:fill="auto"/>
            <w:noWrap/>
            <w:vAlign w:val="center"/>
            <w:hideMark/>
          </w:tcPr>
          <w:p w14:paraId="4AB240D4" w14:textId="77777777" w:rsidR="00846A43" w:rsidRPr="00D7142A" w:rsidRDefault="00846A43" w:rsidP="008727A1">
            <w:pPr>
              <w:spacing w:line="240" w:lineRule="auto"/>
              <w:jc w:val="center"/>
              <w:rPr>
                <w:color w:val="000000"/>
              </w:rPr>
            </w:pPr>
            <w:r w:rsidRPr="00D7142A">
              <w:rPr>
                <w:color w:val="000000"/>
              </w:rPr>
              <w:t>1.4</w:t>
            </w:r>
          </w:p>
        </w:tc>
        <w:tc>
          <w:tcPr>
            <w:tcW w:w="1244" w:type="dxa"/>
            <w:tcBorders>
              <w:bottom w:val="nil"/>
            </w:tcBorders>
            <w:shd w:val="clear" w:color="auto" w:fill="auto"/>
            <w:noWrap/>
            <w:vAlign w:val="center"/>
            <w:hideMark/>
          </w:tcPr>
          <w:p w14:paraId="336DD4AA" w14:textId="77777777" w:rsidR="00846A43" w:rsidRPr="00D7142A" w:rsidRDefault="00846A43" w:rsidP="008727A1">
            <w:pPr>
              <w:spacing w:line="240" w:lineRule="auto"/>
              <w:jc w:val="center"/>
              <w:rPr>
                <w:color w:val="000000"/>
              </w:rPr>
            </w:pPr>
            <w:r w:rsidRPr="00D7142A">
              <w:rPr>
                <w:color w:val="000000"/>
              </w:rPr>
              <w:t>1.7</w:t>
            </w:r>
          </w:p>
        </w:tc>
      </w:tr>
      <w:tr w:rsidR="00846A43" w:rsidRPr="00D7142A" w14:paraId="188966EF" w14:textId="77777777" w:rsidTr="00007AF3">
        <w:trPr>
          <w:trHeight w:val="227"/>
        </w:trPr>
        <w:tc>
          <w:tcPr>
            <w:tcW w:w="1985" w:type="dxa"/>
            <w:tcBorders>
              <w:top w:val="single" w:sz="4" w:space="0" w:color="auto"/>
              <w:bottom w:val="single" w:sz="18" w:space="0" w:color="auto"/>
              <w:right w:val="nil"/>
            </w:tcBorders>
            <w:shd w:val="clear" w:color="auto" w:fill="auto"/>
            <w:noWrap/>
            <w:vAlign w:val="center"/>
            <w:hideMark/>
          </w:tcPr>
          <w:p w14:paraId="4B9CF4B1" w14:textId="77777777" w:rsidR="00846A43" w:rsidRPr="00D7142A" w:rsidRDefault="00846A43" w:rsidP="008727A1">
            <w:pPr>
              <w:spacing w:line="240" w:lineRule="auto"/>
              <w:rPr>
                <w:color w:val="000000"/>
              </w:rPr>
            </w:pPr>
            <w:r w:rsidRPr="00D7142A">
              <w:rPr>
                <w:color w:val="000000"/>
              </w:rPr>
              <w:t>Bricolage</w:t>
            </w:r>
          </w:p>
        </w:tc>
        <w:tc>
          <w:tcPr>
            <w:tcW w:w="3118" w:type="dxa"/>
            <w:tcBorders>
              <w:top w:val="single" w:sz="4" w:space="0" w:color="auto"/>
              <w:left w:val="nil"/>
              <w:bottom w:val="single" w:sz="18" w:space="0" w:color="auto"/>
              <w:right w:val="nil"/>
            </w:tcBorders>
            <w:shd w:val="clear" w:color="auto" w:fill="auto"/>
            <w:noWrap/>
            <w:vAlign w:val="center"/>
            <w:hideMark/>
          </w:tcPr>
          <w:p w14:paraId="5F64124D" w14:textId="77777777" w:rsidR="00846A43" w:rsidRPr="00D7142A" w:rsidRDefault="00846A43" w:rsidP="008727A1">
            <w:pPr>
              <w:spacing w:line="240" w:lineRule="auto"/>
            </w:pPr>
            <w:r w:rsidRPr="00D7142A">
              <w:t>By severity or type</w:t>
            </w:r>
          </w:p>
        </w:tc>
        <w:tc>
          <w:tcPr>
            <w:tcW w:w="576" w:type="dxa"/>
            <w:tcBorders>
              <w:top w:val="single" w:sz="4" w:space="0" w:color="auto"/>
              <w:left w:val="nil"/>
              <w:bottom w:val="single" w:sz="18" w:space="0" w:color="auto"/>
              <w:right w:val="nil"/>
            </w:tcBorders>
            <w:shd w:val="clear" w:color="auto" w:fill="auto"/>
            <w:noWrap/>
            <w:vAlign w:val="center"/>
            <w:hideMark/>
          </w:tcPr>
          <w:p w14:paraId="1D1EF24F" w14:textId="77777777" w:rsidR="00846A43" w:rsidRPr="00D7142A" w:rsidRDefault="00846A43" w:rsidP="008727A1">
            <w:pPr>
              <w:spacing w:line="240" w:lineRule="auto"/>
              <w:jc w:val="center"/>
            </w:pPr>
            <w:r w:rsidRPr="00D7142A">
              <w:t>6</w:t>
            </w:r>
          </w:p>
        </w:tc>
        <w:tc>
          <w:tcPr>
            <w:tcW w:w="1282" w:type="dxa"/>
            <w:tcBorders>
              <w:top w:val="single" w:sz="4" w:space="0" w:color="auto"/>
              <w:left w:val="nil"/>
              <w:bottom w:val="single" w:sz="18" w:space="0" w:color="auto"/>
              <w:right w:val="nil"/>
            </w:tcBorders>
            <w:shd w:val="clear" w:color="auto" w:fill="auto"/>
            <w:noWrap/>
            <w:vAlign w:val="center"/>
            <w:hideMark/>
          </w:tcPr>
          <w:p w14:paraId="47428E7A" w14:textId="77777777" w:rsidR="00846A43" w:rsidRPr="00D7142A" w:rsidRDefault="00846A43" w:rsidP="008727A1">
            <w:pPr>
              <w:spacing w:line="240" w:lineRule="auto"/>
              <w:jc w:val="center"/>
            </w:pPr>
            <w:r w:rsidRPr="00D7142A">
              <w:t>1.8</w:t>
            </w:r>
          </w:p>
        </w:tc>
        <w:tc>
          <w:tcPr>
            <w:tcW w:w="1276" w:type="dxa"/>
            <w:tcBorders>
              <w:top w:val="single" w:sz="4" w:space="0" w:color="auto"/>
              <w:left w:val="nil"/>
              <w:bottom w:val="single" w:sz="18" w:space="0" w:color="auto"/>
              <w:right w:val="single" w:sz="18" w:space="0" w:color="auto"/>
            </w:tcBorders>
            <w:shd w:val="clear" w:color="auto" w:fill="auto"/>
            <w:noWrap/>
            <w:vAlign w:val="center"/>
            <w:hideMark/>
          </w:tcPr>
          <w:p w14:paraId="5F60A6A0" w14:textId="77777777" w:rsidR="00846A43" w:rsidRPr="00D7142A" w:rsidRDefault="00846A43" w:rsidP="008727A1">
            <w:pPr>
              <w:spacing w:line="240" w:lineRule="auto"/>
              <w:jc w:val="center"/>
            </w:pPr>
            <w:r w:rsidRPr="00D7142A">
              <w:t>2.2</w:t>
            </w:r>
          </w:p>
        </w:tc>
        <w:tc>
          <w:tcPr>
            <w:tcW w:w="3245" w:type="dxa"/>
            <w:tcBorders>
              <w:top w:val="single" w:sz="4" w:space="0" w:color="auto"/>
              <w:left w:val="single" w:sz="18" w:space="0" w:color="auto"/>
              <w:bottom w:val="single" w:sz="18" w:space="0" w:color="auto"/>
              <w:right w:val="nil"/>
            </w:tcBorders>
            <w:shd w:val="clear" w:color="auto" w:fill="auto"/>
            <w:noWrap/>
            <w:vAlign w:val="center"/>
            <w:hideMark/>
          </w:tcPr>
          <w:p w14:paraId="19E52CD5" w14:textId="77777777" w:rsidR="00846A43" w:rsidRPr="00D7142A" w:rsidRDefault="00846A43" w:rsidP="008727A1">
            <w:pPr>
              <w:spacing w:line="240" w:lineRule="auto"/>
            </w:pPr>
            <w:r w:rsidRPr="00D7142A">
              <w:t>By severity or type</w:t>
            </w:r>
          </w:p>
        </w:tc>
        <w:tc>
          <w:tcPr>
            <w:tcW w:w="576" w:type="dxa"/>
            <w:tcBorders>
              <w:top w:val="single" w:sz="4" w:space="0" w:color="auto"/>
              <w:left w:val="nil"/>
              <w:bottom w:val="single" w:sz="18" w:space="0" w:color="auto"/>
            </w:tcBorders>
            <w:shd w:val="clear" w:color="auto" w:fill="auto"/>
            <w:noWrap/>
            <w:vAlign w:val="center"/>
            <w:hideMark/>
          </w:tcPr>
          <w:p w14:paraId="07F59FA7" w14:textId="77777777" w:rsidR="00846A43" w:rsidRPr="00D7142A" w:rsidRDefault="00846A43" w:rsidP="008727A1">
            <w:pPr>
              <w:spacing w:line="240" w:lineRule="auto"/>
              <w:jc w:val="center"/>
            </w:pPr>
            <w:r w:rsidRPr="00D7142A">
              <w:t>4</w:t>
            </w:r>
          </w:p>
        </w:tc>
        <w:tc>
          <w:tcPr>
            <w:tcW w:w="1165" w:type="dxa"/>
            <w:tcBorders>
              <w:top w:val="single" w:sz="4" w:space="0" w:color="auto"/>
              <w:bottom w:val="single" w:sz="18" w:space="0" w:color="auto"/>
            </w:tcBorders>
            <w:shd w:val="clear" w:color="auto" w:fill="auto"/>
            <w:noWrap/>
            <w:vAlign w:val="center"/>
            <w:hideMark/>
          </w:tcPr>
          <w:p w14:paraId="74FA8CF3" w14:textId="77777777" w:rsidR="00846A43" w:rsidRPr="00D7142A" w:rsidRDefault="00846A43" w:rsidP="008727A1">
            <w:pPr>
              <w:spacing w:line="240" w:lineRule="auto"/>
              <w:jc w:val="center"/>
              <w:rPr>
                <w:color w:val="000000"/>
              </w:rPr>
            </w:pPr>
            <w:r w:rsidRPr="00D7142A">
              <w:rPr>
                <w:color w:val="000000"/>
              </w:rPr>
              <w:t>1.9</w:t>
            </w:r>
          </w:p>
        </w:tc>
        <w:tc>
          <w:tcPr>
            <w:tcW w:w="1244" w:type="dxa"/>
            <w:tcBorders>
              <w:top w:val="single" w:sz="4" w:space="0" w:color="auto"/>
              <w:bottom w:val="single" w:sz="18" w:space="0" w:color="auto"/>
            </w:tcBorders>
            <w:shd w:val="clear" w:color="auto" w:fill="auto"/>
            <w:noWrap/>
            <w:vAlign w:val="center"/>
            <w:hideMark/>
          </w:tcPr>
          <w:p w14:paraId="4AFE4AD3" w14:textId="77777777" w:rsidR="00846A43" w:rsidRPr="00D7142A" w:rsidRDefault="00846A43" w:rsidP="008727A1">
            <w:pPr>
              <w:spacing w:line="240" w:lineRule="auto"/>
              <w:jc w:val="center"/>
              <w:rPr>
                <w:color w:val="000000"/>
              </w:rPr>
            </w:pPr>
            <w:r w:rsidRPr="00D7142A">
              <w:rPr>
                <w:color w:val="000000"/>
              </w:rPr>
              <w:t>2.3</w:t>
            </w:r>
          </w:p>
        </w:tc>
      </w:tr>
      <w:tr w:rsidR="00846A43" w:rsidRPr="00D7142A" w14:paraId="582770EE" w14:textId="77777777" w:rsidTr="00007AF3">
        <w:trPr>
          <w:trHeight w:val="227"/>
        </w:trPr>
        <w:tc>
          <w:tcPr>
            <w:tcW w:w="5103" w:type="dxa"/>
            <w:gridSpan w:val="2"/>
            <w:tcBorders>
              <w:top w:val="single" w:sz="18" w:space="0" w:color="auto"/>
              <w:right w:val="nil"/>
            </w:tcBorders>
            <w:shd w:val="clear" w:color="auto" w:fill="auto"/>
            <w:noWrap/>
            <w:vAlign w:val="bottom"/>
            <w:hideMark/>
          </w:tcPr>
          <w:p w14:paraId="6A3E8FFA" w14:textId="77777777" w:rsidR="00846A43" w:rsidRPr="00D7142A" w:rsidRDefault="00846A43" w:rsidP="008727A1">
            <w:pPr>
              <w:spacing w:line="240" w:lineRule="auto"/>
              <w:rPr>
                <w:b/>
                <w:bCs/>
                <w:color w:val="000000"/>
              </w:rPr>
            </w:pPr>
            <w:r w:rsidRPr="00D7142A">
              <w:rPr>
                <w:b/>
                <w:bCs/>
                <w:color w:val="000000"/>
              </w:rPr>
              <w:t>Total coded mentions</w:t>
            </w:r>
          </w:p>
        </w:tc>
        <w:tc>
          <w:tcPr>
            <w:tcW w:w="576" w:type="dxa"/>
            <w:tcBorders>
              <w:top w:val="single" w:sz="18" w:space="0" w:color="auto"/>
              <w:left w:val="nil"/>
              <w:right w:val="nil"/>
            </w:tcBorders>
            <w:shd w:val="clear" w:color="auto" w:fill="auto"/>
            <w:noWrap/>
            <w:vAlign w:val="center"/>
            <w:hideMark/>
          </w:tcPr>
          <w:p w14:paraId="7D2649A6" w14:textId="77777777" w:rsidR="00846A43" w:rsidRPr="00D7142A" w:rsidRDefault="00846A43" w:rsidP="008727A1">
            <w:pPr>
              <w:spacing w:line="240" w:lineRule="auto"/>
              <w:jc w:val="center"/>
              <w:rPr>
                <w:b/>
                <w:bCs/>
                <w:color w:val="000000"/>
              </w:rPr>
            </w:pPr>
            <w:r w:rsidRPr="00D7142A">
              <w:rPr>
                <w:b/>
                <w:bCs/>
                <w:color w:val="000000"/>
              </w:rPr>
              <w:t>387</w:t>
            </w:r>
          </w:p>
        </w:tc>
        <w:tc>
          <w:tcPr>
            <w:tcW w:w="1282" w:type="dxa"/>
            <w:tcBorders>
              <w:top w:val="single" w:sz="18" w:space="0" w:color="auto"/>
              <w:left w:val="nil"/>
              <w:right w:val="nil"/>
            </w:tcBorders>
            <w:shd w:val="clear" w:color="auto" w:fill="auto"/>
            <w:noWrap/>
            <w:vAlign w:val="center"/>
            <w:hideMark/>
          </w:tcPr>
          <w:p w14:paraId="40E471B8" w14:textId="77777777" w:rsidR="00846A43" w:rsidRPr="00D7142A" w:rsidRDefault="00846A43" w:rsidP="008727A1">
            <w:pPr>
              <w:spacing w:line="240" w:lineRule="auto"/>
              <w:jc w:val="center"/>
              <w:rPr>
                <w:b/>
                <w:bCs/>
                <w:color w:val="000000"/>
              </w:rPr>
            </w:pPr>
            <w:r w:rsidRPr="00D7142A">
              <w:rPr>
                <w:b/>
                <w:bCs/>
                <w:color w:val="000000"/>
              </w:rPr>
              <w:t>100.0</w:t>
            </w:r>
          </w:p>
        </w:tc>
        <w:tc>
          <w:tcPr>
            <w:tcW w:w="1276" w:type="dxa"/>
            <w:tcBorders>
              <w:top w:val="single" w:sz="18" w:space="0" w:color="auto"/>
              <w:left w:val="nil"/>
              <w:right w:val="single" w:sz="18" w:space="0" w:color="auto"/>
            </w:tcBorders>
            <w:shd w:val="clear" w:color="auto" w:fill="auto"/>
            <w:noWrap/>
            <w:vAlign w:val="center"/>
            <w:hideMark/>
          </w:tcPr>
          <w:p w14:paraId="16EB88F9" w14:textId="77777777" w:rsidR="00846A43" w:rsidRPr="00D7142A" w:rsidRDefault="00846A43" w:rsidP="008727A1">
            <w:pPr>
              <w:spacing w:line="240" w:lineRule="auto"/>
              <w:jc w:val="center"/>
              <w:rPr>
                <w:b/>
                <w:bCs/>
                <w:color w:val="000000"/>
              </w:rPr>
            </w:pPr>
            <w:r w:rsidRPr="00D7142A">
              <w:rPr>
                <w:b/>
                <w:bCs/>
                <w:color w:val="000000"/>
              </w:rPr>
              <w:t>120.1</w:t>
            </w:r>
          </w:p>
        </w:tc>
        <w:tc>
          <w:tcPr>
            <w:tcW w:w="3245" w:type="dxa"/>
            <w:tcBorders>
              <w:top w:val="single" w:sz="18" w:space="0" w:color="auto"/>
              <w:left w:val="single" w:sz="18" w:space="0" w:color="auto"/>
              <w:right w:val="nil"/>
            </w:tcBorders>
            <w:shd w:val="clear" w:color="auto" w:fill="auto"/>
            <w:noWrap/>
            <w:vAlign w:val="center"/>
            <w:hideMark/>
          </w:tcPr>
          <w:p w14:paraId="64F265DD" w14:textId="77777777" w:rsidR="00846A43" w:rsidRPr="00D7142A" w:rsidRDefault="00846A43" w:rsidP="008727A1">
            <w:pPr>
              <w:spacing w:line="240" w:lineRule="auto"/>
              <w:rPr>
                <w:b/>
                <w:bCs/>
                <w:color w:val="000000"/>
              </w:rPr>
            </w:pPr>
            <w:r w:rsidRPr="00D7142A">
              <w:rPr>
                <w:b/>
                <w:bCs/>
                <w:color w:val="000000"/>
              </w:rPr>
              <w:t> </w:t>
            </w:r>
          </w:p>
        </w:tc>
        <w:tc>
          <w:tcPr>
            <w:tcW w:w="576" w:type="dxa"/>
            <w:tcBorders>
              <w:top w:val="single" w:sz="18" w:space="0" w:color="auto"/>
              <w:left w:val="nil"/>
            </w:tcBorders>
            <w:shd w:val="clear" w:color="auto" w:fill="auto"/>
            <w:noWrap/>
            <w:vAlign w:val="center"/>
            <w:hideMark/>
          </w:tcPr>
          <w:p w14:paraId="423AABF9" w14:textId="77777777" w:rsidR="00846A43" w:rsidRPr="00D7142A" w:rsidRDefault="00846A43" w:rsidP="008727A1">
            <w:pPr>
              <w:spacing w:line="240" w:lineRule="auto"/>
              <w:jc w:val="center"/>
              <w:rPr>
                <w:b/>
                <w:bCs/>
                <w:color w:val="000000"/>
              </w:rPr>
            </w:pPr>
            <w:r w:rsidRPr="00D7142A">
              <w:rPr>
                <w:b/>
                <w:bCs/>
                <w:color w:val="000000"/>
              </w:rPr>
              <w:t>211</w:t>
            </w:r>
          </w:p>
        </w:tc>
        <w:tc>
          <w:tcPr>
            <w:tcW w:w="1165" w:type="dxa"/>
            <w:tcBorders>
              <w:top w:val="single" w:sz="18" w:space="0" w:color="auto"/>
            </w:tcBorders>
            <w:shd w:val="clear" w:color="auto" w:fill="auto"/>
            <w:noWrap/>
            <w:vAlign w:val="center"/>
            <w:hideMark/>
          </w:tcPr>
          <w:p w14:paraId="5FE43D61" w14:textId="77777777" w:rsidR="00846A43" w:rsidRPr="00D7142A" w:rsidRDefault="00846A43" w:rsidP="008727A1">
            <w:pPr>
              <w:spacing w:line="240" w:lineRule="auto"/>
              <w:jc w:val="center"/>
              <w:rPr>
                <w:b/>
                <w:bCs/>
                <w:color w:val="000000"/>
              </w:rPr>
            </w:pPr>
            <w:r w:rsidRPr="00D7142A">
              <w:rPr>
                <w:b/>
                <w:bCs/>
                <w:color w:val="000000"/>
              </w:rPr>
              <w:t>100.0</w:t>
            </w:r>
          </w:p>
        </w:tc>
        <w:tc>
          <w:tcPr>
            <w:tcW w:w="1244" w:type="dxa"/>
            <w:tcBorders>
              <w:top w:val="single" w:sz="18" w:space="0" w:color="auto"/>
            </w:tcBorders>
            <w:shd w:val="clear" w:color="auto" w:fill="auto"/>
            <w:noWrap/>
            <w:vAlign w:val="center"/>
            <w:hideMark/>
          </w:tcPr>
          <w:p w14:paraId="5213AED8" w14:textId="77777777" w:rsidR="00846A43" w:rsidRPr="00D7142A" w:rsidRDefault="00846A43" w:rsidP="008727A1">
            <w:pPr>
              <w:spacing w:line="240" w:lineRule="auto"/>
              <w:jc w:val="center"/>
              <w:rPr>
                <w:b/>
                <w:bCs/>
                <w:color w:val="000000"/>
              </w:rPr>
            </w:pPr>
            <w:r w:rsidRPr="00D7142A">
              <w:rPr>
                <w:b/>
                <w:bCs/>
                <w:color w:val="000000"/>
              </w:rPr>
              <w:t>117.9</w:t>
            </w:r>
          </w:p>
        </w:tc>
      </w:tr>
      <w:tr w:rsidR="00846A43" w:rsidRPr="00D7142A" w14:paraId="26D1BCA1" w14:textId="77777777" w:rsidTr="00007AF3">
        <w:trPr>
          <w:trHeight w:val="227"/>
        </w:trPr>
        <w:tc>
          <w:tcPr>
            <w:tcW w:w="5103" w:type="dxa"/>
            <w:gridSpan w:val="2"/>
            <w:tcBorders>
              <w:bottom w:val="single" w:sz="4" w:space="0" w:color="auto"/>
              <w:right w:val="nil"/>
            </w:tcBorders>
            <w:shd w:val="clear" w:color="auto" w:fill="auto"/>
            <w:noWrap/>
            <w:vAlign w:val="bottom"/>
          </w:tcPr>
          <w:p w14:paraId="7C2439D7" w14:textId="77777777" w:rsidR="00846A43" w:rsidRPr="00D7142A" w:rsidRDefault="00846A43" w:rsidP="008727A1">
            <w:pPr>
              <w:spacing w:line="240" w:lineRule="auto"/>
              <w:rPr>
                <w:b/>
                <w:bCs/>
                <w:color w:val="000000"/>
              </w:rPr>
            </w:pPr>
            <w:r w:rsidRPr="00D7142A">
              <w:rPr>
                <w:b/>
                <w:bCs/>
                <w:color w:val="000000"/>
              </w:rPr>
              <w:t>Qualitative sample</w:t>
            </w:r>
          </w:p>
        </w:tc>
        <w:tc>
          <w:tcPr>
            <w:tcW w:w="576" w:type="dxa"/>
            <w:tcBorders>
              <w:left w:val="nil"/>
              <w:bottom w:val="single" w:sz="4" w:space="0" w:color="auto"/>
              <w:right w:val="nil"/>
            </w:tcBorders>
            <w:shd w:val="clear" w:color="auto" w:fill="auto"/>
            <w:noWrap/>
            <w:vAlign w:val="center"/>
          </w:tcPr>
          <w:p w14:paraId="14CBF614" w14:textId="77777777" w:rsidR="00846A43" w:rsidRPr="00D7142A" w:rsidRDefault="00846A43" w:rsidP="008727A1">
            <w:pPr>
              <w:spacing w:line="240" w:lineRule="auto"/>
              <w:jc w:val="center"/>
              <w:rPr>
                <w:b/>
                <w:bCs/>
                <w:color w:val="000000"/>
              </w:rPr>
            </w:pPr>
            <w:r w:rsidRPr="00D7142A">
              <w:rPr>
                <w:b/>
                <w:bCs/>
                <w:color w:val="000000"/>
              </w:rPr>
              <w:t>323</w:t>
            </w:r>
          </w:p>
        </w:tc>
        <w:tc>
          <w:tcPr>
            <w:tcW w:w="1282" w:type="dxa"/>
            <w:tcBorders>
              <w:left w:val="nil"/>
              <w:bottom w:val="single" w:sz="4" w:space="0" w:color="auto"/>
              <w:right w:val="nil"/>
            </w:tcBorders>
            <w:shd w:val="clear" w:color="auto" w:fill="auto"/>
            <w:noWrap/>
            <w:vAlign w:val="center"/>
          </w:tcPr>
          <w:p w14:paraId="6FAC123D" w14:textId="77777777" w:rsidR="00846A43" w:rsidRPr="00D7142A" w:rsidRDefault="00846A43" w:rsidP="008727A1">
            <w:pPr>
              <w:spacing w:line="240" w:lineRule="auto"/>
              <w:jc w:val="center"/>
              <w:rPr>
                <w:b/>
                <w:bCs/>
                <w:color w:val="000000"/>
              </w:rPr>
            </w:pPr>
            <w:r w:rsidRPr="00D7142A">
              <w:rPr>
                <w:b/>
                <w:bCs/>
                <w:color w:val="000000"/>
              </w:rPr>
              <w:t>120.1</w:t>
            </w:r>
          </w:p>
        </w:tc>
        <w:tc>
          <w:tcPr>
            <w:tcW w:w="1276" w:type="dxa"/>
            <w:tcBorders>
              <w:left w:val="nil"/>
              <w:bottom w:val="single" w:sz="4" w:space="0" w:color="auto"/>
              <w:right w:val="single" w:sz="18" w:space="0" w:color="auto"/>
            </w:tcBorders>
            <w:shd w:val="clear" w:color="auto" w:fill="auto"/>
            <w:noWrap/>
            <w:vAlign w:val="center"/>
          </w:tcPr>
          <w:p w14:paraId="3744981C" w14:textId="77777777" w:rsidR="00846A43" w:rsidRPr="00D7142A" w:rsidRDefault="00846A43" w:rsidP="008727A1">
            <w:pPr>
              <w:spacing w:line="240" w:lineRule="auto"/>
              <w:jc w:val="center"/>
              <w:rPr>
                <w:b/>
                <w:bCs/>
                <w:color w:val="000000"/>
              </w:rPr>
            </w:pPr>
            <w:r w:rsidRPr="00D7142A">
              <w:rPr>
                <w:b/>
                <w:bCs/>
                <w:color w:val="000000"/>
              </w:rPr>
              <w:t>100.0</w:t>
            </w:r>
          </w:p>
        </w:tc>
        <w:tc>
          <w:tcPr>
            <w:tcW w:w="3245" w:type="dxa"/>
            <w:tcBorders>
              <w:left w:val="single" w:sz="18" w:space="0" w:color="auto"/>
              <w:bottom w:val="single" w:sz="4" w:space="0" w:color="auto"/>
              <w:right w:val="nil"/>
            </w:tcBorders>
            <w:shd w:val="clear" w:color="auto" w:fill="auto"/>
            <w:noWrap/>
            <w:vAlign w:val="center"/>
          </w:tcPr>
          <w:p w14:paraId="5D8C3E04" w14:textId="77777777" w:rsidR="00846A43" w:rsidRPr="00D7142A" w:rsidRDefault="00846A43" w:rsidP="008727A1">
            <w:pPr>
              <w:spacing w:line="240" w:lineRule="auto"/>
              <w:rPr>
                <w:b/>
                <w:bCs/>
                <w:color w:val="000000"/>
              </w:rPr>
            </w:pPr>
          </w:p>
        </w:tc>
        <w:tc>
          <w:tcPr>
            <w:tcW w:w="576" w:type="dxa"/>
            <w:tcBorders>
              <w:left w:val="nil"/>
              <w:bottom w:val="single" w:sz="4" w:space="0" w:color="auto"/>
            </w:tcBorders>
            <w:shd w:val="clear" w:color="auto" w:fill="auto"/>
            <w:noWrap/>
            <w:vAlign w:val="center"/>
          </w:tcPr>
          <w:p w14:paraId="6834031B" w14:textId="77777777" w:rsidR="00846A43" w:rsidRPr="00D7142A" w:rsidRDefault="00846A43" w:rsidP="008727A1">
            <w:pPr>
              <w:spacing w:line="240" w:lineRule="auto"/>
              <w:jc w:val="center"/>
              <w:rPr>
                <w:b/>
                <w:bCs/>
                <w:color w:val="000000"/>
              </w:rPr>
            </w:pPr>
            <w:r w:rsidRPr="00D7142A">
              <w:rPr>
                <w:b/>
                <w:bCs/>
                <w:color w:val="000000"/>
              </w:rPr>
              <w:t>179</w:t>
            </w:r>
          </w:p>
        </w:tc>
        <w:tc>
          <w:tcPr>
            <w:tcW w:w="1165" w:type="dxa"/>
            <w:tcBorders>
              <w:bottom w:val="single" w:sz="4" w:space="0" w:color="auto"/>
            </w:tcBorders>
            <w:shd w:val="clear" w:color="auto" w:fill="auto"/>
            <w:noWrap/>
            <w:vAlign w:val="center"/>
          </w:tcPr>
          <w:p w14:paraId="2E6812FA" w14:textId="77777777" w:rsidR="00846A43" w:rsidRPr="00D7142A" w:rsidRDefault="00846A43" w:rsidP="008727A1">
            <w:pPr>
              <w:spacing w:line="240" w:lineRule="auto"/>
              <w:jc w:val="center"/>
              <w:rPr>
                <w:b/>
                <w:bCs/>
                <w:color w:val="000000"/>
              </w:rPr>
            </w:pPr>
            <w:r w:rsidRPr="00D7142A">
              <w:rPr>
                <w:b/>
                <w:bCs/>
                <w:color w:val="000000"/>
              </w:rPr>
              <w:t>117.9</w:t>
            </w:r>
          </w:p>
        </w:tc>
        <w:tc>
          <w:tcPr>
            <w:tcW w:w="1244" w:type="dxa"/>
            <w:tcBorders>
              <w:bottom w:val="single" w:sz="4" w:space="0" w:color="auto"/>
            </w:tcBorders>
            <w:shd w:val="clear" w:color="auto" w:fill="auto"/>
            <w:noWrap/>
            <w:vAlign w:val="center"/>
          </w:tcPr>
          <w:p w14:paraId="69ACD76F" w14:textId="77777777" w:rsidR="00846A43" w:rsidRPr="00D7142A" w:rsidRDefault="00846A43" w:rsidP="008727A1">
            <w:pPr>
              <w:spacing w:line="240" w:lineRule="auto"/>
              <w:jc w:val="center"/>
              <w:rPr>
                <w:b/>
                <w:bCs/>
                <w:color w:val="000000"/>
              </w:rPr>
            </w:pPr>
            <w:r w:rsidRPr="00D7142A">
              <w:rPr>
                <w:b/>
                <w:bCs/>
                <w:color w:val="000000"/>
              </w:rPr>
              <w:t>100.0</w:t>
            </w:r>
          </w:p>
        </w:tc>
      </w:tr>
    </w:tbl>
    <w:p w14:paraId="1A3B1BBD" w14:textId="2A2CA1F8" w:rsidR="00F64D96" w:rsidRPr="00D54601" w:rsidRDefault="00846A43" w:rsidP="008727A1">
      <w:pPr>
        <w:spacing w:line="240" w:lineRule="auto"/>
      </w:pPr>
      <w:r w:rsidRPr="00D7142A">
        <w:t xml:space="preserve">Source: </w:t>
      </w:r>
      <w:proofErr w:type="spellStart"/>
      <w:r w:rsidRPr="00D7142A">
        <w:t>EUinUK</w:t>
      </w:r>
      <w:proofErr w:type="spellEnd"/>
      <w:r w:rsidRPr="00D7142A">
        <w:t xml:space="preserve"> 2016 survey</w:t>
      </w:r>
    </w:p>
    <w:sectPr w:rsidR="00F64D96" w:rsidRPr="00D54601" w:rsidSect="008727A1">
      <w:headerReference w:type="default" r:id="rId12"/>
      <w:footerReference w:type="default" r:id="rId13"/>
      <w:pgSz w:w="16838" w:h="11906" w:orient="landscape"/>
      <w:pgMar w:top="1440" w:right="1440" w:bottom="1440" w:left="1440" w:header="709" w:footer="709"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2991" w14:textId="77777777" w:rsidR="002713F5" w:rsidRDefault="002713F5">
      <w:r>
        <w:separator/>
      </w:r>
    </w:p>
  </w:endnote>
  <w:endnote w:type="continuationSeparator" w:id="0">
    <w:p w14:paraId="2C20123F" w14:textId="77777777" w:rsidR="002713F5" w:rsidRDefault="002713F5">
      <w:r>
        <w:continuationSeparator/>
      </w:r>
    </w:p>
  </w:endnote>
  <w:endnote w:type="continuationNotice" w:id="1">
    <w:p w14:paraId="01B5B53F" w14:textId="77777777" w:rsidR="002713F5" w:rsidRDefault="00271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Light">
    <w:altName w:val="Malgun Gothic"/>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932553"/>
      <w:docPartObj>
        <w:docPartGallery w:val="Page Numbers (Bottom of Page)"/>
        <w:docPartUnique/>
      </w:docPartObj>
    </w:sdtPr>
    <w:sdtEndPr>
      <w:rPr>
        <w:noProof/>
      </w:rPr>
    </w:sdtEndPr>
    <w:sdtContent>
      <w:p w14:paraId="6CE73F29" w14:textId="01E497DF" w:rsidR="009F3B3B" w:rsidRDefault="009F3B3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09F0139" w14:textId="77777777" w:rsidR="009F3B3B" w:rsidRDefault="009F3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480298"/>
      <w:docPartObj>
        <w:docPartGallery w:val="Page Numbers (Bottom of Page)"/>
        <w:docPartUnique/>
      </w:docPartObj>
    </w:sdtPr>
    <w:sdtEndPr>
      <w:rPr>
        <w:noProof/>
      </w:rPr>
    </w:sdtEndPr>
    <w:sdtContent>
      <w:p w14:paraId="0B365B6C" w14:textId="0FC43F2D" w:rsidR="009F3B3B" w:rsidRDefault="009F3B3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FF1EC72" w14:textId="77777777" w:rsidR="009F3B3B" w:rsidRPr="00D8727C" w:rsidRDefault="009F3B3B" w:rsidP="00D87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7898" w14:textId="77777777" w:rsidR="002713F5" w:rsidRDefault="002713F5">
      <w:r>
        <w:separator/>
      </w:r>
    </w:p>
  </w:footnote>
  <w:footnote w:type="continuationSeparator" w:id="0">
    <w:p w14:paraId="6758A80F" w14:textId="77777777" w:rsidR="002713F5" w:rsidRDefault="002713F5">
      <w:r>
        <w:continuationSeparator/>
      </w:r>
    </w:p>
  </w:footnote>
  <w:footnote w:type="continuationNotice" w:id="1">
    <w:p w14:paraId="21606951" w14:textId="77777777" w:rsidR="002713F5" w:rsidRDefault="00271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2529" w14:textId="77777777" w:rsidR="009F3B3B" w:rsidRPr="000E0B38" w:rsidRDefault="009F3B3B" w:rsidP="000E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7F5"/>
    <w:multiLevelType w:val="multilevel"/>
    <w:tmpl w:val="7A521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53D81"/>
    <w:multiLevelType w:val="multilevel"/>
    <w:tmpl w:val="A1E2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B477A9"/>
    <w:multiLevelType w:val="hybridMultilevel"/>
    <w:tmpl w:val="9716C8F4"/>
    <w:lvl w:ilvl="0" w:tplc="707A7518">
      <w:numFmt w:val="bullet"/>
      <w:lvlText w:val="-"/>
      <w:lvlJc w:val="left"/>
      <w:pPr>
        <w:ind w:left="-120" w:hanging="360"/>
      </w:pPr>
      <w:rPr>
        <w:rFonts w:ascii="Calibri" w:eastAsiaTheme="minorEastAsia" w:hAnsi="Calibri" w:cs="Calibri" w:hint="default"/>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5" w15:restartNumberingAfterBreak="0">
    <w:nsid w:val="75BA30F1"/>
    <w:multiLevelType w:val="hybridMultilevel"/>
    <w:tmpl w:val="AD7879FE"/>
    <w:lvl w:ilvl="0" w:tplc="B042641A">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E243AC"/>
    <w:multiLevelType w:val="hybridMultilevel"/>
    <w:tmpl w:val="FEB88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o:colormru v:ext="edit" colors="#ccecff,#cff,#d6ebe6,#e2e8e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 w:name="EN.Layout" w:val="&lt;ENLayout&gt;&lt;Style&gt;APA based Moreh Thes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da0pxesbf5t5ve5wfwx0rvyx5fztfspd0p9&quot;&gt;Complete (EN-X9)&lt;record-ids&gt;&lt;item&gt;584&lt;/item&gt;&lt;item&gt;604&lt;/item&gt;&lt;item&gt;608&lt;/item&gt;&lt;item&gt;741&lt;/item&gt;&lt;item&gt;745&lt;/item&gt;&lt;item&gt;2732&lt;/item&gt;&lt;item&gt;2768&lt;/item&gt;&lt;item&gt;2786&lt;/item&gt;&lt;item&gt;2789&lt;/item&gt;&lt;item&gt;2800&lt;/item&gt;&lt;item&gt;3585&lt;/item&gt;&lt;item&gt;3659&lt;/item&gt;&lt;item&gt;3660&lt;/item&gt;&lt;item&gt;3661&lt;/item&gt;&lt;item&gt;3662&lt;/item&gt;&lt;/record-ids&gt;&lt;/item&gt;&lt;/Libraries&gt;"/>
  </w:docVars>
  <w:rsids>
    <w:rsidRoot w:val="0044063C"/>
    <w:rsid w:val="00000180"/>
    <w:rsid w:val="00000499"/>
    <w:rsid w:val="00000714"/>
    <w:rsid w:val="00000AD3"/>
    <w:rsid w:val="00001BDA"/>
    <w:rsid w:val="00001EA6"/>
    <w:rsid w:val="00001F50"/>
    <w:rsid w:val="00002D10"/>
    <w:rsid w:val="0000382E"/>
    <w:rsid w:val="00003D35"/>
    <w:rsid w:val="00003EE3"/>
    <w:rsid w:val="00004093"/>
    <w:rsid w:val="000049AE"/>
    <w:rsid w:val="00004B39"/>
    <w:rsid w:val="000068F7"/>
    <w:rsid w:val="00007D68"/>
    <w:rsid w:val="0001025F"/>
    <w:rsid w:val="000107AC"/>
    <w:rsid w:val="00010B4A"/>
    <w:rsid w:val="00010CBB"/>
    <w:rsid w:val="00010CBE"/>
    <w:rsid w:val="000118BB"/>
    <w:rsid w:val="00011F15"/>
    <w:rsid w:val="00011F96"/>
    <w:rsid w:val="000128D8"/>
    <w:rsid w:val="00012D10"/>
    <w:rsid w:val="0001334B"/>
    <w:rsid w:val="00013501"/>
    <w:rsid w:val="00013849"/>
    <w:rsid w:val="00013A6F"/>
    <w:rsid w:val="000142CC"/>
    <w:rsid w:val="000142CE"/>
    <w:rsid w:val="00015072"/>
    <w:rsid w:val="00015241"/>
    <w:rsid w:val="00015266"/>
    <w:rsid w:val="000165D0"/>
    <w:rsid w:val="000165FD"/>
    <w:rsid w:val="00016FAD"/>
    <w:rsid w:val="00016FFA"/>
    <w:rsid w:val="00017353"/>
    <w:rsid w:val="000201D8"/>
    <w:rsid w:val="00020672"/>
    <w:rsid w:val="00020F0A"/>
    <w:rsid w:val="00020F65"/>
    <w:rsid w:val="0002162F"/>
    <w:rsid w:val="000219D1"/>
    <w:rsid w:val="000220BF"/>
    <w:rsid w:val="000243EC"/>
    <w:rsid w:val="00024550"/>
    <w:rsid w:val="000248C4"/>
    <w:rsid w:val="00024D69"/>
    <w:rsid w:val="00025145"/>
    <w:rsid w:val="00025926"/>
    <w:rsid w:val="00025D0B"/>
    <w:rsid w:val="00025FE0"/>
    <w:rsid w:val="0002630E"/>
    <w:rsid w:val="000266D4"/>
    <w:rsid w:val="00026E0A"/>
    <w:rsid w:val="000272B1"/>
    <w:rsid w:val="00027657"/>
    <w:rsid w:val="0002765E"/>
    <w:rsid w:val="0003003B"/>
    <w:rsid w:val="00030126"/>
    <w:rsid w:val="00030B4C"/>
    <w:rsid w:val="00031085"/>
    <w:rsid w:val="00031717"/>
    <w:rsid w:val="00031C13"/>
    <w:rsid w:val="00031F59"/>
    <w:rsid w:val="0003244A"/>
    <w:rsid w:val="000329A2"/>
    <w:rsid w:val="000331E6"/>
    <w:rsid w:val="000342FE"/>
    <w:rsid w:val="00034925"/>
    <w:rsid w:val="0003492E"/>
    <w:rsid w:val="00034EBF"/>
    <w:rsid w:val="00035757"/>
    <w:rsid w:val="000362B6"/>
    <w:rsid w:val="00036301"/>
    <w:rsid w:val="00036374"/>
    <w:rsid w:val="000363A8"/>
    <w:rsid w:val="0003645C"/>
    <w:rsid w:val="00036B12"/>
    <w:rsid w:val="00037217"/>
    <w:rsid w:val="000373C9"/>
    <w:rsid w:val="000373CC"/>
    <w:rsid w:val="00037FE1"/>
    <w:rsid w:val="00040048"/>
    <w:rsid w:val="000401F1"/>
    <w:rsid w:val="00040527"/>
    <w:rsid w:val="00040EEC"/>
    <w:rsid w:val="00041758"/>
    <w:rsid w:val="00041D6F"/>
    <w:rsid w:val="00041F79"/>
    <w:rsid w:val="00042152"/>
    <w:rsid w:val="0004244C"/>
    <w:rsid w:val="00042536"/>
    <w:rsid w:val="00042A08"/>
    <w:rsid w:val="00042DED"/>
    <w:rsid w:val="00042E69"/>
    <w:rsid w:val="00043107"/>
    <w:rsid w:val="00043168"/>
    <w:rsid w:val="000435FF"/>
    <w:rsid w:val="00043C0A"/>
    <w:rsid w:val="00043CCC"/>
    <w:rsid w:val="000447AE"/>
    <w:rsid w:val="00044959"/>
    <w:rsid w:val="000460AA"/>
    <w:rsid w:val="000465F4"/>
    <w:rsid w:val="00046FFB"/>
    <w:rsid w:val="0004715F"/>
    <w:rsid w:val="000471C2"/>
    <w:rsid w:val="000477B7"/>
    <w:rsid w:val="00047952"/>
    <w:rsid w:val="00047C66"/>
    <w:rsid w:val="0005012F"/>
    <w:rsid w:val="0005050A"/>
    <w:rsid w:val="0005070C"/>
    <w:rsid w:val="000533DF"/>
    <w:rsid w:val="0005347F"/>
    <w:rsid w:val="00053BF9"/>
    <w:rsid w:val="000542F5"/>
    <w:rsid w:val="00054AA4"/>
    <w:rsid w:val="00054E43"/>
    <w:rsid w:val="00054EA6"/>
    <w:rsid w:val="00055093"/>
    <w:rsid w:val="000554C7"/>
    <w:rsid w:val="00055644"/>
    <w:rsid w:val="00056000"/>
    <w:rsid w:val="000563B6"/>
    <w:rsid w:val="00056B3F"/>
    <w:rsid w:val="00056B7D"/>
    <w:rsid w:val="00056BFC"/>
    <w:rsid w:val="0005730E"/>
    <w:rsid w:val="00057C35"/>
    <w:rsid w:val="000603E3"/>
    <w:rsid w:val="00060B90"/>
    <w:rsid w:val="00060E21"/>
    <w:rsid w:val="00061037"/>
    <w:rsid w:val="00061326"/>
    <w:rsid w:val="00061CF2"/>
    <w:rsid w:val="00061D36"/>
    <w:rsid w:val="0006216A"/>
    <w:rsid w:val="00062C78"/>
    <w:rsid w:val="00063428"/>
    <w:rsid w:val="0006345F"/>
    <w:rsid w:val="0006388A"/>
    <w:rsid w:val="00064044"/>
    <w:rsid w:val="0006421B"/>
    <w:rsid w:val="00064612"/>
    <w:rsid w:val="00064A3F"/>
    <w:rsid w:val="00064B17"/>
    <w:rsid w:val="00064CA1"/>
    <w:rsid w:val="000655B0"/>
    <w:rsid w:val="00065671"/>
    <w:rsid w:val="00065C17"/>
    <w:rsid w:val="000662E4"/>
    <w:rsid w:val="000663E1"/>
    <w:rsid w:val="00066874"/>
    <w:rsid w:val="000674BE"/>
    <w:rsid w:val="00067B44"/>
    <w:rsid w:val="00070839"/>
    <w:rsid w:val="00071662"/>
    <w:rsid w:val="00071849"/>
    <w:rsid w:val="0007221C"/>
    <w:rsid w:val="00072876"/>
    <w:rsid w:val="000729F2"/>
    <w:rsid w:val="00073105"/>
    <w:rsid w:val="00073122"/>
    <w:rsid w:val="00073A51"/>
    <w:rsid w:val="000746BB"/>
    <w:rsid w:val="00074EB2"/>
    <w:rsid w:val="000751D1"/>
    <w:rsid w:val="0007677A"/>
    <w:rsid w:val="000771CD"/>
    <w:rsid w:val="0007731D"/>
    <w:rsid w:val="0008046F"/>
    <w:rsid w:val="00080A33"/>
    <w:rsid w:val="00080A57"/>
    <w:rsid w:val="0008235D"/>
    <w:rsid w:val="00083407"/>
    <w:rsid w:val="0008384A"/>
    <w:rsid w:val="0008391A"/>
    <w:rsid w:val="00084FFB"/>
    <w:rsid w:val="00085A05"/>
    <w:rsid w:val="00086F60"/>
    <w:rsid w:val="000872ED"/>
    <w:rsid w:val="000873D6"/>
    <w:rsid w:val="000875FD"/>
    <w:rsid w:val="0008768A"/>
    <w:rsid w:val="00087723"/>
    <w:rsid w:val="00087EB4"/>
    <w:rsid w:val="000900A0"/>
    <w:rsid w:val="0009023F"/>
    <w:rsid w:val="000907D6"/>
    <w:rsid w:val="000907FA"/>
    <w:rsid w:val="000908BD"/>
    <w:rsid w:val="000909CA"/>
    <w:rsid w:val="00091355"/>
    <w:rsid w:val="00091518"/>
    <w:rsid w:val="00091954"/>
    <w:rsid w:val="00091C80"/>
    <w:rsid w:val="00091CC1"/>
    <w:rsid w:val="000924E2"/>
    <w:rsid w:val="000925AB"/>
    <w:rsid w:val="00092EE3"/>
    <w:rsid w:val="000931C8"/>
    <w:rsid w:val="00093B93"/>
    <w:rsid w:val="00093CEE"/>
    <w:rsid w:val="00093EDB"/>
    <w:rsid w:val="00094EB4"/>
    <w:rsid w:val="0009522C"/>
    <w:rsid w:val="0009553F"/>
    <w:rsid w:val="000957B1"/>
    <w:rsid w:val="00095A94"/>
    <w:rsid w:val="00096091"/>
    <w:rsid w:val="0009723C"/>
    <w:rsid w:val="000A0040"/>
    <w:rsid w:val="000A0F9A"/>
    <w:rsid w:val="000A1BE9"/>
    <w:rsid w:val="000A1C61"/>
    <w:rsid w:val="000A21AF"/>
    <w:rsid w:val="000A3368"/>
    <w:rsid w:val="000A3407"/>
    <w:rsid w:val="000A3428"/>
    <w:rsid w:val="000A3D16"/>
    <w:rsid w:val="000A3DF2"/>
    <w:rsid w:val="000A40B7"/>
    <w:rsid w:val="000A49C8"/>
    <w:rsid w:val="000A4E2F"/>
    <w:rsid w:val="000A5610"/>
    <w:rsid w:val="000A5F4E"/>
    <w:rsid w:val="000A6880"/>
    <w:rsid w:val="000A6E91"/>
    <w:rsid w:val="000A7093"/>
    <w:rsid w:val="000A798B"/>
    <w:rsid w:val="000B0767"/>
    <w:rsid w:val="000B1118"/>
    <w:rsid w:val="000B1204"/>
    <w:rsid w:val="000B22A7"/>
    <w:rsid w:val="000B2922"/>
    <w:rsid w:val="000B3102"/>
    <w:rsid w:val="000B315B"/>
    <w:rsid w:val="000B365A"/>
    <w:rsid w:val="000B3EC6"/>
    <w:rsid w:val="000B51B9"/>
    <w:rsid w:val="000B5FA7"/>
    <w:rsid w:val="000B5FE7"/>
    <w:rsid w:val="000B60F6"/>
    <w:rsid w:val="000B696A"/>
    <w:rsid w:val="000B6B01"/>
    <w:rsid w:val="000C031A"/>
    <w:rsid w:val="000C0409"/>
    <w:rsid w:val="000C0F3F"/>
    <w:rsid w:val="000C0F77"/>
    <w:rsid w:val="000C1003"/>
    <w:rsid w:val="000C1423"/>
    <w:rsid w:val="000C1902"/>
    <w:rsid w:val="000C1C0C"/>
    <w:rsid w:val="000C2699"/>
    <w:rsid w:val="000C2DF9"/>
    <w:rsid w:val="000C2E54"/>
    <w:rsid w:val="000C3056"/>
    <w:rsid w:val="000C3096"/>
    <w:rsid w:val="000C40F9"/>
    <w:rsid w:val="000C4713"/>
    <w:rsid w:val="000C4858"/>
    <w:rsid w:val="000C5900"/>
    <w:rsid w:val="000C5DBC"/>
    <w:rsid w:val="000C5EBA"/>
    <w:rsid w:val="000C6B0B"/>
    <w:rsid w:val="000C75BF"/>
    <w:rsid w:val="000D01AC"/>
    <w:rsid w:val="000D046D"/>
    <w:rsid w:val="000D0741"/>
    <w:rsid w:val="000D0B09"/>
    <w:rsid w:val="000D0B51"/>
    <w:rsid w:val="000D0D97"/>
    <w:rsid w:val="000D1430"/>
    <w:rsid w:val="000D219A"/>
    <w:rsid w:val="000D2917"/>
    <w:rsid w:val="000D3AA6"/>
    <w:rsid w:val="000D3E42"/>
    <w:rsid w:val="000D3ED1"/>
    <w:rsid w:val="000D4F83"/>
    <w:rsid w:val="000D57B9"/>
    <w:rsid w:val="000D5BEF"/>
    <w:rsid w:val="000D608F"/>
    <w:rsid w:val="000D6338"/>
    <w:rsid w:val="000D696E"/>
    <w:rsid w:val="000D6DD7"/>
    <w:rsid w:val="000D7FE8"/>
    <w:rsid w:val="000E06FD"/>
    <w:rsid w:val="000E0B38"/>
    <w:rsid w:val="000E0DC9"/>
    <w:rsid w:val="000E0DCB"/>
    <w:rsid w:val="000E0E99"/>
    <w:rsid w:val="000E2206"/>
    <w:rsid w:val="000E25CF"/>
    <w:rsid w:val="000E2728"/>
    <w:rsid w:val="000E3202"/>
    <w:rsid w:val="000E3747"/>
    <w:rsid w:val="000E3A6D"/>
    <w:rsid w:val="000E4841"/>
    <w:rsid w:val="000E49C6"/>
    <w:rsid w:val="000E4AF4"/>
    <w:rsid w:val="000E54F7"/>
    <w:rsid w:val="000E5601"/>
    <w:rsid w:val="000E59A5"/>
    <w:rsid w:val="000E5CE7"/>
    <w:rsid w:val="000E661B"/>
    <w:rsid w:val="000E6647"/>
    <w:rsid w:val="000E6954"/>
    <w:rsid w:val="000F08E8"/>
    <w:rsid w:val="000F0CB0"/>
    <w:rsid w:val="000F0E10"/>
    <w:rsid w:val="000F170D"/>
    <w:rsid w:val="000F198B"/>
    <w:rsid w:val="000F2803"/>
    <w:rsid w:val="000F2967"/>
    <w:rsid w:val="000F325A"/>
    <w:rsid w:val="000F37AE"/>
    <w:rsid w:val="000F3DFF"/>
    <w:rsid w:val="000F41D4"/>
    <w:rsid w:val="000F4564"/>
    <w:rsid w:val="000F4636"/>
    <w:rsid w:val="000F49F9"/>
    <w:rsid w:val="000F4D8E"/>
    <w:rsid w:val="000F5398"/>
    <w:rsid w:val="000F58FF"/>
    <w:rsid w:val="000F5A1F"/>
    <w:rsid w:val="000F5C38"/>
    <w:rsid w:val="000F6008"/>
    <w:rsid w:val="000F6513"/>
    <w:rsid w:val="000F68E8"/>
    <w:rsid w:val="000F6BF3"/>
    <w:rsid w:val="000F6E7B"/>
    <w:rsid w:val="000F7247"/>
    <w:rsid w:val="000F72AE"/>
    <w:rsid w:val="000F7919"/>
    <w:rsid w:val="001000BC"/>
    <w:rsid w:val="00100172"/>
    <w:rsid w:val="001003A9"/>
    <w:rsid w:val="00101BE3"/>
    <w:rsid w:val="001022D7"/>
    <w:rsid w:val="00102456"/>
    <w:rsid w:val="001025CE"/>
    <w:rsid w:val="00102999"/>
    <w:rsid w:val="00102FF8"/>
    <w:rsid w:val="001034D6"/>
    <w:rsid w:val="001036EF"/>
    <w:rsid w:val="001037EF"/>
    <w:rsid w:val="001046DC"/>
    <w:rsid w:val="001050CD"/>
    <w:rsid w:val="001057F7"/>
    <w:rsid w:val="00105E6D"/>
    <w:rsid w:val="00106035"/>
    <w:rsid w:val="0010616C"/>
    <w:rsid w:val="00106FE3"/>
    <w:rsid w:val="001073E3"/>
    <w:rsid w:val="00107C2C"/>
    <w:rsid w:val="001101CE"/>
    <w:rsid w:val="00110721"/>
    <w:rsid w:val="00110A8E"/>
    <w:rsid w:val="001114DD"/>
    <w:rsid w:val="001115A9"/>
    <w:rsid w:val="00111E5E"/>
    <w:rsid w:val="0011204C"/>
    <w:rsid w:val="001121DD"/>
    <w:rsid w:val="00112268"/>
    <w:rsid w:val="001127ED"/>
    <w:rsid w:val="00112877"/>
    <w:rsid w:val="00112A78"/>
    <w:rsid w:val="0011321A"/>
    <w:rsid w:val="0011358B"/>
    <w:rsid w:val="00113B91"/>
    <w:rsid w:val="00114353"/>
    <w:rsid w:val="0011438B"/>
    <w:rsid w:val="001143FC"/>
    <w:rsid w:val="00114A77"/>
    <w:rsid w:val="001152D3"/>
    <w:rsid w:val="0011546D"/>
    <w:rsid w:val="001155B5"/>
    <w:rsid w:val="00115D5A"/>
    <w:rsid w:val="0011621E"/>
    <w:rsid w:val="00116442"/>
    <w:rsid w:val="00116F4D"/>
    <w:rsid w:val="00117A0C"/>
    <w:rsid w:val="00117EF1"/>
    <w:rsid w:val="00120637"/>
    <w:rsid w:val="001213D6"/>
    <w:rsid w:val="00121E20"/>
    <w:rsid w:val="0012337B"/>
    <w:rsid w:val="001234B1"/>
    <w:rsid w:val="00123862"/>
    <w:rsid w:val="00124047"/>
    <w:rsid w:val="00124187"/>
    <w:rsid w:val="00125240"/>
    <w:rsid w:val="00125565"/>
    <w:rsid w:val="00125D23"/>
    <w:rsid w:val="00126A63"/>
    <w:rsid w:val="001270B1"/>
    <w:rsid w:val="001272AD"/>
    <w:rsid w:val="001273CD"/>
    <w:rsid w:val="00127959"/>
    <w:rsid w:val="00127A71"/>
    <w:rsid w:val="00127C10"/>
    <w:rsid w:val="00127DBB"/>
    <w:rsid w:val="00127EC3"/>
    <w:rsid w:val="00130474"/>
    <w:rsid w:val="00131046"/>
    <w:rsid w:val="00131247"/>
    <w:rsid w:val="0013161A"/>
    <w:rsid w:val="0013185A"/>
    <w:rsid w:val="00131A31"/>
    <w:rsid w:val="00131AEC"/>
    <w:rsid w:val="00131E4C"/>
    <w:rsid w:val="0013257B"/>
    <w:rsid w:val="00132E34"/>
    <w:rsid w:val="00133AB9"/>
    <w:rsid w:val="00133E36"/>
    <w:rsid w:val="00134501"/>
    <w:rsid w:val="001346A2"/>
    <w:rsid w:val="0013479D"/>
    <w:rsid w:val="001349BF"/>
    <w:rsid w:val="00134F1C"/>
    <w:rsid w:val="00134F65"/>
    <w:rsid w:val="001350BE"/>
    <w:rsid w:val="00135435"/>
    <w:rsid w:val="001366B5"/>
    <w:rsid w:val="00136BE8"/>
    <w:rsid w:val="00136CF6"/>
    <w:rsid w:val="00136DC7"/>
    <w:rsid w:val="001372AE"/>
    <w:rsid w:val="001374AF"/>
    <w:rsid w:val="00137A34"/>
    <w:rsid w:val="0014028A"/>
    <w:rsid w:val="0014078B"/>
    <w:rsid w:val="00140FAC"/>
    <w:rsid w:val="00141601"/>
    <w:rsid w:val="00141625"/>
    <w:rsid w:val="00141EAF"/>
    <w:rsid w:val="00142082"/>
    <w:rsid w:val="00142BC2"/>
    <w:rsid w:val="00142F17"/>
    <w:rsid w:val="00143E9E"/>
    <w:rsid w:val="00143FFE"/>
    <w:rsid w:val="001444AF"/>
    <w:rsid w:val="00144822"/>
    <w:rsid w:val="001458C0"/>
    <w:rsid w:val="00145EB0"/>
    <w:rsid w:val="001463B1"/>
    <w:rsid w:val="00146418"/>
    <w:rsid w:val="00146605"/>
    <w:rsid w:val="001467A3"/>
    <w:rsid w:val="0014752D"/>
    <w:rsid w:val="0014762B"/>
    <w:rsid w:val="00147E04"/>
    <w:rsid w:val="00147F95"/>
    <w:rsid w:val="001500FA"/>
    <w:rsid w:val="00150133"/>
    <w:rsid w:val="00151952"/>
    <w:rsid w:val="0015246A"/>
    <w:rsid w:val="001532D1"/>
    <w:rsid w:val="00153466"/>
    <w:rsid w:val="0015394E"/>
    <w:rsid w:val="00153EAC"/>
    <w:rsid w:val="0015407B"/>
    <w:rsid w:val="00154677"/>
    <w:rsid w:val="00154805"/>
    <w:rsid w:val="0015518D"/>
    <w:rsid w:val="0015560B"/>
    <w:rsid w:val="00155C40"/>
    <w:rsid w:val="00156240"/>
    <w:rsid w:val="00156AC6"/>
    <w:rsid w:val="00157155"/>
    <w:rsid w:val="00157BD5"/>
    <w:rsid w:val="00157C2F"/>
    <w:rsid w:val="00157F65"/>
    <w:rsid w:val="00160081"/>
    <w:rsid w:val="00160F63"/>
    <w:rsid w:val="001612B5"/>
    <w:rsid w:val="00161487"/>
    <w:rsid w:val="00161580"/>
    <w:rsid w:val="0016225B"/>
    <w:rsid w:val="00162BE0"/>
    <w:rsid w:val="00162C32"/>
    <w:rsid w:val="00163223"/>
    <w:rsid w:val="0016349A"/>
    <w:rsid w:val="001638A1"/>
    <w:rsid w:val="0016441E"/>
    <w:rsid w:val="001647BC"/>
    <w:rsid w:val="00164FC3"/>
    <w:rsid w:val="001653B8"/>
    <w:rsid w:val="00165984"/>
    <w:rsid w:val="00165BB9"/>
    <w:rsid w:val="00165EAB"/>
    <w:rsid w:val="001669F9"/>
    <w:rsid w:val="00167154"/>
    <w:rsid w:val="0016768C"/>
    <w:rsid w:val="00167E52"/>
    <w:rsid w:val="0017021E"/>
    <w:rsid w:val="001705D5"/>
    <w:rsid w:val="00171E56"/>
    <w:rsid w:val="00171FEC"/>
    <w:rsid w:val="001727CB"/>
    <w:rsid w:val="001729BB"/>
    <w:rsid w:val="00172BF1"/>
    <w:rsid w:val="001734CA"/>
    <w:rsid w:val="00173A1F"/>
    <w:rsid w:val="0017454D"/>
    <w:rsid w:val="00175532"/>
    <w:rsid w:val="00175594"/>
    <w:rsid w:val="001758E5"/>
    <w:rsid w:val="00175CAF"/>
    <w:rsid w:val="00175D59"/>
    <w:rsid w:val="00175DFD"/>
    <w:rsid w:val="00175E8A"/>
    <w:rsid w:val="0017613A"/>
    <w:rsid w:val="001766D4"/>
    <w:rsid w:val="00176D64"/>
    <w:rsid w:val="00177399"/>
    <w:rsid w:val="0017799E"/>
    <w:rsid w:val="00177CDF"/>
    <w:rsid w:val="0018272A"/>
    <w:rsid w:val="001827F8"/>
    <w:rsid w:val="0018345B"/>
    <w:rsid w:val="00183B9E"/>
    <w:rsid w:val="00183C67"/>
    <w:rsid w:val="00183CE0"/>
    <w:rsid w:val="00183DEC"/>
    <w:rsid w:val="0018421B"/>
    <w:rsid w:val="001842DC"/>
    <w:rsid w:val="00184F94"/>
    <w:rsid w:val="001853F4"/>
    <w:rsid w:val="00185869"/>
    <w:rsid w:val="00185C60"/>
    <w:rsid w:val="00185E72"/>
    <w:rsid w:val="00185E78"/>
    <w:rsid w:val="00186A7B"/>
    <w:rsid w:val="00187194"/>
    <w:rsid w:val="00187837"/>
    <w:rsid w:val="00187FEF"/>
    <w:rsid w:val="00190199"/>
    <w:rsid w:val="00190356"/>
    <w:rsid w:val="00190B40"/>
    <w:rsid w:val="00190BB0"/>
    <w:rsid w:val="00191539"/>
    <w:rsid w:val="00192325"/>
    <w:rsid w:val="00192B07"/>
    <w:rsid w:val="00193E2A"/>
    <w:rsid w:val="00194180"/>
    <w:rsid w:val="00194805"/>
    <w:rsid w:val="00194905"/>
    <w:rsid w:val="0019500F"/>
    <w:rsid w:val="0019515E"/>
    <w:rsid w:val="0019600B"/>
    <w:rsid w:val="00196609"/>
    <w:rsid w:val="001968EB"/>
    <w:rsid w:val="00196A49"/>
    <w:rsid w:val="00197073"/>
    <w:rsid w:val="0019709A"/>
    <w:rsid w:val="001975B3"/>
    <w:rsid w:val="00197746"/>
    <w:rsid w:val="0019774B"/>
    <w:rsid w:val="00197A31"/>
    <w:rsid w:val="00197ACB"/>
    <w:rsid w:val="001A06DD"/>
    <w:rsid w:val="001A0C7F"/>
    <w:rsid w:val="001A0D09"/>
    <w:rsid w:val="001A0D73"/>
    <w:rsid w:val="001A1A6F"/>
    <w:rsid w:val="001A1ADE"/>
    <w:rsid w:val="001A20D1"/>
    <w:rsid w:val="001A2468"/>
    <w:rsid w:val="001A25EE"/>
    <w:rsid w:val="001A26D2"/>
    <w:rsid w:val="001A272B"/>
    <w:rsid w:val="001A282F"/>
    <w:rsid w:val="001A34E6"/>
    <w:rsid w:val="001A38CF"/>
    <w:rsid w:val="001A4B16"/>
    <w:rsid w:val="001A4FC1"/>
    <w:rsid w:val="001A5053"/>
    <w:rsid w:val="001A52CC"/>
    <w:rsid w:val="001A52FF"/>
    <w:rsid w:val="001A535E"/>
    <w:rsid w:val="001A6DC0"/>
    <w:rsid w:val="001B160F"/>
    <w:rsid w:val="001B1BA5"/>
    <w:rsid w:val="001B1BF1"/>
    <w:rsid w:val="001B1D27"/>
    <w:rsid w:val="001B1F30"/>
    <w:rsid w:val="001B1F87"/>
    <w:rsid w:val="001B1FFE"/>
    <w:rsid w:val="001B22D9"/>
    <w:rsid w:val="001B3099"/>
    <w:rsid w:val="001B31D5"/>
    <w:rsid w:val="001B31F6"/>
    <w:rsid w:val="001B32C9"/>
    <w:rsid w:val="001B3E47"/>
    <w:rsid w:val="001B458D"/>
    <w:rsid w:val="001B4891"/>
    <w:rsid w:val="001B4ABA"/>
    <w:rsid w:val="001B53B8"/>
    <w:rsid w:val="001B5966"/>
    <w:rsid w:val="001B6564"/>
    <w:rsid w:val="001B6FC6"/>
    <w:rsid w:val="001B7B79"/>
    <w:rsid w:val="001C0675"/>
    <w:rsid w:val="001C169D"/>
    <w:rsid w:val="001C1CDE"/>
    <w:rsid w:val="001C1F83"/>
    <w:rsid w:val="001C2350"/>
    <w:rsid w:val="001C2E61"/>
    <w:rsid w:val="001C2FF4"/>
    <w:rsid w:val="001C3E47"/>
    <w:rsid w:val="001C41B9"/>
    <w:rsid w:val="001C4605"/>
    <w:rsid w:val="001C472A"/>
    <w:rsid w:val="001C4E7A"/>
    <w:rsid w:val="001C50EA"/>
    <w:rsid w:val="001C635F"/>
    <w:rsid w:val="001C6634"/>
    <w:rsid w:val="001C6ECF"/>
    <w:rsid w:val="001C731C"/>
    <w:rsid w:val="001C78F9"/>
    <w:rsid w:val="001D0104"/>
    <w:rsid w:val="001D08A8"/>
    <w:rsid w:val="001D1B61"/>
    <w:rsid w:val="001D2095"/>
    <w:rsid w:val="001D2230"/>
    <w:rsid w:val="001D24C6"/>
    <w:rsid w:val="001D27E8"/>
    <w:rsid w:val="001D2830"/>
    <w:rsid w:val="001D2DAF"/>
    <w:rsid w:val="001D31E1"/>
    <w:rsid w:val="001D39EC"/>
    <w:rsid w:val="001D4C80"/>
    <w:rsid w:val="001D55DF"/>
    <w:rsid w:val="001D5697"/>
    <w:rsid w:val="001D58BC"/>
    <w:rsid w:val="001D5BE3"/>
    <w:rsid w:val="001D613D"/>
    <w:rsid w:val="001D6194"/>
    <w:rsid w:val="001D6631"/>
    <w:rsid w:val="001D719C"/>
    <w:rsid w:val="001D7988"/>
    <w:rsid w:val="001D7B5C"/>
    <w:rsid w:val="001D7EE9"/>
    <w:rsid w:val="001E00FA"/>
    <w:rsid w:val="001E084D"/>
    <w:rsid w:val="001E08BA"/>
    <w:rsid w:val="001E0F0C"/>
    <w:rsid w:val="001E1240"/>
    <w:rsid w:val="001E2120"/>
    <w:rsid w:val="001E223B"/>
    <w:rsid w:val="001E262B"/>
    <w:rsid w:val="001E2679"/>
    <w:rsid w:val="001E268B"/>
    <w:rsid w:val="001E2A7E"/>
    <w:rsid w:val="001E2DE8"/>
    <w:rsid w:val="001E36EE"/>
    <w:rsid w:val="001E374E"/>
    <w:rsid w:val="001E3753"/>
    <w:rsid w:val="001E405D"/>
    <w:rsid w:val="001E415A"/>
    <w:rsid w:val="001E42BB"/>
    <w:rsid w:val="001E46B6"/>
    <w:rsid w:val="001E4808"/>
    <w:rsid w:val="001E4E4D"/>
    <w:rsid w:val="001E5CE2"/>
    <w:rsid w:val="001E67F3"/>
    <w:rsid w:val="001E7723"/>
    <w:rsid w:val="001E795E"/>
    <w:rsid w:val="001F0646"/>
    <w:rsid w:val="001F0835"/>
    <w:rsid w:val="001F10E3"/>
    <w:rsid w:val="001F1144"/>
    <w:rsid w:val="001F1264"/>
    <w:rsid w:val="001F1586"/>
    <w:rsid w:val="001F205D"/>
    <w:rsid w:val="001F222F"/>
    <w:rsid w:val="001F3576"/>
    <w:rsid w:val="001F3649"/>
    <w:rsid w:val="001F3D85"/>
    <w:rsid w:val="001F4007"/>
    <w:rsid w:val="001F4463"/>
    <w:rsid w:val="001F4570"/>
    <w:rsid w:val="001F45AC"/>
    <w:rsid w:val="001F45D9"/>
    <w:rsid w:val="001F4D53"/>
    <w:rsid w:val="001F4EB3"/>
    <w:rsid w:val="001F56A6"/>
    <w:rsid w:val="001F5855"/>
    <w:rsid w:val="001F72A0"/>
    <w:rsid w:val="00200285"/>
    <w:rsid w:val="002009B4"/>
    <w:rsid w:val="002011DD"/>
    <w:rsid w:val="0020191D"/>
    <w:rsid w:val="00201E19"/>
    <w:rsid w:val="00202528"/>
    <w:rsid w:val="00202A67"/>
    <w:rsid w:val="00202D9E"/>
    <w:rsid w:val="00203243"/>
    <w:rsid w:val="002032E2"/>
    <w:rsid w:val="00203388"/>
    <w:rsid w:val="002033B4"/>
    <w:rsid w:val="00204D20"/>
    <w:rsid w:val="00205C8B"/>
    <w:rsid w:val="002061ED"/>
    <w:rsid w:val="002068C0"/>
    <w:rsid w:val="00207762"/>
    <w:rsid w:val="00207B52"/>
    <w:rsid w:val="00207B8A"/>
    <w:rsid w:val="002100C1"/>
    <w:rsid w:val="00210309"/>
    <w:rsid w:val="002103BB"/>
    <w:rsid w:val="00210B3A"/>
    <w:rsid w:val="00210CC7"/>
    <w:rsid w:val="00210FAD"/>
    <w:rsid w:val="00211BA0"/>
    <w:rsid w:val="00211D34"/>
    <w:rsid w:val="00211EB9"/>
    <w:rsid w:val="002121D6"/>
    <w:rsid w:val="00212A8C"/>
    <w:rsid w:val="00212D93"/>
    <w:rsid w:val="00213362"/>
    <w:rsid w:val="002143D0"/>
    <w:rsid w:val="00214808"/>
    <w:rsid w:val="00214902"/>
    <w:rsid w:val="00214CA2"/>
    <w:rsid w:val="002150A1"/>
    <w:rsid w:val="00215AB3"/>
    <w:rsid w:val="00215CF0"/>
    <w:rsid w:val="00215DFC"/>
    <w:rsid w:val="00216419"/>
    <w:rsid w:val="00216847"/>
    <w:rsid w:val="00216877"/>
    <w:rsid w:val="00216B0A"/>
    <w:rsid w:val="00216B8E"/>
    <w:rsid w:val="00217076"/>
    <w:rsid w:val="00217634"/>
    <w:rsid w:val="00217837"/>
    <w:rsid w:val="00217EF7"/>
    <w:rsid w:val="00220984"/>
    <w:rsid w:val="00221114"/>
    <w:rsid w:val="00221519"/>
    <w:rsid w:val="0022212E"/>
    <w:rsid w:val="00223316"/>
    <w:rsid w:val="002236BA"/>
    <w:rsid w:val="00223AAF"/>
    <w:rsid w:val="00224646"/>
    <w:rsid w:val="00224825"/>
    <w:rsid w:val="00224CB4"/>
    <w:rsid w:val="002254A9"/>
    <w:rsid w:val="002256ED"/>
    <w:rsid w:val="00225AB0"/>
    <w:rsid w:val="00225EEF"/>
    <w:rsid w:val="00226E9A"/>
    <w:rsid w:val="00226EE5"/>
    <w:rsid w:val="0022721C"/>
    <w:rsid w:val="00227859"/>
    <w:rsid w:val="00227B45"/>
    <w:rsid w:val="00227D0A"/>
    <w:rsid w:val="00230508"/>
    <w:rsid w:val="0023155A"/>
    <w:rsid w:val="00232D8E"/>
    <w:rsid w:val="00233799"/>
    <w:rsid w:val="00233D5F"/>
    <w:rsid w:val="00234783"/>
    <w:rsid w:val="00234E56"/>
    <w:rsid w:val="00235236"/>
    <w:rsid w:val="00235254"/>
    <w:rsid w:val="0023551E"/>
    <w:rsid w:val="00235F97"/>
    <w:rsid w:val="0023653E"/>
    <w:rsid w:val="00236B59"/>
    <w:rsid w:val="00236CC9"/>
    <w:rsid w:val="00236F9A"/>
    <w:rsid w:val="0023766E"/>
    <w:rsid w:val="00237B2E"/>
    <w:rsid w:val="00237D70"/>
    <w:rsid w:val="00240C27"/>
    <w:rsid w:val="0024112D"/>
    <w:rsid w:val="00241A1D"/>
    <w:rsid w:val="00241EF6"/>
    <w:rsid w:val="00241EFF"/>
    <w:rsid w:val="002421AC"/>
    <w:rsid w:val="0024258E"/>
    <w:rsid w:val="00243351"/>
    <w:rsid w:val="002436CF"/>
    <w:rsid w:val="0024398E"/>
    <w:rsid w:val="002449C9"/>
    <w:rsid w:val="00245011"/>
    <w:rsid w:val="00245634"/>
    <w:rsid w:val="00245E24"/>
    <w:rsid w:val="0024655F"/>
    <w:rsid w:val="00246F8E"/>
    <w:rsid w:val="00247D55"/>
    <w:rsid w:val="00250B36"/>
    <w:rsid w:val="00250B70"/>
    <w:rsid w:val="00250E7C"/>
    <w:rsid w:val="00250EE0"/>
    <w:rsid w:val="00252831"/>
    <w:rsid w:val="00252B47"/>
    <w:rsid w:val="00253095"/>
    <w:rsid w:val="002532CC"/>
    <w:rsid w:val="00253866"/>
    <w:rsid w:val="002538CC"/>
    <w:rsid w:val="002539AA"/>
    <w:rsid w:val="0025407C"/>
    <w:rsid w:val="00254135"/>
    <w:rsid w:val="002547F5"/>
    <w:rsid w:val="00254F97"/>
    <w:rsid w:val="00255290"/>
    <w:rsid w:val="00255512"/>
    <w:rsid w:val="002556C7"/>
    <w:rsid w:val="00255A93"/>
    <w:rsid w:val="0025613C"/>
    <w:rsid w:val="00256736"/>
    <w:rsid w:val="00256E07"/>
    <w:rsid w:val="00257239"/>
    <w:rsid w:val="0025753D"/>
    <w:rsid w:val="00257594"/>
    <w:rsid w:val="00257755"/>
    <w:rsid w:val="00257CAB"/>
    <w:rsid w:val="00260423"/>
    <w:rsid w:val="0026058B"/>
    <w:rsid w:val="00260688"/>
    <w:rsid w:val="00260704"/>
    <w:rsid w:val="00260932"/>
    <w:rsid w:val="00263952"/>
    <w:rsid w:val="00263A15"/>
    <w:rsid w:val="00264414"/>
    <w:rsid w:val="00264579"/>
    <w:rsid w:val="00264BFC"/>
    <w:rsid w:val="00264FA5"/>
    <w:rsid w:val="002650FA"/>
    <w:rsid w:val="00265156"/>
    <w:rsid w:val="0026535F"/>
    <w:rsid w:val="00265760"/>
    <w:rsid w:val="00265BD9"/>
    <w:rsid w:val="00265D8D"/>
    <w:rsid w:val="00265DF1"/>
    <w:rsid w:val="0026676D"/>
    <w:rsid w:val="00267437"/>
    <w:rsid w:val="00267599"/>
    <w:rsid w:val="00267ED7"/>
    <w:rsid w:val="002713F5"/>
    <w:rsid w:val="00271E2E"/>
    <w:rsid w:val="00271F9D"/>
    <w:rsid w:val="002725F7"/>
    <w:rsid w:val="00272BD3"/>
    <w:rsid w:val="00272DE8"/>
    <w:rsid w:val="0027322F"/>
    <w:rsid w:val="00273270"/>
    <w:rsid w:val="00273429"/>
    <w:rsid w:val="0027356D"/>
    <w:rsid w:val="002743A2"/>
    <w:rsid w:val="002746FE"/>
    <w:rsid w:val="00274775"/>
    <w:rsid w:val="00274A2E"/>
    <w:rsid w:val="0027502D"/>
    <w:rsid w:val="0027558E"/>
    <w:rsid w:val="002767C6"/>
    <w:rsid w:val="002768B5"/>
    <w:rsid w:val="0027717C"/>
    <w:rsid w:val="00280A29"/>
    <w:rsid w:val="002812F9"/>
    <w:rsid w:val="00281397"/>
    <w:rsid w:val="002813CF"/>
    <w:rsid w:val="00281461"/>
    <w:rsid w:val="00281463"/>
    <w:rsid w:val="00281CAE"/>
    <w:rsid w:val="00281EF5"/>
    <w:rsid w:val="00282479"/>
    <w:rsid w:val="00282588"/>
    <w:rsid w:val="0028310E"/>
    <w:rsid w:val="002836BD"/>
    <w:rsid w:val="00283B57"/>
    <w:rsid w:val="0028426D"/>
    <w:rsid w:val="002846B3"/>
    <w:rsid w:val="00286276"/>
    <w:rsid w:val="002871C3"/>
    <w:rsid w:val="0028723B"/>
    <w:rsid w:val="00287E9C"/>
    <w:rsid w:val="00287F82"/>
    <w:rsid w:val="00290297"/>
    <w:rsid w:val="00290470"/>
    <w:rsid w:val="00290544"/>
    <w:rsid w:val="0029058C"/>
    <w:rsid w:val="002905B2"/>
    <w:rsid w:val="00290A2D"/>
    <w:rsid w:val="00290A4A"/>
    <w:rsid w:val="00291036"/>
    <w:rsid w:val="00291202"/>
    <w:rsid w:val="00291455"/>
    <w:rsid w:val="0029176E"/>
    <w:rsid w:val="002917E8"/>
    <w:rsid w:val="00291B51"/>
    <w:rsid w:val="00291DC6"/>
    <w:rsid w:val="00291FAC"/>
    <w:rsid w:val="0029226E"/>
    <w:rsid w:val="002922CD"/>
    <w:rsid w:val="002923B1"/>
    <w:rsid w:val="00292BE4"/>
    <w:rsid w:val="00292DE0"/>
    <w:rsid w:val="00292EB3"/>
    <w:rsid w:val="00294251"/>
    <w:rsid w:val="002945CC"/>
    <w:rsid w:val="00294BB1"/>
    <w:rsid w:val="00296013"/>
    <w:rsid w:val="002979EE"/>
    <w:rsid w:val="002A03BC"/>
    <w:rsid w:val="002A0C55"/>
    <w:rsid w:val="002A16BA"/>
    <w:rsid w:val="002A18BB"/>
    <w:rsid w:val="002A3154"/>
    <w:rsid w:val="002A3351"/>
    <w:rsid w:val="002A349C"/>
    <w:rsid w:val="002A34BF"/>
    <w:rsid w:val="002A35C0"/>
    <w:rsid w:val="002A36BE"/>
    <w:rsid w:val="002A3A04"/>
    <w:rsid w:val="002A3E1F"/>
    <w:rsid w:val="002A4602"/>
    <w:rsid w:val="002A48C5"/>
    <w:rsid w:val="002A4DE5"/>
    <w:rsid w:val="002A5B1C"/>
    <w:rsid w:val="002A5CD6"/>
    <w:rsid w:val="002A68B6"/>
    <w:rsid w:val="002A724F"/>
    <w:rsid w:val="002B0681"/>
    <w:rsid w:val="002B0984"/>
    <w:rsid w:val="002B0D72"/>
    <w:rsid w:val="002B0E95"/>
    <w:rsid w:val="002B0E97"/>
    <w:rsid w:val="002B1081"/>
    <w:rsid w:val="002B1291"/>
    <w:rsid w:val="002B14CD"/>
    <w:rsid w:val="002B1A4A"/>
    <w:rsid w:val="002B2193"/>
    <w:rsid w:val="002B26A9"/>
    <w:rsid w:val="002B2BB3"/>
    <w:rsid w:val="002B3747"/>
    <w:rsid w:val="002B39D2"/>
    <w:rsid w:val="002B3C5A"/>
    <w:rsid w:val="002B4368"/>
    <w:rsid w:val="002B50A3"/>
    <w:rsid w:val="002B5DEA"/>
    <w:rsid w:val="002B5F1B"/>
    <w:rsid w:val="002B5F3A"/>
    <w:rsid w:val="002B6459"/>
    <w:rsid w:val="002B6EEC"/>
    <w:rsid w:val="002B7029"/>
    <w:rsid w:val="002B71C2"/>
    <w:rsid w:val="002B7AFE"/>
    <w:rsid w:val="002B7E22"/>
    <w:rsid w:val="002B7FA6"/>
    <w:rsid w:val="002C0424"/>
    <w:rsid w:val="002C07FA"/>
    <w:rsid w:val="002C0818"/>
    <w:rsid w:val="002C0F38"/>
    <w:rsid w:val="002C10B8"/>
    <w:rsid w:val="002C1BA3"/>
    <w:rsid w:val="002C20F2"/>
    <w:rsid w:val="002C2CF3"/>
    <w:rsid w:val="002C34A3"/>
    <w:rsid w:val="002C3F50"/>
    <w:rsid w:val="002C450B"/>
    <w:rsid w:val="002C4656"/>
    <w:rsid w:val="002C4AFC"/>
    <w:rsid w:val="002C5313"/>
    <w:rsid w:val="002C5D74"/>
    <w:rsid w:val="002C5F0E"/>
    <w:rsid w:val="002C6925"/>
    <w:rsid w:val="002C6A2B"/>
    <w:rsid w:val="002C6BBB"/>
    <w:rsid w:val="002C6C86"/>
    <w:rsid w:val="002C6C93"/>
    <w:rsid w:val="002C7353"/>
    <w:rsid w:val="002D11DB"/>
    <w:rsid w:val="002D147C"/>
    <w:rsid w:val="002D1584"/>
    <w:rsid w:val="002D16A0"/>
    <w:rsid w:val="002D1EB7"/>
    <w:rsid w:val="002D1EF9"/>
    <w:rsid w:val="002D20F3"/>
    <w:rsid w:val="002D2773"/>
    <w:rsid w:val="002D28FA"/>
    <w:rsid w:val="002D30A4"/>
    <w:rsid w:val="002D3441"/>
    <w:rsid w:val="002D3622"/>
    <w:rsid w:val="002D3D4F"/>
    <w:rsid w:val="002D3E36"/>
    <w:rsid w:val="002D4582"/>
    <w:rsid w:val="002D4D34"/>
    <w:rsid w:val="002D4FC6"/>
    <w:rsid w:val="002D58F9"/>
    <w:rsid w:val="002D62D8"/>
    <w:rsid w:val="002D6418"/>
    <w:rsid w:val="002D665A"/>
    <w:rsid w:val="002D6A92"/>
    <w:rsid w:val="002D71DC"/>
    <w:rsid w:val="002D771A"/>
    <w:rsid w:val="002D7E49"/>
    <w:rsid w:val="002E00E4"/>
    <w:rsid w:val="002E0172"/>
    <w:rsid w:val="002E0579"/>
    <w:rsid w:val="002E09EC"/>
    <w:rsid w:val="002E16E9"/>
    <w:rsid w:val="002E1900"/>
    <w:rsid w:val="002E20F3"/>
    <w:rsid w:val="002E23F7"/>
    <w:rsid w:val="002E2828"/>
    <w:rsid w:val="002E30D0"/>
    <w:rsid w:val="002E34B6"/>
    <w:rsid w:val="002E3728"/>
    <w:rsid w:val="002E408A"/>
    <w:rsid w:val="002E47E8"/>
    <w:rsid w:val="002E49C2"/>
    <w:rsid w:val="002E5222"/>
    <w:rsid w:val="002E551D"/>
    <w:rsid w:val="002E59E8"/>
    <w:rsid w:val="002E5B8E"/>
    <w:rsid w:val="002E642F"/>
    <w:rsid w:val="002E7006"/>
    <w:rsid w:val="002E73CC"/>
    <w:rsid w:val="002E7636"/>
    <w:rsid w:val="002E79FC"/>
    <w:rsid w:val="002E7E78"/>
    <w:rsid w:val="002E7F2E"/>
    <w:rsid w:val="002E7F4E"/>
    <w:rsid w:val="002F024B"/>
    <w:rsid w:val="002F0889"/>
    <w:rsid w:val="002F1270"/>
    <w:rsid w:val="002F178D"/>
    <w:rsid w:val="002F2483"/>
    <w:rsid w:val="002F2664"/>
    <w:rsid w:val="002F2791"/>
    <w:rsid w:val="002F319A"/>
    <w:rsid w:val="002F3349"/>
    <w:rsid w:val="002F4041"/>
    <w:rsid w:val="002F47FF"/>
    <w:rsid w:val="002F4DAD"/>
    <w:rsid w:val="002F6136"/>
    <w:rsid w:val="002F6333"/>
    <w:rsid w:val="002F6F43"/>
    <w:rsid w:val="002F724C"/>
    <w:rsid w:val="002F73F5"/>
    <w:rsid w:val="002F7EF4"/>
    <w:rsid w:val="00300108"/>
    <w:rsid w:val="003004F2"/>
    <w:rsid w:val="00300EDE"/>
    <w:rsid w:val="003011DD"/>
    <w:rsid w:val="00301C01"/>
    <w:rsid w:val="00302304"/>
    <w:rsid w:val="00302742"/>
    <w:rsid w:val="00302771"/>
    <w:rsid w:val="0030383E"/>
    <w:rsid w:val="0030414C"/>
    <w:rsid w:val="0030427A"/>
    <w:rsid w:val="003043A0"/>
    <w:rsid w:val="00304901"/>
    <w:rsid w:val="00304954"/>
    <w:rsid w:val="0030536E"/>
    <w:rsid w:val="00305ABC"/>
    <w:rsid w:val="00305C8B"/>
    <w:rsid w:val="0030622A"/>
    <w:rsid w:val="00306E60"/>
    <w:rsid w:val="00306F2E"/>
    <w:rsid w:val="003108B3"/>
    <w:rsid w:val="00310967"/>
    <w:rsid w:val="00310C34"/>
    <w:rsid w:val="00311517"/>
    <w:rsid w:val="00312027"/>
    <w:rsid w:val="00312371"/>
    <w:rsid w:val="0031241D"/>
    <w:rsid w:val="00312711"/>
    <w:rsid w:val="003133F7"/>
    <w:rsid w:val="003139C3"/>
    <w:rsid w:val="00314A07"/>
    <w:rsid w:val="00314EAA"/>
    <w:rsid w:val="00314ED4"/>
    <w:rsid w:val="0031514D"/>
    <w:rsid w:val="00315CFB"/>
    <w:rsid w:val="00316C02"/>
    <w:rsid w:val="00316E45"/>
    <w:rsid w:val="00316E90"/>
    <w:rsid w:val="0031714B"/>
    <w:rsid w:val="003172A5"/>
    <w:rsid w:val="00317459"/>
    <w:rsid w:val="00317563"/>
    <w:rsid w:val="00317877"/>
    <w:rsid w:val="00317FBF"/>
    <w:rsid w:val="00321398"/>
    <w:rsid w:val="003214B6"/>
    <w:rsid w:val="003214D2"/>
    <w:rsid w:val="00321662"/>
    <w:rsid w:val="0032179F"/>
    <w:rsid w:val="00321D03"/>
    <w:rsid w:val="00321D31"/>
    <w:rsid w:val="003221E0"/>
    <w:rsid w:val="003224B6"/>
    <w:rsid w:val="003229FB"/>
    <w:rsid w:val="00322BA6"/>
    <w:rsid w:val="00322C60"/>
    <w:rsid w:val="00322C8D"/>
    <w:rsid w:val="0032350A"/>
    <w:rsid w:val="00323A7E"/>
    <w:rsid w:val="00324629"/>
    <w:rsid w:val="0032572B"/>
    <w:rsid w:val="003269BB"/>
    <w:rsid w:val="00326EE8"/>
    <w:rsid w:val="003275A3"/>
    <w:rsid w:val="0032795E"/>
    <w:rsid w:val="00327A62"/>
    <w:rsid w:val="00327B42"/>
    <w:rsid w:val="00330562"/>
    <w:rsid w:val="00330647"/>
    <w:rsid w:val="00330770"/>
    <w:rsid w:val="00331302"/>
    <w:rsid w:val="00331323"/>
    <w:rsid w:val="00331459"/>
    <w:rsid w:val="0033224E"/>
    <w:rsid w:val="0033233D"/>
    <w:rsid w:val="00332626"/>
    <w:rsid w:val="00332F14"/>
    <w:rsid w:val="003330A6"/>
    <w:rsid w:val="00333252"/>
    <w:rsid w:val="00333954"/>
    <w:rsid w:val="003341B1"/>
    <w:rsid w:val="0033489E"/>
    <w:rsid w:val="003349B0"/>
    <w:rsid w:val="00334E68"/>
    <w:rsid w:val="003350A9"/>
    <w:rsid w:val="003353BE"/>
    <w:rsid w:val="003357BA"/>
    <w:rsid w:val="00335DDB"/>
    <w:rsid w:val="00336108"/>
    <w:rsid w:val="00336B2A"/>
    <w:rsid w:val="00336B86"/>
    <w:rsid w:val="00336FCD"/>
    <w:rsid w:val="00337592"/>
    <w:rsid w:val="0033777D"/>
    <w:rsid w:val="003379EC"/>
    <w:rsid w:val="00337E7F"/>
    <w:rsid w:val="00340375"/>
    <w:rsid w:val="003409FC"/>
    <w:rsid w:val="00341058"/>
    <w:rsid w:val="003412D3"/>
    <w:rsid w:val="003414F5"/>
    <w:rsid w:val="00341B7C"/>
    <w:rsid w:val="0034223D"/>
    <w:rsid w:val="003422ED"/>
    <w:rsid w:val="003424F4"/>
    <w:rsid w:val="00342626"/>
    <w:rsid w:val="00342700"/>
    <w:rsid w:val="00342761"/>
    <w:rsid w:val="00342FAB"/>
    <w:rsid w:val="00343A99"/>
    <w:rsid w:val="00343AED"/>
    <w:rsid w:val="003448A3"/>
    <w:rsid w:val="00345A9D"/>
    <w:rsid w:val="0034656F"/>
    <w:rsid w:val="00346A00"/>
    <w:rsid w:val="00346B94"/>
    <w:rsid w:val="00347066"/>
    <w:rsid w:val="0035036E"/>
    <w:rsid w:val="00350545"/>
    <w:rsid w:val="00350A17"/>
    <w:rsid w:val="00350B94"/>
    <w:rsid w:val="00352159"/>
    <w:rsid w:val="003522DB"/>
    <w:rsid w:val="003524DA"/>
    <w:rsid w:val="003526FC"/>
    <w:rsid w:val="00352A2C"/>
    <w:rsid w:val="00352DA6"/>
    <w:rsid w:val="00353041"/>
    <w:rsid w:val="003534C2"/>
    <w:rsid w:val="00353929"/>
    <w:rsid w:val="00353979"/>
    <w:rsid w:val="00354214"/>
    <w:rsid w:val="00354334"/>
    <w:rsid w:val="003544D9"/>
    <w:rsid w:val="00355B18"/>
    <w:rsid w:val="00355F3C"/>
    <w:rsid w:val="00355F98"/>
    <w:rsid w:val="0035618A"/>
    <w:rsid w:val="003565C9"/>
    <w:rsid w:val="0035686C"/>
    <w:rsid w:val="00356E24"/>
    <w:rsid w:val="00357ACF"/>
    <w:rsid w:val="003610AC"/>
    <w:rsid w:val="0036160D"/>
    <w:rsid w:val="00362391"/>
    <w:rsid w:val="003624F2"/>
    <w:rsid w:val="003625D2"/>
    <w:rsid w:val="003626C7"/>
    <w:rsid w:val="0036304E"/>
    <w:rsid w:val="0036313F"/>
    <w:rsid w:val="00363793"/>
    <w:rsid w:val="00363A7C"/>
    <w:rsid w:val="00363B95"/>
    <w:rsid w:val="00363DAD"/>
    <w:rsid w:val="00364724"/>
    <w:rsid w:val="0036478A"/>
    <w:rsid w:val="00364D02"/>
    <w:rsid w:val="00364EF7"/>
    <w:rsid w:val="00365390"/>
    <w:rsid w:val="00365483"/>
    <w:rsid w:val="003658F8"/>
    <w:rsid w:val="00366F4C"/>
    <w:rsid w:val="0036743D"/>
    <w:rsid w:val="0036777F"/>
    <w:rsid w:val="003703D6"/>
    <w:rsid w:val="003703F1"/>
    <w:rsid w:val="00370C8C"/>
    <w:rsid w:val="00370F7E"/>
    <w:rsid w:val="0037153E"/>
    <w:rsid w:val="0037171B"/>
    <w:rsid w:val="00372507"/>
    <w:rsid w:val="00372C8E"/>
    <w:rsid w:val="00372FA0"/>
    <w:rsid w:val="00373B4D"/>
    <w:rsid w:val="00374684"/>
    <w:rsid w:val="00374DD3"/>
    <w:rsid w:val="00375C8D"/>
    <w:rsid w:val="003760D9"/>
    <w:rsid w:val="00376273"/>
    <w:rsid w:val="003762CB"/>
    <w:rsid w:val="00376EB7"/>
    <w:rsid w:val="00377042"/>
    <w:rsid w:val="00377060"/>
    <w:rsid w:val="00377977"/>
    <w:rsid w:val="00377D2D"/>
    <w:rsid w:val="003803D4"/>
    <w:rsid w:val="00380803"/>
    <w:rsid w:val="00380967"/>
    <w:rsid w:val="00380EDA"/>
    <w:rsid w:val="00381928"/>
    <w:rsid w:val="00381BB3"/>
    <w:rsid w:val="00381CCF"/>
    <w:rsid w:val="00382377"/>
    <w:rsid w:val="00382B38"/>
    <w:rsid w:val="00382FC4"/>
    <w:rsid w:val="00383BCE"/>
    <w:rsid w:val="003842AA"/>
    <w:rsid w:val="0038453C"/>
    <w:rsid w:val="00385289"/>
    <w:rsid w:val="003853D3"/>
    <w:rsid w:val="00385538"/>
    <w:rsid w:val="003864F5"/>
    <w:rsid w:val="0038675C"/>
    <w:rsid w:val="003868C4"/>
    <w:rsid w:val="003868E0"/>
    <w:rsid w:val="00387A93"/>
    <w:rsid w:val="00387F42"/>
    <w:rsid w:val="00387FA4"/>
    <w:rsid w:val="00390440"/>
    <w:rsid w:val="0039069F"/>
    <w:rsid w:val="0039075E"/>
    <w:rsid w:val="00390A3D"/>
    <w:rsid w:val="00391072"/>
    <w:rsid w:val="0039107A"/>
    <w:rsid w:val="003919B1"/>
    <w:rsid w:val="00391D24"/>
    <w:rsid w:val="00392CA4"/>
    <w:rsid w:val="00393002"/>
    <w:rsid w:val="0039304F"/>
    <w:rsid w:val="00393521"/>
    <w:rsid w:val="00393529"/>
    <w:rsid w:val="00393BD1"/>
    <w:rsid w:val="0039432B"/>
    <w:rsid w:val="0039445E"/>
    <w:rsid w:val="00394638"/>
    <w:rsid w:val="00394C1B"/>
    <w:rsid w:val="00394D66"/>
    <w:rsid w:val="00394F24"/>
    <w:rsid w:val="00395A62"/>
    <w:rsid w:val="00395EF9"/>
    <w:rsid w:val="003960C0"/>
    <w:rsid w:val="00396D07"/>
    <w:rsid w:val="00396DB3"/>
    <w:rsid w:val="003971FF"/>
    <w:rsid w:val="00397327"/>
    <w:rsid w:val="003A018D"/>
    <w:rsid w:val="003A0965"/>
    <w:rsid w:val="003A0B6B"/>
    <w:rsid w:val="003A0EF8"/>
    <w:rsid w:val="003A1402"/>
    <w:rsid w:val="003A2A86"/>
    <w:rsid w:val="003A2D60"/>
    <w:rsid w:val="003A3709"/>
    <w:rsid w:val="003A37BF"/>
    <w:rsid w:val="003A3B7A"/>
    <w:rsid w:val="003A3C1D"/>
    <w:rsid w:val="003A435B"/>
    <w:rsid w:val="003A4645"/>
    <w:rsid w:val="003A46C0"/>
    <w:rsid w:val="003A4A22"/>
    <w:rsid w:val="003A5008"/>
    <w:rsid w:val="003A5D49"/>
    <w:rsid w:val="003A5F84"/>
    <w:rsid w:val="003A6AB0"/>
    <w:rsid w:val="003A71EA"/>
    <w:rsid w:val="003B0044"/>
    <w:rsid w:val="003B015F"/>
    <w:rsid w:val="003B0286"/>
    <w:rsid w:val="003B0691"/>
    <w:rsid w:val="003B133E"/>
    <w:rsid w:val="003B233B"/>
    <w:rsid w:val="003B3C12"/>
    <w:rsid w:val="003B4015"/>
    <w:rsid w:val="003B404F"/>
    <w:rsid w:val="003B4196"/>
    <w:rsid w:val="003B44C5"/>
    <w:rsid w:val="003B4956"/>
    <w:rsid w:val="003B4E8D"/>
    <w:rsid w:val="003B4EED"/>
    <w:rsid w:val="003B532B"/>
    <w:rsid w:val="003B5C48"/>
    <w:rsid w:val="003B623F"/>
    <w:rsid w:val="003B6B25"/>
    <w:rsid w:val="003B6B4C"/>
    <w:rsid w:val="003B6D90"/>
    <w:rsid w:val="003B72F7"/>
    <w:rsid w:val="003B7358"/>
    <w:rsid w:val="003B778B"/>
    <w:rsid w:val="003B7A29"/>
    <w:rsid w:val="003C0696"/>
    <w:rsid w:val="003C07A3"/>
    <w:rsid w:val="003C0C0F"/>
    <w:rsid w:val="003C1530"/>
    <w:rsid w:val="003C17D7"/>
    <w:rsid w:val="003C1AF6"/>
    <w:rsid w:val="003C21B6"/>
    <w:rsid w:val="003C2373"/>
    <w:rsid w:val="003C32F7"/>
    <w:rsid w:val="003C36A2"/>
    <w:rsid w:val="003C4856"/>
    <w:rsid w:val="003C4B69"/>
    <w:rsid w:val="003C4D47"/>
    <w:rsid w:val="003C4FF8"/>
    <w:rsid w:val="003C5B19"/>
    <w:rsid w:val="003C5BDE"/>
    <w:rsid w:val="003C66E1"/>
    <w:rsid w:val="003C6761"/>
    <w:rsid w:val="003C68B9"/>
    <w:rsid w:val="003C68DA"/>
    <w:rsid w:val="003C7135"/>
    <w:rsid w:val="003C72F8"/>
    <w:rsid w:val="003C77E4"/>
    <w:rsid w:val="003C7BB7"/>
    <w:rsid w:val="003D0DD7"/>
    <w:rsid w:val="003D1213"/>
    <w:rsid w:val="003D121F"/>
    <w:rsid w:val="003D1A8F"/>
    <w:rsid w:val="003D1E58"/>
    <w:rsid w:val="003D1F70"/>
    <w:rsid w:val="003D1F86"/>
    <w:rsid w:val="003D27AA"/>
    <w:rsid w:val="003D2DA5"/>
    <w:rsid w:val="003D3337"/>
    <w:rsid w:val="003D333D"/>
    <w:rsid w:val="003D355E"/>
    <w:rsid w:val="003D3873"/>
    <w:rsid w:val="003D45C5"/>
    <w:rsid w:val="003D4D01"/>
    <w:rsid w:val="003D5B64"/>
    <w:rsid w:val="003D6A9D"/>
    <w:rsid w:val="003D725A"/>
    <w:rsid w:val="003D75B1"/>
    <w:rsid w:val="003D7AF4"/>
    <w:rsid w:val="003E00DE"/>
    <w:rsid w:val="003E0190"/>
    <w:rsid w:val="003E02E3"/>
    <w:rsid w:val="003E0D80"/>
    <w:rsid w:val="003E17D7"/>
    <w:rsid w:val="003E1DA1"/>
    <w:rsid w:val="003E26A2"/>
    <w:rsid w:val="003E2C3B"/>
    <w:rsid w:val="003E3789"/>
    <w:rsid w:val="003E3C36"/>
    <w:rsid w:val="003E3DDE"/>
    <w:rsid w:val="003E417A"/>
    <w:rsid w:val="003E5413"/>
    <w:rsid w:val="003E5471"/>
    <w:rsid w:val="003E5BC8"/>
    <w:rsid w:val="003E5D02"/>
    <w:rsid w:val="003E730D"/>
    <w:rsid w:val="003E7359"/>
    <w:rsid w:val="003E75AB"/>
    <w:rsid w:val="003E77C8"/>
    <w:rsid w:val="003F0775"/>
    <w:rsid w:val="003F0B73"/>
    <w:rsid w:val="003F0D75"/>
    <w:rsid w:val="003F0E34"/>
    <w:rsid w:val="003F1124"/>
    <w:rsid w:val="003F1235"/>
    <w:rsid w:val="003F23E4"/>
    <w:rsid w:val="003F3302"/>
    <w:rsid w:val="003F3509"/>
    <w:rsid w:val="003F3897"/>
    <w:rsid w:val="003F38E6"/>
    <w:rsid w:val="003F3A0E"/>
    <w:rsid w:val="003F3AD9"/>
    <w:rsid w:val="003F3D69"/>
    <w:rsid w:val="003F4437"/>
    <w:rsid w:val="003F4C96"/>
    <w:rsid w:val="003F4E61"/>
    <w:rsid w:val="003F4F89"/>
    <w:rsid w:val="003F52F2"/>
    <w:rsid w:val="003F579A"/>
    <w:rsid w:val="003F5D4A"/>
    <w:rsid w:val="003F5E4D"/>
    <w:rsid w:val="003F629B"/>
    <w:rsid w:val="003F6648"/>
    <w:rsid w:val="003F73A8"/>
    <w:rsid w:val="003F756A"/>
    <w:rsid w:val="003F788D"/>
    <w:rsid w:val="003F7AE9"/>
    <w:rsid w:val="004001B0"/>
    <w:rsid w:val="00400283"/>
    <w:rsid w:val="00400986"/>
    <w:rsid w:val="004009F2"/>
    <w:rsid w:val="00401153"/>
    <w:rsid w:val="004012A7"/>
    <w:rsid w:val="004014EF"/>
    <w:rsid w:val="00401875"/>
    <w:rsid w:val="00401DE6"/>
    <w:rsid w:val="00401FB1"/>
    <w:rsid w:val="00401FD2"/>
    <w:rsid w:val="00402054"/>
    <w:rsid w:val="0040216C"/>
    <w:rsid w:val="00402394"/>
    <w:rsid w:val="0040289D"/>
    <w:rsid w:val="00402A0F"/>
    <w:rsid w:val="00402D19"/>
    <w:rsid w:val="00402E12"/>
    <w:rsid w:val="00403439"/>
    <w:rsid w:val="004034E3"/>
    <w:rsid w:val="004038ED"/>
    <w:rsid w:val="00403E15"/>
    <w:rsid w:val="00404A86"/>
    <w:rsid w:val="00404EB4"/>
    <w:rsid w:val="00405523"/>
    <w:rsid w:val="004056C5"/>
    <w:rsid w:val="0040688D"/>
    <w:rsid w:val="004068EC"/>
    <w:rsid w:val="00407045"/>
    <w:rsid w:val="00407740"/>
    <w:rsid w:val="00407A6E"/>
    <w:rsid w:val="00407B41"/>
    <w:rsid w:val="00407FE3"/>
    <w:rsid w:val="00410918"/>
    <w:rsid w:val="00410B08"/>
    <w:rsid w:val="00410B99"/>
    <w:rsid w:val="004115F9"/>
    <w:rsid w:val="004117C9"/>
    <w:rsid w:val="00411A90"/>
    <w:rsid w:val="00412372"/>
    <w:rsid w:val="00412610"/>
    <w:rsid w:val="0041275C"/>
    <w:rsid w:val="00412A81"/>
    <w:rsid w:val="00412E5A"/>
    <w:rsid w:val="0041373D"/>
    <w:rsid w:val="00413ADB"/>
    <w:rsid w:val="00413CA1"/>
    <w:rsid w:val="004151A6"/>
    <w:rsid w:val="004155DC"/>
    <w:rsid w:val="00416206"/>
    <w:rsid w:val="00416A97"/>
    <w:rsid w:val="00416C73"/>
    <w:rsid w:val="004173CB"/>
    <w:rsid w:val="0041756F"/>
    <w:rsid w:val="00417585"/>
    <w:rsid w:val="00417AB3"/>
    <w:rsid w:val="00417F43"/>
    <w:rsid w:val="0042040F"/>
    <w:rsid w:val="004205AA"/>
    <w:rsid w:val="0042073D"/>
    <w:rsid w:val="004208CB"/>
    <w:rsid w:val="004219F2"/>
    <w:rsid w:val="00421DE1"/>
    <w:rsid w:val="00422637"/>
    <w:rsid w:val="00422CCA"/>
    <w:rsid w:val="00423AA0"/>
    <w:rsid w:val="004245AB"/>
    <w:rsid w:val="0042614C"/>
    <w:rsid w:val="00426183"/>
    <w:rsid w:val="00426346"/>
    <w:rsid w:val="004272CA"/>
    <w:rsid w:val="004276A4"/>
    <w:rsid w:val="004277E6"/>
    <w:rsid w:val="00427AE0"/>
    <w:rsid w:val="00427C25"/>
    <w:rsid w:val="0043017C"/>
    <w:rsid w:val="00430195"/>
    <w:rsid w:val="0043063B"/>
    <w:rsid w:val="00430A01"/>
    <w:rsid w:val="00430B6E"/>
    <w:rsid w:val="00430D9F"/>
    <w:rsid w:val="0043114A"/>
    <w:rsid w:val="00431D85"/>
    <w:rsid w:val="0043300C"/>
    <w:rsid w:val="00433AB9"/>
    <w:rsid w:val="00434029"/>
    <w:rsid w:val="004342E2"/>
    <w:rsid w:val="004342FB"/>
    <w:rsid w:val="00434DCE"/>
    <w:rsid w:val="00435ABB"/>
    <w:rsid w:val="00435EEB"/>
    <w:rsid w:val="00436009"/>
    <w:rsid w:val="0043605D"/>
    <w:rsid w:val="00436853"/>
    <w:rsid w:val="0043743C"/>
    <w:rsid w:val="004377EA"/>
    <w:rsid w:val="00437A7A"/>
    <w:rsid w:val="00437F10"/>
    <w:rsid w:val="00440027"/>
    <w:rsid w:val="0044012D"/>
    <w:rsid w:val="0044031D"/>
    <w:rsid w:val="00440383"/>
    <w:rsid w:val="0044063C"/>
    <w:rsid w:val="00440865"/>
    <w:rsid w:val="004409C7"/>
    <w:rsid w:val="00441A93"/>
    <w:rsid w:val="00441BEE"/>
    <w:rsid w:val="00441E57"/>
    <w:rsid w:val="004428BB"/>
    <w:rsid w:val="004429F8"/>
    <w:rsid w:val="00443356"/>
    <w:rsid w:val="00443AAE"/>
    <w:rsid w:val="00443EE2"/>
    <w:rsid w:val="00443EE6"/>
    <w:rsid w:val="00443FC0"/>
    <w:rsid w:val="0044477E"/>
    <w:rsid w:val="00444ACF"/>
    <w:rsid w:val="00445390"/>
    <w:rsid w:val="004455D6"/>
    <w:rsid w:val="00446392"/>
    <w:rsid w:val="004467C6"/>
    <w:rsid w:val="00446891"/>
    <w:rsid w:val="00446AF0"/>
    <w:rsid w:val="0044712D"/>
    <w:rsid w:val="00447238"/>
    <w:rsid w:val="00447625"/>
    <w:rsid w:val="00447706"/>
    <w:rsid w:val="004479C5"/>
    <w:rsid w:val="00450046"/>
    <w:rsid w:val="00450E8A"/>
    <w:rsid w:val="004514BD"/>
    <w:rsid w:val="00451EAF"/>
    <w:rsid w:val="00453250"/>
    <w:rsid w:val="00453B56"/>
    <w:rsid w:val="00453D20"/>
    <w:rsid w:val="00454388"/>
    <w:rsid w:val="00454A3E"/>
    <w:rsid w:val="00455459"/>
    <w:rsid w:val="00455835"/>
    <w:rsid w:val="00455A24"/>
    <w:rsid w:val="00455F32"/>
    <w:rsid w:val="00456086"/>
    <w:rsid w:val="004562F8"/>
    <w:rsid w:val="004568B6"/>
    <w:rsid w:val="00456E82"/>
    <w:rsid w:val="004579E6"/>
    <w:rsid w:val="00457BC4"/>
    <w:rsid w:val="00457F4B"/>
    <w:rsid w:val="00460704"/>
    <w:rsid w:val="00460C96"/>
    <w:rsid w:val="00460F6B"/>
    <w:rsid w:val="0046162D"/>
    <w:rsid w:val="00462017"/>
    <w:rsid w:val="00462039"/>
    <w:rsid w:val="004626C9"/>
    <w:rsid w:val="004629F0"/>
    <w:rsid w:val="00462D61"/>
    <w:rsid w:val="00463024"/>
    <w:rsid w:val="00465AF0"/>
    <w:rsid w:val="00466A7D"/>
    <w:rsid w:val="00466C09"/>
    <w:rsid w:val="00467A2B"/>
    <w:rsid w:val="00467F24"/>
    <w:rsid w:val="00470332"/>
    <w:rsid w:val="004705EB"/>
    <w:rsid w:val="0047066D"/>
    <w:rsid w:val="004709CE"/>
    <w:rsid w:val="004710D5"/>
    <w:rsid w:val="00471B41"/>
    <w:rsid w:val="00472304"/>
    <w:rsid w:val="00472410"/>
    <w:rsid w:val="00472855"/>
    <w:rsid w:val="00472AC8"/>
    <w:rsid w:val="00473486"/>
    <w:rsid w:val="004738A2"/>
    <w:rsid w:val="0047413D"/>
    <w:rsid w:val="00474ADD"/>
    <w:rsid w:val="00475DFC"/>
    <w:rsid w:val="00475F81"/>
    <w:rsid w:val="0047617F"/>
    <w:rsid w:val="0047645A"/>
    <w:rsid w:val="00476689"/>
    <w:rsid w:val="0047724F"/>
    <w:rsid w:val="0047725E"/>
    <w:rsid w:val="004800E7"/>
    <w:rsid w:val="00480326"/>
    <w:rsid w:val="004805C5"/>
    <w:rsid w:val="00480C5F"/>
    <w:rsid w:val="0048217B"/>
    <w:rsid w:val="004821DE"/>
    <w:rsid w:val="004827E6"/>
    <w:rsid w:val="00483658"/>
    <w:rsid w:val="00483BD3"/>
    <w:rsid w:val="00483E34"/>
    <w:rsid w:val="00484A23"/>
    <w:rsid w:val="00484B45"/>
    <w:rsid w:val="004850E1"/>
    <w:rsid w:val="0048518F"/>
    <w:rsid w:val="00485951"/>
    <w:rsid w:val="0048665F"/>
    <w:rsid w:val="00486DEA"/>
    <w:rsid w:val="00487898"/>
    <w:rsid w:val="0048796B"/>
    <w:rsid w:val="00490887"/>
    <w:rsid w:val="00490E58"/>
    <w:rsid w:val="004914E1"/>
    <w:rsid w:val="00491586"/>
    <w:rsid w:val="004926A0"/>
    <w:rsid w:val="00492B02"/>
    <w:rsid w:val="00492EEA"/>
    <w:rsid w:val="004930BF"/>
    <w:rsid w:val="00493392"/>
    <w:rsid w:val="004948EC"/>
    <w:rsid w:val="00495440"/>
    <w:rsid w:val="00495453"/>
    <w:rsid w:val="00496498"/>
    <w:rsid w:val="00496504"/>
    <w:rsid w:val="00496592"/>
    <w:rsid w:val="0049684B"/>
    <w:rsid w:val="00497B55"/>
    <w:rsid w:val="004A048E"/>
    <w:rsid w:val="004A0C89"/>
    <w:rsid w:val="004A13E8"/>
    <w:rsid w:val="004A1559"/>
    <w:rsid w:val="004A201F"/>
    <w:rsid w:val="004A237A"/>
    <w:rsid w:val="004A36C8"/>
    <w:rsid w:val="004A36D9"/>
    <w:rsid w:val="004A37F5"/>
    <w:rsid w:val="004A3886"/>
    <w:rsid w:val="004A453B"/>
    <w:rsid w:val="004A46C3"/>
    <w:rsid w:val="004A4786"/>
    <w:rsid w:val="004A5219"/>
    <w:rsid w:val="004A5955"/>
    <w:rsid w:val="004A5E44"/>
    <w:rsid w:val="004A5F69"/>
    <w:rsid w:val="004A656B"/>
    <w:rsid w:val="004A6A25"/>
    <w:rsid w:val="004A6AB8"/>
    <w:rsid w:val="004A78BB"/>
    <w:rsid w:val="004B1527"/>
    <w:rsid w:val="004B1B4A"/>
    <w:rsid w:val="004B220F"/>
    <w:rsid w:val="004B29D2"/>
    <w:rsid w:val="004B2B8D"/>
    <w:rsid w:val="004B398C"/>
    <w:rsid w:val="004B3BDF"/>
    <w:rsid w:val="004B4B89"/>
    <w:rsid w:val="004B6288"/>
    <w:rsid w:val="004B695E"/>
    <w:rsid w:val="004B71A6"/>
    <w:rsid w:val="004B7364"/>
    <w:rsid w:val="004B7D0E"/>
    <w:rsid w:val="004B7F1D"/>
    <w:rsid w:val="004C0A2A"/>
    <w:rsid w:val="004C1DAB"/>
    <w:rsid w:val="004C2352"/>
    <w:rsid w:val="004C26C4"/>
    <w:rsid w:val="004C2EA3"/>
    <w:rsid w:val="004C3091"/>
    <w:rsid w:val="004C3337"/>
    <w:rsid w:val="004C33FF"/>
    <w:rsid w:val="004C3A55"/>
    <w:rsid w:val="004C3C5B"/>
    <w:rsid w:val="004C4172"/>
    <w:rsid w:val="004C4559"/>
    <w:rsid w:val="004C4566"/>
    <w:rsid w:val="004C4830"/>
    <w:rsid w:val="004C484F"/>
    <w:rsid w:val="004C4B96"/>
    <w:rsid w:val="004C5042"/>
    <w:rsid w:val="004C5102"/>
    <w:rsid w:val="004C535D"/>
    <w:rsid w:val="004C5378"/>
    <w:rsid w:val="004C54E8"/>
    <w:rsid w:val="004C57D0"/>
    <w:rsid w:val="004C5A0E"/>
    <w:rsid w:val="004C5DDA"/>
    <w:rsid w:val="004C60A8"/>
    <w:rsid w:val="004C69CD"/>
    <w:rsid w:val="004C78D7"/>
    <w:rsid w:val="004C7D08"/>
    <w:rsid w:val="004D000E"/>
    <w:rsid w:val="004D0A16"/>
    <w:rsid w:val="004D0D66"/>
    <w:rsid w:val="004D1463"/>
    <w:rsid w:val="004D1D78"/>
    <w:rsid w:val="004D276E"/>
    <w:rsid w:val="004D34D1"/>
    <w:rsid w:val="004D3C30"/>
    <w:rsid w:val="004D3EAF"/>
    <w:rsid w:val="004D413A"/>
    <w:rsid w:val="004D42F0"/>
    <w:rsid w:val="004D43AA"/>
    <w:rsid w:val="004D480E"/>
    <w:rsid w:val="004D4A4E"/>
    <w:rsid w:val="004D4B26"/>
    <w:rsid w:val="004D648B"/>
    <w:rsid w:val="004D6997"/>
    <w:rsid w:val="004D6AAB"/>
    <w:rsid w:val="004D6FF9"/>
    <w:rsid w:val="004D714C"/>
    <w:rsid w:val="004D7290"/>
    <w:rsid w:val="004D7CF0"/>
    <w:rsid w:val="004E1B89"/>
    <w:rsid w:val="004E1D41"/>
    <w:rsid w:val="004E1D4E"/>
    <w:rsid w:val="004E1DAF"/>
    <w:rsid w:val="004E1F92"/>
    <w:rsid w:val="004E2420"/>
    <w:rsid w:val="004E31FC"/>
    <w:rsid w:val="004E322D"/>
    <w:rsid w:val="004E32DE"/>
    <w:rsid w:val="004E3581"/>
    <w:rsid w:val="004E389D"/>
    <w:rsid w:val="004E3BE2"/>
    <w:rsid w:val="004E3DD2"/>
    <w:rsid w:val="004E4301"/>
    <w:rsid w:val="004E4E8D"/>
    <w:rsid w:val="004E4EDE"/>
    <w:rsid w:val="004E5168"/>
    <w:rsid w:val="004E5B78"/>
    <w:rsid w:val="004E7126"/>
    <w:rsid w:val="004F0024"/>
    <w:rsid w:val="004F0078"/>
    <w:rsid w:val="004F00A7"/>
    <w:rsid w:val="004F01C7"/>
    <w:rsid w:val="004F1073"/>
    <w:rsid w:val="004F1609"/>
    <w:rsid w:val="004F1741"/>
    <w:rsid w:val="004F1854"/>
    <w:rsid w:val="004F2494"/>
    <w:rsid w:val="004F275A"/>
    <w:rsid w:val="004F2B9E"/>
    <w:rsid w:val="004F3010"/>
    <w:rsid w:val="004F315F"/>
    <w:rsid w:val="004F322A"/>
    <w:rsid w:val="004F3B65"/>
    <w:rsid w:val="004F3C37"/>
    <w:rsid w:val="004F4194"/>
    <w:rsid w:val="004F41A6"/>
    <w:rsid w:val="004F4232"/>
    <w:rsid w:val="004F4917"/>
    <w:rsid w:val="004F592A"/>
    <w:rsid w:val="004F66E7"/>
    <w:rsid w:val="004F67D3"/>
    <w:rsid w:val="004F69CA"/>
    <w:rsid w:val="004F6D3A"/>
    <w:rsid w:val="004F7447"/>
    <w:rsid w:val="004F78E2"/>
    <w:rsid w:val="004F7AB8"/>
    <w:rsid w:val="005004A9"/>
    <w:rsid w:val="0050071B"/>
    <w:rsid w:val="00500ADF"/>
    <w:rsid w:val="00500EF9"/>
    <w:rsid w:val="0050105D"/>
    <w:rsid w:val="00501706"/>
    <w:rsid w:val="005018B0"/>
    <w:rsid w:val="00501D10"/>
    <w:rsid w:val="00501DE8"/>
    <w:rsid w:val="00501F70"/>
    <w:rsid w:val="005024E3"/>
    <w:rsid w:val="005026F1"/>
    <w:rsid w:val="00502936"/>
    <w:rsid w:val="00504427"/>
    <w:rsid w:val="00504520"/>
    <w:rsid w:val="005047FA"/>
    <w:rsid w:val="0050569C"/>
    <w:rsid w:val="005056F9"/>
    <w:rsid w:val="00506242"/>
    <w:rsid w:val="0050683A"/>
    <w:rsid w:val="0051000D"/>
    <w:rsid w:val="00510249"/>
    <w:rsid w:val="00510904"/>
    <w:rsid w:val="00510B85"/>
    <w:rsid w:val="0051178A"/>
    <w:rsid w:val="00511ABC"/>
    <w:rsid w:val="00511BDF"/>
    <w:rsid w:val="005123EB"/>
    <w:rsid w:val="0051247F"/>
    <w:rsid w:val="0051269D"/>
    <w:rsid w:val="005126D2"/>
    <w:rsid w:val="00512E2A"/>
    <w:rsid w:val="005140D7"/>
    <w:rsid w:val="00514515"/>
    <w:rsid w:val="00514DAB"/>
    <w:rsid w:val="00515CE4"/>
    <w:rsid w:val="00516059"/>
    <w:rsid w:val="00516358"/>
    <w:rsid w:val="005171A5"/>
    <w:rsid w:val="00517A75"/>
    <w:rsid w:val="00517C39"/>
    <w:rsid w:val="00517EC6"/>
    <w:rsid w:val="005204E6"/>
    <w:rsid w:val="00520648"/>
    <w:rsid w:val="00520A93"/>
    <w:rsid w:val="00520EC2"/>
    <w:rsid w:val="00520F37"/>
    <w:rsid w:val="0052192F"/>
    <w:rsid w:val="0052210F"/>
    <w:rsid w:val="005221E8"/>
    <w:rsid w:val="00522AB1"/>
    <w:rsid w:val="00523E59"/>
    <w:rsid w:val="00524283"/>
    <w:rsid w:val="005243D9"/>
    <w:rsid w:val="00524D7D"/>
    <w:rsid w:val="00524F5A"/>
    <w:rsid w:val="00524FCB"/>
    <w:rsid w:val="005252BD"/>
    <w:rsid w:val="005255E3"/>
    <w:rsid w:val="00525903"/>
    <w:rsid w:val="00526C30"/>
    <w:rsid w:val="00527123"/>
    <w:rsid w:val="00527789"/>
    <w:rsid w:val="00527C2F"/>
    <w:rsid w:val="00530257"/>
    <w:rsid w:val="0053066F"/>
    <w:rsid w:val="005309F6"/>
    <w:rsid w:val="00530DA6"/>
    <w:rsid w:val="00530EA0"/>
    <w:rsid w:val="00530F7A"/>
    <w:rsid w:val="00531090"/>
    <w:rsid w:val="00531655"/>
    <w:rsid w:val="00532449"/>
    <w:rsid w:val="005328B5"/>
    <w:rsid w:val="0053297D"/>
    <w:rsid w:val="005329A2"/>
    <w:rsid w:val="00532D77"/>
    <w:rsid w:val="00532FB4"/>
    <w:rsid w:val="0053311E"/>
    <w:rsid w:val="00533230"/>
    <w:rsid w:val="00533ED4"/>
    <w:rsid w:val="0053447F"/>
    <w:rsid w:val="00534BAF"/>
    <w:rsid w:val="005366C8"/>
    <w:rsid w:val="00536FAD"/>
    <w:rsid w:val="005377D7"/>
    <w:rsid w:val="00537C2E"/>
    <w:rsid w:val="00537D4A"/>
    <w:rsid w:val="00537F42"/>
    <w:rsid w:val="0054019A"/>
    <w:rsid w:val="0054086F"/>
    <w:rsid w:val="00540C42"/>
    <w:rsid w:val="00541148"/>
    <w:rsid w:val="00541D60"/>
    <w:rsid w:val="005422C4"/>
    <w:rsid w:val="0054246E"/>
    <w:rsid w:val="0054285A"/>
    <w:rsid w:val="0054292E"/>
    <w:rsid w:val="00542949"/>
    <w:rsid w:val="00542F7B"/>
    <w:rsid w:val="005437F1"/>
    <w:rsid w:val="005445B2"/>
    <w:rsid w:val="0054471F"/>
    <w:rsid w:val="00544E4D"/>
    <w:rsid w:val="005451A2"/>
    <w:rsid w:val="00545229"/>
    <w:rsid w:val="00546771"/>
    <w:rsid w:val="005467F1"/>
    <w:rsid w:val="0054763E"/>
    <w:rsid w:val="005477E2"/>
    <w:rsid w:val="00550771"/>
    <w:rsid w:val="00551A75"/>
    <w:rsid w:val="005524BB"/>
    <w:rsid w:val="005533D5"/>
    <w:rsid w:val="00553E2E"/>
    <w:rsid w:val="00553E3B"/>
    <w:rsid w:val="0055433D"/>
    <w:rsid w:val="00554978"/>
    <w:rsid w:val="005549A1"/>
    <w:rsid w:val="0055522B"/>
    <w:rsid w:val="0055525A"/>
    <w:rsid w:val="005572ED"/>
    <w:rsid w:val="005577BB"/>
    <w:rsid w:val="00557CA4"/>
    <w:rsid w:val="00557E04"/>
    <w:rsid w:val="0056069D"/>
    <w:rsid w:val="0056071C"/>
    <w:rsid w:val="00560E86"/>
    <w:rsid w:val="0056135E"/>
    <w:rsid w:val="00561CC3"/>
    <w:rsid w:val="005620E3"/>
    <w:rsid w:val="005625EE"/>
    <w:rsid w:val="005628DD"/>
    <w:rsid w:val="00562B54"/>
    <w:rsid w:val="00562F5F"/>
    <w:rsid w:val="00562FAD"/>
    <w:rsid w:val="00562FEC"/>
    <w:rsid w:val="0056427A"/>
    <w:rsid w:val="00564799"/>
    <w:rsid w:val="00564B86"/>
    <w:rsid w:val="00565894"/>
    <w:rsid w:val="00565E56"/>
    <w:rsid w:val="00566D51"/>
    <w:rsid w:val="00567249"/>
    <w:rsid w:val="00567F1D"/>
    <w:rsid w:val="00570C53"/>
    <w:rsid w:val="005718C8"/>
    <w:rsid w:val="00571FC2"/>
    <w:rsid w:val="005720E5"/>
    <w:rsid w:val="00574A04"/>
    <w:rsid w:val="00574C0B"/>
    <w:rsid w:val="00574F0F"/>
    <w:rsid w:val="00575880"/>
    <w:rsid w:val="005763CB"/>
    <w:rsid w:val="0057681B"/>
    <w:rsid w:val="0057688C"/>
    <w:rsid w:val="00577131"/>
    <w:rsid w:val="005778D3"/>
    <w:rsid w:val="0058026E"/>
    <w:rsid w:val="005805EB"/>
    <w:rsid w:val="005809C1"/>
    <w:rsid w:val="00580F32"/>
    <w:rsid w:val="00580F7E"/>
    <w:rsid w:val="00581152"/>
    <w:rsid w:val="005813C8"/>
    <w:rsid w:val="00581750"/>
    <w:rsid w:val="00581934"/>
    <w:rsid w:val="00582B64"/>
    <w:rsid w:val="00582B72"/>
    <w:rsid w:val="00584253"/>
    <w:rsid w:val="005842EA"/>
    <w:rsid w:val="005844F1"/>
    <w:rsid w:val="00584803"/>
    <w:rsid w:val="00585580"/>
    <w:rsid w:val="00585880"/>
    <w:rsid w:val="005858F9"/>
    <w:rsid w:val="00585A4E"/>
    <w:rsid w:val="00585B6B"/>
    <w:rsid w:val="00585CB4"/>
    <w:rsid w:val="00585D1E"/>
    <w:rsid w:val="00585E21"/>
    <w:rsid w:val="00585EBB"/>
    <w:rsid w:val="00585F92"/>
    <w:rsid w:val="005861AB"/>
    <w:rsid w:val="00586888"/>
    <w:rsid w:val="005874C1"/>
    <w:rsid w:val="005877DD"/>
    <w:rsid w:val="0058798E"/>
    <w:rsid w:val="00590C3B"/>
    <w:rsid w:val="00590F96"/>
    <w:rsid w:val="00591019"/>
    <w:rsid w:val="005914B5"/>
    <w:rsid w:val="005923EA"/>
    <w:rsid w:val="00593453"/>
    <w:rsid w:val="00593B2B"/>
    <w:rsid w:val="00594526"/>
    <w:rsid w:val="00594528"/>
    <w:rsid w:val="00594588"/>
    <w:rsid w:val="00594EE4"/>
    <w:rsid w:val="00595516"/>
    <w:rsid w:val="0059595C"/>
    <w:rsid w:val="00595C2F"/>
    <w:rsid w:val="00596715"/>
    <w:rsid w:val="0059683D"/>
    <w:rsid w:val="00596D26"/>
    <w:rsid w:val="005977CB"/>
    <w:rsid w:val="00597B72"/>
    <w:rsid w:val="005A1316"/>
    <w:rsid w:val="005A1515"/>
    <w:rsid w:val="005A1C5D"/>
    <w:rsid w:val="005A21A5"/>
    <w:rsid w:val="005A2205"/>
    <w:rsid w:val="005A2E08"/>
    <w:rsid w:val="005A2E36"/>
    <w:rsid w:val="005A312F"/>
    <w:rsid w:val="005A333F"/>
    <w:rsid w:val="005A3D19"/>
    <w:rsid w:val="005A4165"/>
    <w:rsid w:val="005A47C6"/>
    <w:rsid w:val="005A49B0"/>
    <w:rsid w:val="005A4D3D"/>
    <w:rsid w:val="005A5A46"/>
    <w:rsid w:val="005A5ADD"/>
    <w:rsid w:val="005A5D21"/>
    <w:rsid w:val="005A6E9D"/>
    <w:rsid w:val="005A76AA"/>
    <w:rsid w:val="005A7946"/>
    <w:rsid w:val="005A7D05"/>
    <w:rsid w:val="005B0178"/>
    <w:rsid w:val="005B07B2"/>
    <w:rsid w:val="005B16DC"/>
    <w:rsid w:val="005B1DBE"/>
    <w:rsid w:val="005B28E6"/>
    <w:rsid w:val="005B3154"/>
    <w:rsid w:val="005B3193"/>
    <w:rsid w:val="005B34F3"/>
    <w:rsid w:val="005B36D4"/>
    <w:rsid w:val="005B3741"/>
    <w:rsid w:val="005B4312"/>
    <w:rsid w:val="005B43DB"/>
    <w:rsid w:val="005B4500"/>
    <w:rsid w:val="005B477E"/>
    <w:rsid w:val="005B4AC4"/>
    <w:rsid w:val="005B4C6C"/>
    <w:rsid w:val="005B4D25"/>
    <w:rsid w:val="005B5216"/>
    <w:rsid w:val="005B5FC6"/>
    <w:rsid w:val="005B5FFE"/>
    <w:rsid w:val="005B76DE"/>
    <w:rsid w:val="005B79B4"/>
    <w:rsid w:val="005B7B64"/>
    <w:rsid w:val="005B7BE3"/>
    <w:rsid w:val="005C01D0"/>
    <w:rsid w:val="005C03EC"/>
    <w:rsid w:val="005C0ACE"/>
    <w:rsid w:val="005C1A30"/>
    <w:rsid w:val="005C1B2F"/>
    <w:rsid w:val="005C1F41"/>
    <w:rsid w:val="005C235B"/>
    <w:rsid w:val="005C2527"/>
    <w:rsid w:val="005C2954"/>
    <w:rsid w:val="005C2ECF"/>
    <w:rsid w:val="005C3B97"/>
    <w:rsid w:val="005C408D"/>
    <w:rsid w:val="005C43EF"/>
    <w:rsid w:val="005C476E"/>
    <w:rsid w:val="005C4949"/>
    <w:rsid w:val="005C4996"/>
    <w:rsid w:val="005C5729"/>
    <w:rsid w:val="005C57AA"/>
    <w:rsid w:val="005C5DC2"/>
    <w:rsid w:val="005C5DC6"/>
    <w:rsid w:val="005C603B"/>
    <w:rsid w:val="005C6124"/>
    <w:rsid w:val="005C6256"/>
    <w:rsid w:val="005C6B55"/>
    <w:rsid w:val="005C6DDE"/>
    <w:rsid w:val="005C731D"/>
    <w:rsid w:val="005C73CC"/>
    <w:rsid w:val="005C7A68"/>
    <w:rsid w:val="005C7C7E"/>
    <w:rsid w:val="005D033E"/>
    <w:rsid w:val="005D0341"/>
    <w:rsid w:val="005D050A"/>
    <w:rsid w:val="005D05CA"/>
    <w:rsid w:val="005D0828"/>
    <w:rsid w:val="005D0B94"/>
    <w:rsid w:val="005D16C4"/>
    <w:rsid w:val="005D1D55"/>
    <w:rsid w:val="005D2D75"/>
    <w:rsid w:val="005D315D"/>
    <w:rsid w:val="005D32D3"/>
    <w:rsid w:val="005D3304"/>
    <w:rsid w:val="005D34B7"/>
    <w:rsid w:val="005D4092"/>
    <w:rsid w:val="005D48C7"/>
    <w:rsid w:val="005D4956"/>
    <w:rsid w:val="005D4A6F"/>
    <w:rsid w:val="005D4F38"/>
    <w:rsid w:val="005D5279"/>
    <w:rsid w:val="005D52FC"/>
    <w:rsid w:val="005D55FF"/>
    <w:rsid w:val="005D58E2"/>
    <w:rsid w:val="005D6A8F"/>
    <w:rsid w:val="005D6BF1"/>
    <w:rsid w:val="005D774E"/>
    <w:rsid w:val="005D796A"/>
    <w:rsid w:val="005D7CE5"/>
    <w:rsid w:val="005D7EBE"/>
    <w:rsid w:val="005E005C"/>
    <w:rsid w:val="005E0461"/>
    <w:rsid w:val="005E06B7"/>
    <w:rsid w:val="005E0921"/>
    <w:rsid w:val="005E0CD4"/>
    <w:rsid w:val="005E0EB1"/>
    <w:rsid w:val="005E112D"/>
    <w:rsid w:val="005E132B"/>
    <w:rsid w:val="005E198D"/>
    <w:rsid w:val="005E1ED5"/>
    <w:rsid w:val="005E1F00"/>
    <w:rsid w:val="005E1F67"/>
    <w:rsid w:val="005E2524"/>
    <w:rsid w:val="005E27A2"/>
    <w:rsid w:val="005E29EB"/>
    <w:rsid w:val="005E2BF0"/>
    <w:rsid w:val="005E35FC"/>
    <w:rsid w:val="005E3BC8"/>
    <w:rsid w:val="005E4351"/>
    <w:rsid w:val="005E4AB0"/>
    <w:rsid w:val="005E4C0B"/>
    <w:rsid w:val="005E6029"/>
    <w:rsid w:val="005E62A3"/>
    <w:rsid w:val="005E7033"/>
    <w:rsid w:val="005F0224"/>
    <w:rsid w:val="005F04DD"/>
    <w:rsid w:val="005F06DA"/>
    <w:rsid w:val="005F0B2E"/>
    <w:rsid w:val="005F1A88"/>
    <w:rsid w:val="005F2324"/>
    <w:rsid w:val="005F26C6"/>
    <w:rsid w:val="005F2F87"/>
    <w:rsid w:val="005F313E"/>
    <w:rsid w:val="005F320A"/>
    <w:rsid w:val="005F4657"/>
    <w:rsid w:val="005F4D11"/>
    <w:rsid w:val="005F62B6"/>
    <w:rsid w:val="005F64CA"/>
    <w:rsid w:val="005F64FF"/>
    <w:rsid w:val="005F663C"/>
    <w:rsid w:val="005F6641"/>
    <w:rsid w:val="005F6DAA"/>
    <w:rsid w:val="005F7047"/>
    <w:rsid w:val="005F7147"/>
    <w:rsid w:val="005F74CB"/>
    <w:rsid w:val="005F7528"/>
    <w:rsid w:val="005F7C2A"/>
    <w:rsid w:val="005F7C41"/>
    <w:rsid w:val="005F7D74"/>
    <w:rsid w:val="005F7F09"/>
    <w:rsid w:val="0060011D"/>
    <w:rsid w:val="00600F7C"/>
    <w:rsid w:val="006011FA"/>
    <w:rsid w:val="0060166D"/>
    <w:rsid w:val="006016C9"/>
    <w:rsid w:val="0060214F"/>
    <w:rsid w:val="00602202"/>
    <w:rsid w:val="00602374"/>
    <w:rsid w:val="00602D4D"/>
    <w:rsid w:val="0060399F"/>
    <w:rsid w:val="00603DDC"/>
    <w:rsid w:val="00604664"/>
    <w:rsid w:val="00605B65"/>
    <w:rsid w:val="00605CF5"/>
    <w:rsid w:val="0060618F"/>
    <w:rsid w:val="00606489"/>
    <w:rsid w:val="00606548"/>
    <w:rsid w:val="006067BA"/>
    <w:rsid w:val="00606D48"/>
    <w:rsid w:val="00607335"/>
    <w:rsid w:val="0060734B"/>
    <w:rsid w:val="0060747E"/>
    <w:rsid w:val="006074D7"/>
    <w:rsid w:val="00607F17"/>
    <w:rsid w:val="006108F3"/>
    <w:rsid w:val="00611143"/>
    <w:rsid w:val="006129BF"/>
    <w:rsid w:val="0061310C"/>
    <w:rsid w:val="00614174"/>
    <w:rsid w:val="00614AB5"/>
    <w:rsid w:val="0061530A"/>
    <w:rsid w:val="006156F1"/>
    <w:rsid w:val="0061616C"/>
    <w:rsid w:val="006167D9"/>
    <w:rsid w:val="00616BB2"/>
    <w:rsid w:val="006178A1"/>
    <w:rsid w:val="006178BD"/>
    <w:rsid w:val="006178C5"/>
    <w:rsid w:val="00617BEF"/>
    <w:rsid w:val="0062062A"/>
    <w:rsid w:val="006209F9"/>
    <w:rsid w:val="00620B8F"/>
    <w:rsid w:val="00620C8A"/>
    <w:rsid w:val="0062130F"/>
    <w:rsid w:val="00621531"/>
    <w:rsid w:val="0062183B"/>
    <w:rsid w:val="00621C83"/>
    <w:rsid w:val="006220F5"/>
    <w:rsid w:val="00622391"/>
    <w:rsid w:val="006226AA"/>
    <w:rsid w:val="00623432"/>
    <w:rsid w:val="006238F9"/>
    <w:rsid w:val="006239EA"/>
    <w:rsid w:val="00623E84"/>
    <w:rsid w:val="00623F24"/>
    <w:rsid w:val="00624012"/>
    <w:rsid w:val="006242A2"/>
    <w:rsid w:val="0062472B"/>
    <w:rsid w:val="00624AEA"/>
    <w:rsid w:val="00624DF8"/>
    <w:rsid w:val="00625438"/>
    <w:rsid w:val="006254B4"/>
    <w:rsid w:val="006257CF"/>
    <w:rsid w:val="00625929"/>
    <w:rsid w:val="00625F2A"/>
    <w:rsid w:val="00625FD1"/>
    <w:rsid w:val="00625FE0"/>
    <w:rsid w:val="00626033"/>
    <w:rsid w:val="00626A7A"/>
    <w:rsid w:val="00626D16"/>
    <w:rsid w:val="00626E03"/>
    <w:rsid w:val="00626F5B"/>
    <w:rsid w:val="00627477"/>
    <w:rsid w:val="006304A1"/>
    <w:rsid w:val="00630829"/>
    <w:rsid w:val="006308B2"/>
    <w:rsid w:val="00630F31"/>
    <w:rsid w:val="006317B9"/>
    <w:rsid w:val="00631AA4"/>
    <w:rsid w:val="00632179"/>
    <w:rsid w:val="00632F44"/>
    <w:rsid w:val="00633678"/>
    <w:rsid w:val="00633EB4"/>
    <w:rsid w:val="00633FFA"/>
    <w:rsid w:val="00634A80"/>
    <w:rsid w:val="00634AE7"/>
    <w:rsid w:val="00634DF3"/>
    <w:rsid w:val="006356DE"/>
    <w:rsid w:val="00635CE3"/>
    <w:rsid w:val="00635F04"/>
    <w:rsid w:val="00636ABB"/>
    <w:rsid w:val="00636E87"/>
    <w:rsid w:val="00637091"/>
    <w:rsid w:val="00637958"/>
    <w:rsid w:val="00637AB2"/>
    <w:rsid w:val="00637E02"/>
    <w:rsid w:val="00640CB4"/>
    <w:rsid w:val="006415F7"/>
    <w:rsid w:val="00641C5D"/>
    <w:rsid w:val="00643083"/>
    <w:rsid w:val="00643E13"/>
    <w:rsid w:val="00644C2A"/>
    <w:rsid w:val="00644F72"/>
    <w:rsid w:val="00645051"/>
    <w:rsid w:val="00645644"/>
    <w:rsid w:val="0064590C"/>
    <w:rsid w:val="00645A1A"/>
    <w:rsid w:val="0064660E"/>
    <w:rsid w:val="00646CA9"/>
    <w:rsid w:val="00650C97"/>
    <w:rsid w:val="0065105F"/>
    <w:rsid w:val="006510E3"/>
    <w:rsid w:val="0065183F"/>
    <w:rsid w:val="00651A59"/>
    <w:rsid w:val="00651FA3"/>
    <w:rsid w:val="0065251F"/>
    <w:rsid w:val="00653F6C"/>
    <w:rsid w:val="00654396"/>
    <w:rsid w:val="006543E0"/>
    <w:rsid w:val="00654B46"/>
    <w:rsid w:val="00655D49"/>
    <w:rsid w:val="00656830"/>
    <w:rsid w:val="00656D0D"/>
    <w:rsid w:val="006570BA"/>
    <w:rsid w:val="00657B07"/>
    <w:rsid w:val="00657C0E"/>
    <w:rsid w:val="00657E47"/>
    <w:rsid w:val="00660597"/>
    <w:rsid w:val="00660659"/>
    <w:rsid w:val="00660715"/>
    <w:rsid w:val="00661C30"/>
    <w:rsid w:val="00661D64"/>
    <w:rsid w:val="00662995"/>
    <w:rsid w:val="00662BD9"/>
    <w:rsid w:val="006635A9"/>
    <w:rsid w:val="006643DB"/>
    <w:rsid w:val="00664927"/>
    <w:rsid w:val="006649BC"/>
    <w:rsid w:val="00664CC0"/>
    <w:rsid w:val="0066507B"/>
    <w:rsid w:val="00665707"/>
    <w:rsid w:val="0066598A"/>
    <w:rsid w:val="00666A26"/>
    <w:rsid w:val="00666D57"/>
    <w:rsid w:val="0066708D"/>
    <w:rsid w:val="00667158"/>
    <w:rsid w:val="00670ABC"/>
    <w:rsid w:val="00671001"/>
    <w:rsid w:val="006710FC"/>
    <w:rsid w:val="0067169F"/>
    <w:rsid w:val="006716E9"/>
    <w:rsid w:val="00672579"/>
    <w:rsid w:val="00672885"/>
    <w:rsid w:val="00673F8D"/>
    <w:rsid w:val="00674920"/>
    <w:rsid w:val="006759B2"/>
    <w:rsid w:val="0067670E"/>
    <w:rsid w:val="0067694C"/>
    <w:rsid w:val="00676BBE"/>
    <w:rsid w:val="00677A14"/>
    <w:rsid w:val="00677DC2"/>
    <w:rsid w:val="00677F47"/>
    <w:rsid w:val="00680170"/>
    <w:rsid w:val="00680567"/>
    <w:rsid w:val="00680805"/>
    <w:rsid w:val="006810D8"/>
    <w:rsid w:val="00681325"/>
    <w:rsid w:val="00681A1E"/>
    <w:rsid w:val="00682368"/>
    <w:rsid w:val="00682383"/>
    <w:rsid w:val="006827B8"/>
    <w:rsid w:val="00683378"/>
    <w:rsid w:val="00683577"/>
    <w:rsid w:val="00683A21"/>
    <w:rsid w:val="00683A57"/>
    <w:rsid w:val="00683B3F"/>
    <w:rsid w:val="00683E17"/>
    <w:rsid w:val="00684136"/>
    <w:rsid w:val="006844A3"/>
    <w:rsid w:val="00684B41"/>
    <w:rsid w:val="00685053"/>
    <w:rsid w:val="0068542A"/>
    <w:rsid w:val="00685A38"/>
    <w:rsid w:val="00685AF0"/>
    <w:rsid w:val="006863F9"/>
    <w:rsid w:val="00686B20"/>
    <w:rsid w:val="00686E12"/>
    <w:rsid w:val="00686FAC"/>
    <w:rsid w:val="0068714A"/>
    <w:rsid w:val="00687B2A"/>
    <w:rsid w:val="00687DCF"/>
    <w:rsid w:val="00687FDE"/>
    <w:rsid w:val="0069051A"/>
    <w:rsid w:val="006907A5"/>
    <w:rsid w:val="00691013"/>
    <w:rsid w:val="006912EE"/>
    <w:rsid w:val="006916B4"/>
    <w:rsid w:val="006927B1"/>
    <w:rsid w:val="006936F3"/>
    <w:rsid w:val="0069389B"/>
    <w:rsid w:val="00693F1E"/>
    <w:rsid w:val="006949E0"/>
    <w:rsid w:val="00694F32"/>
    <w:rsid w:val="00695886"/>
    <w:rsid w:val="00695BD9"/>
    <w:rsid w:val="00695E4D"/>
    <w:rsid w:val="00696E53"/>
    <w:rsid w:val="00697B97"/>
    <w:rsid w:val="006A0065"/>
    <w:rsid w:val="006A036A"/>
    <w:rsid w:val="006A0B9C"/>
    <w:rsid w:val="006A1390"/>
    <w:rsid w:val="006A193F"/>
    <w:rsid w:val="006A1BB8"/>
    <w:rsid w:val="006A223A"/>
    <w:rsid w:val="006A345C"/>
    <w:rsid w:val="006A3A3B"/>
    <w:rsid w:val="006A3A90"/>
    <w:rsid w:val="006A3E79"/>
    <w:rsid w:val="006A417C"/>
    <w:rsid w:val="006A437A"/>
    <w:rsid w:val="006A4642"/>
    <w:rsid w:val="006A646F"/>
    <w:rsid w:val="006A65D4"/>
    <w:rsid w:val="006A6D38"/>
    <w:rsid w:val="006A6E26"/>
    <w:rsid w:val="006A7399"/>
    <w:rsid w:val="006A7F35"/>
    <w:rsid w:val="006B1324"/>
    <w:rsid w:val="006B151F"/>
    <w:rsid w:val="006B1546"/>
    <w:rsid w:val="006B1F4B"/>
    <w:rsid w:val="006B2144"/>
    <w:rsid w:val="006B28DA"/>
    <w:rsid w:val="006B2D8F"/>
    <w:rsid w:val="006B2EA9"/>
    <w:rsid w:val="006B3AB3"/>
    <w:rsid w:val="006B3E32"/>
    <w:rsid w:val="006B3E3C"/>
    <w:rsid w:val="006B5150"/>
    <w:rsid w:val="006B5361"/>
    <w:rsid w:val="006B56AF"/>
    <w:rsid w:val="006B575A"/>
    <w:rsid w:val="006B5876"/>
    <w:rsid w:val="006B6439"/>
    <w:rsid w:val="006B649E"/>
    <w:rsid w:val="006B66E2"/>
    <w:rsid w:val="006B6AA9"/>
    <w:rsid w:val="006B7AE7"/>
    <w:rsid w:val="006C0241"/>
    <w:rsid w:val="006C04D1"/>
    <w:rsid w:val="006C08F9"/>
    <w:rsid w:val="006C0904"/>
    <w:rsid w:val="006C0916"/>
    <w:rsid w:val="006C10AD"/>
    <w:rsid w:val="006C1744"/>
    <w:rsid w:val="006C1827"/>
    <w:rsid w:val="006C1C1F"/>
    <w:rsid w:val="006C1F51"/>
    <w:rsid w:val="006C2ABD"/>
    <w:rsid w:val="006C2EA4"/>
    <w:rsid w:val="006C3399"/>
    <w:rsid w:val="006C339D"/>
    <w:rsid w:val="006C3F37"/>
    <w:rsid w:val="006C4418"/>
    <w:rsid w:val="006C4425"/>
    <w:rsid w:val="006C4545"/>
    <w:rsid w:val="006C4F98"/>
    <w:rsid w:val="006C65BA"/>
    <w:rsid w:val="006C6F84"/>
    <w:rsid w:val="006C72F5"/>
    <w:rsid w:val="006C792F"/>
    <w:rsid w:val="006C7AEB"/>
    <w:rsid w:val="006C7B79"/>
    <w:rsid w:val="006D00BC"/>
    <w:rsid w:val="006D0D6B"/>
    <w:rsid w:val="006D0E38"/>
    <w:rsid w:val="006D1AAD"/>
    <w:rsid w:val="006D1AFA"/>
    <w:rsid w:val="006D1B35"/>
    <w:rsid w:val="006D2451"/>
    <w:rsid w:val="006D2533"/>
    <w:rsid w:val="006D3018"/>
    <w:rsid w:val="006D3BBB"/>
    <w:rsid w:val="006D3E13"/>
    <w:rsid w:val="006D43FE"/>
    <w:rsid w:val="006D485D"/>
    <w:rsid w:val="006D4B05"/>
    <w:rsid w:val="006D4E16"/>
    <w:rsid w:val="006D5235"/>
    <w:rsid w:val="006D550C"/>
    <w:rsid w:val="006D587D"/>
    <w:rsid w:val="006D595E"/>
    <w:rsid w:val="006D627C"/>
    <w:rsid w:val="006D68C2"/>
    <w:rsid w:val="006D7301"/>
    <w:rsid w:val="006D7A55"/>
    <w:rsid w:val="006E007A"/>
    <w:rsid w:val="006E014D"/>
    <w:rsid w:val="006E02A4"/>
    <w:rsid w:val="006E0972"/>
    <w:rsid w:val="006E0AC3"/>
    <w:rsid w:val="006E1886"/>
    <w:rsid w:val="006E1907"/>
    <w:rsid w:val="006E1EC9"/>
    <w:rsid w:val="006E2F1D"/>
    <w:rsid w:val="006E3363"/>
    <w:rsid w:val="006E33B7"/>
    <w:rsid w:val="006E34DB"/>
    <w:rsid w:val="006E36DD"/>
    <w:rsid w:val="006E4023"/>
    <w:rsid w:val="006E5006"/>
    <w:rsid w:val="006E51E0"/>
    <w:rsid w:val="006E57D7"/>
    <w:rsid w:val="006E5946"/>
    <w:rsid w:val="006E6702"/>
    <w:rsid w:val="006E6BEB"/>
    <w:rsid w:val="006E7109"/>
    <w:rsid w:val="006E724C"/>
    <w:rsid w:val="006E7302"/>
    <w:rsid w:val="006E731C"/>
    <w:rsid w:val="006E73BF"/>
    <w:rsid w:val="006E7483"/>
    <w:rsid w:val="006E7DA7"/>
    <w:rsid w:val="006E7E2A"/>
    <w:rsid w:val="006F0310"/>
    <w:rsid w:val="006F09EC"/>
    <w:rsid w:val="006F0AA3"/>
    <w:rsid w:val="006F0DF1"/>
    <w:rsid w:val="006F1DD6"/>
    <w:rsid w:val="006F1FD1"/>
    <w:rsid w:val="006F241E"/>
    <w:rsid w:val="006F247B"/>
    <w:rsid w:val="006F2B31"/>
    <w:rsid w:val="006F2B9D"/>
    <w:rsid w:val="006F2E53"/>
    <w:rsid w:val="006F4347"/>
    <w:rsid w:val="006F481A"/>
    <w:rsid w:val="006F5C0B"/>
    <w:rsid w:val="006F5C23"/>
    <w:rsid w:val="006F63E4"/>
    <w:rsid w:val="006F6A1A"/>
    <w:rsid w:val="006F7034"/>
    <w:rsid w:val="006F7469"/>
    <w:rsid w:val="006F779D"/>
    <w:rsid w:val="006F78CB"/>
    <w:rsid w:val="00700B47"/>
    <w:rsid w:val="00700BF3"/>
    <w:rsid w:val="00700BF6"/>
    <w:rsid w:val="00701927"/>
    <w:rsid w:val="00701FD4"/>
    <w:rsid w:val="0070280E"/>
    <w:rsid w:val="00702D42"/>
    <w:rsid w:val="00703085"/>
    <w:rsid w:val="0070355B"/>
    <w:rsid w:val="0070450A"/>
    <w:rsid w:val="0070461F"/>
    <w:rsid w:val="007057F0"/>
    <w:rsid w:val="0070585F"/>
    <w:rsid w:val="00705F1C"/>
    <w:rsid w:val="007063FF"/>
    <w:rsid w:val="00706648"/>
    <w:rsid w:val="00707093"/>
    <w:rsid w:val="007071D8"/>
    <w:rsid w:val="00707753"/>
    <w:rsid w:val="007078AC"/>
    <w:rsid w:val="00707DDF"/>
    <w:rsid w:val="00707EA3"/>
    <w:rsid w:val="00707FFC"/>
    <w:rsid w:val="00707FFD"/>
    <w:rsid w:val="00710053"/>
    <w:rsid w:val="0071046B"/>
    <w:rsid w:val="007104CD"/>
    <w:rsid w:val="0071091F"/>
    <w:rsid w:val="00710D3C"/>
    <w:rsid w:val="00711EC0"/>
    <w:rsid w:val="00711F93"/>
    <w:rsid w:val="007120BA"/>
    <w:rsid w:val="00712FF6"/>
    <w:rsid w:val="00713060"/>
    <w:rsid w:val="007147BE"/>
    <w:rsid w:val="00714DB8"/>
    <w:rsid w:val="00715508"/>
    <w:rsid w:val="00715D22"/>
    <w:rsid w:val="0071627B"/>
    <w:rsid w:val="007177C9"/>
    <w:rsid w:val="007178A7"/>
    <w:rsid w:val="00717DC1"/>
    <w:rsid w:val="00720813"/>
    <w:rsid w:val="0072098A"/>
    <w:rsid w:val="00720D2E"/>
    <w:rsid w:val="00720E32"/>
    <w:rsid w:val="00721D27"/>
    <w:rsid w:val="00721DE8"/>
    <w:rsid w:val="00721F0D"/>
    <w:rsid w:val="007225CA"/>
    <w:rsid w:val="00722704"/>
    <w:rsid w:val="007227E3"/>
    <w:rsid w:val="00722FDB"/>
    <w:rsid w:val="0072406E"/>
    <w:rsid w:val="0072436E"/>
    <w:rsid w:val="00724C44"/>
    <w:rsid w:val="00724C92"/>
    <w:rsid w:val="00724D75"/>
    <w:rsid w:val="007260C6"/>
    <w:rsid w:val="0072617C"/>
    <w:rsid w:val="00726927"/>
    <w:rsid w:val="00726CBD"/>
    <w:rsid w:val="00727963"/>
    <w:rsid w:val="00727DA9"/>
    <w:rsid w:val="00727FDD"/>
    <w:rsid w:val="0073025F"/>
    <w:rsid w:val="00730A0D"/>
    <w:rsid w:val="00730A3D"/>
    <w:rsid w:val="00730D34"/>
    <w:rsid w:val="007310D3"/>
    <w:rsid w:val="00731DC4"/>
    <w:rsid w:val="007326C2"/>
    <w:rsid w:val="00732978"/>
    <w:rsid w:val="007332A6"/>
    <w:rsid w:val="007332C8"/>
    <w:rsid w:val="007339EE"/>
    <w:rsid w:val="00733BA2"/>
    <w:rsid w:val="00733EE9"/>
    <w:rsid w:val="0073423F"/>
    <w:rsid w:val="00734264"/>
    <w:rsid w:val="00734F6E"/>
    <w:rsid w:val="00735037"/>
    <w:rsid w:val="007358EE"/>
    <w:rsid w:val="007359AF"/>
    <w:rsid w:val="00735A3A"/>
    <w:rsid w:val="00736605"/>
    <w:rsid w:val="00736997"/>
    <w:rsid w:val="0073714A"/>
    <w:rsid w:val="00737B0E"/>
    <w:rsid w:val="007401E1"/>
    <w:rsid w:val="0074035A"/>
    <w:rsid w:val="0074061B"/>
    <w:rsid w:val="00740641"/>
    <w:rsid w:val="007409C9"/>
    <w:rsid w:val="00740D0B"/>
    <w:rsid w:val="00741082"/>
    <w:rsid w:val="00741D30"/>
    <w:rsid w:val="00741F52"/>
    <w:rsid w:val="0074206D"/>
    <w:rsid w:val="007422BC"/>
    <w:rsid w:val="00742888"/>
    <w:rsid w:val="00743FD7"/>
    <w:rsid w:val="007441B9"/>
    <w:rsid w:val="00744312"/>
    <w:rsid w:val="0074455D"/>
    <w:rsid w:val="007446FD"/>
    <w:rsid w:val="0074492A"/>
    <w:rsid w:val="00744A56"/>
    <w:rsid w:val="00744CA5"/>
    <w:rsid w:val="00744EBA"/>
    <w:rsid w:val="00745974"/>
    <w:rsid w:val="00745A3C"/>
    <w:rsid w:val="00745C84"/>
    <w:rsid w:val="00745E5A"/>
    <w:rsid w:val="0074644C"/>
    <w:rsid w:val="00746685"/>
    <w:rsid w:val="00746D84"/>
    <w:rsid w:val="00747FDC"/>
    <w:rsid w:val="00750466"/>
    <w:rsid w:val="00751AE4"/>
    <w:rsid w:val="0075235C"/>
    <w:rsid w:val="0075297A"/>
    <w:rsid w:val="00752D99"/>
    <w:rsid w:val="007538A0"/>
    <w:rsid w:val="007539DA"/>
    <w:rsid w:val="00753ED5"/>
    <w:rsid w:val="007541F3"/>
    <w:rsid w:val="007542C4"/>
    <w:rsid w:val="00754CEC"/>
    <w:rsid w:val="007551A6"/>
    <w:rsid w:val="0075564D"/>
    <w:rsid w:val="00756C47"/>
    <w:rsid w:val="00756FE0"/>
    <w:rsid w:val="00757995"/>
    <w:rsid w:val="00760497"/>
    <w:rsid w:val="007606B6"/>
    <w:rsid w:val="00760EC7"/>
    <w:rsid w:val="00761086"/>
    <w:rsid w:val="00761E32"/>
    <w:rsid w:val="007627A9"/>
    <w:rsid w:val="00762C56"/>
    <w:rsid w:val="007630EE"/>
    <w:rsid w:val="00763173"/>
    <w:rsid w:val="0076336A"/>
    <w:rsid w:val="00763493"/>
    <w:rsid w:val="00763EB7"/>
    <w:rsid w:val="0076423C"/>
    <w:rsid w:val="00764948"/>
    <w:rsid w:val="0076531A"/>
    <w:rsid w:val="00765578"/>
    <w:rsid w:val="00765BB5"/>
    <w:rsid w:val="00765CFD"/>
    <w:rsid w:val="00765DD3"/>
    <w:rsid w:val="007662E0"/>
    <w:rsid w:val="00766440"/>
    <w:rsid w:val="00766A17"/>
    <w:rsid w:val="0076725B"/>
    <w:rsid w:val="0076743E"/>
    <w:rsid w:val="00767879"/>
    <w:rsid w:val="00767882"/>
    <w:rsid w:val="007679DF"/>
    <w:rsid w:val="00767C96"/>
    <w:rsid w:val="00767D97"/>
    <w:rsid w:val="007701EA"/>
    <w:rsid w:val="007708D4"/>
    <w:rsid w:val="007712D4"/>
    <w:rsid w:val="007715A1"/>
    <w:rsid w:val="007715E3"/>
    <w:rsid w:val="007726B4"/>
    <w:rsid w:val="00772D2D"/>
    <w:rsid w:val="00772EEF"/>
    <w:rsid w:val="007731B1"/>
    <w:rsid w:val="00774108"/>
    <w:rsid w:val="00774D8D"/>
    <w:rsid w:val="00775361"/>
    <w:rsid w:val="00775371"/>
    <w:rsid w:val="00775FBB"/>
    <w:rsid w:val="007760F9"/>
    <w:rsid w:val="007764DE"/>
    <w:rsid w:val="0077787D"/>
    <w:rsid w:val="00777D47"/>
    <w:rsid w:val="00777EB9"/>
    <w:rsid w:val="007805A7"/>
    <w:rsid w:val="00780CF3"/>
    <w:rsid w:val="0078171F"/>
    <w:rsid w:val="007819A3"/>
    <w:rsid w:val="007838CC"/>
    <w:rsid w:val="00783931"/>
    <w:rsid w:val="0078528E"/>
    <w:rsid w:val="007852CF"/>
    <w:rsid w:val="00785B51"/>
    <w:rsid w:val="00785D3D"/>
    <w:rsid w:val="00786503"/>
    <w:rsid w:val="007865DA"/>
    <w:rsid w:val="007868CF"/>
    <w:rsid w:val="00787899"/>
    <w:rsid w:val="0079018B"/>
    <w:rsid w:val="00791288"/>
    <w:rsid w:val="00791595"/>
    <w:rsid w:val="0079168C"/>
    <w:rsid w:val="0079304C"/>
    <w:rsid w:val="007936D5"/>
    <w:rsid w:val="007945EF"/>
    <w:rsid w:val="007947FB"/>
    <w:rsid w:val="00794D5C"/>
    <w:rsid w:val="00795B1A"/>
    <w:rsid w:val="007973C0"/>
    <w:rsid w:val="00797434"/>
    <w:rsid w:val="00797502"/>
    <w:rsid w:val="007A00D2"/>
    <w:rsid w:val="007A0900"/>
    <w:rsid w:val="007A0BA4"/>
    <w:rsid w:val="007A116B"/>
    <w:rsid w:val="007A1FA8"/>
    <w:rsid w:val="007A211D"/>
    <w:rsid w:val="007A28C2"/>
    <w:rsid w:val="007A2FFB"/>
    <w:rsid w:val="007A3B79"/>
    <w:rsid w:val="007A4458"/>
    <w:rsid w:val="007A46FC"/>
    <w:rsid w:val="007A4CBD"/>
    <w:rsid w:val="007A54A0"/>
    <w:rsid w:val="007A6A8C"/>
    <w:rsid w:val="007B01FD"/>
    <w:rsid w:val="007B0C0E"/>
    <w:rsid w:val="007B0DF3"/>
    <w:rsid w:val="007B0E64"/>
    <w:rsid w:val="007B0F45"/>
    <w:rsid w:val="007B1158"/>
    <w:rsid w:val="007B1B4D"/>
    <w:rsid w:val="007B1C81"/>
    <w:rsid w:val="007B1EA0"/>
    <w:rsid w:val="007B1EED"/>
    <w:rsid w:val="007B2BBA"/>
    <w:rsid w:val="007B2E81"/>
    <w:rsid w:val="007B300C"/>
    <w:rsid w:val="007B3160"/>
    <w:rsid w:val="007B33D6"/>
    <w:rsid w:val="007B3861"/>
    <w:rsid w:val="007B46E9"/>
    <w:rsid w:val="007B4801"/>
    <w:rsid w:val="007B4881"/>
    <w:rsid w:val="007B4A08"/>
    <w:rsid w:val="007B507D"/>
    <w:rsid w:val="007B6540"/>
    <w:rsid w:val="007B6793"/>
    <w:rsid w:val="007C048B"/>
    <w:rsid w:val="007C04AA"/>
    <w:rsid w:val="007C05DE"/>
    <w:rsid w:val="007C0D77"/>
    <w:rsid w:val="007C1563"/>
    <w:rsid w:val="007C1B2A"/>
    <w:rsid w:val="007C21F9"/>
    <w:rsid w:val="007C2414"/>
    <w:rsid w:val="007C2CE9"/>
    <w:rsid w:val="007C2F3D"/>
    <w:rsid w:val="007C34EF"/>
    <w:rsid w:val="007C3EC7"/>
    <w:rsid w:val="007C40DE"/>
    <w:rsid w:val="007C4F12"/>
    <w:rsid w:val="007C4FBE"/>
    <w:rsid w:val="007C5284"/>
    <w:rsid w:val="007C5C3C"/>
    <w:rsid w:val="007C63ED"/>
    <w:rsid w:val="007C6A3A"/>
    <w:rsid w:val="007C6D7E"/>
    <w:rsid w:val="007C6EC6"/>
    <w:rsid w:val="007C7123"/>
    <w:rsid w:val="007C7810"/>
    <w:rsid w:val="007C7A3F"/>
    <w:rsid w:val="007C7FD4"/>
    <w:rsid w:val="007D028E"/>
    <w:rsid w:val="007D0CC2"/>
    <w:rsid w:val="007D1484"/>
    <w:rsid w:val="007D1C30"/>
    <w:rsid w:val="007D1C47"/>
    <w:rsid w:val="007D1CBE"/>
    <w:rsid w:val="007D2122"/>
    <w:rsid w:val="007D29D0"/>
    <w:rsid w:val="007D2FEB"/>
    <w:rsid w:val="007D313F"/>
    <w:rsid w:val="007D31E4"/>
    <w:rsid w:val="007D3872"/>
    <w:rsid w:val="007D3AEA"/>
    <w:rsid w:val="007D41EB"/>
    <w:rsid w:val="007D437F"/>
    <w:rsid w:val="007D45A2"/>
    <w:rsid w:val="007D4DC3"/>
    <w:rsid w:val="007D64EC"/>
    <w:rsid w:val="007D67C1"/>
    <w:rsid w:val="007D6843"/>
    <w:rsid w:val="007D68C0"/>
    <w:rsid w:val="007D6C68"/>
    <w:rsid w:val="007D6DB4"/>
    <w:rsid w:val="007D6EFC"/>
    <w:rsid w:val="007D7294"/>
    <w:rsid w:val="007D78D1"/>
    <w:rsid w:val="007D79E6"/>
    <w:rsid w:val="007D7F72"/>
    <w:rsid w:val="007E0620"/>
    <w:rsid w:val="007E134A"/>
    <w:rsid w:val="007E1483"/>
    <w:rsid w:val="007E20A2"/>
    <w:rsid w:val="007E24D9"/>
    <w:rsid w:val="007E2548"/>
    <w:rsid w:val="007E264F"/>
    <w:rsid w:val="007E273E"/>
    <w:rsid w:val="007E2AD7"/>
    <w:rsid w:val="007E3088"/>
    <w:rsid w:val="007E387E"/>
    <w:rsid w:val="007E3C9A"/>
    <w:rsid w:val="007E42C2"/>
    <w:rsid w:val="007E5470"/>
    <w:rsid w:val="007E5CB6"/>
    <w:rsid w:val="007E669A"/>
    <w:rsid w:val="007E6AC7"/>
    <w:rsid w:val="007E75E9"/>
    <w:rsid w:val="007E7DAC"/>
    <w:rsid w:val="007F08C5"/>
    <w:rsid w:val="007F0A69"/>
    <w:rsid w:val="007F0A9A"/>
    <w:rsid w:val="007F127C"/>
    <w:rsid w:val="007F1A6C"/>
    <w:rsid w:val="007F20ED"/>
    <w:rsid w:val="007F22D2"/>
    <w:rsid w:val="007F29BD"/>
    <w:rsid w:val="007F2AD5"/>
    <w:rsid w:val="007F2E24"/>
    <w:rsid w:val="007F3947"/>
    <w:rsid w:val="007F3CBD"/>
    <w:rsid w:val="007F422C"/>
    <w:rsid w:val="007F42A1"/>
    <w:rsid w:val="007F4502"/>
    <w:rsid w:val="007F45C8"/>
    <w:rsid w:val="007F49E1"/>
    <w:rsid w:val="007F49E5"/>
    <w:rsid w:val="007F4ABE"/>
    <w:rsid w:val="007F4DC7"/>
    <w:rsid w:val="007F5158"/>
    <w:rsid w:val="007F520D"/>
    <w:rsid w:val="007F5882"/>
    <w:rsid w:val="007F59F3"/>
    <w:rsid w:val="007F6A6A"/>
    <w:rsid w:val="007F6CC4"/>
    <w:rsid w:val="007F6D0A"/>
    <w:rsid w:val="007F72A5"/>
    <w:rsid w:val="007F77D1"/>
    <w:rsid w:val="007F7842"/>
    <w:rsid w:val="0080034E"/>
    <w:rsid w:val="008003C4"/>
    <w:rsid w:val="00800C42"/>
    <w:rsid w:val="00801376"/>
    <w:rsid w:val="00801FE0"/>
    <w:rsid w:val="008020FE"/>
    <w:rsid w:val="00802683"/>
    <w:rsid w:val="00802865"/>
    <w:rsid w:val="00802870"/>
    <w:rsid w:val="00802D49"/>
    <w:rsid w:val="008031E7"/>
    <w:rsid w:val="008039FF"/>
    <w:rsid w:val="0080407A"/>
    <w:rsid w:val="00804E3E"/>
    <w:rsid w:val="00805249"/>
    <w:rsid w:val="008054A4"/>
    <w:rsid w:val="0080611D"/>
    <w:rsid w:val="008062D4"/>
    <w:rsid w:val="00806433"/>
    <w:rsid w:val="0080664F"/>
    <w:rsid w:val="00806C63"/>
    <w:rsid w:val="00806CA5"/>
    <w:rsid w:val="00806F9D"/>
    <w:rsid w:val="0080708B"/>
    <w:rsid w:val="008077CC"/>
    <w:rsid w:val="00810167"/>
    <w:rsid w:val="00810392"/>
    <w:rsid w:val="00810959"/>
    <w:rsid w:val="00810A4D"/>
    <w:rsid w:val="00811112"/>
    <w:rsid w:val="00811859"/>
    <w:rsid w:val="008118BA"/>
    <w:rsid w:val="008120C8"/>
    <w:rsid w:val="0081236A"/>
    <w:rsid w:val="008126A1"/>
    <w:rsid w:val="00812779"/>
    <w:rsid w:val="0081290B"/>
    <w:rsid w:val="008129A4"/>
    <w:rsid w:val="00812B2A"/>
    <w:rsid w:val="00813636"/>
    <w:rsid w:val="008136AC"/>
    <w:rsid w:val="0081392C"/>
    <w:rsid w:val="00813BA2"/>
    <w:rsid w:val="00814014"/>
    <w:rsid w:val="008141FC"/>
    <w:rsid w:val="00814C54"/>
    <w:rsid w:val="00815C7C"/>
    <w:rsid w:val="00815DF0"/>
    <w:rsid w:val="00816D4D"/>
    <w:rsid w:val="00820898"/>
    <w:rsid w:val="008210D1"/>
    <w:rsid w:val="008212A1"/>
    <w:rsid w:val="0082132E"/>
    <w:rsid w:val="00821839"/>
    <w:rsid w:val="00821A0D"/>
    <w:rsid w:val="00821FEA"/>
    <w:rsid w:val="00823E03"/>
    <w:rsid w:val="0082468C"/>
    <w:rsid w:val="00825127"/>
    <w:rsid w:val="0082515F"/>
    <w:rsid w:val="008251A5"/>
    <w:rsid w:val="00825469"/>
    <w:rsid w:val="00825DDB"/>
    <w:rsid w:val="00826760"/>
    <w:rsid w:val="00827564"/>
    <w:rsid w:val="008275D8"/>
    <w:rsid w:val="008275F8"/>
    <w:rsid w:val="00827738"/>
    <w:rsid w:val="00827830"/>
    <w:rsid w:val="00830144"/>
    <w:rsid w:val="00831510"/>
    <w:rsid w:val="00831512"/>
    <w:rsid w:val="008315B2"/>
    <w:rsid w:val="0083182E"/>
    <w:rsid w:val="00831A0F"/>
    <w:rsid w:val="00831AB3"/>
    <w:rsid w:val="00831AF3"/>
    <w:rsid w:val="00831C3C"/>
    <w:rsid w:val="00832708"/>
    <w:rsid w:val="00833570"/>
    <w:rsid w:val="00834106"/>
    <w:rsid w:val="00834191"/>
    <w:rsid w:val="008341A9"/>
    <w:rsid w:val="0083518E"/>
    <w:rsid w:val="008354BC"/>
    <w:rsid w:val="0083595C"/>
    <w:rsid w:val="00835A01"/>
    <w:rsid w:val="00835B27"/>
    <w:rsid w:val="0083614F"/>
    <w:rsid w:val="00836983"/>
    <w:rsid w:val="00836C89"/>
    <w:rsid w:val="00837157"/>
    <w:rsid w:val="0083761C"/>
    <w:rsid w:val="0083787B"/>
    <w:rsid w:val="00837FC8"/>
    <w:rsid w:val="0084011A"/>
    <w:rsid w:val="00840225"/>
    <w:rsid w:val="00840B06"/>
    <w:rsid w:val="008414BA"/>
    <w:rsid w:val="0084272E"/>
    <w:rsid w:val="00842C2C"/>
    <w:rsid w:val="00842C9E"/>
    <w:rsid w:val="00842EDF"/>
    <w:rsid w:val="00842F0B"/>
    <w:rsid w:val="008434A8"/>
    <w:rsid w:val="00843863"/>
    <w:rsid w:val="00844431"/>
    <w:rsid w:val="00844718"/>
    <w:rsid w:val="00846A43"/>
    <w:rsid w:val="00846D2D"/>
    <w:rsid w:val="00846D4E"/>
    <w:rsid w:val="00846E62"/>
    <w:rsid w:val="00846F14"/>
    <w:rsid w:val="00846F8F"/>
    <w:rsid w:val="00847E58"/>
    <w:rsid w:val="00847EBB"/>
    <w:rsid w:val="00850586"/>
    <w:rsid w:val="00851A9A"/>
    <w:rsid w:val="00852390"/>
    <w:rsid w:val="00852E30"/>
    <w:rsid w:val="00853144"/>
    <w:rsid w:val="008532A9"/>
    <w:rsid w:val="00853614"/>
    <w:rsid w:val="008537FA"/>
    <w:rsid w:val="0085388D"/>
    <w:rsid w:val="00853F16"/>
    <w:rsid w:val="00853FF6"/>
    <w:rsid w:val="00854218"/>
    <w:rsid w:val="008547EE"/>
    <w:rsid w:val="008548F4"/>
    <w:rsid w:val="00854EA1"/>
    <w:rsid w:val="00855069"/>
    <w:rsid w:val="008550FE"/>
    <w:rsid w:val="00855715"/>
    <w:rsid w:val="00855B4C"/>
    <w:rsid w:val="00856E5F"/>
    <w:rsid w:val="008572BF"/>
    <w:rsid w:val="008578D9"/>
    <w:rsid w:val="008579DA"/>
    <w:rsid w:val="00857CF5"/>
    <w:rsid w:val="0086029C"/>
    <w:rsid w:val="008605CE"/>
    <w:rsid w:val="00860662"/>
    <w:rsid w:val="00860EF1"/>
    <w:rsid w:val="008615BF"/>
    <w:rsid w:val="0086162C"/>
    <w:rsid w:val="00861AE2"/>
    <w:rsid w:val="00861AF0"/>
    <w:rsid w:val="00861F34"/>
    <w:rsid w:val="0086209E"/>
    <w:rsid w:val="0086216A"/>
    <w:rsid w:val="00862B8F"/>
    <w:rsid w:val="00862E0F"/>
    <w:rsid w:val="00862FA0"/>
    <w:rsid w:val="0086352E"/>
    <w:rsid w:val="0086365A"/>
    <w:rsid w:val="00863EE2"/>
    <w:rsid w:val="0086402D"/>
    <w:rsid w:val="00865289"/>
    <w:rsid w:val="008653A7"/>
    <w:rsid w:val="00865C2E"/>
    <w:rsid w:val="00866135"/>
    <w:rsid w:val="00866588"/>
    <w:rsid w:val="00866996"/>
    <w:rsid w:val="008669F2"/>
    <w:rsid w:val="008677C9"/>
    <w:rsid w:val="00867800"/>
    <w:rsid w:val="00867C8F"/>
    <w:rsid w:val="0087015E"/>
    <w:rsid w:val="008703FE"/>
    <w:rsid w:val="00870815"/>
    <w:rsid w:val="00870B89"/>
    <w:rsid w:val="00870FAA"/>
    <w:rsid w:val="00871157"/>
    <w:rsid w:val="0087116B"/>
    <w:rsid w:val="008712F1"/>
    <w:rsid w:val="00871530"/>
    <w:rsid w:val="00871756"/>
    <w:rsid w:val="0087271F"/>
    <w:rsid w:val="008727A1"/>
    <w:rsid w:val="00872D80"/>
    <w:rsid w:val="00872F59"/>
    <w:rsid w:val="00873183"/>
    <w:rsid w:val="008733FB"/>
    <w:rsid w:val="00873414"/>
    <w:rsid w:val="0087356F"/>
    <w:rsid w:val="00873767"/>
    <w:rsid w:val="00873B93"/>
    <w:rsid w:val="00873E17"/>
    <w:rsid w:val="008741A2"/>
    <w:rsid w:val="00874834"/>
    <w:rsid w:val="00874C53"/>
    <w:rsid w:val="00874E2C"/>
    <w:rsid w:val="00875A30"/>
    <w:rsid w:val="00875B21"/>
    <w:rsid w:val="008761A8"/>
    <w:rsid w:val="00876214"/>
    <w:rsid w:val="00876286"/>
    <w:rsid w:val="008765C3"/>
    <w:rsid w:val="00876BCB"/>
    <w:rsid w:val="00877097"/>
    <w:rsid w:val="0088008B"/>
    <w:rsid w:val="0088120A"/>
    <w:rsid w:val="00881565"/>
    <w:rsid w:val="00881678"/>
    <w:rsid w:val="00881BBF"/>
    <w:rsid w:val="00881F13"/>
    <w:rsid w:val="00882B94"/>
    <w:rsid w:val="00882DD2"/>
    <w:rsid w:val="00882F7F"/>
    <w:rsid w:val="008835D3"/>
    <w:rsid w:val="00883749"/>
    <w:rsid w:val="00883A72"/>
    <w:rsid w:val="00884110"/>
    <w:rsid w:val="00884300"/>
    <w:rsid w:val="00884DA6"/>
    <w:rsid w:val="00884FB1"/>
    <w:rsid w:val="008852E2"/>
    <w:rsid w:val="00885765"/>
    <w:rsid w:val="00885C3A"/>
    <w:rsid w:val="00886145"/>
    <w:rsid w:val="00886389"/>
    <w:rsid w:val="0088639B"/>
    <w:rsid w:val="008866A2"/>
    <w:rsid w:val="00886771"/>
    <w:rsid w:val="008867D9"/>
    <w:rsid w:val="00886DD1"/>
    <w:rsid w:val="00886F5F"/>
    <w:rsid w:val="00886FDF"/>
    <w:rsid w:val="00887313"/>
    <w:rsid w:val="00887817"/>
    <w:rsid w:val="00887F33"/>
    <w:rsid w:val="008902BF"/>
    <w:rsid w:val="008908DA"/>
    <w:rsid w:val="00891230"/>
    <w:rsid w:val="00891996"/>
    <w:rsid w:val="008919BA"/>
    <w:rsid w:val="00891A9D"/>
    <w:rsid w:val="00891C81"/>
    <w:rsid w:val="00891FED"/>
    <w:rsid w:val="00892791"/>
    <w:rsid w:val="008937D2"/>
    <w:rsid w:val="008938E8"/>
    <w:rsid w:val="00893B75"/>
    <w:rsid w:val="0089478F"/>
    <w:rsid w:val="008948D1"/>
    <w:rsid w:val="008949ED"/>
    <w:rsid w:val="00894A69"/>
    <w:rsid w:val="00895040"/>
    <w:rsid w:val="0089519E"/>
    <w:rsid w:val="008956C1"/>
    <w:rsid w:val="00895A93"/>
    <w:rsid w:val="00895BEF"/>
    <w:rsid w:val="00895CF2"/>
    <w:rsid w:val="0089649F"/>
    <w:rsid w:val="0089654B"/>
    <w:rsid w:val="00896CF4"/>
    <w:rsid w:val="008974DB"/>
    <w:rsid w:val="00897909"/>
    <w:rsid w:val="00897E01"/>
    <w:rsid w:val="008A06AC"/>
    <w:rsid w:val="008A0A85"/>
    <w:rsid w:val="008A120D"/>
    <w:rsid w:val="008A17FE"/>
    <w:rsid w:val="008A1F3A"/>
    <w:rsid w:val="008A2A37"/>
    <w:rsid w:val="008A3473"/>
    <w:rsid w:val="008A3886"/>
    <w:rsid w:val="008A4201"/>
    <w:rsid w:val="008A4792"/>
    <w:rsid w:val="008A5667"/>
    <w:rsid w:val="008A5738"/>
    <w:rsid w:val="008A6333"/>
    <w:rsid w:val="008A652F"/>
    <w:rsid w:val="008A75B0"/>
    <w:rsid w:val="008A78D2"/>
    <w:rsid w:val="008A7CA9"/>
    <w:rsid w:val="008B0F69"/>
    <w:rsid w:val="008B114B"/>
    <w:rsid w:val="008B1400"/>
    <w:rsid w:val="008B1783"/>
    <w:rsid w:val="008B19F9"/>
    <w:rsid w:val="008B1CC8"/>
    <w:rsid w:val="008B1F4E"/>
    <w:rsid w:val="008B200A"/>
    <w:rsid w:val="008B21F9"/>
    <w:rsid w:val="008B22BA"/>
    <w:rsid w:val="008B2463"/>
    <w:rsid w:val="008B2882"/>
    <w:rsid w:val="008B2EF1"/>
    <w:rsid w:val="008B4230"/>
    <w:rsid w:val="008B50A6"/>
    <w:rsid w:val="008B5214"/>
    <w:rsid w:val="008B5777"/>
    <w:rsid w:val="008B580E"/>
    <w:rsid w:val="008B5915"/>
    <w:rsid w:val="008B6112"/>
    <w:rsid w:val="008B6680"/>
    <w:rsid w:val="008B7765"/>
    <w:rsid w:val="008C0FBC"/>
    <w:rsid w:val="008C184D"/>
    <w:rsid w:val="008C2BF4"/>
    <w:rsid w:val="008C3244"/>
    <w:rsid w:val="008C4746"/>
    <w:rsid w:val="008C48AD"/>
    <w:rsid w:val="008C4A2A"/>
    <w:rsid w:val="008C4DE7"/>
    <w:rsid w:val="008C5208"/>
    <w:rsid w:val="008C6318"/>
    <w:rsid w:val="008C7B46"/>
    <w:rsid w:val="008C7D98"/>
    <w:rsid w:val="008C7EC4"/>
    <w:rsid w:val="008D0430"/>
    <w:rsid w:val="008D1A6D"/>
    <w:rsid w:val="008D2360"/>
    <w:rsid w:val="008D26B9"/>
    <w:rsid w:val="008D3422"/>
    <w:rsid w:val="008D43EA"/>
    <w:rsid w:val="008D482B"/>
    <w:rsid w:val="008D5D46"/>
    <w:rsid w:val="008D65D7"/>
    <w:rsid w:val="008D66AD"/>
    <w:rsid w:val="008D7340"/>
    <w:rsid w:val="008D7A9E"/>
    <w:rsid w:val="008E004B"/>
    <w:rsid w:val="008E0D84"/>
    <w:rsid w:val="008E12ED"/>
    <w:rsid w:val="008E1C99"/>
    <w:rsid w:val="008E1DD9"/>
    <w:rsid w:val="008E20DC"/>
    <w:rsid w:val="008E2337"/>
    <w:rsid w:val="008E241A"/>
    <w:rsid w:val="008E2BDB"/>
    <w:rsid w:val="008E2E65"/>
    <w:rsid w:val="008E3392"/>
    <w:rsid w:val="008E3408"/>
    <w:rsid w:val="008E3469"/>
    <w:rsid w:val="008E3EE5"/>
    <w:rsid w:val="008E4502"/>
    <w:rsid w:val="008E45E2"/>
    <w:rsid w:val="008E4614"/>
    <w:rsid w:val="008E4F8A"/>
    <w:rsid w:val="008E4FDF"/>
    <w:rsid w:val="008E52ED"/>
    <w:rsid w:val="008E54CF"/>
    <w:rsid w:val="008E5667"/>
    <w:rsid w:val="008E56FA"/>
    <w:rsid w:val="008E5A5A"/>
    <w:rsid w:val="008E5AEA"/>
    <w:rsid w:val="008E5E89"/>
    <w:rsid w:val="008E5F93"/>
    <w:rsid w:val="008E61C5"/>
    <w:rsid w:val="008E6CDC"/>
    <w:rsid w:val="008E6D89"/>
    <w:rsid w:val="008E7C49"/>
    <w:rsid w:val="008F072B"/>
    <w:rsid w:val="008F0930"/>
    <w:rsid w:val="008F0A76"/>
    <w:rsid w:val="008F1033"/>
    <w:rsid w:val="008F14C6"/>
    <w:rsid w:val="008F1A14"/>
    <w:rsid w:val="008F25D3"/>
    <w:rsid w:val="008F2BCE"/>
    <w:rsid w:val="008F30D0"/>
    <w:rsid w:val="008F3217"/>
    <w:rsid w:val="008F33B8"/>
    <w:rsid w:val="008F3A8B"/>
    <w:rsid w:val="008F3FCC"/>
    <w:rsid w:val="008F4DD2"/>
    <w:rsid w:val="008F4FC4"/>
    <w:rsid w:val="008F54F4"/>
    <w:rsid w:val="008F5BAC"/>
    <w:rsid w:val="008F635C"/>
    <w:rsid w:val="008F687A"/>
    <w:rsid w:val="008F6ED4"/>
    <w:rsid w:val="008F7303"/>
    <w:rsid w:val="008F7EA3"/>
    <w:rsid w:val="00900543"/>
    <w:rsid w:val="00900AA3"/>
    <w:rsid w:val="00900D46"/>
    <w:rsid w:val="00900EA3"/>
    <w:rsid w:val="00901306"/>
    <w:rsid w:val="00901A4A"/>
    <w:rsid w:val="009021CD"/>
    <w:rsid w:val="009022FD"/>
    <w:rsid w:val="00902698"/>
    <w:rsid w:val="0090278A"/>
    <w:rsid w:val="00902D36"/>
    <w:rsid w:val="009030CC"/>
    <w:rsid w:val="00903989"/>
    <w:rsid w:val="00903EB0"/>
    <w:rsid w:val="00904A71"/>
    <w:rsid w:val="00904C80"/>
    <w:rsid w:val="00904DE2"/>
    <w:rsid w:val="009050BF"/>
    <w:rsid w:val="00905BCD"/>
    <w:rsid w:val="00905E22"/>
    <w:rsid w:val="00906587"/>
    <w:rsid w:val="00906B3B"/>
    <w:rsid w:val="00907428"/>
    <w:rsid w:val="009078DE"/>
    <w:rsid w:val="009100D7"/>
    <w:rsid w:val="009109E0"/>
    <w:rsid w:val="00910F22"/>
    <w:rsid w:val="00910FB5"/>
    <w:rsid w:val="0091100A"/>
    <w:rsid w:val="0091275E"/>
    <w:rsid w:val="00912C90"/>
    <w:rsid w:val="00912F6C"/>
    <w:rsid w:val="00913038"/>
    <w:rsid w:val="009133AF"/>
    <w:rsid w:val="009135E7"/>
    <w:rsid w:val="00913629"/>
    <w:rsid w:val="00913B21"/>
    <w:rsid w:val="009143F6"/>
    <w:rsid w:val="00914495"/>
    <w:rsid w:val="00914A7C"/>
    <w:rsid w:val="009152FE"/>
    <w:rsid w:val="00915ECC"/>
    <w:rsid w:val="00915EDD"/>
    <w:rsid w:val="00916B83"/>
    <w:rsid w:val="00917011"/>
    <w:rsid w:val="00917B4C"/>
    <w:rsid w:val="00917CEE"/>
    <w:rsid w:val="00920232"/>
    <w:rsid w:val="00920467"/>
    <w:rsid w:val="00920CFB"/>
    <w:rsid w:val="00921D97"/>
    <w:rsid w:val="00922561"/>
    <w:rsid w:val="00923083"/>
    <w:rsid w:val="009230B6"/>
    <w:rsid w:val="009237CF"/>
    <w:rsid w:val="00923F23"/>
    <w:rsid w:val="00924360"/>
    <w:rsid w:val="00925436"/>
    <w:rsid w:val="00925BD4"/>
    <w:rsid w:val="00925E3B"/>
    <w:rsid w:val="009263E6"/>
    <w:rsid w:val="00926BD7"/>
    <w:rsid w:val="00927657"/>
    <w:rsid w:val="0092778E"/>
    <w:rsid w:val="009277B1"/>
    <w:rsid w:val="0092788B"/>
    <w:rsid w:val="00927DE1"/>
    <w:rsid w:val="009302A1"/>
    <w:rsid w:val="00930313"/>
    <w:rsid w:val="00930C0C"/>
    <w:rsid w:val="00931677"/>
    <w:rsid w:val="0093247B"/>
    <w:rsid w:val="009326AB"/>
    <w:rsid w:val="00932F71"/>
    <w:rsid w:val="009334F4"/>
    <w:rsid w:val="00933903"/>
    <w:rsid w:val="00934226"/>
    <w:rsid w:val="009345F0"/>
    <w:rsid w:val="00934C5E"/>
    <w:rsid w:val="00934FC3"/>
    <w:rsid w:val="009350B4"/>
    <w:rsid w:val="00935F2D"/>
    <w:rsid w:val="009366B2"/>
    <w:rsid w:val="00937701"/>
    <w:rsid w:val="009378D3"/>
    <w:rsid w:val="00940293"/>
    <w:rsid w:val="0094076F"/>
    <w:rsid w:val="00940A5A"/>
    <w:rsid w:val="0094117A"/>
    <w:rsid w:val="0094159E"/>
    <w:rsid w:val="00941814"/>
    <w:rsid w:val="00941ED4"/>
    <w:rsid w:val="00941F21"/>
    <w:rsid w:val="009421A9"/>
    <w:rsid w:val="00942DF4"/>
    <w:rsid w:val="00943625"/>
    <w:rsid w:val="00943C67"/>
    <w:rsid w:val="00943FFE"/>
    <w:rsid w:val="00944382"/>
    <w:rsid w:val="00944EB7"/>
    <w:rsid w:val="00944F16"/>
    <w:rsid w:val="00945497"/>
    <w:rsid w:val="00945903"/>
    <w:rsid w:val="009460FB"/>
    <w:rsid w:val="00947A1D"/>
    <w:rsid w:val="00950D6D"/>
    <w:rsid w:val="00950F4B"/>
    <w:rsid w:val="00951008"/>
    <w:rsid w:val="0095112E"/>
    <w:rsid w:val="00951C90"/>
    <w:rsid w:val="009522E0"/>
    <w:rsid w:val="00952447"/>
    <w:rsid w:val="009524B9"/>
    <w:rsid w:val="009529E1"/>
    <w:rsid w:val="00952B15"/>
    <w:rsid w:val="00952D0B"/>
    <w:rsid w:val="00953034"/>
    <w:rsid w:val="0095427D"/>
    <w:rsid w:val="009546D1"/>
    <w:rsid w:val="009557DD"/>
    <w:rsid w:val="00955C12"/>
    <w:rsid w:val="0095685F"/>
    <w:rsid w:val="00956949"/>
    <w:rsid w:val="00957017"/>
    <w:rsid w:val="009570AE"/>
    <w:rsid w:val="00957490"/>
    <w:rsid w:val="00957A43"/>
    <w:rsid w:val="00957A66"/>
    <w:rsid w:val="0096257B"/>
    <w:rsid w:val="00962E4A"/>
    <w:rsid w:val="009636E9"/>
    <w:rsid w:val="0096465F"/>
    <w:rsid w:val="00964ED8"/>
    <w:rsid w:val="00964F04"/>
    <w:rsid w:val="009657AE"/>
    <w:rsid w:val="009659E4"/>
    <w:rsid w:val="00965B13"/>
    <w:rsid w:val="0096698D"/>
    <w:rsid w:val="009669EB"/>
    <w:rsid w:val="00966B48"/>
    <w:rsid w:val="009712CD"/>
    <w:rsid w:val="009716E3"/>
    <w:rsid w:val="009720BB"/>
    <w:rsid w:val="00972A9A"/>
    <w:rsid w:val="00972B19"/>
    <w:rsid w:val="00973014"/>
    <w:rsid w:val="009733B4"/>
    <w:rsid w:val="009739CC"/>
    <w:rsid w:val="00974544"/>
    <w:rsid w:val="009748B9"/>
    <w:rsid w:val="00974A69"/>
    <w:rsid w:val="00974B9C"/>
    <w:rsid w:val="00974FBC"/>
    <w:rsid w:val="00975161"/>
    <w:rsid w:val="00975666"/>
    <w:rsid w:val="0097569F"/>
    <w:rsid w:val="00975982"/>
    <w:rsid w:val="00977B05"/>
    <w:rsid w:val="009801C6"/>
    <w:rsid w:val="00980237"/>
    <w:rsid w:val="00980902"/>
    <w:rsid w:val="00980E11"/>
    <w:rsid w:val="009811F2"/>
    <w:rsid w:val="00981961"/>
    <w:rsid w:val="00981B21"/>
    <w:rsid w:val="00982006"/>
    <w:rsid w:val="00982196"/>
    <w:rsid w:val="00982C1E"/>
    <w:rsid w:val="00982F13"/>
    <w:rsid w:val="00983233"/>
    <w:rsid w:val="00983C94"/>
    <w:rsid w:val="009849CB"/>
    <w:rsid w:val="00984D8E"/>
    <w:rsid w:val="00985CD7"/>
    <w:rsid w:val="0098614A"/>
    <w:rsid w:val="00986EDE"/>
    <w:rsid w:val="009874CB"/>
    <w:rsid w:val="00987A88"/>
    <w:rsid w:val="00987CDC"/>
    <w:rsid w:val="00990062"/>
    <w:rsid w:val="00990190"/>
    <w:rsid w:val="00991596"/>
    <w:rsid w:val="009918A6"/>
    <w:rsid w:val="00991B34"/>
    <w:rsid w:val="00991C2D"/>
    <w:rsid w:val="0099257D"/>
    <w:rsid w:val="00992631"/>
    <w:rsid w:val="00993278"/>
    <w:rsid w:val="00993B6B"/>
    <w:rsid w:val="00993EA1"/>
    <w:rsid w:val="009941B9"/>
    <w:rsid w:val="00994662"/>
    <w:rsid w:val="00994AAC"/>
    <w:rsid w:val="00994F5A"/>
    <w:rsid w:val="00995457"/>
    <w:rsid w:val="00995BF1"/>
    <w:rsid w:val="00996174"/>
    <w:rsid w:val="0099668B"/>
    <w:rsid w:val="00996768"/>
    <w:rsid w:val="0099762D"/>
    <w:rsid w:val="009978DB"/>
    <w:rsid w:val="00997EAC"/>
    <w:rsid w:val="009A0792"/>
    <w:rsid w:val="009A10FC"/>
    <w:rsid w:val="009A2516"/>
    <w:rsid w:val="009A2759"/>
    <w:rsid w:val="009A3772"/>
    <w:rsid w:val="009A3A21"/>
    <w:rsid w:val="009A4E04"/>
    <w:rsid w:val="009A4FE8"/>
    <w:rsid w:val="009A5414"/>
    <w:rsid w:val="009A6342"/>
    <w:rsid w:val="009A6E8E"/>
    <w:rsid w:val="009A78BA"/>
    <w:rsid w:val="009A7D4A"/>
    <w:rsid w:val="009A7E2D"/>
    <w:rsid w:val="009B1633"/>
    <w:rsid w:val="009B1697"/>
    <w:rsid w:val="009B18ED"/>
    <w:rsid w:val="009B1D2A"/>
    <w:rsid w:val="009B297C"/>
    <w:rsid w:val="009B2D50"/>
    <w:rsid w:val="009B3607"/>
    <w:rsid w:val="009B3C3C"/>
    <w:rsid w:val="009B3FE4"/>
    <w:rsid w:val="009B4524"/>
    <w:rsid w:val="009B45AD"/>
    <w:rsid w:val="009B5119"/>
    <w:rsid w:val="009B5A3A"/>
    <w:rsid w:val="009B5E4F"/>
    <w:rsid w:val="009B62A7"/>
    <w:rsid w:val="009B78FA"/>
    <w:rsid w:val="009B7A50"/>
    <w:rsid w:val="009B7CFE"/>
    <w:rsid w:val="009C0144"/>
    <w:rsid w:val="009C04F5"/>
    <w:rsid w:val="009C0524"/>
    <w:rsid w:val="009C0B5F"/>
    <w:rsid w:val="009C10DB"/>
    <w:rsid w:val="009C319E"/>
    <w:rsid w:val="009C3222"/>
    <w:rsid w:val="009C3ED7"/>
    <w:rsid w:val="009C51F4"/>
    <w:rsid w:val="009C53A5"/>
    <w:rsid w:val="009C54A3"/>
    <w:rsid w:val="009C561D"/>
    <w:rsid w:val="009C5726"/>
    <w:rsid w:val="009C5745"/>
    <w:rsid w:val="009C598F"/>
    <w:rsid w:val="009C62A0"/>
    <w:rsid w:val="009C63AC"/>
    <w:rsid w:val="009C67BA"/>
    <w:rsid w:val="009C7033"/>
    <w:rsid w:val="009C729C"/>
    <w:rsid w:val="009C7571"/>
    <w:rsid w:val="009C7597"/>
    <w:rsid w:val="009C7A02"/>
    <w:rsid w:val="009C7DC9"/>
    <w:rsid w:val="009C7EB2"/>
    <w:rsid w:val="009D01F8"/>
    <w:rsid w:val="009D062F"/>
    <w:rsid w:val="009D08E6"/>
    <w:rsid w:val="009D1063"/>
    <w:rsid w:val="009D1904"/>
    <w:rsid w:val="009D24E1"/>
    <w:rsid w:val="009D2799"/>
    <w:rsid w:val="009D27CF"/>
    <w:rsid w:val="009D337E"/>
    <w:rsid w:val="009D3C02"/>
    <w:rsid w:val="009D43C3"/>
    <w:rsid w:val="009D4562"/>
    <w:rsid w:val="009D5917"/>
    <w:rsid w:val="009D5EE8"/>
    <w:rsid w:val="009D6C93"/>
    <w:rsid w:val="009D7214"/>
    <w:rsid w:val="009D7734"/>
    <w:rsid w:val="009D7967"/>
    <w:rsid w:val="009D7B64"/>
    <w:rsid w:val="009E0AF9"/>
    <w:rsid w:val="009E18FE"/>
    <w:rsid w:val="009E20BE"/>
    <w:rsid w:val="009E2725"/>
    <w:rsid w:val="009E2C8A"/>
    <w:rsid w:val="009E324E"/>
    <w:rsid w:val="009E395A"/>
    <w:rsid w:val="009E3C08"/>
    <w:rsid w:val="009E3FC1"/>
    <w:rsid w:val="009E4A3F"/>
    <w:rsid w:val="009E4B4F"/>
    <w:rsid w:val="009E4E99"/>
    <w:rsid w:val="009E551C"/>
    <w:rsid w:val="009E55A7"/>
    <w:rsid w:val="009E5A25"/>
    <w:rsid w:val="009E5D3C"/>
    <w:rsid w:val="009E6066"/>
    <w:rsid w:val="009E6671"/>
    <w:rsid w:val="009E6F57"/>
    <w:rsid w:val="009E76B6"/>
    <w:rsid w:val="009F0227"/>
    <w:rsid w:val="009F048C"/>
    <w:rsid w:val="009F05C9"/>
    <w:rsid w:val="009F06E2"/>
    <w:rsid w:val="009F090C"/>
    <w:rsid w:val="009F0C7A"/>
    <w:rsid w:val="009F0C9C"/>
    <w:rsid w:val="009F12A3"/>
    <w:rsid w:val="009F13FC"/>
    <w:rsid w:val="009F1941"/>
    <w:rsid w:val="009F1ED6"/>
    <w:rsid w:val="009F22E4"/>
    <w:rsid w:val="009F2320"/>
    <w:rsid w:val="009F2332"/>
    <w:rsid w:val="009F23D4"/>
    <w:rsid w:val="009F29A3"/>
    <w:rsid w:val="009F308D"/>
    <w:rsid w:val="009F30C1"/>
    <w:rsid w:val="009F3B3B"/>
    <w:rsid w:val="009F43BC"/>
    <w:rsid w:val="009F4878"/>
    <w:rsid w:val="009F503E"/>
    <w:rsid w:val="009F5093"/>
    <w:rsid w:val="009F511F"/>
    <w:rsid w:val="009F53E1"/>
    <w:rsid w:val="009F5681"/>
    <w:rsid w:val="009F56BE"/>
    <w:rsid w:val="009F575A"/>
    <w:rsid w:val="009F741A"/>
    <w:rsid w:val="009F7B08"/>
    <w:rsid w:val="00A0195B"/>
    <w:rsid w:val="00A02108"/>
    <w:rsid w:val="00A02A56"/>
    <w:rsid w:val="00A02C3E"/>
    <w:rsid w:val="00A02E31"/>
    <w:rsid w:val="00A02F3F"/>
    <w:rsid w:val="00A02F43"/>
    <w:rsid w:val="00A031D9"/>
    <w:rsid w:val="00A0347C"/>
    <w:rsid w:val="00A034A8"/>
    <w:rsid w:val="00A03BB6"/>
    <w:rsid w:val="00A040FD"/>
    <w:rsid w:val="00A046FA"/>
    <w:rsid w:val="00A0476C"/>
    <w:rsid w:val="00A047C5"/>
    <w:rsid w:val="00A04C99"/>
    <w:rsid w:val="00A052BE"/>
    <w:rsid w:val="00A057F5"/>
    <w:rsid w:val="00A05A66"/>
    <w:rsid w:val="00A064C4"/>
    <w:rsid w:val="00A068A9"/>
    <w:rsid w:val="00A06FA9"/>
    <w:rsid w:val="00A1011E"/>
    <w:rsid w:val="00A10717"/>
    <w:rsid w:val="00A10865"/>
    <w:rsid w:val="00A11514"/>
    <w:rsid w:val="00A117B3"/>
    <w:rsid w:val="00A11C03"/>
    <w:rsid w:val="00A12676"/>
    <w:rsid w:val="00A12BBF"/>
    <w:rsid w:val="00A12E59"/>
    <w:rsid w:val="00A13192"/>
    <w:rsid w:val="00A152A3"/>
    <w:rsid w:val="00A15E95"/>
    <w:rsid w:val="00A16F04"/>
    <w:rsid w:val="00A16FDC"/>
    <w:rsid w:val="00A172F2"/>
    <w:rsid w:val="00A17316"/>
    <w:rsid w:val="00A17753"/>
    <w:rsid w:val="00A17A7F"/>
    <w:rsid w:val="00A2017A"/>
    <w:rsid w:val="00A20D0C"/>
    <w:rsid w:val="00A211DE"/>
    <w:rsid w:val="00A213B8"/>
    <w:rsid w:val="00A213F7"/>
    <w:rsid w:val="00A215DC"/>
    <w:rsid w:val="00A217CA"/>
    <w:rsid w:val="00A21860"/>
    <w:rsid w:val="00A224E9"/>
    <w:rsid w:val="00A2278B"/>
    <w:rsid w:val="00A23871"/>
    <w:rsid w:val="00A24418"/>
    <w:rsid w:val="00A248A3"/>
    <w:rsid w:val="00A24907"/>
    <w:rsid w:val="00A251E8"/>
    <w:rsid w:val="00A252E1"/>
    <w:rsid w:val="00A257CC"/>
    <w:rsid w:val="00A25D7C"/>
    <w:rsid w:val="00A2627C"/>
    <w:rsid w:val="00A26ABD"/>
    <w:rsid w:val="00A27EDF"/>
    <w:rsid w:val="00A27FC9"/>
    <w:rsid w:val="00A302A7"/>
    <w:rsid w:val="00A30B08"/>
    <w:rsid w:val="00A30CE2"/>
    <w:rsid w:val="00A30E34"/>
    <w:rsid w:val="00A30F18"/>
    <w:rsid w:val="00A31DD5"/>
    <w:rsid w:val="00A33DDA"/>
    <w:rsid w:val="00A34070"/>
    <w:rsid w:val="00A3425C"/>
    <w:rsid w:val="00A34932"/>
    <w:rsid w:val="00A34B97"/>
    <w:rsid w:val="00A34EE9"/>
    <w:rsid w:val="00A35A15"/>
    <w:rsid w:val="00A35B44"/>
    <w:rsid w:val="00A35B78"/>
    <w:rsid w:val="00A35C68"/>
    <w:rsid w:val="00A36DBF"/>
    <w:rsid w:val="00A36F7E"/>
    <w:rsid w:val="00A37223"/>
    <w:rsid w:val="00A37491"/>
    <w:rsid w:val="00A37AF2"/>
    <w:rsid w:val="00A37C8C"/>
    <w:rsid w:val="00A37E15"/>
    <w:rsid w:val="00A4039B"/>
    <w:rsid w:val="00A4061D"/>
    <w:rsid w:val="00A40D92"/>
    <w:rsid w:val="00A41C8A"/>
    <w:rsid w:val="00A4219A"/>
    <w:rsid w:val="00A4233B"/>
    <w:rsid w:val="00A43399"/>
    <w:rsid w:val="00A439F3"/>
    <w:rsid w:val="00A44896"/>
    <w:rsid w:val="00A44A8D"/>
    <w:rsid w:val="00A44AE1"/>
    <w:rsid w:val="00A44EB0"/>
    <w:rsid w:val="00A44FA1"/>
    <w:rsid w:val="00A45061"/>
    <w:rsid w:val="00A45BBF"/>
    <w:rsid w:val="00A461B9"/>
    <w:rsid w:val="00A46B59"/>
    <w:rsid w:val="00A4754A"/>
    <w:rsid w:val="00A47ACA"/>
    <w:rsid w:val="00A5034D"/>
    <w:rsid w:val="00A503D4"/>
    <w:rsid w:val="00A50667"/>
    <w:rsid w:val="00A507D6"/>
    <w:rsid w:val="00A5089A"/>
    <w:rsid w:val="00A50E6E"/>
    <w:rsid w:val="00A5143F"/>
    <w:rsid w:val="00A51C75"/>
    <w:rsid w:val="00A51C8E"/>
    <w:rsid w:val="00A51EB7"/>
    <w:rsid w:val="00A51F8E"/>
    <w:rsid w:val="00A52530"/>
    <w:rsid w:val="00A52772"/>
    <w:rsid w:val="00A52C06"/>
    <w:rsid w:val="00A53889"/>
    <w:rsid w:val="00A541C1"/>
    <w:rsid w:val="00A54F5A"/>
    <w:rsid w:val="00A555E6"/>
    <w:rsid w:val="00A5588F"/>
    <w:rsid w:val="00A55B00"/>
    <w:rsid w:val="00A563D6"/>
    <w:rsid w:val="00A567F7"/>
    <w:rsid w:val="00A56849"/>
    <w:rsid w:val="00A574D6"/>
    <w:rsid w:val="00A57A4D"/>
    <w:rsid w:val="00A57E86"/>
    <w:rsid w:val="00A57F8E"/>
    <w:rsid w:val="00A611A0"/>
    <w:rsid w:val="00A6162C"/>
    <w:rsid w:val="00A61D6F"/>
    <w:rsid w:val="00A62CD1"/>
    <w:rsid w:val="00A63211"/>
    <w:rsid w:val="00A632A4"/>
    <w:rsid w:val="00A63AF4"/>
    <w:rsid w:val="00A6489B"/>
    <w:rsid w:val="00A658F3"/>
    <w:rsid w:val="00A66009"/>
    <w:rsid w:val="00A66386"/>
    <w:rsid w:val="00A66C97"/>
    <w:rsid w:val="00A66E65"/>
    <w:rsid w:val="00A66F6B"/>
    <w:rsid w:val="00A67294"/>
    <w:rsid w:val="00A7113F"/>
    <w:rsid w:val="00A7135F"/>
    <w:rsid w:val="00A713A7"/>
    <w:rsid w:val="00A71946"/>
    <w:rsid w:val="00A71A41"/>
    <w:rsid w:val="00A71B8A"/>
    <w:rsid w:val="00A72186"/>
    <w:rsid w:val="00A72405"/>
    <w:rsid w:val="00A72BFB"/>
    <w:rsid w:val="00A72E3A"/>
    <w:rsid w:val="00A73186"/>
    <w:rsid w:val="00A73406"/>
    <w:rsid w:val="00A737C3"/>
    <w:rsid w:val="00A73841"/>
    <w:rsid w:val="00A7444F"/>
    <w:rsid w:val="00A745C6"/>
    <w:rsid w:val="00A7464B"/>
    <w:rsid w:val="00A7476D"/>
    <w:rsid w:val="00A7570F"/>
    <w:rsid w:val="00A7591E"/>
    <w:rsid w:val="00A75A33"/>
    <w:rsid w:val="00A75A8A"/>
    <w:rsid w:val="00A75E39"/>
    <w:rsid w:val="00A76934"/>
    <w:rsid w:val="00A76A3E"/>
    <w:rsid w:val="00A76CD0"/>
    <w:rsid w:val="00A775AA"/>
    <w:rsid w:val="00A77E76"/>
    <w:rsid w:val="00A802FC"/>
    <w:rsid w:val="00A806AA"/>
    <w:rsid w:val="00A80D4F"/>
    <w:rsid w:val="00A81172"/>
    <w:rsid w:val="00A8249A"/>
    <w:rsid w:val="00A82538"/>
    <w:rsid w:val="00A830B0"/>
    <w:rsid w:val="00A832BE"/>
    <w:rsid w:val="00A83666"/>
    <w:rsid w:val="00A83CF6"/>
    <w:rsid w:val="00A84BE6"/>
    <w:rsid w:val="00A84F93"/>
    <w:rsid w:val="00A852A7"/>
    <w:rsid w:val="00A85676"/>
    <w:rsid w:val="00A85D09"/>
    <w:rsid w:val="00A86266"/>
    <w:rsid w:val="00A8650E"/>
    <w:rsid w:val="00A867A9"/>
    <w:rsid w:val="00A86825"/>
    <w:rsid w:val="00A86849"/>
    <w:rsid w:val="00A86DD4"/>
    <w:rsid w:val="00A87A7F"/>
    <w:rsid w:val="00A9046B"/>
    <w:rsid w:val="00A90851"/>
    <w:rsid w:val="00A90E75"/>
    <w:rsid w:val="00A90E81"/>
    <w:rsid w:val="00A90F4C"/>
    <w:rsid w:val="00A9149E"/>
    <w:rsid w:val="00A91715"/>
    <w:rsid w:val="00A91968"/>
    <w:rsid w:val="00A923CF"/>
    <w:rsid w:val="00A92400"/>
    <w:rsid w:val="00A9257B"/>
    <w:rsid w:val="00A92D13"/>
    <w:rsid w:val="00A93911"/>
    <w:rsid w:val="00A93B30"/>
    <w:rsid w:val="00A93E00"/>
    <w:rsid w:val="00A9406F"/>
    <w:rsid w:val="00A94141"/>
    <w:rsid w:val="00A94DCB"/>
    <w:rsid w:val="00A95B8E"/>
    <w:rsid w:val="00A95F70"/>
    <w:rsid w:val="00A9620E"/>
    <w:rsid w:val="00A96265"/>
    <w:rsid w:val="00A96770"/>
    <w:rsid w:val="00A96AAC"/>
    <w:rsid w:val="00A9764E"/>
    <w:rsid w:val="00AA06CA"/>
    <w:rsid w:val="00AA0F95"/>
    <w:rsid w:val="00AA12A4"/>
    <w:rsid w:val="00AA1324"/>
    <w:rsid w:val="00AA18AA"/>
    <w:rsid w:val="00AA18B0"/>
    <w:rsid w:val="00AA24C7"/>
    <w:rsid w:val="00AA254A"/>
    <w:rsid w:val="00AA29EA"/>
    <w:rsid w:val="00AA2D47"/>
    <w:rsid w:val="00AA31E9"/>
    <w:rsid w:val="00AA3376"/>
    <w:rsid w:val="00AA348E"/>
    <w:rsid w:val="00AA34BD"/>
    <w:rsid w:val="00AA3F8B"/>
    <w:rsid w:val="00AA43CB"/>
    <w:rsid w:val="00AA454D"/>
    <w:rsid w:val="00AA62EA"/>
    <w:rsid w:val="00AA65C4"/>
    <w:rsid w:val="00AA6978"/>
    <w:rsid w:val="00AA7080"/>
    <w:rsid w:val="00AA750B"/>
    <w:rsid w:val="00AB0D6E"/>
    <w:rsid w:val="00AB1409"/>
    <w:rsid w:val="00AB15FF"/>
    <w:rsid w:val="00AB16E9"/>
    <w:rsid w:val="00AB36A7"/>
    <w:rsid w:val="00AB3D9E"/>
    <w:rsid w:val="00AB4974"/>
    <w:rsid w:val="00AB497E"/>
    <w:rsid w:val="00AB4A93"/>
    <w:rsid w:val="00AB4DE1"/>
    <w:rsid w:val="00AB5E77"/>
    <w:rsid w:val="00AB618D"/>
    <w:rsid w:val="00AB6BB4"/>
    <w:rsid w:val="00AB6FEA"/>
    <w:rsid w:val="00AB78A9"/>
    <w:rsid w:val="00AB7B7B"/>
    <w:rsid w:val="00AB7C48"/>
    <w:rsid w:val="00AB7CBC"/>
    <w:rsid w:val="00AB7EFD"/>
    <w:rsid w:val="00AC021C"/>
    <w:rsid w:val="00AC03D1"/>
    <w:rsid w:val="00AC12DF"/>
    <w:rsid w:val="00AC1806"/>
    <w:rsid w:val="00AC20FD"/>
    <w:rsid w:val="00AC2855"/>
    <w:rsid w:val="00AC32A6"/>
    <w:rsid w:val="00AC3356"/>
    <w:rsid w:val="00AC3E6C"/>
    <w:rsid w:val="00AC451E"/>
    <w:rsid w:val="00AC5C5D"/>
    <w:rsid w:val="00AC5FB7"/>
    <w:rsid w:val="00AC66D1"/>
    <w:rsid w:val="00AC6892"/>
    <w:rsid w:val="00AC6F46"/>
    <w:rsid w:val="00AC7031"/>
    <w:rsid w:val="00AC71D9"/>
    <w:rsid w:val="00AD0169"/>
    <w:rsid w:val="00AD05D8"/>
    <w:rsid w:val="00AD0658"/>
    <w:rsid w:val="00AD1C51"/>
    <w:rsid w:val="00AD2227"/>
    <w:rsid w:val="00AD36F0"/>
    <w:rsid w:val="00AD3B11"/>
    <w:rsid w:val="00AD4304"/>
    <w:rsid w:val="00AD5043"/>
    <w:rsid w:val="00AD5306"/>
    <w:rsid w:val="00AD57C1"/>
    <w:rsid w:val="00AD647C"/>
    <w:rsid w:val="00AD7440"/>
    <w:rsid w:val="00AE038B"/>
    <w:rsid w:val="00AE0AD2"/>
    <w:rsid w:val="00AE1B19"/>
    <w:rsid w:val="00AE1D03"/>
    <w:rsid w:val="00AE1F9C"/>
    <w:rsid w:val="00AE1FEA"/>
    <w:rsid w:val="00AE243A"/>
    <w:rsid w:val="00AE24C8"/>
    <w:rsid w:val="00AE2C44"/>
    <w:rsid w:val="00AE2E39"/>
    <w:rsid w:val="00AE351F"/>
    <w:rsid w:val="00AE3761"/>
    <w:rsid w:val="00AE3905"/>
    <w:rsid w:val="00AE3CB8"/>
    <w:rsid w:val="00AE3E03"/>
    <w:rsid w:val="00AE4185"/>
    <w:rsid w:val="00AE42CC"/>
    <w:rsid w:val="00AE64AD"/>
    <w:rsid w:val="00AE67E8"/>
    <w:rsid w:val="00AE68F3"/>
    <w:rsid w:val="00AE6933"/>
    <w:rsid w:val="00AE6DA2"/>
    <w:rsid w:val="00AE6FE8"/>
    <w:rsid w:val="00AE7193"/>
    <w:rsid w:val="00AE77A4"/>
    <w:rsid w:val="00AE7B9A"/>
    <w:rsid w:val="00AF0142"/>
    <w:rsid w:val="00AF0722"/>
    <w:rsid w:val="00AF0CDF"/>
    <w:rsid w:val="00AF0ECE"/>
    <w:rsid w:val="00AF1D51"/>
    <w:rsid w:val="00AF238E"/>
    <w:rsid w:val="00AF2648"/>
    <w:rsid w:val="00AF3293"/>
    <w:rsid w:val="00AF3530"/>
    <w:rsid w:val="00AF37F8"/>
    <w:rsid w:val="00AF388A"/>
    <w:rsid w:val="00AF4E2E"/>
    <w:rsid w:val="00AF5670"/>
    <w:rsid w:val="00AF580A"/>
    <w:rsid w:val="00AF5DAD"/>
    <w:rsid w:val="00AF6B19"/>
    <w:rsid w:val="00AF711E"/>
    <w:rsid w:val="00AF7528"/>
    <w:rsid w:val="00AF7867"/>
    <w:rsid w:val="00B00DD6"/>
    <w:rsid w:val="00B01190"/>
    <w:rsid w:val="00B01944"/>
    <w:rsid w:val="00B019BF"/>
    <w:rsid w:val="00B0205E"/>
    <w:rsid w:val="00B020B4"/>
    <w:rsid w:val="00B03697"/>
    <w:rsid w:val="00B03945"/>
    <w:rsid w:val="00B048F4"/>
    <w:rsid w:val="00B04A19"/>
    <w:rsid w:val="00B04D7B"/>
    <w:rsid w:val="00B05336"/>
    <w:rsid w:val="00B05568"/>
    <w:rsid w:val="00B05FFC"/>
    <w:rsid w:val="00B0722B"/>
    <w:rsid w:val="00B0753A"/>
    <w:rsid w:val="00B11022"/>
    <w:rsid w:val="00B113CB"/>
    <w:rsid w:val="00B116DE"/>
    <w:rsid w:val="00B11777"/>
    <w:rsid w:val="00B11807"/>
    <w:rsid w:val="00B11EA6"/>
    <w:rsid w:val="00B11F74"/>
    <w:rsid w:val="00B127A4"/>
    <w:rsid w:val="00B13355"/>
    <w:rsid w:val="00B156D9"/>
    <w:rsid w:val="00B160BC"/>
    <w:rsid w:val="00B16323"/>
    <w:rsid w:val="00B16C6D"/>
    <w:rsid w:val="00B1744D"/>
    <w:rsid w:val="00B17508"/>
    <w:rsid w:val="00B203FE"/>
    <w:rsid w:val="00B20A1C"/>
    <w:rsid w:val="00B212D0"/>
    <w:rsid w:val="00B216AD"/>
    <w:rsid w:val="00B2211E"/>
    <w:rsid w:val="00B22217"/>
    <w:rsid w:val="00B22310"/>
    <w:rsid w:val="00B2245B"/>
    <w:rsid w:val="00B228D3"/>
    <w:rsid w:val="00B229A8"/>
    <w:rsid w:val="00B23336"/>
    <w:rsid w:val="00B237D4"/>
    <w:rsid w:val="00B242FF"/>
    <w:rsid w:val="00B24436"/>
    <w:rsid w:val="00B24E8A"/>
    <w:rsid w:val="00B24EC3"/>
    <w:rsid w:val="00B253E0"/>
    <w:rsid w:val="00B25A1A"/>
    <w:rsid w:val="00B2630D"/>
    <w:rsid w:val="00B26945"/>
    <w:rsid w:val="00B279CC"/>
    <w:rsid w:val="00B27AA0"/>
    <w:rsid w:val="00B30F64"/>
    <w:rsid w:val="00B3112A"/>
    <w:rsid w:val="00B3177F"/>
    <w:rsid w:val="00B31B46"/>
    <w:rsid w:val="00B31BD3"/>
    <w:rsid w:val="00B32C5D"/>
    <w:rsid w:val="00B32F9A"/>
    <w:rsid w:val="00B3309E"/>
    <w:rsid w:val="00B33784"/>
    <w:rsid w:val="00B33B2A"/>
    <w:rsid w:val="00B33E90"/>
    <w:rsid w:val="00B34B26"/>
    <w:rsid w:val="00B35D00"/>
    <w:rsid w:val="00B3661C"/>
    <w:rsid w:val="00B36A25"/>
    <w:rsid w:val="00B375A8"/>
    <w:rsid w:val="00B375D3"/>
    <w:rsid w:val="00B40384"/>
    <w:rsid w:val="00B40394"/>
    <w:rsid w:val="00B406CF"/>
    <w:rsid w:val="00B425B0"/>
    <w:rsid w:val="00B42CC1"/>
    <w:rsid w:val="00B44719"/>
    <w:rsid w:val="00B44E0D"/>
    <w:rsid w:val="00B44FEA"/>
    <w:rsid w:val="00B452F3"/>
    <w:rsid w:val="00B457A1"/>
    <w:rsid w:val="00B4589D"/>
    <w:rsid w:val="00B46396"/>
    <w:rsid w:val="00B473B4"/>
    <w:rsid w:val="00B5182B"/>
    <w:rsid w:val="00B51AEE"/>
    <w:rsid w:val="00B51DC1"/>
    <w:rsid w:val="00B52A96"/>
    <w:rsid w:val="00B52B0C"/>
    <w:rsid w:val="00B52F3B"/>
    <w:rsid w:val="00B53452"/>
    <w:rsid w:val="00B53993"/>
    <w:rsid w:val="00B53F52"/>
    <w:rsid w:val="00B54392"/>
    <w:rsid w:val="00B54823"/>
    <w:rsid w:val="00B54B06"/>
    <w:rsid w:val="00B54D2D"/>
    <w:rsid w:val="00B54D51"/>
    <w:rsid w:val="00B553C4"/>
    <w:rsid w:val="00B5596D"/>
    <w:rsid w:val="00B55AFC"/>
    <w:rsid w:val="00B55D67"/>
    <w:rsid w:val="00B5616A"/>
    <w:rsid w:val="00B563A4"/>
    <w:rsid w:val="00B5657E"/>
    <w:rsid w:val="00B56D12"/>
    <w:rsid w:val="00B57CB3"/>
    <w:rsid w:val="00B57EE3"/>
    <w:rsid w:val="00B608A5"/>
    <w:rsid w:val="00B60CC8"/>
    <w:rsid w:val="00B60D02"/>
    <w:rsid w:val="00B6111D"/>
    <w:rsid w:val="00B612B1"/>
    <w:rsid w:val="00B6137F"/>
    <w:rsid w:val="00B61918"/>
    <w:rsid w:val="00B61FD4"/>
    <w:rsid w:val="00B634F4"/>
    <w:rsid w:val="00B63908"/>
    <w:rsid w:val="00B63A82"/>
    <w:rsid w:val="00B643E7"/>
    <w:rsid w:val="00B644C1"/>
    <w:rsid w:val="00B6520D"/>
    <w:rsid w:val="00B652BD"/>
    <w:rsid w:val="00B65317"/>
    <w:rsid w:val="00B65EBF"/>
    <w:rsid w:val="00B661B2"/>
    <w:rsid w:val="00B663E3"/>
    <w:rsid w:val="00B66627"/>
    <w:rsid w:val="00B66A20"/>
    <w:rsid w:val="00B6700D"/>
    <w:rsid w:val="00B6737D"/>
    <w:rsid w:val="00B673C5"/>
    <w:rsid w:val="00B67E92"/>
    <w:rsid w:val="00B70A5C"/>
    <w:rsid w:val="00B70AD4"/>
    <w:rsid w:val="00B70B3D"/>
    <w:rsid w:val="00B72821"/>
    <w:rsid w:val="00B72B6D"/>
    <w:rsid w:val="00B72C4C"/>
    <w:rsid w:val="00B73994"/>
    <w:rsid w:val="00B73C40"/>
    <w:rsid w:val="00B7587B"/>
    <w:rsid w:val="00B75D2A"/>
    <w:rsid w:val="00B7601A"/>
    <w:rsid w:val="00B760CC"/>
    <w:rsid w:val="00B76315"/>
    <w:rsid w:val="00B76A58"/>
    <w:rsid w:val="00B76D53"/>
    <w:rsid w:val="00B76FDD"/>
    <w:rsid w:val="00B7706C"/>
    <w:rsid w:val="00B770E6"/>
    <w:rsid w:val="00B777F1"/>
    <w:rsid w:val="00B80069"/>
    <w:rsid w:val="00B800F8"/>
    <w:rsid w:val="00B80268"/>
    <w:rsid w:val="00B80927"/>
    <w:rsid w:val="00B81160"/>
    <w:rsid w:val="00B81347"/>
    <w:rsid w:val="00B8144F"/>
    <w:rsid w:val="00B8188E"/>
    <w:rsid w:val="00B82264"/>
    <w:rsid w:val="00B82DA1"/>
    <w:rsid w:val="00B82EF8"/>
    <w:rsid w:val="00B8318D"/>
    <w:rsid w:val="00B8356E"/>
    <w:rsid w:val="00B836EE"/>
    <w:rsid w:val="00B83A78"/>
    <w:rsid w:val="00B83A9B"/>
    <w:rsid w:val="00B84541"/>
    <w:rsid w:val="00B845D5"/>
    <w:rsid w:val="00B854E0"/>
    <w:rsid w:val="00B85B75"/>
    <w:rsid w:val="00B85FB9"/>
    <w:rsid w:val="00B86955"/>
    <w:rsid w:val="00B86C15"/>
    <w:rsid w:val="00B877EF"/>
    <w:rsid w:val="00B879D4"/>
    <w:rsid w:val="00B87B97"/>
    <w:rsid w:val="00B87E9E"/>
    <w:rsid w:val="00B9040D"/>
    <w:rsid w:val="00B90460"/>
    <w:rsid w:val="00B90A92"/>
    <w:rsid w:val="00B90C08"/>
    <w:rsid w:val="00B90DDF"/>
    <w:rsid w:val="00B90F90"/>
    <w:rsid w:val="00B90FDE"/>
    <w:rsid w:val="00B9221B"/>
    <w:rsid w:val="00B924D0"/>
    <w:rsid w:val="00B929FB"/>
    <w:rsid w:val="00B92B94"/>
    <w:rsid w:val="00B92D96"/>
    <w:rsid w:val="00B93243"/>
    <w:rsid w:val="00B93B21"/>
    <w:rsid w:val="00B93C77"/>
    <w:rsid w:val="00B94534"/>
    <w:rsid w:val="00B951A1"/>
    <w:rsid w:val="00B95354"/>
    <w:rsid w:val="00B95CF0"/>
    <w:rsid w:val="00B966E2"/>
    <w:rsid w:val="00B96BB7"/>
    <w:rsid w:val="00B96DCE"/>
    <w:rsid w:val="00B9733D"/>
    <w:rsid w:val="00B97A32"/>
    <w:rsid w:val="00BA0254"/>
    <w:rsid w:val="00BA05F5"/>
    <w:rsid w:val="00BA0ED0"/>
    <w:rsid w:val="00BA0F64"/>
    <w:rsid w:val="00BA1D16"/>
    <w:rsid w:val="00BA26E8"/>
    <w:rsid w:val="00BA2720"/>
    <w:rsid w:val="00BA2800"/>
    <w:rsid w:val="00BA2E2F"/>
    <w:rsid w:val="00BA3818"/>
    <w:rsid w:val="00BA393B"/>
    <w:rsid w:val="00BA3A45"/>
    <w:rsid w:val="00BA3C88"/>
    <w:rsid w:val="00BA459C"/>
    <w:rsid w:val="00BA52A6"/>
    <w:rsid w:val="00BA52F9"/>
    <w:rsid w:val="00BA536F"/>
    <w:rsid w:val="00BA609C"/>
    <w:rsid w:val="00BA6672"/>
    <w:rsid w:val="00BA6BD7"/>
    <w:rsid w:val="00BA6CFA"/>
    <w:rsid w:val="00BA6E11"/>
    <w:rsid w:val="00BA7A4D"/>
    <w:rsid w:val="00BA7D9D"/>
    <w:rsid w:val="00BB0CC1"/>
    <w:rsid w:val="00BB0D54"/>
    <w:rsid w:val="00BB1992"/>
    <w:rsid w:val="00BB1A29"/>
    <w:rsid w:val="00BB2490"/>
    <w:rsid w:val="00BB25DC"/>
    <w:rsid w:val="00BB2F24"/>
    <w:rsid w:val="00BB2F32"/>
    <w:rsid w:val="00BB2FFF"/>
    <w:rsid w:val="00BB35A1"/>
    <w:rsid w:val="00BB377E"/>
    <w:rsid w:val="00BB386F"/>
    <w:rsid w:val="00BB58BA"/>
    <w:rsid w:val="00BB6C27"/>
    <w:rsid w:val="00BB71EC"/>
    <w:rsid w:val="00BB753A"/>
    <w:rsid w:val="00BB7621"/>
    <w:rsid w:val="00BC0060"/>
    <w:rsid w:val="00BC0553"/>
    <w:rsid w:val="00BC1369"/>
    <w:rsid w:val="00BC13F4"/>
    <w:rsid w:val="00BC1618"/>
    <w:rsid w:val="00BC1CAC"/>
    <w:rsid w:val="00BC231C"/>
    <w:rsid w:val="00BC2652"/>
    <w:rsid w:val="00BC3087"/>
    <w:rsid w:val="00BC316E"/>
    <w:rsid w:val="00BC339F"/>
    <w:rsid w:val="00BC361E"/>
    <w:rsid w:val="00BC3BB0"/>
    <w:rsid w:val="00BC3DC0"/>
    <w:rsid w:val="00BC3E30"/>
    <w:rsid w:val="00BC4249"/>
    <w:rsid w:val="00BC4264"/>
    <w:rsid w:val="00BC4C51"/>
    <w:rsid w:val="00BC4D32"/>
    <w:rsid w:val="00BC54A5"/>
    <w:rsid w:val="00BC566C"/>
    <w:rsid w:val="00BC576B"/>
    <w:rsid w:val="00BC5F77"/>
    <w:rsid w:val="00BC63E9"/>
    <w:rsid w:val="00BC681A"/>
    <w:rsid w:val="00BC69E0"/>
    <w:rsid w:val="00BC760D"/>
    <w:rsid w:val="00BC7C2F"/>
    <w:rsid w:val="00BD1C2F"/>
    <w:rsid w:val="00BD28F3"/>
    <w:rsid w:val="00BD29E2"/>
    <w:rsid w:val="00BD2DFA"/>
    <w:rsid w:val="00BD309F"/>
    <w:rsid w:val="00BD400A"/>
    <w:rsid w:val="00BD5DE6"/>
    <w:rsid w:val="00BD64B6"/>
    <w:rsid w:val="00BD6ADC"/>
    <w:rsid w:val="00BD6E88"/>
    <w:rsid w:val="00BD74FD"/>
    <w:rsid w:val="00BD7CE2"/>
    <w:rsid w:val="00BD7F0C"/>
    <w:rsid w:val="00BE09B3"/>
    <w:rsid w:val="00BE0C7A"/>
    <w:rsid w:val="00BE1535"/>
    <w:rsid w:val="00BE18F1"/>
    <w:rsid w:val="00BE1BF1"/>
    <w:rsid w:val="00BE1FC4"/>
    <w:rsid w:val="00BE23CE"/>
    <w:rsid w:val="00BE2526"/>
    <w:rsid w:val="00BE26D7"/>
    <w:rsid w:val="00BE33FF"/>
    <w:rsid w:val="00BE3D52"/>
    <w:rsid w:val="00BE417A"/>
    <w:rsid w:val="00BE43E7"/>
    <w:rsid w:val="00BE46B4"/>
    <w:rsid w:val="00BE4A0A"/>
    <w:rsid w:val="00BE4B2A"/>
    <w:rsid w:val="00BE521A"/>
    <w:rsid w:val="00BE5396"/>
    <w:rsid w:val="00BE5AAF"/>
    <w:rsid w:val="00BE7217"/>
    <w:rsid w:val="00BE72E8"/>
    <w:rsid w:val="00BE7B0D"/>
    <w:rsid w:val="00BE7B4C"/>
    <w:rsid w:val="00BE7B9E"/>
    <w:rsid w:val="00BF09EC"/>
    <w:rsid w:val="00BF0D7D"/>
    <w:rsid w:val="00BF10DA"/>
    <w:rsid w:val="00BF154B"/>
    <w:rsid w:val="00BF19A9"/>
    <w:rsid w:val="00BF1B5C"/>
    <w:rsid w:val="00BF2330"/>
    <w:rsid w:val="00BF2587"/>
    <w:rsid w:val="00BF26D9"/>
    <w:rsid w:val="00BF406F"/>
    <w:rsid w:val="00BF40CE"/>
    <w:rsid w:val="00BF412B"/>
    <w:rsid w:val="00BF46AD"/>
    <w:rsid w:val="00BF4DBA"/>
    <w:rsid w:val="00BF5409"/>
    <w:rsid w:val="00BF56D5"/>
    <w:rsid w:val="00BF5D2A"/>
    <w:rsid w:val="00BF638A"/>
    <w:rsid w:val="00BF7FAB"/>
    <w:rsid w:val="00C00738"/>
    <w:rsid w:val="00C00A41"/>
    <w:rsid w:val="00C00D09"/>
    <w:rsid w:val="00C00D0B"/>
    <w:rsid w:val="00C01532"/>
    <w:rsid w:val="00C017DB"/>
    <w:rsid w:val="00C01B61"/>
    <w:rsid w:val="00C03133"/>
    <w:rsid w:val="00C03DBF"/>
    <w:rsid w:val="00C04308"/>
    <w:rsid w:val="00C04F4E"/>
    <w:rsid w:val="00C063D3"/>
    <w:rsid w:val="00C10240"/>
    <w:rsid w:val="00C10608"/>
    <w:rsid w:val="00C10736"/>
    <w:rsid w:val="00C107D8"/>
    <w:rsid w:val="00C10CC7"/>
    <w:rsid w:val="00C11306"/>
    <w:rsid w:val="00C119DB"/>
    <w:rsid w:val="00C11FA1"/>
    <w:rsid w:val="00C1200F"/>
    <w:rsid w:val="00C12985"/>
    <w:rsid w:val="00C12B08"/>
    <w:rsid w:val="00C13027"/>
    <w:rsid w:val="00C1315D"/>
    <w:rsid w:val="00C13C05"/>
    <w:rsid w:val="00C145C0"/>
    <w:rsid w:val="00C146C3"/>
    <w:rsid w:val="00C14901"/>
    <w:rsid w:val="00C14BD8"/>
    <w:rsid w:val="00C1522E"/>
    <w:rsid w:val="00C16630"/>
    <w:rsid w:val="00C16B7E"/>
    <w:rsid w:val="00C16D7F"/>
    <w:rsid w:val="00C16F66"/>
    <w:rsid w:val="00C16FB3"/>
    <w:rsid w:val="00C16FE6"/>
    <w:rsid w:val="00C170C0"/>
    <w:rsid w:val="00C1720C"/>
    <w:rsid w:val="00C17735"/>
    <w:rsid w:val="00C17743"/>
    <w:rsid w:val="00C20DA9"/>
    <w:rsid w:val="00C216E1"/>
    <w:rsid w:val="00C219F8"/>
    <w:rsid w:val="00C223DB"/>
    <w:rsid w:val="00C22846"/>
    <w:rsid w:val="00C23A00"/>
    <w:rsid w:val="00C23C9C"/>
    <w:rsid w:val="00C23F32"/>
    <w:rsid w:val="00C242F2"/>
    <w:rsid w:val="00C2453F"/>
    <w:rsid w:val="00C24951"/>
    <w:rsid w:val="00C24FFF"/>
    <w:rsid w:val="00C25637"/>
    <w:rsid w:val="00C25B26"/>
    <w:rsid w:val="00C2608B"/>
    <w:rsid w:val="00C263FA"/>
    <w:rsid w:val="00C264F7"/>
    <w:rsid w:val="00C268ED"/>
    <w:rsid w:val="00C26AED"/>
    <w:rsid w:val="00C26C11"/>
    <w:rsid w:val="00C2708E"/>
    <w:rsid w:val="00C27F01"/>
    <w:rsid w:val="00C30637"/>
    <w:rsid w:val="00C30C92"/>
    <w:rsid w:val="00C324E2"/>
    <w:rsid w:val="00C33CE3"/>
    <w:rsid w:val="00C33DAE"/>
    <w:rsid w:val="00C341A3"/>
    <w:rsid w:val="00C34465"/>
    <w:rsid w:val="00C348CA"/>
    <w:rsid w:val="00C3493A"/>
    <w:rsid w:val="00C34AD0"/>
    <w:rsid w:val="00C34B4C"/>
    <w:rsid w:val="00C34B87"/>
    <w:rsid w:val="00C34E90"/>
    <w:rsid w:val="00C34F55"/>
    <w:rsid w:val="00C34F85"/>
    <w:rsid w:val="00C3544E"/>
    <w:rsid w:val="00C35578"/>
    <w:rsid w:val="00C359FF"/>
    <w:rsid w:val="00C35D7B"/>
    <w:rsid w:val="00C368A0"/>
    <w:rsid w:val="00C36A03"/>
    <w:rsid w:val="00C36B30"/>
    <w:rsid w:val="00C36DD7"/>
    <w:rsid w:val="00C37039"/>
    <w:rsid w:val="00C37DE4"/>
    <w:rsid w:val="00C40B1A"/>
    <w:rsid w:val="00C412EB"/>
    <w:rsid w:val="00C4136A"/>
    <w:rsid w:val="00C42F06"/>
    <w:rsid w:val="00C42F35"/>
    <w:rsid w:val="00C43E54"/>
    <w:rsid w:val="00C43FDA"/>
    <w:rsid w:val="00C441C0"/>
    <w:rsid w:val="00C4450B"/>
    <w:rsid w:val="00C4474F"/>
    <w:rsid w:val="00C449A9"/>
    <w:rsid w:val="00C44BD3"/>
    <w:rsid w:val="00C44CC8"/>
    <w:rsid w:val="00C44D49"/>
    <w:rsid w:val="00C462DA"/>
    <w:rsid w:val="00C46824"/>
    <w:rsid w:val="00C46F94"/>
    <w:rsid w:val="00C472A6"/>
    <w:rsid w:val="00C472DD"/>
    <w:rsid w:val="00C50A57"/>
    <w:rsid w:val="00C516DE"/>
    <w:rsid w:val="00C51A02"/>
    <w:rsid w:val="00C5312C"/>
    <w:rsid w:val="00C5385F"/>
    <w:rsid w:val="00C53A27"/>
    <w:rsid w:val="00C54101"/>
    <w:rsid w:val="00C5485F"/>
    <w:rsid w:val="00C5495E"/>
    <w:rsid w:val="00C54D63"/>
    <w:rsid w:val="00C558DC"/>
    <w:rsid w:val="00C55CD4"/>
    <w:rsid w:val="00C565BB"/>
    <w:rsid w:val="00C56C38"/>
    <w:rsid w:val="00C56C3A"/>
    <w:rsid w:val="00C56DE6"/>
    <w:rsid w:val="00C571E3"/>
    <w:rsid w:val="00C57257"/>
    <w:rsid w:val="00C5740C"/>
    <w:rsid w:val="00C578FA"/>
    <w:rsid w:val="00C57AEA"/>
    <w:rsid w:val="00C57D7D"/>
    <w:rsid w:val="00C57F50"/>
    <w:rsid w:val="00C607D8"/>
    <w:rsid w:val="00C60C11"/>
    <w:rsid w:val="00C60D0E"/>
    <w:rsid w:val="00C625BC"/>
    <w:rsid w:val="00C62CE1"/>
    <w:rsid w:val="00C62DF2"/>
    <w:rsid w:val="00C63E2D"/>
    <w:rsid w:val="00C6403B"/>
    <w:rsid w:val="00C64373"/>
    <w:rsid w:val="00C6453E"/>
    <w:rsid w:val="00C64E1A"/>
    <w:rsid w:val="00C65564"/>
    <w:rsid w:val="00C65C4E"/>
    <w:rsid w:val="00C65E22"/>
    <w:rsid w:val="00C65F81"/>
    <w:rsid w:val="00C66482"/>
    <w:rsid w:val="00C665B2"/>
    <w:rsid w:val="00C678B5"/>
    <w:rsid w:val="00C67A3F"/>
    <w:rsid w:val="00C67A4C"/>
    <w:rsid w:val="00C70B64"/>
    <w:rsid w:val="00C70CD5"/>
    <w:rsid w:val="00C717EA"/>
    <w:rsid w:val="00C71E54"/>
    <w:rsid w:val="00C72D48"/>
    <w:rsid w:val="00C72EE6"/>
    <w:rsid w:val="00C73108"/>
    <w:rsid w:val="00C73FE2"/>
    <w:rsid w:val="00C7409F"/>
    <w:rsid w:val="00C7467D"/>
    <w:rsid w:val="00C7516A"/>
    <w:rsid w:val="00C758B6"/>
    <w:rsid w:val="00C75C94"/>
    <w:rsid w:val="00C760AD"/>
    <w:rsid w:val="00C768B8"/>
    <w:rsid w:val="00C769A8"/>
    <w:rsid w:val="00C76AD0"/>
    <w:rsid w:val="00C76CC4"/>
    <w:rsid w:val="00C7739E"/>
    <w:rsid w:val="00C80545"/>
    <w:rsid w:val="00C8100A"/>
    <w:rsid w:val="00C81372"/>
    <w:rsid w:val="00C81BB5"/>
    <w:rsid w:val="00C82667"/>
    <w:rsid w:val="00C82807"/>
    <w:rsid w:val="00C829E9"/>
    <w:rsid w:val="00C82E3B"/>
    <w:rsid w:val="00C83178"/>
    <w:rsid w:val="00C83973"/>
    <w:rsid w:val="00C83F09"/>
    <w:rsid w:val="00C84241"/>
    <w:rsid w:val="00C843C1"/>
    <w:rsid w:val="00C84412"/>
    <w:rsid w:val="00C85019"/>
    <w:rsid w:val="00C852F1"/>
    <w:rsid w:val="00C85417"/>
    <w:rsid w:val="00C85578"/>
    <w:rsid w:val="00C85BE5"/>
    <w:rsid w:val="00C85C7D"/>
    <w:rsid w:val="00C86311"/>
    <w:rsid w:val="00C86733"/>
    <w:rsid w:val="00C86C88"/>
    <w:rsid w:val="00C86F8D"/>
    <w:rsid w:val="00C87030"/>
    <w:rsid w:val="00C87345"/>
    <w:rsid w:val="00C87FA0"/>
    <w:rsid w:val="00C91B33"/>
    <w:rsid w:val="00C91EFD"/>
    <w:rsid w:val="00C927AA"/>
    <w:rsid w:val="00C92F72"/>
    <w:rsid w:val="00C92FD9"/>
    <w:rsid w:val="00C933A8"/>
    <w:rsid w:val="00C9367A"/>
    <w:rsid w:val="00C937E1"/>
    <w:rsid w:val="00C93BF3"/>
    <w:rsid w:val="00C93C98"/>
    <w:rsid w:val="00C93EA8"/>
    <w:rsid w:val="00C94437"/>
    <w:rsid w:val="00C95245"/>
    <w:rsid w:val="00C95A98"/>
    <w:rsid w:val="00C95D1E"/>
    <w:rsid w:val="00C965AA"/>
    <w:rsid w:val="00C96C42"/>
    <w:rsid w:val="00C96DE0"/>
    <w:rsid w:val="00C97ECA"/>
    <w:rsid w:val="00C97F6B"/>
    <w:rsid w:val="00CA072C"/>
    <w:rsid w:val="00CA110A"/>
    <w:rsid w:val="00CA1B28"/>
    <w:rsid w:val="00CA2194"/>
    <w:rsid w:val="00CA2916"/>
    <w:rsid w:val="00CA2FB7"/>
    <w:rsid w:val="00CA30D0"/>
    <w:rsid w:val="00CA310A"/>
    <w:rsid w:val="00CA32B7"/>
    <w:rsid w:val="00CA36AD"/>
    <w:rsid w:val="00CA3D0B"/>
    <w:rsid w:val="00CA440C"/>
    <w:rsid w:val="00CA45AE"/>
    <w:rsid w:val="00CA4700"/>
    <w:rsid w:val="00CA4E2F"/>
    <w:rsid w:val="00CA4E47"/>
    <w:rsid w:val="00CA52D9"/>
    <w:rsid w:val="00CA5AB3"/>
    <w:rsid w:val="00CA5ECD"/>
    <w:rsid w:val="00CA6065"/>
    <w:rsid w:val="00CA61B8"/>
    <w:rsid w:val="00CA64BF"/>
    <w:rsid w:val="00CA64D7"/>
    <w:rsid w:val="00CA64ED"/>
    <w:rsid w:val="00CA6F70"/>
    <w:rsid w:val="00CA71D5"/>
    <w:rsid w:val="00CA7535"/>
    <w:rsid w:val="00CA7AB5"/>
    <w:rsid w:val="00CA7E63"/>
    <w:rsid w:val="00CA7EF9"/>
    <w:rsid w:val="00CB01E7"/>
    <w:rsid w:val="00CB0B74"/>
    <w:rsid w:val="00CB0F04"/>
    <w:rsid w:val="00CB0FF0"/>
    <w:rsid w:val="00CB1B82"/>
    <w:rsid w:val="00CB1C9B"/>
    <w:rsid w:val="00CB2A2C"/>
    <w:rsid w:val="00CB2E4D"/>
    <w:rsid w:val="00CB486E"/>
    <w:rsid w:val="00CB521C"/>
    <w:rsid w:val="00CB5AA7"/>
    <w:rsid w:val="00CB624F"/>
    <w:rsid w:val="00CB6365"/>
    <w:rsid w:val="00CB6609"/>
    <w:rsid w:val="00CB6647"/>
    <w:rsid w:val="00CB6EA7"/>
    <w:rsid w:val="00CB7771"/>
    <w:rsid w:val="00CB7EA1"/>
    <w:rsid w:val="00CC0053"/>
    <w:rsid w:val="00CC079A"/>
    <w:rsid w:val="00CC09F0"/>
    <w:rsid w:val="00CC25D5"/>
    <w:rsid w:val="00CC2948"/>
    <w:rsid w:val="00CC3B14"/>
    <w:rsid w:val="00CC4E0D"/>
    <w:rsid w:val="00CC5612"/>
    <w:rsid w:val="00CC5868"/>
    <w:rsid w:val="00CC605A"/>
    <w:rsid w:val="00CC66FE"/>
    <w:rsid w:val="00CC6FCE"/>
    <w:rsid w:val="00CC770B"/>
    <w:rsid w:val="00CC7CA9"/>
    <w:rsid w:val="00CC7D7D"/>
    <w:rsid w:val="00CD0306"/>
    <w:rsid w:val="00CD032E"/>
    <w:rsid w:val="00CD0682"/>
    <w:rsid w:val="00CD07CB"/>
    <w:rsid w:val="00CD11CF"/>
    <w:rsid w:val="00CD1279"/>
    <w:rsid w:val="00CD13A0"/>
    <w:rsid w:val="00CD1625"/>
    <w:rsid w:val="00CD1ABA"/>
    <w:rsid w:val="00CD262E"/>
    <w:rsid w:val="00CD27FC"/>
    <w:rsid w:val="00CD2899"/>
    <w:rsid w:val="00CD2B80"/>
    <w:rsid w:val="00CD3416"/>
    <w:rsid w:val="00CD3711"/>
    <w:rsid w:val="00CD3D77"/>
    <w:rsid w:val="00CD411F"/>
    <w:rsid w:val="00CD416E"/>
    <w:rsid w:val="00CD43DA"/>
    <w:rsid w:val="00CD4788"/>
    <w:rsid w:val="00CD4BD6"/>
    <w:rsid w:val="00CD57BA"/>
    <w:rsid w:val="00CD594D"/>
    <w:rsid w:val="00CD5B4B"/>
    <w:rsid w:val="00CD5F1A"/>
    <w:rsid w:val="00CD6063"/>
    <w:rsid w:val="00CD6DB1"/>
    <w:rsid w:val="00CD748B"/>
    <w:rsid w:val="00CD74A1"/>
    <w:rsid w:val="00CD7775"/>
    <w:rsid w:val="00CE009B"/>
    <w:rsid w:val="00CE0D8A"/>
    <w:rsid w:val="00CE0F16"/>
    <w:rsid w:val="00CE1A47"/>
    <w:rsid w:val="00CE2E3E"/>
    <w:rsid w:val="00CE3542"/>
    <w:rsid w:val="00CE3C22"/>
    <w:rsid w:val="00CE3F98"/>
    <w:rsid w:val="00CE43A7"/>
    <w:rsid w:val="00CE4D31"/>
    <w:rsid w:val="00CE51D3"/>
    <w:rsid w:val="00CE5AD4"/>
    <w:rsid w:val="00CE5C2D"/>
    <w:rsid w:val="00CE5D00"/>
    <w:rsid w:val="00CE60AA"/>
    <w:rsid w:val="00CE632C"/>
    <w:rsid w:val="00CE64CA"/>
    <w:rsid w:val="00CE654C"/>
    <w:rsid w:val="00CE7263"/>
    <w:rsid w:val="00CE7397"/>
    <w:rsid w:val="00CE7A26"/>
    <w:rsid w:val="00CE7DCA"/>
    <w:rsid w:val="00CF0301"/>
    <w:rsid w:val="00CF0B2C"/>
    <w:rsid w:val="00CF14E5"/>
    <w:rsid w:val="00CF1AF1"/>
    <w:rsid w:val="00CF202D"/>
    <w:rsid w:val="00CF20E4"/>
    <w:rsid w:val="00CF245B"/>
    <w:rsid w:val="00CF2B59"/>
    <w:rsid w:val="00CF38E8"/>
    <w:rsid w:val="00CF3C89"/>
    <w:rsid w:val="00CF4100"/>
    <w:rsid w:val="00CF4BEB"/>
    <w:rsid w:val="00CF4D5A"/>
    <w:rsid w:val="00CF5055"/>
    <w:rsid w:val="00CF52CF"/>
    <w:rsid w:val="00CF53FB"/>
    <w:rsid w:val="00CF544A"/>
    <w:rsid w:val="00CF555E"/>
    <w:rsid w:val="00CF5D30"/>
    <w:rsid w:val="00CF6066"/>
    <w:rsid w:val="00CF68FB"/>
    <w:rsid w:val="00CF69A8"/>
    <w:rsid w:val="00CF6AFE"/>
    <w:rsid w:val="00CF6E26"/>
    <w:rsid w:val="00CF727E"/>
    <w:rsid w:val="00CF7B52"/>
    <w:rsid w:val="00CF7D62"/>
    <w:rsid w:val="00D0083C"/>
    <w:rsid w:val="00D012BE"/>
    <w:rsid w:val="00D01A1F"/>
    <w:rsid w:val="00D01DA6"/>
    <w:rsid w:val="00D02590"/>
    <w:rsid w:val="00D02680"/>
    <w:rsid w:val="00D026DD"/>
    <w:rsid w:val="00D0270A"/>
    <w:rsid w:val="00D02840"/>
    <w:rsid w:val="00D0432F"/>
    <w:rsid w:val="00D04609"/>
    <w:rsid w:val="00D047AF"/>
    <w:rsid w:val="00D05266"/>
    <w:rsid w:val="00D062C1"/>
    <w:rsid w:val="00D06475"/>
    <w:rsid w:val="00D064E1"/>
    <w:rsid w:val="00D06992"/>
    <w:rsid w:val="00D06A72"/>
    <w:rsid w:val="00D06BFE"/>
    <w:rsid w:val="00D071B2"/>
    <w:rsid w:val="00D071F5"/>
    <w:rsid w:val="00D07797"/>
    <w:rsid w:val="00D07801"/>
    <w:rsid w:val="00D079E7"/>
    <w:rsid w:val="00D07A7F"/>
    <w:rsid w:val="00D07C65"/>
    <w:rsid w:val="00D07DCF"/>
    <w:rsid w:val="00D10F97"/>
    <w:rsid w:val="00D1143E"/>
    <w:rsid w:val="00D11B45"/>
    <w:rsid w:val="00D12440"/>
    <w:rsid w:val="00D126B4"/>
    <w:rsid w:val="00D12EA1"/>
    <w:rsid w:val="00D1366E"/>
    <w:rsid w:val="00D138BD"/>
    <w:rsid w:val="00D13ADD"/>
    <w:rsid w:val="00D13BC2"/>
    <w:rsid w:val="00D13FFC"/>
    <w:rsid w:val="00D1457E"/>
    <w:rsid w:val="00D148E6"/>
    <w:rsid w:val="00D14B55"/>
    <w:rsid w:val="00D14C91"/>
    <w:rsid w:val="00D16204"/>
    <w:rsid w:val="00D16649"/>
    <w:rsid w:val="00D1664F"/>
    <w:rsid w:val="00D16B72"/>
    <w:rsid w:val="00D16C42"/>
    <w:rsid w:val="00D16D8E"/>
    <w:rsid w:val="00D17166"/>
    <w:rsid w:val="00D1748D"/>
    <w:rsid w:val="00D200D9"/>
    <w:rsid w:val="00D20729"/>
    <w:rsid w:val="00D20B2A"/>
    <w:rsid w:val="00D21616"/>
    <w:rsid w:val="00D2175D"/>
    <w:rsid w:val="00D217BE"/>
    <w:rsid w:val="00D21B02"/>
    <w:rsid w:val="00D21F40"/>
    <w:rsid w:val="00D223F3"/>
    <w:rsid w:val="00D22696"/>
    <w:rsid w:val="00D2277C"/>
    <w:rsid w:val="00D22C78"/>
    <w:rsid w:val="00D22DEA"/>
    <w:rsid w:val="00D22EFD"/>
    <w:rsid w:val="00D232BA"/>
    <w:rsid w:val="00D23674"/>
    <w:rsid w:val="00D24579"/>
    <w:rsid w:val="00D247C7"/>
    <w:rsid w:val="00D24B3C"/>
    <w:rsid w:val="00D25376"/>
    <w:rsid w:val="00D25906"/>
    <w:rsid w:val="00D25DA7"/>
    <w:rsid w:val="00D26364"/>
    <w:rsid w:val="00D26B26"/>
    <w:rsid w:val="00D26B57"/>
    <w:rsid w:val="00D27954"/>
    <w:rsid w:val="00D3045F"/>
    <w:rsid w:val="00D31CFF"/>
    <w:rsid w:val="00D31E39"/>
    <w:rsid w:val="00D321A3"/>
    <w:rsid w:val="00D32305"/>
    <w:rsid w:val="00D327BD"/>
    <w:rsid w:val="00D328BC"/>
    <w:rsid w:val="00D32E17"/>
    <w:rsid w:val="00D33600"/>
    <w:rsid w:val="00D33CBD"/>
    <w:rsid w:val="00D33E0C"/>
    <w:rsid w:val="00D3453B"/>
    <w:rsid w:val="00D347C4"/>
    <w:rsid w:val="00D34E9E"/>
    <w:rsid w:val="00D34F0D"/>
    <w:rsid w:val="00D352CE"/>
    <w:rsid w:val="00D353A9"/>
    <w:rsid w:val="00D35665"/>
    <w:rsid w:val="00D35813"/>
    <w:rsid w:val="00D35874"/>
    <w:rsid w:val="00D35BB9"/>
    <w:rsid w:val="00D35F0E"/>
    <w:rsid w:val="00D3604F"/>
    <w:rsid w:val="00D361E0"/>
    <w:rsid w:val="00D3647B"/>
    <w:rsid w:val="00D37220"/>
    <w:rsid w:val="00D37B47"/>
    <w:rsid w:val="00D37B84"/>
    <w:rsid w:val="00D37E02"/>
    <w:rsid w:val="00D4025A"/>
    <w:rsid w:val="00D40400"/>
    <w:rsid w:val="00D40461"/>
    <w:rsid w:val="00D41046"/>
    <w:rsid w:val="00D41D4E"/>
    <w:rsid w:val="00D424CE"/>
    <w:rsid w:val="00D425AE"/>
    <w:rsid w:val="00D4325B"/>
    <w:rsid w:val="00D44633"/>
    <w:rsid w:val="00D449AF"/>
    <w:rsid w:val="00D449D1"/>
    <w:rsid w:val="00D453E3"/>
    <w:rsid w:val="00D4545F"/>
    <w:rsid w:val="00D45A34"/>
    <w:rsid w:val="00D45C02"/>
    <w:rsid w:val="00D46370"/>
    <w:rsid w:val="00D46DCF"/>
    <w:rsid w:val="00D470FA"/>
    <w:rsid w:val="00D47317"/>
    <w:rsid w:val="00D47E29"/>
    <w:rsid w:val="00D47E63"/>
    <w:rsid w:val="00D47EB1"/>
    <w:rsid w:val="00D5084F"/>
    <w:rsid w:val="00D510AC"/>
    <w:rsid w:val="00D511CF"/>
    <w:rsid w:val="00D517A5"/>
    <w:rsid w:val="00D51C02"/>
    <w:rsid w:val="00D51CE2"/>
    <w:rsid w:val="00D51EB3"/>
    <w:rsid w:val="00D520E2"/>
    <w:rsid w:val="00D524EB"/>
    <w:rsid w:val="00D52BE7"/>
    <w:rsid w:val="00D53870"/>
    <w:rsid w:val="00D53DFE"/>
    <w:rsid w:val="00D5439E"/>
    <w:rsid w:val="00D543FA"/>
    <w:rsid w:val="00D544AC"/>
    <w:rsid w:val="00D54575"/>
    <w:rsid w:val="00D54601"/>
    <w:rsid w:val="00D54886"/>
    <w:rsid w:val="00D553AF"/>
    <w:rsid w:val="00D55887"/>
    <w:rsid w:val="00D564CE"/>
    <w:rsid w:val="00D56565"/>
    <w:rsid w:val="00D56925"/>
    <w:rsid w:val="00D56A0F"/>
    <w:rsid w:val="00D56C37"/>
    <w:rsid w:val="00D56FC4"/>
    <w:rsid w:val="00D572D1"/>
    <w:rsid w:val="00D57CCC"/>
    <w:rsid w:val="00D605AD"/>
    <w:rsid w:val="00D60950"/>
    <w:rsid w:val="00D60A06"/>
    <w:rsid w:val="00D61357"/>
    <w:rsid w:val="00D614EE"/>
    <w:rsid w:val="00D61639"/>
    <w:rsid w:val="00D619C8"/>
    <w:rsid w:val="00D62943"/>
    <w:rsid w:val="00D63068"/>
    <w:rsid w:val="00D637C9"/>
    <w:rsid w:val="00D639D2"/>
    <w:rsid w:val="00D6417B"/>
    <w:rsid w:val="00D643F7"/>
    <w:rsid w:val="00D653EA"/>
    <w:rsid w:val="00D65740"/>
    <w:rsid w:val="00D659D5"/>
    <w:rsid w:val="00D65E92"/>
    <w:rsid w:val="00D6649D"/>
    <w:rsid w:val="00D669D8"/>
    <w:rsid w:val="00D66A8E"/>
    <w:rsid w:val="00D66AAA"/>
    <w:rsid w:val="00D66D2B"/>
    <w:rsid w:val="00D66E28"/>
    <w:rsid w:val="00D6766D"/>
    <w:rsid w:val="00D67768"/>
    <w:rsid w:val="00D67A7A"/>
    <w:rsid w:val="00D67BB3"/>
    <w:rsid w:val="00D67BBC"/>
    <w:rsid w:val="00D7048D"/>
    <w:rsid w:val="00D7142A"/>
    <w:rsid w:val="00D735B5"/>
    <w:rsid w:val="00D73DA4"/>
    <w:rsid w:val="00D73FC3"/>
    <w:rsid w:val="00D747E0"/>
    <w:rsid w:val="00D74933"/>
    <w:rsid w:val="00D74CB2"/>
    <w:rsid w:val="00D75063"/>
    <w:rsid w:val="00D750A4"/>
    <w:rsid w:val="00D75FBC"/>
    <w:rsid w:val="00D76F0F"/>
    <w:rsid w:val="00D8070D"/>
    <w:rsid w:val="00D80C09"/>
    <w:rsid w:val="00D80D8F"/>
    <w:rsid w:val="00D80E07"/>
    <w:rsid w:val="00D80ECD"/>
    <w:rsid w:val="00D812A4"/>
    <w:rsid w:val="00D8184E"/>
    <w:rsid w:val="00D818CC"/>
    <w:rsid w:val="00D820A0"/>
    <w:rsid w:val="00D821EC"/>
    <w:rsid w:val="00D823A7"/>
    <w:rsid w:val="00D82459"/>
    <w:rsid w:val="00D82915"/>
    <w:rsid w:val="00D82B10"/>
    <w:rsid w:val="00D83B2B"/>
    <w:rsid w:val="00D83C52"/>
    <w:rsid w:val="00D83EC1"/>
    <w:rsid w:val="00D840F2"/>
    <w:rsid w:val="00D84287"/>
    <w:rsid w:val="00D84853"/>
    <w:rsid w:val="00D84C56"/>
    <w:rsid w:val="00D8587B"/>
    <w:rsid w:val="00D8651F"/>
    <w:rsid w:val="00D867D2"/>
    <w:rsid w:val="00D87220"/>
    <w:rsid w:val="00D8727C"/>
    <w:rsid w:val="00D87B2C"/>
    <w:rsid w:val="00D87D41"/>
    <w:rsid w:val="00D90840"/>
    <w:rsid w:val="00D9095B"/>
    <w:rsid w:val="00D90FD0"/>
    <w:rsid w:val="00D9159B"/>
    <w:rsid w:val="00D91662"/>
    <w:rsid w:val="00D9182D"/>
    <w:rsid w:val="00D9196A"/>
    <w:rsid w:val="00D93982"/>
    <w:rsid w:val="00D93B18"/>
    <w:rsid w:val="00D93B5B"/>
    <w:rsid w:val="00D940B3"/>
    <w:rsid w:val="00D940F6"/>
    <w:rsid w:val="00D943F0"/>
    <w:rsid w:val="00D9462C"/>
    <w:rsid w:val="00D94815"/>
    <w:rsid w:val="00D94AAA"/>
    <w:rsid w:val="00D94AAB"/>
    <w:rsid w:val="00D95279"/>
    <w:rsid w:val="00D957B3"/>
    <w:rsid w:val="00D95D5E"/>
    <w:rsid w:val="00D95F01"/>
    <w:rsid w:val="00D962D1"/>
    <w:rsid w:val="00D96586"/>
    <w:rsid w:val="00D965C4"/>
    <w:rsid w:val="00D967B1"/>
    <w:rsid w:val="00D96C19"/>
    <w:rsid w:val="00D97708"/>
    <w:rsid w:val="00D9779F"/>
    <w:rsid w:val="00D97A54"/>
    <w:rsid w:val="00D97C9B"/>
    <w:rsid w:val="00D97D3C"/>
    <w:rsid w:val="00DA050B"/>
    <w:rsid w:val="00DA05CA"/>
    <w:rsid w:val="00DA0ACF"/>
    <w:rsid w:val="00DA1493"/>
    <w:rsid w:val="00DA154B"/>
    <w:rsid w:val="00DA169B"/>
    <w:rsid w:val="00DA1BE1"/>
    <w:rsid w:val="00DA1D8E"/>
    <w:rsid w:val="00DA1EC5"/>
    <w:rsid w:val="00DA1F54"/>
    <w:rsid w:val="00DA21A5"/>
    <w:rsid w:val="00DA33BF"/>
    <w:rsid w:val="00DA33CF"/>
    <w:rsid w:val="00DA37CC"/>
    <w:rsid w:val="00DA40D1"/>
    <w:rsid w:val="00DA449F"/>
    <w:rsid w:val="00DA5345"/>
    <w:rsid w:val="00DA5AA4"/>
    <w:rsid w:val="00DA5FA6"/>
    <w:rsid w:val="00DA6468"/>
    <w:rsid w:val="00DA6C1F"/>
    <w:rsid w:val="00DA701E"/>
    <w:rsid w:val="00DA7418"/>
    <w:rsid w:val="00DA77AB"/>
    <w:rsid w:val="00DA78A7"/>
    <w:rsid w:val="00DA7940"/>
    <w:rsid w:val="00DB030F"/>
    <w:rsid w:val="00DB077C"/>
    <w:rsid w:val="00DB0846"/>
    <w:rsid w:val="00DB14E4"/>
    <w:rsid w:val="00DB1E85"/>
    <w:rsid w:val="00DB1FDD"/>
    <w:rsid w:val="00DB204A"/>
    <w:rsid w:val="00DB2A26"/>
    <w:rsid w:val="00DB317D"/>
    <w:rsid w:val="00DB3944"/>
    <w:rsid w:val="00DB4357"/>
    <w:rsid w:val="00DB43AA"/>
    <w:rsid w:val="00DB4681"/>
    <w:rsid w:val="00DB587B"/>
    <w:rsid w:val="00DB61B0"/>
    <w:rsid w:val="00DB627A"/>
    <w:rsid w:val="00DB62D8"/>
    <w:rsid w:val="00DB657E"/>
    <w:rsid w:val="00DB6B33"/>
    <w:rsid w:val="00DB6BC7"/>
    <w:rsid w:val="00DB78EE"/>
    <w:rsid w:val="00DB7F03"/>
    <w:rsid w:val="00DC0829"/>
    <w:rsid w:val="00DC0A2D"/>
    <w:rsid w:val="00DC13EA"/>
    <w:rsid w:val="00DC1663"/>
    <w:rsid w:val="00DC2BDB"/>
    <w:rsid w:val="00DC33E4"/>
    <w:rsid w:val="00DC38BA"/>
    <w:rsid w:val="00DC3A71"/>
    <w:rsid w:val="00DC3FF6"/>
    <w:rsid w:val="00DC4050"/>
    <w:rsid w:val="00DC409B"/>
    <w:rsid w:val="00DC412B"/>
    <w:rsid w:val="00DC4377"/>
    <w:rsid w:val="00DC4C9D"/>
    <w:rsid w:val="00DC529A"/>
    <w:rsid w:val="00DC5917"/>
    <w:rsid w:val="00DC61CE"/>
    <w:rsid w:val="00DC6ECC"/>
    <w:rsid w:val="00DC776C"/>
    <w:rsid w:val="00DD04D4"/>
    <w:rsid w:val="00DD09EC"/>
    <w:rsid w:val="00DD0E62"/>
    <w:rsid w:val="00DD18F2"/>
    <w:rsid w:val="00DD1BE9"/>
    <w:rsid w:val="00DD1C5B"/>
    <w:rsid w:val="00DD1C87"/>
    <w:rsid w:val="00DD2140"/>
    <w:rsid w:val="00DD2416"/>
    <w:rsid w:val="00DD25C0"/>
    <w:rsid w:val="00DD2B70"/>
    <w:rsid w:val="00DD2DBC"/>
    <w:rsid w:val="00DD2E0A"/>
    <w:rsid w:val="00DD2E8E"/>
    <w:rsid w:val="00DD333B"/>
    <w:rsid w:val="00DD3492"/>
    <w:rsid w:val="00DD35B5"/>
    <w:rsid w:val="00DD3928"/>
    <w:rsid w:val="00DD3B28"/>
    <w:rsid w:val="00DD45C9"/>
    <w:rsid w:val="00DD4BA0"/>
    <w:rsid w:val="00DD4F9D"/>
    <w:rsid w:val="00DD5BD3"/>
    <w:rsid w:val="00DD5FA0"/>
    <w:rsid w:val="00DD76C5"/>
    <w:rsid w:val="00DD7BEB"/>
    <w:rsid w:val="00DE0C44"/>
    <w:rsid w:val="00DE189F"/>
    <w:rsid w:val="00DE1D09"/>
    <w:rsid w:val="00DE1D0E"/>
    <w:rsid w:val="00DE1D15"/>
    <w:rsid w:val="00DE32BE"/>
    <w:rsid w:val="00DE3D90"/>
    <w:rsid w:val="00DE3EF1"/>
    <w:rsid w:val="00DE42CA"/>
    <w:rsid w:val="00DE45C9"/>
    <w:rsid w:val="00DE46EF"/>
    <w:rsid w:val="00DE476F"/>
    <w:rsid w:val="00DE502E"/>
    <w:rsid w:val="00DE5937"/>
    <w:rsid w:val="00DE5F66"/>
    <w:rsid w:val="00DE6208"/>
    <w:rsid w:val="00DE6502"/>
    <w:rsid w:val="00DE67D9"/>
    <w:rsid w:val="00DE69C5"/>
    <w:rsid w:val="00DE7153"/>
    <w:rsid w:val="00DE7EE5"/>
    <w:rsid w:val="00DF0344"/>
    <w:rsid w:val="00DF0980"/>
    <w:rsid w:val="00DF1191"/>
    <w:rsid w:val="00DF14C8"/>
    <w:rsid w:val="00DF16EF"/>
    <w:rsid w:val="00DF1CA6"/>
    <w:rsid w:val="00DF22C4"/>
    <w:rsid w:val="00DF2457"/>
    <w:rsid w:val="00DF2A36"/>
    <w:rsid w:val="00DF3F03"/>
    <w:rsid w:val="00DF4021"/>
    <w:rsid w:val="00DF4804"/>
    <w:rsid w:val="00DF51BB"/>
    <w:rsid w:val="00DF66D0"/>
    <w:rsid w:val="00DF7172"/>
    <w:rsid w:val="00DF71B4"/>
    <w:rsid w:val="00DF7EE2"/>
    <w:rsid w:val="00E005FD"/>
    <w:rsid w:val="00E0077E"/>
    <w:rsid w:val="00E008E9"/>
    <w:rsid w:val="00E016DD"/>
    <w:rsid w:val="00E02DBC"/>
    <w:rsid w:val="00E02FE2"/>
    <w:rsid w:val="00E0380E"/>
    <w:rsid w:val="00E0499C"/>
    <w:rsid w:val="00E04BFE"/>
    <w:rsid w:val="00E04EAD"/>
    <w:rsid w:val="00E0521B"/>
    <w:rsid w:val="00E0584D"/>
    <w:rsid w:val="00E0596E"/>
    <w:rsid w:val="00E05EEE"/>
    <w:rsid w:val="00E06108"/>
    <w:rsid w:val="00E0644E"/>
    <w:rsid w:val="00E067A5"/>
    <w:rsid w:val="00E06884"/>
    <w:rsid w:val="00E06F6F"/>
    <w:rsid w:val="00E07BB6"/>
    <w:rsid w:val="00E100CE"/>
    <w:rsid w:val="00E102BE"/>
    <w:rsid w:val="00E113CD"/>
    <w:rsid w:val="00E11CB0"/>
    <w:rsid w:val="00E129E8"/>
    <w:rsid w:val="00E131D5"/>
    <w:rsid w:val="00E13622"/>
    <w:rsid w:val="00E13CE5"/>
    <w:rsid w:val="00E14419"/>
    <w:rsid w:val="00E14ADF"/>
    <w:rsid w:val="00E15A1C"/>
    <w:rsid w:val="00E15B7D"/>
    <w:rsid w:val="00E15C52"/>
    <w:rsid w:val="00E15FC4"/>
    <w:rsid w:val="00E16249"/>
    <w:rsid w:val="00E168EB"/>
    <w:rsid w:val="00E16A4F"/>
    <w:rsid w:val="00E17255"/>
    <w:rsid w:val="00E17437"/>
    <w:rsid w:val="00E17B24"/>
    <w:rsid w:val="00E17ECB"/>
    <w:rsid w:val="00E20B85"/>
    <w:rsid w:val="00E20B86"/>
    <w:rsid w:val="00E21E0D"/>
    <w:rsid w:val="00E224CA"/>
    <w:rsid w:val="00E2288C"/>
    <w:rsid w:val="00E244FE"/>
    <w:rsid w:val="00E24CA9"/>
    <w:rsid w:val="00E256D7"/>
    <w:rsid w:val="00E25A2A"/>
    <w:rsid w:val="00E26284"/>
    <w:rsid w:val="00E263AA"/>
    <w:rsid w:val="00E26471"/>
    <w:rsid w:val="00E26603"/>
    <w:rsid w:val="00E27127"/>
    <w:rsid w:val="00E27DB5"/>
    <w:rsid w:val="00E30106"/>
    <w:rsid w:val="00E30647"/>
    <w:rsid w:val="00E30C1F"/>
    <w:rsid w:val="00E31785"/>
    <w:rsid w:val="00E317CA"/>
    <w:rsid w:val="00E31A30"/>
    <w:rsid w:val="00E31CDC"/>
    <w:rsid w:val="00E32584"/>
    <w:rsid w:val="00E33627"/>
    <w:rsid w:val="00E33B2B"/>
    <w:rsid w:val="00E33BAB"/>
    <w:rsid w:val="00E33C60"/>
    <w:rsid w:val="00E3436F"/>
    <w:rsid w:val="00E34609"/>
    <w:rsid w:val="00E3470B"/>
    <w:rsid w:val="00E34DF2"/>
    <w:rsid w:val="00E34E1A"/>
    <w:rsid w:val="00E351F4"/>
    <w:rsid w:val="00E355B7"/>
    <w:rsid w:val="00E3679B"/>
    <w:rsid w:val="00E367C8"/>
    <w:rsid w:val="00E36CEB"/>
    <w:rsid w:val="00E3702E"/>
    <w:rsid w:val="00E37230"/>
    <w:rsid w:val="00E3761A"/>
    <w:rsid w:val="00E37824"/>
    <w:rsid w:val="00E37A43"/>
    <w:rsid w:val="00E37B29"/>
    <w:rsid w:val="00E37B96"/>
    <w:rsid w:val="00E37FB8"/>
    <w:rsid w:val="00E400CC"/>
    <w:rsid w:val="00E40D14"/>
    <w:rsid w:val="00E40FB9"/>
    <w:rsid w:val="00E42707"/>
    <w:rsid w:val="00E4396D"/>
    <w:rsid w:val="00E44BFC"/>
    <w:rsid w:val="00E4536B"/>
    <w:rsid w:val="00E4589A"/>
    <w:rsid w:val="00E458AE"/>
    <w:rsid w:val="00E46084"/>
    <w:rsid w:val="00E460C9"/>
    <w:rsid w:val="00E4619F"/>
    <w:rsid w:val="00E46EC5"/>
    <w:rsid w:val="00E4735B"/>
    <w:rsid w:val="00E47752"/>
    <w:rsid w:val="00E4789D"/>
    <w:rsid w:val="00E47A4D"/>
    <w:rsid w:val="00E47C39"/>
    <w:rsid w:val="00E501E9"/>
    <w:rsid w:val="00E505B1"/>
    <w:rsid w:val="00E51137"/>
    <w:rsid w:val="00E51333"/>
    <w:rsid w:val="00E51BF5"/>
    <w:rsid w:val="00E51D6E"/>
    <w:rsid w:val="00E524AE"/>
    <w:rsid w:val="00E52B45"/>
    <w:rsid w:val="00E52F84"/>
    <w:rsid w:val="00E531B0"/>
    <w:rsid w:val="00E53B3B"/>
    <w:rsid w:val="00E5419A"/>
    <w:rsid w:val="00E54468"/>
    <w:rsid w:val="00E54BA1"/>
    <w:rsid w:val="00E54E32"/>
    <w:rsid w:val="00E54E74"/>
    <w:rsid w:val="00E5506A"/>
    <w:rsid w:val="00E55181"/>
    <w:rsid w:val="00E556C8"/>
    <w:rsid w:val="00E55DCE"/>
    <w:rsid w:val="00E567FE"/>
    <w:rsid w:val="00E568F2"/>
    <w:rsid w:val="00E56B96"/>
    <w:rsid w:val="00E56D31"/>
    <w:rsid w:val="00E56D73"/>
    <w:rsid w:val="00E5712D"/>
    <w:rsid w:val="00E57229"/>
    <w:rsid w:val="00E57376"/>
    <w:rsid w:val="00E57433"/>
    <w:rsid w:val="00E5766C"/>
    <w:rsid w:val="00E57A5B"/>
    <w:rsid w:val="00E57F3C"/>
    <w:rsid w:val="00E601D5"/>
    <w:rsid w:val="00E60B77"/>
    <w:rsid w:val="00E60C11"/>
    <w:rsid w:val="00E60D33"/>
    <w:rsid w:val="00E60E7E"/>
    <w:rsid w:val="00E61364"/>
    <w:rsid w:val="00E6146D"/>
    <w:rsid w:val="00E6166E"/>
    <w:rsid w:val="00E61ABD"/>
    <w:rsid w:val="00E61E2E"/>
    <w:rsid w:val="00E62304"/>
    <w:rsid w:val="00E62319"/>
    <w:rsid w:val="00E632C2"/>
    <w:rsid w:val="00E63505"/>
    <w:rsid w:val="00E63563"/>
    <w:rsid w:val="00E63929"/>
    <w:rsid w:val="00E63A13"/>
    <w:rsid w:val="00E63C02"/>
    <w:rsid w:val="00E63C26"/>
    <w:rsid w:val="00E63E65"/>
    <w:rsid w:val="00E645BC"/>
    <w:rsid w:val="00E64AF5"/>
    <w:rsid w:val="00E652B5"/>
    <w:rsid w:val="00E66835"/>
    <w:rsid w:val="00E66A84"/>
    <w:rsid w:val="00E674F0"/>
    <w:rsid w:val="00E67C72"/>
    <w:rsid w:val="00E67CBE"/>
    <w:rsid w:val="00E67EE6"/>
    <w:rsid w:val="00E700CF"/>
    <w:rsid w:val="00E708AD"/>
    <w:rsid w:val="00E708C0"/>
    <w:rsid w:val="00E710B5"/>
    <w:rsid w:val="00E7146C"/>
    <w:rsid w:val="00E719EE"/>
    <w:rsid w:val="00E71ACA"/>
    <w:rsid w:val="00E71AF1"/>
    <w:rsid w:val="00E721D8"/>
    <w:rsid w:val="00E72D6C"/>
    <w:rsid w:val="00E74118"/>
    <w:rsid w:val="00E7432D"/>
    <w:rsid w:val="00E7472A"/>
    <w:rsid w:val="00E74C0A"/>
    <w:rsid w:val="00E756F2"/>
    <w:rsid w:val="00E75AEF"/>
    <w:rsid w:val="00E76A1B"/>
    <w:rsid w:val="00E76BE4"/>
    <w:rsid w:val="00E77327"/>
    <w:rsid w:val="00E7768A"/>
    <w:rsid w:val="00E77F60"/>
    <w:rsid w:val="00E80B8C"/>
    <w:rsid w:val="00E80F42"/>
    <w:rsid w:val="00E81E27"/>
    <w:rsid w:val="00E822C4"/>
    <w:rsid w:val="00E829E7"/>
    <w:rsid w:val="00E82A28"/>
    <w:rsid w:val="00E82DF1"/>
    <w:rsid w:val="00E82ECC"/>
    <w:rsid w:val="00E83089"/>
    <w:rsid w:val="00E83AF7"/>
    <w:rsid w:val="00E83B56"/>
    <w:rsid w:val="00E841C9"/>
    <w:rsid w:val="00E846DA"/>
    <w:rsid w:val="00E84C47"/>
    <w:rsid w:val="00E84EAC"/>
    <w:rsid w:val="00E85BA3"/>
    <w:rsid w:val="00E878A1"/>
    <w:rsid w:val="00E87C82"/>
    <w:rsid w:val="00E87DFC"/>
    <w:rsid w:val="00E900B0"/>
    <w:rsid w:val="00E90B59"/>
    <w:rsid w:val="00E90F98"/>
    <w:rsid w:val="00E9114E"/>
    <w:rsid w:val="00E912C9"/>
    <w:rsid w:val="00E912F2"/>
    <w:rsid w:val="00E91545"/>
    <w:rsid w:val="00E91775"/>
    <w:rsid w:val="00E91C4C"/>
    <w:rsid w:val="00E91F72"/>
    <w:rsid w:val="00E922CE"/>
    <w:rsid w:val="00E9252D"/>
    <w:rsid w:val="00E925AF"/>
    <w:rsid w:val="00E92651"/>
    <w:rsid w:val="00E93C56"/>
    <w:rsid w:val="00E93E6A"/>
    <w:rsid w:val="00E93F06"/>
    <w:rsid w:val="00E941E9"/>
    <w:rsid w:val="00E942FF"/>
    <w:rsid w:val="00E94532"/>
    <w:rsid w:val="00E947E9"/>
    <w:rsid w:val="00E952D3"/>
    <w:rsid w:val="00E9535F"/>
    <w:rsid w:val="00E95925"/>
    <w:rsid w:val="00E95950"/>
    <w:rsid w:val="00E95C90"/>
    <w:rsid w:val="00E9641B"/>
    <w:rsid w:val="00E96427"/>
    <w:rsid w:val="00E96C0A"/>
    <w:rsid w:val="00E97888"/>
    <w:rsid w:val="00EA00DB"/>
    <w:rsid w:val="00EA01D0"/>
    <w:rsid w:val="00EA0BD7"/>
    <w:rsid w:val="00EA11CF"/>
    <w:rsid w:val="00EA11F1"/>
    <w:rsid w:val="00EA140E"/>
    <w:rsid w:val="00EA1A9D"/>
    <w:rsid w:val="00EA1D78"/>
    <w:rsid w:val="00EA247E"/>
    <w:rsid w:val="00EA27E6"/>
    <w:rsid w:val="00EA2D59"/>
    <w:rsid w:val="00EA2F83"/>
    <w:rsid w:val="00EA3424"/>
    <w:rsid w:val="00EA4213"/>
    <w:rsid w:val="00EA42AB"/>
    <w:rsid w:val="00EA448D"/>
    <w:rsid w:val="00EA459F"/>
    <w:rsid w:val="00EA487C"/>
    <w:rsid w:val="00EA48DF"/>
    <w:rsid w:val="00EA4A2A"/>
    <w:rsid w:val="00EA502B"/>
    <w:rsid w:val="00EA5199"/>
    <w:rsid w:val="00EA5512"/>
    <w:rsid w:val="00EA590C"/>
    <w:rsid w:val="00EA5BC6"/>
    <w:rsid w:val="00EA6335"/>
    <w:rsid w:val="00EA6BBB"/>
    <w:rsid w:val="00EA6CB2"/>
    <w:rsid w:val="00EA6D9A"/>
    <w:rsid w:val="00EA7853"/>
    <w:rsid w:val="00EA7F09"/>
    <w:rsid w:val="00EA7F48"/>
    <w:rsid w:val="00EB03DF"/>
    <w:rsid w:val="00EB0680"/>
    <w:rsid w:val="00EB0AE8"/>
    <w:rsid w:val="00EB1285"/>
    <w:rsid w:val="00EB1A38"/>
    <w:rsid w:val="00EB1B33"/>
    <w:rsid w:val="00EB1D4C"/>
    <w:rsid w:val="00EB213E"/>
    <w:rsid w:val="00EB24B8"/>
    <w:rsid w:val="00EB299D"/>
    <w:rsid w:val="00EB29EF"/>
    <w:rsid w:val="00EB2C3E"/>
    <w:rsid w:val="00EB2E7A"/>
    <w:rsid w:val="00EB3119"/>
    <w:rsid w:val="00EB3D31"/>
    <w:rsid w:val="00EB4859"/>
    <w:rsid w:val="00EB4F0C"/>
    <w:rsid w:val="00EB50D1"/>
    <w:rsid w:val="00EB5295"/>
    <w:rsid w:val="00EB5636"/>
    <w:rsid w:val="00EB5F09"/>
    <w:rsid w:val="00EB69DE"/>
    <w:rsid w:val="00EB6C3C"/>
    <w:rsid w:val="00EB77D2"/>
    <w:rsid w:val="00EB7FF6"/>
    <w:rsid w:val="00EC01F1"/>
    <w:rsid w:val="00EC0738"/>
    <w:rsid w:val="00EC1AB4"/>
    <w:rsid w:val="00EC2B72"/>
    <w:rsid w:val="00EC2B7C"/>
    <w:rsid w:val="00EC2BE7"/>
    <w:rsid w:val="00EC42E5"/>
    <w:rsid w:val="00EC515A"/>
    <w:rsid w:val="00EC5897"/>
    <w:rsid w:val="00EC59C1"/>
    <w:rsid w:val="00EC5AE6"/>
    <w:rsid w:val="00EC6933"/>
    <w:rsid w:val="00EC696C"/>
    <w:rsid w:val="00EC6ADF"/>
    <w:rsid w:val="00EC751F"/>
    <w:rsid w:val="00EC7799"/>
    <w:rsid w:val="00ED0D67"/>
    <w:rsid w:val="00ED12A7"/>
    <w:rsid w:val="00ED13AC"/>
    <w:rsid w:val="00ED22FE"/>
    <w:rsid w:val="00ED2A73"/>
    <w:rsid w:val="00ED4803"/>
    <w:rsid w:val="00ED56C8"/>
    <w:rsid w:val="00ED60EA"/>
    <w:rsid w:val="00ED6145"/>
    <w:rsid w:val="00ED7511"/>
    <w:rsid w:val="00EE0640"/>
    <w:rsid w:val="00EE0A49"/>
    <w:rsid w:val="00EE0B61"/>
    <w:rsid w:val="00EE187F"/>
    <w:rsid w:val="00EE2496"/>
    <w:rsid w:val="00EE3815"/>
    <w:rsid w:val="00EE3DDE"/>
    <w:rsid w:val="00EE4857"/>
    <w:rsid w:val="00EE53CA"/>
    <w:rsid w:val="00EE55C9"/>
    <w:rsid w:val="00EE659E"/>
    <w:rsid w:val="00EE6800"/>
    <w:rsid w:val="00EF0542"/>
    <w:rsid w:val="00EF0D6C"/>
    <w:rsid w:val="00EF2464"/>
    <w:rsid w:val="00EF3379"/>
    <w:rsid w:val="00EF3B5A"/>
    <w:rsid w:val="00EF404E"/>
    <w:rsid w:val="00EF410E"/>
    <w:rsid w:val="00EF4D87"/>
    <w:rsid w:val="00EF539E"/>
    <w:rsid w:val="00EF5A4D"/>
    <w:rsid w:val="00EF5ED1"/>
    <w:rsid w:val="00EF5FE3"/>
    <w:rsid w:val="00EF6422"/>
    <w:rsid w:val="00EF6DED"/>
    <w:rsid w:val="00EF7A21"/>
    <w:rsid w:val="00F00373"/>
    <w:rsid w:val="00F0089B"/>
    <w:rsid w:val="00F017C6"/>
    <w:rsid w:val="00F0190D"/>
    <w:rsid w:val="00F01A5E"/>
    <w:rsid w:val="00F03186"/>
    <w:rsid w:val="00F042B7"/>
    <w:rsid w:val="00F045C8"/>
    <w:rsid w:val="00F04A29"/>
    <w:rsid w:val="00F04B8A"/>
    <w:rsid w:val="00F04CB6"/>
    <w:rsid w:val="00F058B9"/>
    <w:rsid w:val="00F05B01"/>
    <w:rsid w:val="00F0622F"/>
    <w:rsid w:val="00F062DC"/>
    <w:rsid w:val="00F06472"/>
    <w:rsid w:val="00F06519"/>
    <w:rsid w:val="00F06A59"/>
    <w:rsid w:val="00F06D5C"/>
    <w:rsid w:val="00F06E95"/>
    <w:rsid w:val="00F06FFE"/>
    <w:rsid w:val="00F07191"/>
    <w:rsid w:val="00F07262"/>
    <w:rsid w:val="00F07A5B"/>
    <w:rsid w:val="00F07B5A"/>
    <w:rsid w:val="00F07C88"/>
    <w:rsid w:val="00F104B8"/>
    <w:rsid w:val="00F11024"/>
    <w:rsid w:val="00F1123A"/>
    <w:rsid w:val="00F113F4"/>
    <w:rsid w:val="00F11A10"/>
    <w:rsid w:val="00F12102"/>
    <w:rsid w:val="00F122AB"/>
    <w:rsid w:val="00F124C5"/>
    <w:rsid w:val="00F12555"/>
    <w:rsid w:val="00F125BF"/>
    <w:rsid w:val="00F1261D"/>
    <w:rsid w:val="00F12CED"/>
    <w:rsid w:val="00F13E47"/>
    <w:rsid w:val="00F13E5D"/>
    <w:rsid w:val="00F14061"/>
    <w:rsid w:val="00F14947"/>
    <w:rsid w:val="00F14C24"/>
    <w:rsid w:val="00F14D87"/>
    <w:rsid w:val="00F14DE5"/>
    <w:rsid w:val="00F1520E"/>
    <w:rsid w:val="00F160E3"/>
    <w:rsid w:val="00F16129"/>
    <w:rsid w:val="00F163CC"/>
    <w:rsid w:val="00F16745"/>
    <w:rsid w:val="00F1702E"/>
    <w:rsid w:val="00F1738F"/>
    <w:rsid w:val="00F17691"/>
    <w:rsid w:val="00F177D9"/>
    <w:rsid w:val="00F2028D"/>
    <w:rsid w:val="00F2037C"/>
    <w:rsid w:val="00F22308"/>
    <w:rsid w:val="00F229A5"/>
    <w:rsid w:val="00F22A38"/>
    <w:rsid w:val="00F22FF6"/>
    <w:rsid w:val="00F2309F"/>
    <w:rsid w:val="00F23578"/>
    <w:rsid w:val="00F23F62"/>
    <w:rsid w:val="00F24697"/>
    <w:rsid w:val="00F24B7D"/>
    <w:rsid w:val="00F24E83"/>
    <w:rsid w:val="00F2508B"/>
    <w:rsid w:val="00F255A0"/>
    <w:rsid w:val="00F255FB"/>
    <w:rsid w:val="00F262D0"/>
    <w:rsid w:val="00F26436"/>
    <w:rsid w:val="00F268D3"/>
    <w:rsid w:val="00F26EC6"/>
    <w:rsid w:val="00F30393"/>
    <w:rsid w:val="00F30685"/>
    <w:rsid w:val="00F30853"/>
    <w:rsid w:val="00F30AD4"/>
    <w:rsid w:val="00F31442"/>
    <w:rsid w:val="00F31C17"/>
    <w:rsid w:val="00F32278"/>
    <w:rsid w:val="00F3289C"/>
    <w:rsid w:val="00F3349A"/>
    <w:rsid w:val="00F346BA"/>
    <w:rsid w:val="00F34828"/>
    <w:rsid w:val="00F34938"/>
    <w:rsid w:val="00F34A7C"/>
    <w:rsid w:val="00F34B3F"/>
    <w:rsid w:val="00F3597A"/>
    <w:rsid w:val="00F359C5"/>
    <w:rsid w:val="00F35F6E"/>
    <w:rsid w:val="00F3628E"/>
    <w:rsid w:val="00F36703"/>
    <w:rsid w:val="00F36A9D"/>
    <w:rsid w:val="00F36CBC"/>
    <w:rsid w:val="00F37CFF"/>
    <w:rsid w:val="00F40618"/>
    <w:rsid w:val="00F40CA3"/>
    <w:rsid w:val="00F41C37"/>
    <w:rsid w:val="00F42228"/>
    <w:rsid w:val="00F431C8"/>
    <w:rsid w:val="00F43495"/>
    <w:rsid w:val="00F435B3"/>
    <w:rsid w:val="00F43B25"/>
    <w:rsid w:val="00F43CE9"/>
    <w:rsid w:val="00F44B5C"/>
    <w:rsid w:val="00F44B5E"/>
    <w:rsid w:val="00F44E92"/>
    <w:rsid w:val="00F44F5F"/>
    <w:rsid w:val="00F45640"/>
    <w:rsid w:val="00F4595C"/>
    <w:rsid w:val="00F46D63"/>
    <w:rsid w:val="00F47079"/>
    <w:rsid w:val="00F500AE"/>
    <w:rsid w:val="00F5038F"/>
    <w:rsid w:val="00F50B4E"/>
    <w:rsid w:val="00F50D24"/>
    <w:rsid w:val="00F529BF"/>
    <w:rsid w:val="00F52B0F"/>
    <w:rsid w:val="00F53B14"/>
    <w:rsid w:val="00F53C30"/>
    <w:rsid w:val="00F53D7C"/>
    <w:rsid w:val="00F53EC7"/>
    <w:rsid w:val="00F53EEC"/>
    <w:rsid w:val="00F5402C"/>
    <w:rsid w:val="00F5416C"/>
    <w:rsid w:val="00F550B7"/>
    <w:rsid w:val="00F5531F"/>
    <w:rsid w:val="00F5574B"/>
    <w:rsid w:val="00F5589B"/>
    <w:rsid w:val="00F55E85"/>
    <w:rsid w:val="00F55FA6"/>
    <w:rsid w:val="00F562BE"/>
    <w:rsid w:val="00F564F3"/>
    <w:rsid w:val="00F56503"/>
    <w:rsid w:val="00F56757"/>
    <w:rsid w:val="00F5712E"/>
    <w:rsid w:val="00F5777D"/>
    <w:rsid w:val="00F578BE"/>
    <w:rsid w:val="00F60165"/>
    <w:rsid w:val="00F609B9"/>
    <w:rsid w:val="00F60D3B"/>
    <w:rsid w:val="00F60E53"/>
    <w:rsid w:val="00F60EFA"/>
    <w:rsid w:val="00F610AA"/>
    <w:rsid w:val="00F611EA"/>
    <w:rsid w:val="00F614C8"/>
    <w:rsid w:val="00F6181E"/>
    <w:rsid w:val="00F6199E"/>
    <w:rsid w:val="00F61B5F"/>
    <w:rsid w:val="00F61EB2"/>
    <w:rsid w:val="00F6220C"/>
    <w:rsid w:val="00F628E0"/>
    <w:rsid w:val="00F62BC3"/>
    <w:rsid w:val="00F62DAD"/>
    <w:rsid w:val="00F64142"/>
    <w:rsid w:val="00F64A15"/>
    <w:rsid w:val="00F64C4F"/>
    <w:rsid w:val="00F64D17"/>
    <w:rsid w:val="00F64D96"/>
    <w:rsid w:val="00F6539C"/>
    <w:rsid w:val="00F65678"/>
    <w:rsid w:val="00F658B6"/>
    <w:rsid w:val="00F658F8"/>
    <w:rsid w:val="00F65F2C"/>
    <w:rsid w:val="00F6601D"/>
    <w:rsid w:val="00F662D2"/>
    <w:rsid w:val="00F66389"/>
    <w:rsid w:val="00F669A0"/>
    <w:rsid w:val="00F66FAE"/>
    <w:rsid w:val="00F6772C"/>
    <w:rsid w:val="00F67E04"/>
    <w:rsid w:val="00F70374"/>
    <w:rsid w:val="00F70959"/>
    <w:rsid w:val="00F70AE5"/>
    <w:rsid w:val="00F70E33"/>
    <w:rsid w:val="00F719F0"/>
    <w:rsid w:val="00F71BB5"/>
    <w:rsid w:val="00F71C85"/>
    <w:rsid w:val="00F72AA2"/>
    <w:rsid w:val="00F72D61"/>
    <w:rsid w:val="00F72F01"/>
    <w:rsid w:val="00F73E29"/>
    <w:rsid w:val="00F74476"/>
    <w:rsid w:val="00F74EBF"/>
    <w:rsid w:val="00F756FC"/>
    <w:rsid w:val="00F758AF"/>
    <w:rsid w:val="00F7597C"/>
    <w:rsid w:val="00F75ACF"/>
    <w:rsid w:val="00F75EAA"/>
    <w:rsid w:val="00F7681D"/>
    <w:rsid w:val="00F76859"/>
    <w:rsid w:val="00F76F52"/>
    <w:rsid w:val="00F77FC5"/>
    <w:rsid w:val="00F80026"/>
    <w:rsid w:val="00F80B71"/>
    <w:rsid w:val="00F80EEE"/>
    <w:rsid w:val="00F81877"/>
    <w:rsid w:val="00F81B9E"/>
    <w:rsid w:val="00F8267C"/>
    <w:rsid w:val="00F827A6"/>
    <w:rsid w:val="00F82D26"/>
    <w:rsid w:val="00F82DCC"/>
    <w:rsid w:val="00F82E0A"/>
    <w:rsid w:val="00F82EA1"/>
    <w:rsid w:val="00F83050"/>
    <w:rsid w:val="00F838D9"/>
    <w:rsid w:val="00F83E2F"/>
    <w:rsid w:val="00F84DB6"/>
    <w:rsid w:val="00F852D4"/>
    <w:rsid w:val="00F85A71"/>
    <w:rsid w:val="00F86424"/>
    <w:rsid w:val="00F864BA"/>
    <w:rsid w:val="00F8655C"/>
    <w:rsid w:val="00F86762"/>
    <w:rsid w:val="00F86A4B"/>
    <w:rsid w:val="00F86F99"/>
    <w:rsid w:val="00F871A2"/>
    <w:rsid w:val="00F8732D"/>
    <w:rsid w:val="00F87475"/>
    <w:rsid w:val="00F87635"/>
    <w:rsid w:val="00F8777C"/>
    <w:rsid w:val="00F90244"/>
    <w:rsid w:val="00F90CF0"/>
    <w:rsid w:val="00F919F4"/>
    <w:rsid w:val="00F91C97"/>
    <w:rsid w:val="00F9272E"/>
    <w:rsid w:val="00F93299"/>
    <w:rsid w:val="00F938ED"/>
    <w:rsid w:val="00F93988"/>
    <w:rsid w:val="00F939A1"/>
    <w:rsid w:val="00F94212"/>
    <w:rsid w:val="00F9476E"/>
    <w:rsid w:val="00F94B5A"/>
    <w:rsid w:val="00F94C13"/>
    <w:rsid w:val="00F96919"/>
    <w:rsid w:val="00F9691D"/>
    <w:rsid w:val="00F96A2C"/>
    <w:rsid w:val="00F977A4"/>
    <w:rsid w:val="00FA1597"/>
    <w:rsid w:val="00FA1EF7"/>
    <w:rsid w:val="00FA2352"/>
    <w:rsid w:val="00FA23A8"/>
    <w:rsid w:val="00FA2A94"/>
    <w:rsid w:val="00FA2B54"/>
    <w:rsid w:val="00FA2F57"/>
    <w:rsid w:val="00FA3193"/>
    <w:rsid w:val="00FA352E"/>
    <w:rsid w:val="00FA3A22"/>
    <w:rsid w:val="00FA42B3"/>
    <w:rsid w:val="00FA4C7E"/>
    <w:rsid w:val="00FA4F45"/>
    <w:rsid w:val="00FA50B1"/>
    <w:rsid w:val="00FA510F"/>
    <w:rsid w:val="00FA5900"/>
    <w:rsid w:val="00FA64F1"/>
    <w:rsid w:val="00FA687B"/>
    <w:rsid w:val="00FA6933"/>
    <w:rsid w:val="00FA6B50"/>
    <w:rsid w:val="00FA6BAB"/>
    <w:rsid w:val="00FA6ECE"/>
    <w:rsid w:val="00FA73B1"/>
    <w:rsid w:val="00FA7F6B"/>
    <w:rsid w:val="00FB0CEF"/>
    <w:rsid w:val="00FB0D85"/>
    <w:rsid w:val="00FB1AD2"/>
    <w:rsid w:val="00FB1C9F"/>
    <w:rsid w:val="00FB2F51"/>
    <w:rsid w:val="00FB30C7"/>
    <w:rsid w:val="00FB32CB"/>
    <w:rsid w:val="00FB3A02"/>
    <w:rsid w:val="00FB3C01"/>
    <w:rsid w:val="00FB3D8E"/>
    <w:rsid w:val="00FB4744"/>
    <w:rsid w:val="00FB4BDD"/>
    <w:rsid w:val="00FB5084"/>
    <w:rsid w:val="00FB5359"/>
    <w:rsid w:val="00FB55CE"/>
    <w:rsid w:val="00FB5A2D"/>
    <w:rsid w:val="00FB5ADA"/>
    <w:rsid w:val="00FB656E"/>
    <w:rsid w:val="00FB67EA"/>
    <w:rsid w:val="00FB6B1B"/>
    <w:rsid w:val="00FB6D5B"/>
    <w:rsid w:val="00FB70F4"/>
    <w:rsid w:val="00FB7622"/>
    <w:rsid w:val="00FB7829"/>
    <w:rsid w:val="00FB7EFD"/>
    <w:rsid w:val="00FC028A"/>
    <w:rsid w:val="00FC0418"/>
    <w:rsid w:val="00FC0448"/>
    <w:rsid w:val="00FC06F6"/>
    <w:rsid w:val="00FC09B8"/>
    <w:rsid w:val="00FC0FA5"/>
    <w:rsid w:val="00FC1008"/>
    <w:rsid w:val="00FC11A5"/>
    <w:rsid w:val="00FC1D3D"/>
    <w:rsid w:val="00FC2658"/>
    <w:rsid w:val="00FC28C9"/>
    <w:rsid w:val="00FC3483"/>
    <w:rsid w:val="00FC3A59"/>
    <w:rsid w:val="00FC3C3B"/>
    <w:rsid w:val="00FC3F5F"/>
    <w:rsid w:val="00FC434E"/>
    <w:rsid w:val="00FC4752"/>
    <w:rsid w:val="00FC577F"/>
    <w:rsid w:val="00FC593E"/>
    <w:rsid w:val="00FC64ED"/>
    <w:rsid w:val="00FC665D"/>
    <w:rsid w:val="00FC67C7"/>
    <w:rsid w:val="00FC683B"/>
    <w:rsid w:val="00FC6FC1"/>
    <w:rsid w:val="00FC6FED"/>
    <w:rsid w:val="00FC7209"/>
    <w:rsid w:val="00FD02FE"/>
    <w:rsid w:val="00FD0A13"/>
    <w:rsid w:val="00FD0E23"/>
    <w:rsid w:val="00FD15D0"/>
    <w:rsid w:val="00FD1C3B"/>
    <w:rsid w:val="00FD2155"/>
    <w:rsid w:val="00FD2443"/>
    <w:rsid w:val="00FD24C3"/>
    <w:rsid w:val="00FD2757"/>
    <w:rsid w:val="00FD27B2"/>
    <w:rsid w:val="00FD296D"/>
    <w:rsid w:val="00FD2B24"/>
    <w:rsid w:val="00FD2D7A"/>
    <w:rsid w:val="00FD39FB"/>
    <w:rsid w:val="00FD3B58"/>
    <w:rsid w:val="00FD3C4A"/>
    <w:rsid w:val="00FD3C4C"/>
    <w:rsid w:val="00FD3F72"/>
    <w:rsid w:val="00FD5286"/>
    <w:rsid w:val="00FD5772"/>
    <w:rsid w:val="00FD5802"/>
    <w:rsid w:val="00FD5D21"/>
    <w:rsid w:val="00FD6749"/>
    <w:rsid w:val="00FD68D3"/>
    <w:rsid w:val="00FD6930"/>
    <w:rsid w:val="00FD736A"/>
    <w:rsid w:val="00FD74FC"/>
    <w:rsid w:val="00FE0C67"/>
    <w:rsid w:val="00FE0ED5"/>
    <w:rsid w:val="00FE0F46"/>
    <w:rsid w:val="00FE1489"/>
    <w:rsid w:val="00FE150D"/>
    <w:rsid w:val="00FE1D63"/>
    <w:rsid w:val="00FE2062"/>
    <w:rsid w:val="00FE2E46"/>
    <w:rsid w:val="00FE3500"/>
    <w:rsid w:val="00FE3C62"/>
    <w:rsid w:val="00FE4438"/>
    <w:rsid w:val="00FE5224"/>
    <w:rsid w:val="00FE5892"/>
    <w:rsid w:val="00FE58A6"/>
    <w:rsid w:val="00FE5B56"/>
    <w:rsid w:val="00FE5B91"/>
    <w:rsid w:val="00FE5CD7"/>
    <w:rsid w:val="00FE5D1C"/>
    <w:rsid w:val="00FE6135"/>
    <w:rsid w:val="00FE7265"/>
    <w:rsid w:val="00FE742B"/>
    <w:rsid w:val="00FF0352"/>
    <w:rsid w:val="00FF0CD6"/>
    <w:rsid w:val="00FF0E94"/>
    <w:rsid w:val="00FF0F94"/>
    <w:rsid w:val="00FF157D"/>
    <w:rsid w:val="00FF15FB"/>
    <w:rsid w:val="00FF1735"/>
    <w:rsid w:val="00FF17FA"/>
    <w:rsid w:val="00FF18D6"/>
    <w:rsid w:val="00FF2D9F"/>
    <w:rsid w:val="00FF39B2"/>
    <w:rsid w:val="00FF3B39"/>
    <w:rsid w:val="00FF4651"/>
    <w:rsid w:val="00FF494D"/>
    <w:rsid w:val="00FF57A2"/>
    <w:rsid w:val="00FF5BF5"/>
    <w:rsid w:val="00FF616C"/>
    <w:rsid w:val="00FF6FA1"/>
    <w:rsid w:val="00FF7170"/>
    <w:rsid w:val="00FF7C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cecff,#cff,#d6ebe6,#e2e8e3"/>
    </o:shapedefaults>
    <o:shapelayout v:ext="edit">
      <o:idmap v:ext="edit" data="1"/>
    </o:shapelayout>
  </w:shapeDefaults>
  <w:decimalSymbol w:val="."/>
  <w:listSeparator w:val=","/>
  <w14:docId w14:val="35E0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42A"/>
    <w:pPr>
      <w:spacing w:after="160" w:line="259" w:lineRule="auto"/>
    </w:pPr>
    <w:rPr>
      <w:rFonts w:asciiTheme="minorHAnsi" w:eastAsiaTheme="minorEastAsia" w:hAnsiTheme="minorHAnsi" w:cstheme="minorBidi"/>
      <w:sz w:val="22"/>
      <w:szCs w:val="22"/>
    </w:rPr>
  </w:style>
  <w:style w:type="paragraph" w:styleId="Heading1">
    <w:name w:val="heading 1"/>
    <w:next w:val="Paragraph"/>
    <w:link w:val="Heading1Char"/>
    <w:autoRedefine/>
    <w:qFormat/>
    <w:rsid w:val="00811112"/>
    <w:pPr>
      <w:keepNext/>
      <w:spacing w:before="120" w:after="240" w:line="276" w:lineRule="auto"/>
      <w:ind w:right="567"/>
      <w:outlineLvl w:val="0"/>
    </w:pPr>
    <w:rPr>
      <w:rFonts w:eastAsia="Arial Unicode MS"/>
      <w:b/>
      <w:bCs/>
      <w:kern w:val="32"/>
      <w:sz w:val="24"/>
      <w:szCs w:val="24"/>
      <w:lang w:eastAsia="en-GB"/>
    </w:rPr>
  </w:style>
  <w:style w:type="paragraph" w:styleId="Heading2">
    <w:name w:val="heading 2"/>
    <w:basedOn w:val="Heading1"/>
    <w:next w:val="Paragraph"/>
    <w:link w:val="Heading2Char"/>
    <w:autoRedefine/>
    <w:qFormat/>
    <w:rsid w:val="00B2211E"/>
    <w:pPr>
      <w:outlineLvl w:val="1"/>
    </w:pPr>
    <w:rPr>
      <w:b w:val="0"/>
      <w:bCs w:val="0"/>
      <w:i/>
      <w:iCs/>
      <w:sz w:val="22"/>
    </w:rPr>
  </w:style>
  <w:style w:type="paragraph" w:styleId="Heading3">
    <w:name w:val="heading 3"/>
    <w:basedOn w:val="Normal"/>
    <w:next w:val="Normal"/>
    <w:link w:val="Heading3Char"/>
    <w:autoRedefine/>
    <w:qFormat/>
    <w:rsid w:val="00FD3C4C"/>
    <w:pPr>
      <w:keepNext/>
      <w:spacing w:before="120" w:after="120" w:line="360" w:lineRule="auto"/>
      <w:ind w:right="567"/>
      <w:jc w:val="center"/>
      <w:outlineLvl w:val="2"/>
    </w:pPr>
    <w:rPr>
      <w:rFonts w:cs="Arial"/>
      <w:bCs/>
      <w:i/>
      <w:szCs w:val="26"/>
    </w:rPr>
  </w:style>
  <w:style w:type="paragraph" w:styleId="Heading4">
    <w:name w:val="heading 4"/>
    <w:basedOn w:val="Paragraph"/>
    <w:next w:val="Newparagraph"/>
    <w:link w:val="Heading4Char"/>
    <w:rsid w:val="00C5385F"/>
    <w:pPr>
      <w:spacing w:before="360"/>
      <w:outlineLvl w:val="3"/>
    </w:pPr>
    <w:rPr>
      <w:bCs/>
      <w:szCs w:val="28"/>
    </w:rPr>
  </w:style>
  <w:style w:type="character" w:default="1" w:styleId="DefaultParagraphFont">
    <w:name w:val="Default Paragraph Font"/>
    <w:uiPriority w:val="1"/>
    <w:unhideWhenUsed/>
    <w:rsid w:val="00D714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142A"/>
  </w:style>
  <w:style w:type="paragraph" w:styleId="Header">
    <w:name w:val="header"/>
    <w:basedOn w:val="Normal"/>
    <w:link w:val="HeaderChar"/>
    <w:uiPriority w:val="99"/>
    <w:unhideWhenUsed/>
    <w:rsid w:val="00EA4A2A"/>
    <w:pPr>
      <w:tabs>
        <w:tab w:val="center" w:pos="4513"/>
        <w:tab w:val="right" w:pos="9026"/>
      </w:tabs>
      <w:spacing w:line="240" w:lineRule="auto"/>
    </w:pPr>
  </w:style>
  <w:style w:type="paragraph" w:styleId="Footer">
    <w:name w:val="footer"/>
    <w:basedOn w:val="Normal"/>
    <w:link w:val="FooterChar"/>
    <w:uiPriority w:val="99"/>
    <w:unhideWhenUsed/>
    <w:rsid w:val="00EA4A2A"/>
    <w:pPr>
      <w:tabs>
        <w:tab w:val="center" w:pos="4513"/>
        <w:tab w:val="right" w:pos="9026"/>
      </w:tabs>
      <w:spacing w:line="240" w:lineRule="auto"/>
    </w:pPr>
  </w:style>
  <w:style w:type="character" w:customStyle="1" w:styleId="A2">
    <w:name w:val="A2"/>
    <w:uiPriority w:val="99"/>
    <w:rsid w:val="00F82E0A"/>
    <w:rPr>
      <w:rFonts w:cs="Helvetica Light"/>
      <w:i/>
      <w:iCs/>
      <w:color w:val="221E1F"/>
      <w:sz w:val="21"/>
      <w:szCs w:val="21"/>
    </w:rPr>
  </w:style>
  <w:style w:type="table" w:styleId="TableGrid">
    <w:name w:val="Table Grid"/>
    <w:basedOn w:val="TableNormal"/>
    <w:uiPriority w:val="39"/>
    <w:rsid w:val="00EA4A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4A2A"/>
    <w:rPr>
      <w:color w:val="auto"/>
      <w:u w:val="single"/>
    </w:rPr>
  </w:style>
  <w:style w:type="paragraph" w:customStyle="1" w:styleId="EndNoteBibliographyTitle">
    <w:name w:val="EndNote Bibliography Title"/>
    <w:basedOn w:val="Normal"/>
    <w:link w:val="EndNoteBibliographyTitleChar"/>
    <w:rsid w:val="003D1213"/>
    <w:pPr>
      <w:jc w:val="center"/>
    </w:pPr>
    <w:rPr>
      <w:noProof/>
    </w:rPr>
  </w:style>
  <w:style w:type="character" w:customStyle="1" w:styleId="EndNoteBibliographyTitleChar">
    <w:name w:val="EndNote Bibliography Title Char"/>
    <w:link w:val="EndNoteBibliographyTitle"/>
    <w:rsid w:val="003D1213"/>
    <w:rPr>
      <w:rFonts w:eastAsia="Times New Roman"/>
      <w:noProof/>
      <w:sz w:val="24"/>
      <w:szCs w:val="24"/>
      <w:lang w:eastAsia="en-GB"/>
    </w:rPr>
  </w:style>
  <w:style w:type="paragraph" w:customStyle="1" w:styleId="EndNoteBibliography">
    <w:name w:val="EndNote Bibliography"/>
    <w:basedOn w:val="Normal"/>
    <w:link w:val="EndNoteBibliographyChar"/>
    <w:rsid w:val="003D1213"/>
    <w:pPr>
      <w:spacing w:line="240" w:lineRule="auto"/>
    </w:pPr>
    <w:rPr>
      <w:noProof/>
    </w:rPr>
  </w:style>
  <w:style w:type="character" w:customStyle="1" w:styleId="EndNoteBibliographyChar">
    <w:name w:val="EndNote Bibliography Char"/>
    <w:link w:val="EndNoteBibliography"/>
    <w:rsid w:val="003D1213"/>
    <w:rPr>
      <w:rFonts w:eastAsia="Times New Roman"/>
      <w:noProof/>
      <w:sz w:val="24"/>
      <w:szCs w:val="24"/>
      <w:lang w:eastAsia="en-GB"/>
    </w:rPr>
  </w:style>
  <w:style w:type="character" w:customStyle="1" w:styleId="Heading1Char">
    <w:name w:val="Heading 1 Char"/>
    <w:link w:val="Heading1"/>
    <w:rsid w:val="00811112"/>
    <w:rPr>
      <w:rFonts w:eastAsia="Arial Unicode MS"/>
      <w:b/>
      <w:bCs/>
      <w:kern w:val="32"/>
      <w:sz w:val="24"/>
      <w:szCs w:val="24"/>
      <w:lang w:eastAsia="en-GB"/>
    </w:rPr>
  </w:style>
  <w:style w:type="paragraph" w:styleId="Caption">
    <w:name w:val="caption"/>
    <w:basedOn w:val="Normal"/>
    <w:next w:val="Normal"/>
    <w:uiPriority w:val="35"/>
    <w:unhideWhenUsed/>
    <w:qFormat/>
    <w:rsid w:val="000331E6"/>
    <w:rPr>
      <w:b/>
      <w:bCs/>
      <w:sz w:val="20"/>
      <w:szCs w:val="20"/>
    </w:rPr>
  </w:style>
  <w:style w:type="paragraph" w:styleId="BalloonText">
    <w:name w:val="Balloon Text"/>
    <w:basedOn w:val="Normal"/>
    <w:link w:val="BalloonTextChar"/>
    <w:uiPriority w:val="99"/>
    <w:unhideWhenUsed/>
    <w:rsid w:val="00EA4A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A4A2A"/>
    <w:rPr>
      <w:rFonts w:ascii="Tahoma" w:eastAsiaTheme="minorHAnsi" w:hAnsi="Tahoma" w:cs="Tahoma"/>
      <w:sz w:val="16"/>
      <w:szCs w:val="16"/>
      <w:lang w:eastAsia="en-US"/>
    </w:rPr>
  </w:style>
  <w:style w:type="paragraph" w:styleId="Revision">
    <w:name w:val="Revision"/>
    <w:hidden/>
    <w:uiPriority w:val="99"/>
    <w:semiHidden/>
    <w:rsid w:val="008D5D46"/>
    <w:rPr>
      <w:sz w:val="24"/>
      <w:szCs w:val="24"/>
      <w:lang w:eastAsia="zh-CN"/>
    </w:rPr>
  </w:style>
  <w:style w:type="paragraph" w:styleId="FootnoteText">
    <w:name w:val="footnote text"/>
    <w:basedOn w:val="Normal"/>
    <w:link w:val="FootnoteTextChar"/>
    <w:autoRedefine/>
    <w:rsid w:val="004E4E8D"/>
    <w:pPr>
      <w:ind w:left="284" w:hanging="284"/>
    </w:pPr>
    <w:rPr>
      <w:color w:val="FF0000"/>
      <w:szCs w:val="20"/>
    </w:rPr>
  </w:style>
  <w:style w:type="character" w:customStyle="1" w:styleId="FootnoteTextChar">
    <w:name w:val="Footnote Text Char"/>
    <w:link w:val="FootnoteText"/>
    <w:rsid w:val="004E4E8D"/>
    <w:rPr>
      <w:rFonts w:asciiTheme="minorHAnsi" w:eastAsiaTheme="minorEastAsia" w:hAnsiTheme="minorHAnsi" w:cstheme="minorBidi"/>
      <w:color w:val="FF0000"/>
      <w:sz w:val="22"/>
    </w:rPr>
  </w:style>
  <w:style w:type="character" w:styleId="FootnoteReference">
    <w:name w:val="footnote reference"/>
    <w:rsid w:val="00C5385F"/>
    <w:rPr>
      <w:vertAlign w:val="superscript"/>
    </w:rPr>
  </w:style>
  <w:style w:type="paragraph" w:styleId="Quote">
    <w:name w:val="Quote"/>
    <w:basedOn w:val="Normal"/>
    <w:next w:val="Normal"/>
    <w:link w:val="QuoteChar"/>
    <w:uiPriority w:val="29"/>
    <w:qFormat/>
    <w:rsid w:val="000C48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C4858"/>
    <w:rPr>
      <w:rFonts w:asciiTheme="minorHAnsi" w:eastAsiaTheme="minorEastAsia" w:hAnsiTheme="minorHAnsi" w:cstheme="minorBidi"/>
      <w:i/>
      <w:iCs/>
      <w:color w:val="404040" w:themeColor="text1" w:themeTint="BF"/>
      <w:sz w:val="22"/>
      <w:szCs w:val="22"/>
    </w:rPr>
  </w:style>
  <w:style w:type="character" w:styleId="CommentReference">
    <w:name w:val="annotation reference"/>
    <w:basedOn w:val="DefaultParagraphFont"/>
    <w:rsid w:val="009E2725"/>
    <w:rPr>
      <w:sz w:val="16"/>
      <w:szCs w:val="16"/>
    </w:rPr>
  </w:style>
  <w:style w:type="paragraph" w:styleId="CommentText">
    <w:name w:val="annotation text"/>
    <w:basedOn w:val="Normal"/>
    <w:link w:val="CommentTextChar"/>
    <w:rsid w:val="009E2725"/>
    <w:rPr>
      <w:sz w:val="20"/>
      <w:szCs w:val="20"/>
    </w:rPr>
  </w:style>
  <w:style w:type="character" w:customStyle="1" w:styleId="CommentTextChar">
    <w:name w:val="Comment Text Char"/>
    <w:basedOn w:val="DefaultParagraphFont"/>
    <w:link w:val="CommentText"/>
    <w:rsid w:val="009E2725"/>
    <w:rPr>
      <w:lang w:eastAsia="zh-CN"/>
    </w:rPr>
  </w:style>
  <w:style w:type="paragraph" w:styleId="CommentSubject">
    <w:name w:val="annotation subject"/>
    <w:basedOn w:val="CommentText"/>
    <w:next w:val="CommentText"/>
    <w:link w:val="CommentSubjectChar"/>
    <w:rsid w:val="009E2725"/>
    <w:rPr>
      <w:b/>
      <w:bCs/>
    </w:rPr>
  </w:style>
  <w:style w:type="character" w:customStyle="1" w:styleId="CommentSubjectChar">
    <w:name w:val="Comment Subject Char"/>
    <w:basedOn w:val="CommentTextChar"/>
    <w:link w:val="CommentSubject"/>
    <w:rsid w:val="009E2725"/>
    <w:rPr>
      <w:b/>
      <w:bCs/>
      <w:lang w:eastAsia="zh-CN"/>
    </w:rPr>
  </w:style>
  <w:style w:type="character" w:customStyle="1" w:styleId="Heading2Char">
    <w:name w:val="Heading 2 Char"/>
    <w:link w:val="Heading2"/>
    <w:rsid w:val="00B2211E"/>
    <w:rPr>
      <w:rFonts w:asciiTheme="minorHAnsi" w:eastAsia="Arial Unicode MS" w:hAnsiTheme="minorHAnsi" w:cstheme="minorHAnsi"/>
      <w:i/>
      <w:iCs/>
      <w:kern w:val="32"/>
      <w:sz w:val="22"/>
      <w:szCs w:val="24"/>
      <w:lang w:eastAsia="en-GB"/>
    </w:rPr>
  </w:style>
  <w:style w:type="character" w:customStyle="1" w:styleId="Heading3Char">
    <w:name w:val="Heading 3 Char"/>
    <w:link w:val="Heading3"/>
    <w:rsid w:val="00FD3C4C"/>
    <w:rPr>
      <w:rFonts w:eastAsia="Times New Roman" w:cs="Arial"/>
      <w:bCs/>
      <w:i/>
      <w:sz w:val="24"/>
      <w:szCs w:val="26"/>
      <w:lang w:eastAsia="en-GB"/>
    </w:rPr>
  </w:style>
  <w:style w:type="character" w:customStyle="1" w:styleId="Heading4Char">
    <w:name w:val="Heading 4 Char"/>
    <w:link w:val="Heading4"/>
    <w:rsid w:val="00C5385F"/>
    <w:rPr>
      <w:rFonts w:eastAsia="Times New Roman"/>
      <w:bCs/>
      <w:sz w:val="24"/>
      <w:szCs w:val="28"/>
      <w:lang w:eastAsia="en-GB"/>
    </w:rPr>
  </w:style>
  <w:style w:type="paragraph" w:customStyle="1" w:styleId="Articletitle">
    <w:name w:val="Article title"/>
    <w:basedOn w:val="Normal"/>
    <w:next w:val="Normal"/>
    <w:qFormat/>
    <w:rsid w:val="00C5385F"/>
    <w:pPr>
      <w:spacing w:after="120" w:line="360" w:lineRule="auto"/>
    </w:pPr>
    <w:rPr>
      <w:b/>
      <w:sz w:val="28"/>
    </w:rPr>
  </w:style>
  <w:style w:type="paragraph" w:customStyle="1" w:styleId="Authornames">
    <w:name w:val="Author names"/>
    <w:basedOn w:val="Normal"/>
    <w:next w:val="Normal"/>
    <w:qFormat/>
    <w:rsid w:val="00C5385F"/>
    <w:pPr>
      <w:spacing w:before="240" w:line="360" w:lineRule="auto"/>
    </w:pPr>
    <w:rPr>
      <w:sz w:val="28"/>
    </w:rPr>
  </w:style>
  <w:style w:type="paragraph" w:customStyle="1" w:styleId="Affiliation">
    <w:name w:val="Affiliation"/>
    <w:basedOn w:val="Normal"/>
    <w:qFormat/>
    <w:rsid w:val="00C5385F"/>
    <w:pPr>
      <w:spacing w:before="240" w:line="360" w:lineRule="auto"/>
    </w:pPr>
    <w:rPr>
      <w:i/>
    </w:rPr>
  </w:style>
  <w:style w:type="paragraph" w:customStyle="1" w:styleId="Receiveddates">
    <w:name w:val="Received dates"/>
    <w:basedOn w:val="Affiliation"/>
    <w:next w:val="Normal"/>
    <w:qFormat/>
    <w:rsid w:val="00C5385F"/>
  </w:style>
  <w:style w:type="paragraph" w:customStyle="1" w:styleId="Abstract">
    <w:name w:val="Abstract"/>
    <w:basedOn w:val="Normal"/>
    <w:next w:val="Keywords"/>
    <w:qFormat/>
    <w:rsid w:val="00C5385F"/>
    <w:pPr>
      <w:spacing w:before="360" w:after="300" w:line="360" w:lineRule="auto"/>
      <w:ind w:left="720" w:right="567"/>
      <w:contextualSpacing/>
    </w:pPr>
  </w:style>
  <w:style w:type="paragraph" w:customStyle="1" w:styleId="Keywords">
    <w:name w:val="Keywords"/>
    <w:basedOn w:val="Normal"/>
    <w:next w:val="Paragraph"/>
    <w:qFormat/>
    <w:rsid w:val="00C5385F"/>
    <w:pPr>
      <w:spacing w:before="240" w:after="240" w:line="360" w:lineRule="auto"/>
      <w:ind w:left="720" w:right="567"/>
    </w:pPr>
  </w:style>
  <w:style w:type="paragraph" w:customStyle="1" w:styleId="Correspondencedetails">
    <w:name w:val="Correspondence details"/>
    <w:basedOn w:val="Normal"/>
    <w:qFormat/>
    <w:rsid w:val="00C5385F"/>
    <w:pPr>
      <w:spacing w:before="240" w:line="360" w:lineRule="auto"/>
    </w:pPr>
  </w:style>
  <w:style w:type="paragraph" w:customStyle="1" w:styleId="Displayedquotation">
    <w:name w:val="Displayed quotation"/>
    <w:basedOn w:val="Normal"/>
    <w:qFormat/>
    <w:rsid w:val="00C5385F"/>
    <w:pPr>
      <w:tabs>
        <w:tab w:val="left" w:pos="1077"/>
        <w:tab w:val="left" w:pos="1440"/>
        <w:tab w:val="left" w:pos="1797"/>
        <w:tab w:val="left" w:pos="2155"/>
        <w:tab w:val="left" w:pos="2512"/>
      </w:tabs>
      <w:spacing w:before="240" w:after="360" w:line="360" w:lineRule="auto"/>
      <w:ind w:left="709" w:right="425"/>
      <w:contextualSpacing/>
    </w:pPr>
  </w:style>
  <w:style w:type="paragraph" w:customStyle="1" w:styleId="Numberedlist">
    <w:name w:val="Numbered list"/>
    <w:basedOn w:val="Paragraph"/>
    <w:next w:val="Paragraph"/>
    <w:qFormat/>
    <w:rsid w:val="00C5385F"/>
    <w:pPr>
      <w:widowControl/>
      <w:numPr>
        <w:numId w:val="1"/>
      </w:numPr>
      <w:spacing w:after="240"/>
      <w:contextualSpacing/>
    </w:pPr>
  </w:style>
  <w:style w:type="paragraph" w:customStyle="1" w:styleId="Displayedequation">
    <w:name w:val="Displayed equation"/>
    <w:basedOn w:val="Normal"/>
    <w:next w:val="Paragraph"/>
    <w:qFormat/>
    <w:rsid w:val="00C5385F"/>
    <w:pPr>
      <w:tabs>
        <w:tab w:val="center" w:pos="4253"/>
        <w:tab w:val="right" w:pos="8222"/>
      </w:tabs>
      <w:spacing w:before="240" w:after="240"/>
      <w:jc w:val="center"/>
    </w:pPr>
  </w:style>
  <w:style w:type="paragraph" w:customStyle="1" w:styleId="Acknowledgements">
    <w:name w:val="Acknowledgements"/>
    <w:basedOn w:val="Normal"/>
    <w:next w:val="Normal"/>
    <w:qFormat/>
    <w:rsid w:val="00C5385F"/>
    <w:pPr>
      <w:spacing w:before="120" w:line="360" w:lineRule="auto"/>
    </w:pPr>
  </w:style>
  <w:style w:type="paragraph" w:customStyle="1" w:styleId="Tabletitle">
    <w:name w:val="Table title"/>
    <w:basedOn w:val="Normal"/>
    <w:next w:val="Normal"/>
    <w:qFormat/>
    <w:rsid w:val="00C5385F"/>
    <w:pPr>
      <w:spacing w:before="240" w:line="360" w:lineRule="auto"/>
    </w:pPr>
  </w:style>
  <w:style w:type="paragraph" w:customStyle="1" w:styleId="Figurecaption">
    <w:name w:val="Figure caption"/>
    <w:basedOn w:val="Normal"/>
    <w:next w:val="Normal"/>
    <w:qFormat/>
    <w:rsid w:val="00C5385F"/>
    <w:pPr>
      <w:spacing w:before="240" w:line="360" w:lineRule="auto"/>
    </w:pPr>
  </w:style>
  <w:style w:type="paragraph" w:customStyle="1" w:styleId="Footnotes">
    <w:name w:val="Footnotes"/>
    <w:basedOn w:val="Normal"/>
    <w:qFormat/>
    <w:rsid w:val="00C5385F"/>
    <w:pPr>
      <w:spacing w:before="120" w:line="360" w:lineRule="auto"/>
      <w:ind w:left="482" w:hanging="482"/>
      <w:contextualSpacing/>
    </w:pPr>
  </w:style>
  <w:style w:type="paragraph" w:customStyle="1" w:styleId="Notesoncontributors">
    <w:name w:val="Notes on contributors"/>
    <w:basedOn w:val="Normal"/>
    <w:qFormat/>
    <w:rsid w:val="00C5385F"/>
    <w:pPr>
      <w:spacing w:before="240" w:line="360" w:lineRule="auto"/>
    </w:pPr>
  </w:style>
  <w:style w:type="paragraph" w:customStyle="1" w:styleId="Normalparagraphstyle">
    <w:name w:val="Normal paragraph style"/>
    <w:basedOn w:val="Normal"/>
    <w:next w:val="Normal"/>
    <w:rsid w:val="00C5385F"/>
  </w:style>
  <w:style w:type="paragraph" w:customStyle="1" w:styleId="Paragraph">
    <w:name w:val="Paragraph"/>
    <w:basedOn w:val="Normal"/>
    <w:next w:val="Newparagraph"/>
    <w:qFormat/>
    <w:rsid w:val="00C5385F"/>
    <w:pPr>
      <w:widowControl w:val="0"/>
      <w:spacing w:before="240"/>
    </w:pPr>
  </w:style>
  <w:style w:type="paragraph" w:customStyle="1" w:styleId="Newparagraph">
    <w:name w:val="New paragraph"/>
    <w:basedOn w:val="Normal"/>
    <w:qFormat/>
    <w:rsid w:val="00C5385F"/>
    <w:pPr>
      <w:ind w:firstLine="720"/>
    </w:pPr>
  </w:style>
  <w:style w:type="paragraph" w:styleId="NormalIndent">
    <w:name w:val="Normal Indent"/>
    <w:basedOn w:val="Normal"/>
    <w:rsid w:val="00C5385F"/>
    <w:pPr>
      <w:ind w:left="720"/>
    </w:pPr>
  </w:style>
  <w:style w:type="paragraph" w:customStyle="1" w:styleId="References">
    <w:name w:val="References"/>
    <w:basedOn w:val="Normal"/>
    <w:qFormat/>
    <w:rsid w:val="00C5385F"/>
    <w:pPr>
      <w:spacing w:before="120" w:line="360" w:lineRule="auto"/>
      <w:ind w:left="720" w:hanging="720"/>
      <w:contextualSpacing/>
    </w:pPr>
  </w:style>
  <w:style w:type="paragraph" w:customStyle="1" w:styleId="Subjectcodes">
    <w:name w:val="Subject codes"/>
    <w:basedOn w:val="Keywords"/>
    <w:next w:val="Paragraph"/>
    <w:qFormat/>
    <w:rsid w:val="00C5385F"/>
  </w:style>
  <w:style w:type="paragraph" w:customStyle="1" w:styleId="Bulletedlist">
    <w:name w:val="Bulleted list"/>
    <w:basedOn w:val="Paragraph"/>
    <w:next w:val="Paragraph"/>
    <w:qFormat/>
    <w:rsid w:val="00C5385F"/>
    <w:pPr>
      <w:widowControl/>
      <w:numPr>
        <w:numId w:val="2"/>
      </w:numPr>
      <w:spacing w:after="240"/>
      <w:contextualSpacing/>
    </w:pPr>
  </w:style>
  <w:style w:type="paragraph" w:styleId="EndnoteText">
    <w:name w:val="endnote text"/>
    <w:basedOn w:val="Normal"/>
    <w:link w:val="EndnoteTextChar"/>
    <w:autoRedefine/>
    <w:rsid w:val="00C5385F"/>
    <w:pPr>
      <w:ind w:left="284" w:hanging="284"/>
    </w:pPr>
    <w:rPr>
      <w:szCs w:val="20"/>
    </w:rPr>
  </w:style>
  <w:style w:type="character" w:customStyle="1" w:styleId="EndnoteTextChar">
    <w:name w:val="Endnote Text Char"/>
    <w:link w:val="EndnoteText"/>
    <w:rsid w:val="00C5385F"/>
    <w:rPr>
      <w:rFonts w:eastAsia="Times New Roman"/>
      <w:sz w:val="22"/>
      <w:lang w:eastAsia="en-GB"/>
    </w:rPr>
  </w:style>
  <w:style w:type="character" w:styleId="EndnoteReference">
    <w:name w:val="endnote reference"/>
    <w:rsid w:val="00C5385F"/>
    <w:rPr>
      <w:vertAlign w:val="superscript"/>
    </w:rPr>
  </w:style>
  <w:style w:type="character" w:customStyle="1" w:styleId="HeaderChar">
    <w:name w:val="Header Char"/>
    <w:basedOn w:val="DefaultParagraphFont"/>
    <w:link w:val="Header"/>
    <w:uiPriority w:val="99"/>
    <w:rsid w:val="00EA4A2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A4A2A"/>
    <w:rPr>
      <w:rFonts w:asciiTheme="minorHAnsi" w:eastAsiaTheme="minorHAnsi" w:hAnsiTheme="minorHAnsi" w:cstheme="minorBidi"/>
      <w:sz w:val="22"/>
      <w:szCs w:val="22"/>
      <w:lang w:eastAsia="en-US"/>
    </w:rPr>
  </w:style>
  <w:style w:type="paragraph" w:customStyle="1" w:styleId="Heading4Paragraph">
    <w:name w:val="Heading 4 + Paragraph"/>
    <w:basedOn w:val="Paragraph"/>
    <w:next w:val="Newparagraph"/>
    <w:qFormat/>
    <w:rsid w:val="00C5385F"/>
    <w:pPr>
      <w:widowControl/>
      <w:spacing w:before="360"/>
    </w:pPr>
  </w:style>
  <w:style w:type="character" w:styleId="FollowedHyperlink">
    <w:name w:val="FollowedHyperlink"/>
    <w:basedOn w:val="DefaultParagraphFont"/>
    <w:uiPriority w:val="99"/>
    <w:semiHidden/>
    <w:unhideWhenUsed/>
    <w:rsid w:val="00EA4A2A"/>
    <w:rPr>
      <w:color w:val="auto"/>
      <w:u w:val="single"/>
    </w:rPr>
  </w:style>
  <w:style w:type="character" w:styleId="LineNumber">
    <w:name w:val="line number"/>
    <w:basedOn w:val="DefaultParagraphFont"/>
    <w:semiHidden/>
    <w:unhideWhenUsed/>
    <w:rsid w:val="00E15B7D"/>
  </w:style>
  <w:style w:type="character" w:styleId="Strong">
    <w:name w:val="Strong"/>
    <w:basedOn w:val="DefaultParagraphFont"/>
    <w:uiPriority w:val="22"/>
    <w:qFormat/>
    <w:rsid w:val="000B51B9"/>
    <w:rPr>
      <w:b/>
      <w:bCs/>
    </w:rPr>
  </w:style>
  <w:style w:type="character" w:customStyle="1" w:styleId="UnresolvedMention1">
    <w:name w:val="Unresolved Mention1"/>
    <w:basedOn w:val="DefaultParagraphFont"/>
    <w:uiPriority w:val="99"/>
    <w:semiHidden/>
    <w:unhideWhenUsed/>
    <w:rsid w:val="00260932"/>
    <w:rPr>
      <w:color w:val="605E5C"/>
      <w:shd w:val="clear" w:color="auto" w:fill="E1DFDD"/>
    </w:rPr>
  </w:style>
  <w:style w:type="paragraph" w:styleId="ListParagraph">
    <w:name w:val="List Paragraph"/>
    <w:basedOn w:val="Normal"/>
    <w:uiPriority w:val="34"/>
    <w:qFormat/>
    <w:rsid w:val="005422C4"/>
    <w:pPr>
      <w:ind w:left="720"/>
      <w:contextualSpacing/>
    </w:pPr>
  </w:style>
  <w:style w:type="character" w:customStyle="1" w:styleId="UnresolvedMention2">
    <w:name w:val="Unresolved Mention2"/>
    <w:basedOn w:val="DefaultParagraphFont"/>
    <w:uiPriority w:val="99"/>
    <w:semiHidden/>
    <w:unhideWhenUsed/>
    <w:rsid w:val="00BC1CAC"/>
    <w:rPr>
      <w:color w:val="605E5C"/>
      <w:shd w:val="clear" w:color="auto" w:fill="E1DFDD"/>
    </w:rPr>
  </w:style>
  <w:style w:type="character" w:customStyle="1" w:styleId="UnresolvedMention3">
    <w:name w:val="Unresolved Mention3"/>
    <w:basedOn w:val="DefaultParagraphFont"/>
    <w:uiPriority w:val="99"/>
    <w:semiHidden/>
    <w:unhideWhenUsed/>
    <w:rsid w:val="004F66E7"/>
    <w:rPr>
      <w:color w:val="605E5C"/>
      <w:shd w:val="clear" w:color="auto" w:fill="E1DFDD"/>
    </w:rPr>
  </w:style>
  <w:style w:type="character" w:customStyle="1" w:styleId="UnresolvedMention4">
    <w:name w:val="Unresolved Mention4"/>
    <w:basedOn w:val="DefaultParagraphFont"/>
    <w:uiPriority w:val="99"/>
    <w:semiHidden/>
    <w:unhideWhenUsed/>
    <w:rsid w:val="00A439F3"/>
    <w:rPr>
      <w:color w:val="605E5C"/>
      <w:shd w:val="clear" w:color="auto" w:fill="E1DFDD"/>
    </w:rPr>
  </w:style>
  <w:style w:type="character" w:customStyle="1" w:styleId="UnresolvedMention5">
    <w:name w:val="Unresolved Mention5"/>
    <w:basedOn w:val="DefaultParagraphFont"/>
    <w:uiPriority w:val="99"/>
    <w:semiHidden/>
    <w:unhideWhenUsed/>
    <w:rsid w:val="00AA31E9"/>
    <w:rPr>
      <w:color w:val="605E5C"/>
      <w:shd w:val="clear" w:color="auto" w:fill="E1DFDD"/>
    </w:rPr>
  </w:style>
  <w:style w:type="character" w:customStyle="1" w:styleId="UnresolvedMention6">
    <w:name w:val="Unresolved Mention6"/>
    <w:basedOn w:val="DefaultParagraphFont"/>
    <w:uiPriority w:val="99"/>
    <w:semiHidden/>
    <w:unhideWhenUsed/>
    <w:rsid w:val="00C85578"/>
    <w:rPr>
      <w:color w:val="605E5C"/>
      <w:shd w:val="clear" w:color="auto" w:fill="E1DFDD"/>
    </w:rPr>
  </w:style>
  <w:style w:type="paragraph" w:customStyle="1" w:styleId="Originalquotes">
    <w:name w:val="Original quotes"/>
    <w:basedOn w:val="Quote"/>
    <w:link w:val="OriginalquotesChar"/>
    <w:autoRedefine/>
    <w:qFormat/>
    <w:rsid w:val="000C4858"/>
    <w:pPr>
      <w:framePr w:w="284" w:h="284" w:hRule="exact" w:wrap="around" w:vAnchor="text" w:hAnchor="text" w:y="1" w:anchorLock="1"/>
      <w:spacing w:before="80" w:after="40" w:line="240" w:lineRule="auto"/>
      <w:ind w:left="720" w:right="680"/>
      <w:jc w:val="left"/>
    </w:pPr>
    <w:rPr>
      <w:i w:val="0"/>
      <w:color w:val="595959" w:themeColor="text1" w:themeTint="A6"/>
    </w:rPr>
  </w:style>
  <w:style w:type="character" w:customStyle="1" w:styleId="OriginalquotesChar">
    <w:name w:val="Original quotes Char"/>
    <w:basedOn w:val="QuoteChar"/>
    <w:link w:val="Originalquotes"/>
    <w:rsid w:val="000C4858"/>
    <w:rPr>
      <w:rFonts w:asciiTheme="minorHAnsi" w:eastAsiaTheme="minorEastAsia" w:hAnsiTheme="minorHAnsi" w:cstheme="minorBidi"/>
      <w:i w:val="0"/>
      <w:iCs/>
      <w:color w:val="595959" w:themeColor="text1" w:themeTint="A6"/>
      <w:sz w:val="22"/>
      <w:szCs w:val="22"/>
    </w:rPr>
  </w:style>
  <w:style w:type="paragraph" w:styleId="Title">
    <w:name w:val="Title"/>
    <w:basedOn w:val="Normal"/>
    <w:next w:val="Normal"/>
    <w:link w:val="TitleChar"/>
    <w:uiPriority w:val="10"/>
    <w:qFormat/>
    <w:rsid w:val="000C4858"/>
    <w:pPr>
      <w:pageBreakBefore/>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85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2132E"/>
    <w:rPr>
      <w:color w:val="605E5C"/>
      <w:shd w:val="clear" w:color="auto" w:fill="E1DFDD"/>
    </w:rPr>
  </w:style>
  <w:style w:type="paragraph" w:customStyle="1" w:styleId="Default">
    <w:name w:val="Default"/>
    <w:rsid w:val="004C2E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0824">
      <w:bodyDiv w:val="1"/>
      <w:marLeft w:val="0"/>
      <w:marRight w:val="0"/>
      <w:marTop w:val="0"/>
      <w:marBottom w:val="0"/>
      <w:divBdr>
        <w:top w:val="none" w:sz="0" w:space="0" w:color="auto"/>
        <w:left w:val="none" w:sz="0" w:space="0" w:color="auto"/>
        <w:bottom w:val="none" w:sz="0" w:space="0" w:color="auto"/>
        <w:right w:val="none" w:sz="0" w:space="0" w:color="auto"/>
      </w:divBdr>
    </w:div>
    <w:div w:id="72287088">
      <w:bodyDiv w:val="1"/>
      <w:marLeft w:val="0"/>
      <w:marRight w:val="0"/>
      <w:marTop w:val="0"/>
      <w:marBottom w:val="0"/>
      <w:divBdr>
        <w:top w:val="none" w:sz="0" w:space="0" w:color="auto"/>
        <w:left w:val="none" w:sz="0" w:space="0" w:color="auto"/>
        <w:bottom w:val="none" w:sz="0" w:space="0" w:color="auto"/>
        <w:right w:val="none" w:sz="0" w:space="0" w:color="auto"/>
      </w:divBdr>
      <w:divsChild>
        <w:div w:id="530344504">
          <w:marLeft w:val="0"/>
          <w:marRight w:val="0"/>
          <w:marTop w:val="0"/>
          <w:marBottom w:val="0"/>
          <w:divBdr>
            <w:top w:val="none" w:sz="0" w:space="0" w:color="auto"/>
            <w:left w:val="none" w:sz="0" w:space="0" w:color="auto"/>
            <w:bottom w:val="none" w:sz="0" w:space="0" w:color="auto"/>
            <w:right w:val="none" w:sz="0" w:space="0" w:color="auto"/>
          </w:divBdr>
          <w:divsChild>
            <w:div w:id="16305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26">
      <w:bodyDiv w:val="1"/>
      <w:marLeft w:val="0"/>
      <w:marRight w:val="0"/>
      <w:marTop w:val="0"/>
      <w:marBottom w:val="0"/>
      <w:divBdr>
        <w:top w:val="none" w:sz="0" w:space="0" w:color="auto"/>
        <w:left w:val="none" w:sz="0" w:space="0" w:color="auto"/>
        <w:bottom w:val="none" w:sz="0" w:space="0" w:color="auto"/>
        <w:right w:val="none" w:sz="0" w:space="0" w:color="auto"/>
      </w:divBdr>
      <w:divsChild>
        <w:div w:id="1044251501">
          <w:marLeft w:val="480"/>
          <w:marRight w:val="0"/>
          <w:marTop w:val="0"/>
          <w:marBottom w:val="0"/>
          <w:divBdr>
            <w:top w:val="none" w:sz="0" w:space="0" w:color="auto"/>
            <w:left w:val="none" w:sz="0" w:space="0" w:color="auto"/>
            <w:bottom w:val="none" w:sz="0" w:space="0" w:color="auto"/>
            <w:right w:val="none" w:sz="0" w:space="0" w:color="auto"/>
          </w:divBdr>
          <w:divsChild>
            <w:div w:id="1426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7057">
      <w:bodyDiv w:val="1"/>
      <w:marLeft w:val="0"/>
      <w:marRight w:val="0"/>
      <w:marTop w:val="0"/>
      <w:marBottom w:val="0"/>
      <w:divBdr>
        <w:top w:val="none" w:sz="0" w:space="0" w:color="auto"/>
        <w:left w:val="none" w:sz="0" w:space="0" w:color="auto"/>
        <w:bottom w:val="none" w:sz="0" w:space="0" w:color="auto"/>
        <w:right w:val="none" w:sz="0" w:space="0" w:color="auto"/>
      </w:divBdr>
    </w:div>
    <w:div w:id="176506170">
      <w:bodyDiv w:val="1"/>
      <w:marLeft w:val="0"/>
      <w:marRight w:val="0"/>
      <w:marTop w:val="0"/>
      <w:marBottom w:val="0"/>
      <w:divBdr>
        <w:top w:val="none" w:sz="0" w:space="0" w:color="auto"/>
        <w:left w:val="none" w:sz="0" w:space="0" w:color="auto"/>
        <w:bottom w:val="none" w:sz="0" w:space="0" w:color="auto"/>
        <w:right w:val="none" w:sz="0" w:space="0" w:color="auto"/>
      </w:divBdr>
      <w:divsChild>
        <w:div w:id="591670870">
          <w:marLeft w:val="0"/>
          <w:marRight w:val="0"/>
          <w:marTop w:val="15"/>
          <w:marBottom w:val="0"/>
          <w:divBdr>
            <w:top w:val="single" w:sz="48" w:space="0" w:color="auto"/>
            <w:left w:val="single" w:sz="48" w:space="0" w:color="auto"/>
            <w:bottom w:val="single" w:sz="48" w:space="0" w:color="auto"/>
            <w:right w:val="single" w:sz="48" w:space="0" w:color="auto"/>
          </w:divBdr>
          <w:divsChild>
            <w:div w:id="9350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216">
      <w:bodyDiv w:val="1"/>
      <w:marLeft w:val="0"/>
      <w:marRight w:val="0"/>
      <w:marTop w:val="0"/>
      <w:marBottom w:val="0"/>
      <w:divBdr>
        <w:top w:val="none" w:sz="0" w:space="0" w:color="auto"/>
        <w:left w:val="none" w:sz="0" w:space="0" w:color="auto"/>
        <w:bottom w:val="none" w:sz="0" w:space="0" w:color="auto"/>
        <w:right w:val="none" w:sz="0" w:space="0" w:color="auto"/>
      </w:divBdr>
    </w:div>
    <w:div w:id="237399383">
      <w:bodyDiv w:val="1"/>
      <w:marLeft w:val="0"/>
      <w:marRight w:val="0"/>
      <w:marTop w:val="0"/>
      <w:marBottom w:val="0"/>
      <w:divBdr>
        <w:top w:val="none" w:sz="0" w:space="0" w:color="auto"/>
        <w:left w:val="none" w:sz="0" w:space="0" w:color="auto"/>
        <w:bottom w:val="none" w:sz="0" w:space="0" w:color="auto"/>
        <w:right w:val="none" w:sz="0" w:space="0" w:color="auto"/>
      </w:divBdr>
      <w:divsChild>
        <w:div w:id="751705460">
          <w:marLeft w:val="480"/>
          <w:marRight w:val="0"/>
          <w:marTop w:val="0"/>
          <w:marBottom w:val="0"/>
          <w:divBdr>
            <w:top w:val="none" w:sz="0" w:space="0" w:color="auto"/>
            <w:left w:val="none" w:sz="0" w:space="0" w:color="auto"/>
            <w:bottom w:val="none" w:sz="0" w:space="0" w:color="auto"/>
            <w:right w:val="none" w:sz="0" w:space="0" w:color="auto"/>
          </w:divBdr>
          <w:divsChild>
            <w:div w:id="9781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18376">
      <w:bodyDiv w:val="1"/>
      <w:marLeft w:val="0"/>
      <w:marRight w:val="0"/>
      <w:marTop w:val="0"/>
      <w:marBottom w:val="0"/>
      <w:divBdr>
        <w:top w:val="none" w:sz="0" w:space="0" w:color="auto"/>
        <w:left w:val="none" w:sz="0" w:space="0" w:color="auto"/>
        <w:bottom w:val="none" w:sz="0" w:space="0" w:color="auto"/>
        <w:right w:val="none" w:sz="0" w:space="0" w:color="auto"/>
      </w:divBdr>
      <w:divsChild>
        <w:div w:id="1893230303">
          <w:marLeft w:val="0"/>
          <w:marRight w:val="0"/>
          <w:marTop w:val="0"/>
          <w:marBottom w:val="0"/>
          <w:divBdr>
            <w:top w:val="none" w:sz="0" w:space="0" w:color="auto"/>
            <w:left w:val="none" w:sz="0" w:space="0" w:color="auto"/>
            <w:bottom w:val="none" w:sz="0" w:space="0" w:color="auto"/>
            <w:right w:val="none" w:sz="0" w:space="0" w:color="auto"/>
          </w:divBdr>
        </w:div>
      </w:divsChild>
    </w:div>
    <w:div w:id="291667631">
      <w:bodyDiv w:val="1"/>
      <w:marLeft w:val="0"/>
      <w:marRight w:val="0"/>
      <w:marTop w:val="0"/>
      <w:marBottom w:val="0"/>
      <w:divBdr>
        <w:top w:val="none" w:sz="0" w:space="0" w:color="auto"/>
        <w:left w:val="none" w:sz="0" w:space="0" w:color="auto"/>
        <w:bottom w:val="none" w:sz="0" w:space="0" w:color="auto"/>
        <w:right w:val="none" w:sz="0" w:space="0" w:color="auto"/>
      </w:divBdr>
    </w:div>
    <w:div w:id="294717541">
      <w:bodyDiv w:val="1"/>
      <w:marLeft w:val="0"/>
      <w:marRight w:val="0"/>
      <w:marTop w:val="0"/>
      <w:marBottom w:val="0"/>
      <w:divBdr>
        <w:top w:val="none" w:sz="0" w:space="0" w:color="auto"/>
        <w:left w:val="none" w:sz="0" w:space="0" w:color="auto"/>
        <w:bottom w:val="none" w:sz="0" w:space="0" w:color="auto"/>
        <w:right w:val="none" w:sz="0" w:space="0" w:color="auto"/>
      </w:divBdr>
      <w:divsChild>
        <w:div w:id="236668606">
          <w:marLeft w:val="0"/>
          <w:marRight w:val="0"/>
          <w:marTop w:val="0"/>
          <w:marBottom w:val="0"/>
          <w:divBdr>
            <w:top w:val="none" w:sz="0" w:space="0" w:color="auto"/>
            <w:left w:val="none" w:sz="0" w:space="0" w:color="auto"/>
            <w:bottom w:val="none" w:sz="0" w:space="0" w:color="auto"/>
            <w:right w:val="none" w:sz="0" w:space="0" w:color="auto"/>
          </w:divBdr>
        </w:div>
      </w:divsChild>
    </w:div>
    <w:div w:id="347028147">
      <w:bodyDiv w:val="1"/>
      <w:marLeft w:val="0"/>
      <w:marRight w:val="0"/>
      <w:marTop w:val="0"/>
      <w:marBottom w:val="0"/>
      <w:divBdr>
        <w:top w:val="none" w:sz="0" w:space="0" w:color="auto"/>
        <w:left w:val="none" w:sz="0" w:space="0" w:color="auto"/>
        <w:bottom w:val="none" w:sz="0" w:space="0" w:color="auto"/>
        <w:right w:val="none" w:sz="0" w:space="0" w:color="auto"/>
      </w:divBdr>
    </w:div>
    <w:div w:id="473523323">
      <w:bodyDiv w:val="1"/>
      <w:marLeft w:val="0"/>
      <w:marRight w:val="0"/>
      <w:marTop w:val="0"/>
      <w:marBottom w:val="0"/>
      <w:divBdr>
        <w:top w:val="none" w:sz="0" w:space="0" w:color="auto"/>
        <w:left w:val="none" w:sz="0" w:space="0" w:color="auto"/>
        <w:bottom w:val="none" w:sz="0" w:space="0" w:color="auto"/>
        <w:right w:val="none" w:sz="0" w:space="0" w:color="auto"/>
      </w:divBdr>
      <w:divsChild>
        <w:div w:id="1276867553">
          <w:marLeft w:val="0"/>
          <w:marRight w:val="0"/>
          <w:marTop w:val="0"/>
          <w:marBottom w:val="0"/>
          <w:divBdr>
            <w:top w:val="none" w:sz="0" w:space="0" w:color="auto"/>
            <w:left w:val="none" w:sz="0" w:space="0" w:color="auto"/>
            <w:bottom w:val="none" w:sz="0" w:space="0" w:color="auto"/>
            <w:right w:val="none" w:sz="0" w:space="0" w:color="auto"/>
          </w:divBdr>
          <w:divsChild>
            <w:div w:id="588126148">
              <w:marLeft w:val="0"/>
              <w:marRight w:val="0"/>
              <w:marTop w:val="0"/>
              <w:marBottom w:val="0"/>
              <w:divBdr>
                <w:top w:val="none" w:sz="0" w:space="0" w:color="auto"/>
                <w:left w:val="none" w:sz="0" w:space="0" w:color="auto"/>
                <w:bottom w:val="none" w:sz="0" w:space="0" w:color="auto"/>
                <w:right w:val="none" w:sz="0" w:space="0" w:color="auto"/>
              </w:divBdr>
            </w:div>
            <w:div w:id="8301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9064">
      <w:bodyDiv w:val="1"/>
      <w:marLeft w:val="0"/>
      <w:marRight w:val="0"/>
      <w:marTop w:val="0"/>
      <w:marBottom w:val="0"/>
      <w:divBdr>
        <w:top w:val="none" w:sz="0" w:space="0" w:color="auto"/>
        <w:left w:val="none" w:sz="0" w:space="0" w:color="auto"/>
        <w:bottom w:val="none" w:sz="0" w:space="0" w:color="auto"/>
        <w:right w:val="none" w:sz="0" w:space="0" w:color="auto"/>
      </w:divBdr>
    </w:div>
    <w:div w:id="501942247">
      <w:bodyDiv w:val="1"/>
      <w:marLeft w:val="0"/>
      <w:marRight w:val="0"/>
      <w:marTop w:val="0"/>
      <w:marBottom w:val="0"/>
      <w:divBdr>
        <w:top w:val="none" w:sz="0" w:space="0" w:color="auto"/>
        <w:left w:val="none" w:sz="0" w:space="0" w:color="auto"/>
        <w:bottom w:val="none" w:sz="0" w:space="0" w:color="auto"/>
        <w:right w:val="none" w:sz="0" w:space="0" w:color="auto"/>
      </w:divBdr>
    </w:div>
    <w:div w:id="515004279">
      <w:bodyDiv w:val="1"/>
      <w:marLeft w:val="0"/>
      <w:marRight w:val="0"/>
      <w:marTop w:val="0"/>
      <w:marBottom w:val="0"/>
      <w:divBdr>
        <w:top w:val="none" w:sz="0" w:space="0" w:color="auto"/>
        <w:left w:val="none" w:sz="0" w:space="0" w:color="auto"/>
        <w:bottom w:val="none" w:sz="0" w:space="0" w:color="auto"/>
        <w:right w:val="none" w:sz="0" w:space="0" w:color="auto"/>
      </w:divBdr>
      <w:divsChild>
        <w:div w:id="1099448165">
          <w:marLeft w:val="480"/>
          <w:marRight w:val="0"/>
          <w:marTop w:val="0"/>
          <w:marBottom w:val="0"/>
          <w:divBdr>
            <w:top w:val="none" w:sz="0" w:space="0" w:color="auto"/>
            <w:left w:val="none" w:sz="0" w:space="0" w:color="auto"/>
            <w:bottom w:val="none" w:sz="0" w:space="0" w:color="auto"/>
            <w:right w:val="none" w:sz="0" w:space="0" w:color="auto"/>
          </w:divBdr>
          <w:divsChild>
            <w:div w:id="4247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7450">
      <w:bodyDiv w:val="1"/>
      <w:marLeft w:val="0"/>
      <w:marRight w:val="0"/>
      <w:marTop w:val="0"/>
      <w:marBottom w:val="0"/>
      <w:divBdr>
        <w:top w:val="none" w:sz="0" w:space="0" w:color="auto"/>
        <w:left w:val="none" w:sz="0" w:space="0" w:color="auto"/>
        <w:bottom w:val="none" w:sz="0" w:space="0" w:color="auto"/>
        <w:right w:val="none" w:sz="0" w:space="0" w:color="auto"/>
      </w:divBdr>
      <w:divsChild>
        <w:div w:id="360280760">
          <w:marLeft w:val="480"/>
          <w:marRight w:val="0"/>
          <w:marTop w:val="0"/>
          <w:marBottom w:val="0"/>
          <w:divBdr>
            <w:top w:val="none" w:sz="0" w:space="0" w:color="auto"/>
            <w:left w:val="none" w:sz="0" w:space="0" w:color="auto"/>
            <w:bottom w:val="none" w:sz="0" w:space="0" w:color="auto"/>
            <w:right w:val="none" w:sz="0" w:space="0" w:color="auto"/>
          </w:divBdr>
          <w:divsChild>
            <w:div w:id="182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6928">
      <w:bodyDiv w:val="1"/>
      <w:marLeft w:val="0"/>
      <w:marRight w:val="0"/>
      <w:marTop w:val="0"/>
      <w:marBottom w:val="0"/>
      <w:divBdr>
        <w:top w:val="none" w:sz="0" w:space="0" w:color="auto"/>
        <w:left w:val="none" w:sz="0" w:space="0" w:color="auto"/>
        <w:bottom w:val="none" w:sz="0" w:space="0" w:color="auto"/>
        <w:right w:val="none" w:sz="0" w:space="0" w:color="auto"/>
      </w:divBdr>
    </w:div>
    <w:div w:id="626086517">
      <w:bodyDiv w:val="1"/>
      <w:marLeft w:val="0"/>
      <w:marRight w:val="0"/>
      <w:marTop w:val="0"/>
      <w:marBottom w:val="0"/>
      <w:divBdr>
        <w:top w:val="none" w:sz="0" w:space="0" w:color="auto"/>
        <w:left w:val="none" w:sz="0" w:space="0" w:color="auto"/>
        <w:bottom w:val="none" w:sz="0" w:space="0" w:color="auto"/>
        <w:right w:val="none" w:sz="0" w:space="0" w:color="auto"/>
      </w:divBdr>
    </w:div>
    <w:div w:id="929238988">
      <w:bodyDiv w:val="1"/>
      <w:marLeft w:val="0"/>
      <w:marRight w:val="0"/>
      <w:marTop w:val="0"/>
      <w:marBottom w:val="0"/>
      <w:divBdr>
        <w:top w:val="none" w:sz="0" w:space="0" w:color="auto"/>
        <w:left w:val="none" w:sz="0" w:space="0" w:color="auto"/>
        <w:bottom w:val="none" w:sz="0" w:space="0" w:color="auto"/>
        <w:right w:val="none" w:sz="0" w:space="0" w:color="auto"/>
      </w:divBdr>
    </w:div>
    <w:div w:id="990325691">
      <w:bodyDiv w:val="1"/>
      <w:marLeft w:val="0"/>
      <w:marRight w:val="0"/>
      <w:marTop w:val="0"/>
      <w:marBottom w:val="0"/>
      <w:divBdr>
        <w:top w:val="none" w:sz="0" w:space="0" w:color="auto"/>
        <w:left w:val="none" w:sz="0" w:space="0" w:color="auto"/>
        <w:bottom w:val="none" w:sz="0" w:space="0" w:color="auto"/>
        <w:right w:val="none" w:sz="0" w:space="0" w:color="auto"/>
      </w:divBdr>
      <w:divsChild>
        <w:div w:id="1740008470">
          <w:marLeft w:val="0"/>
          <w:marRight w:val="0"/>
          <w:marTop w:val="0"/>
          <w:marBottom w:val="0"/>
          <w:divBdr>
            <w:top w:val="none" w:sz="0" w:space="0" w:color="auto"/>
            <w:left w:val="none" w:sz="0" w:space="0" w:color="auto"/>
            <w:bottom w:val="none" w:sz="0" w:space="0" w:color="auto"/>
            <w:right w:val="none" w:sz="0" w:space="0" w:color="auto"/>
          </w:divBdr>
          <w:divsChild>
            <w:div w:id="19630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5635">
      <w:bodyDiv w:val="1"/>
      <w:marLeft w:val="0"/>
      <w:marRight w:val="0"/>
      <w:marTop w:val="0"/>
      <w:marBottom w:val="0"/>
      <w:divBdr>
        <w:top w:val="none" w:sz="0" w:space="0" w:color="auto"/>
        <w:left w:val="none" w:sz="0" w:space="0" w:color="auto"/>
        <w:bottom w:val="none" w:sz="0" w:space="0" w:color="auto"/>
        <w:right w:val="none" w:sz="0" w:space="0" w:color="auto"/>
      </w:divBdr>
      <w:divsChild>
        <w:div w:id="2060664287">
          <w:marLeft w:val="480"/>
          <w:marRight w:val="0"/>
          <w:marTop w:val="0"/>
          <w:marBottom w:val="0"/>
          <w:divBdr>
            <w:top w:val="none" w:sz="0" w:space="0" w:color="auto"/>
            <w:left w:val="none" w:sz="0" w:space="0" w:color="auto"/>
            <w:bottom w:val="none" w:sz="0" w:space="0" w:color="auto"/>
            <w:right w:val="none" w:sz="0" w:space="0" w:color="auto"/>
          </w:divBdr>
          <w:divsChild>
            <w:div w:id="19009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2654">
      <w:bodyDiv w:val="1"/>
      <w:marLeft w:val="0"/>
      <w:marRight w:val="0"/>
      <w:marTop w:val="0"/>
      <w:marBottom w:val="0"/>
      <w:divBdr>
        <w:top w:val="none" w:sz="0" w:space="0" w:color="auto"/>
        <w:left w:val="none" w:sz="0" w:space="0" w:color="auto"/>
        <w:bottom w:val="none" w:sz="0" w:space="0" w:color="auto"/>
        <w:right w:val="none" w:sz="0" w:space="0" w:color="auto"/>
      </w:divBdr>
    </w:div>
    <w:div w:id="1062866659">
      <w:bodyDiv w:val="1"/>
      <w:marLeft w:val="0"/>
      <w:marRight w:val="0"/>
      <w:marTop w:val="0"/>
      <w:marBottom w:val="0"/>
      <w:divBdr>
        <w:top w:val="none" w:sz="0" w:space="0" w:color="auto"/>
        <w:left w:val="none" w:sz="0" w:space="0" w:color="auto"/>
        <w:bottom w:val="none" w:sz="0" w:space="0" w:color="auto"/>
        <w:right w:val="none" w:sz="0" w:space="0" w:color="auto"/>
      </w:divBdr>
      <w:divsChild>
        <w:div w:id="1065760320">
          <w:marLeft w:val="480"/>
          <w:marRight w:val="0"/>
          <w:marTop w:val="0"/>
          <w:marBottom w:val="0"/>
          <w:divBdr>
            <w:top w:val="none" w:sz="0" w:space="0" w:color="auto"/>
            <w:left w:val="none" w:sz="0" w:space="0" w:color="auto"/>
            <w:bottom w:val="none" w:sz="0" w:space="0" w:color="auto"/>
            <w:right w:val="none" w:sz="0" w:space="0" w:color="auto"/>
          </w:divBdr>
          <w:divsChild>
            <w:div w:id="1065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3289">
      <w:bodyDiv w:val="1"/>
      <w:marLeft w:val="0"/>
      <w:marRight w:val="0"/>
      <w:marTop w:val="0"/>
      <w:marBottom w:val="0"/>
      <w:divBdr>
        <w:top w:val="none" w:sz="0" w:space="0" w:color="auto"/>
        <w:left w:val="none" w:sz="0" w:space="0" w:color="auto"/>
        <w:bottom w:val="none" w:sz="0" w:space="0" w:color="auto"/>
        <w:right w:val="none" w:sz="0" w:space="0" w:color="auto"/>
      </w:divBdr>
    </w:div>
    <w:div w:id="1128351668">
      <w:bodyDiv w:val="1"/>
      <w:marLeft w:val="0"/>
      <w:marRight w:val="0"/>
      <w:marTop w:val="0"/>
      <w:marBottom w:val="0"/>
      <w:divBdr>
        <w:top w:val="none" w:sz="0" w:space="0" w:color="auto"/>
        <w:left w:val="none" w:sz="0" w:space="0" w:color="auto"/>
        <w:bottom w:val="none" w:sz="0" w:space="0" w:color="auto"/>
        <w:right w:val="none" w:sz="0" w:space="0" w:color="auto"/>
      </w:divBdr>
      <w:divsChild>
        <w:div w:id="318191675">
          <w:marLeft w:val="0"/>
          <w:marRight w:val="0"/>
          <w:marTop w:val="0"/>
          <w:marBottom w:val="0"/>
          <w:divBdr>
            <w:top w:val="none" w:sz="0" w:space="0" w:color="auto"/>
            <w:left w:val="none" w:sz="0" w:space="0" w:color="auto"/>
            <w:bottom w:val="none" w:sz="0" w:space="0" w:color="auto"/>
            <w:right w:val="none" w:sz="0" w:space="0" w:color="auto"/>
          </w:divBdr>
          <w:divsChild>
            <w:div w:id="12373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3540">
      <w:bodyDiv w:val="1"/>
      <w:marLeft w:val="0"/>
      <w:marRight w:val="0"/>
      <w:marTop w:val="0"/>
      <w:marBottom w:val="0"/>
      <w:divBdr>
        <w:top w:val="none" w:sz="0" w:space="0" w:color="auto"/>
        <w:left w:val="none" w:sz="0" w:space="0" w:color="auto"/>
        <w:bottom w:val="none" w:sz="0" w:space="0" w:color="auto"/>
        <w:right w:val="none" w:sz="0" w:space="0" w:color="auto"/>
      </w:divBdr>
      <w:divsChild>
        <w:div w:id="199829702">
          <w:marLeft w:val="0"/>
          <w:marRight w:val="0"/>
          <w:marTop w:val="0"/>
          <w:marBottom w:val="0"/>
          <w:divBdr>
            <w:top w:val="none" w:sz="0" w:space="0" w:color="auto"/>
            <w:left w:val="none" w:sz="0" w:space="0" w:color="auto"/>
            <w:bottom w:val="none" w:sz="0" w:space="0" w:color="auto"/>
            <w:right w:val="none" w:sz="0" w:space="0" w:color="auto"/>
          </w:divBdr>
        </w:div>
      </w:divsChild>
    </w:div>
    <w:div w:id="1171943164">
      <w:bodyDiv w:val="1"/>
      <w:marLeft w:val="0"/>
      <w:marRight w:val="0"/>
      <w:marTop w:val="0"/>
      <w:marBottom w:val="0"/>
      <w:divBdr>
        <w:top w:val="none" w:sz="0" w:space="0" w:color="auto"/>
        <w:left w:val="none" w:sz="0" w:space="0" w:color="auto"/>
        <w:bottom w:val="none" w:sz="0" w:space="0" w:color="auto"/>
        <w:right w:val="none" w:sz="0" w:space="0" w:color="auto"/>
      </w:divBdr>
    </w:div>
    <w:div w:id="1224027878">
      <w:bodyDiv w:val="1"/>
      <w:marLeft w:val="0"/>
      <w:marRight w:val="0"/>
      <w:marTop w:val="0"/>
      <w:marBottom w:val="0"/>
      <w:divBdr>
        <w:top w:val="none" w:sz="0" w:space="0" w:color="auto"/>
        <w:left w:val="none" w:sz="0" w:space="0" w:color="auto"/>
        <w:bottom w:val="none" w:sz="0" w:space="0" w:color="auto"/>
        <w:right w:val="none" w:sz="0" w:space="0" w:color="auto"/>
      </w:divBdr>
    </w:div>
    <w:div w:id="1226405392">
      <w:bodyDiv w:val="1"/>
      <w:marLeft w:val="0"/>
      <w:marRight w:val="0"/>
      <w:marTop w:val="0"/>
      <w:marBottom w:val="0"/>
      <w:divBdr>
        <w:top w:val="none" w:sz="0" w:space="0" w:color="auto"/>
        <w:left w:val="none" w:sz="0" w:space="0" w:color="auto"/>
        <w:bottom w:val="none" w:sz="0" w:space="0" w:color="auto"/>
        <w:right w:val="none" w:sz="0" w:space="0" w:color="auto"/>
      </w:divBdr>
    </w:div>
    <w:div w:id="1274747289">
      <w:bodyDiv w:val="1"/>
      <w:marLeft w:val="0"/>
      <w:marRight w:val="0"/>
      <w:marTop w:val="0"/>
      <w:marBottom w:val="0"/>
      <w:divBdr>
        <w:top w:val="none" w:sz="0" w:space="0" w:color="auto"/>
        <w:left w:val="none" w:sz="0" w:space="0" w:color="auto"/>
        <w:bottom w:val="none" w:sz="0" w:space="0" w:color="auto"/>
        <w:right w:val="none" w:sz="0" w:space="0" w:color="auto"/>
      </w:divBdr>
    </w:div>
    <w:div w:id="1298560621">
      <w:bodyDiv w:val="1"/>
      <w:marLeft w:val="0"/>
      <w:marRight w:val="0"/>
      <w:marTop w:val="0"/>
      <w:marBottom w:val="0"/>
      <w:divBdr>
        <w:top w:val="none" w:sz="0" w:space="0" w:color="auto"/>
        <w:left w:val="none" w:sz="0" w:space="0" w:color="auto"/>
        <w:bottom w:val="none" w:sz="0" w:space="0" w:color="auto"/>
        <w:right w:val="none" w:sz="0" w:space="0" w:color="auto"/>
      </w:divBdr>
    </w:div>
    <w:div w:id="1391540353">
      <w:bodyDiv w:val="1"/>
      <w:marLeft w:val="0"/>
      <w:marRight w:val="0"/>
      <w:marTop w:val="0"/>
      <w:marBottom w:val="0"/>
      <w:divBdr>
        <w:top w:val="none" w:sz="0" w:space="0" w:color="auto"/>
        <w:left w:val="none" w:sz="0" w:space="0" w:color="auto"/>
        <w:bottom w:val="none" w:sz="0" w:space="0" w:color="auto"/>
        <w:right w:val="none" w:sz="0" w:space="0" w:color="auto"/>
      </w:divBdr>
    </w:div>
    <w:div w:id="1408724519">
      <w:bodyDiv w:val="1"/>
      <w:marLeft w:val="0"/>
      <w:marRight w:val="0"/>
      <w:marTop w:val="0"/>
      <w:marBottom w:val="0"/>
      <w:divBdr>
        <w:top w:val="none" w:sz="0" w:space="0" w:color="auto"/>
        <w:left w:val="none" w:sz="0" w:space="0" w:color="auto"/>
        <w:bottom w:val="none" w:sz="0" w:space="0" w:color="auto"/>
        <w:right w:val="none" w:sz="0" w:space="0" w:color="auto"/>
      </w:divBdr>
    </w:div>
    <w:div w:id="1438259590">
      <w:bodyDiv w:val="1"/>
      <w:marLeft w:val="0"/>
      <w:marRight w:val="0"/>
      <w:marTop w:val="0"/>
      <w:marBottom w:val="0"/>
      <w:divBdr>
        <w:top w:val="none" w:sz="0" w:space="0" w:color="auto"/>
        <w:left w:val="none" w:sz="0" w:space="0" w:color="auto"/>
        <w:bottom w:val="none" w:sz="0" w:space="0" w:color="auto"/>
        <w:right w:val="none" w:sz="0" w:space="0" w:color="auto"/>
      </w:divBdr>
      <w:divsChild>
        <w:div w:id="648294005">
          <w:marLeft w:val="0"/>
          <w:marRight w:val="0"/>
          <w:marTop w:val="0"/>
          <w:marBottom w:val="0"/>
          <w:divBdr>
            <w:top w:val="none" w:sz="0" w:space="0" w:color="auto"/>
            <w:left w:val="none" w:sz="0" w:space="0" w:color="auto"/>
            <w:bottom w:val="none" w:sz="0" w:space="0" w:color="auto"/>
            <w:right w:val="none" w:sz="0" w:space="0" w:color="auto"/>
          </w:divBdr>
          <w:divsChild>
            <w:div w:id="15639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2562">
      <w:bodyDiv w:val="1"/>
      <w:marLeft w:val="0"/>
      <w:marRight w:val="0"/>
      <w:marTop w:val="0"/>
      <w:marBottom w:val="0"/>
      <w:divBdr>
        <w:top w:val="none" w:sz="0" w:space="0" w:color="auto"/>
        <w:left w:val="none" w:sz="0" w:space="0" w:color="auto"/>
        <w:bottom w:val="none" w:sz="0" w:space="0" w:color="auto"/>
        <w:right w:val="none" w:sz="0" w:space="0" w:color="auto"/>
      </w:divBdr>
    </w:div>
    <w:div w:id="1561551339">
      <w:bodyDiv w:val="1"/>
      <w:marLeft w:val="0"/>
      <w:marRight w:val="0"/>
      <w:marTop w:val="0"/>
      <w:marBottom w:val="0"/>
      <w:divBdr>
        <w:top w:val="none" w:sz="0" w:space="0" w:color="auto"/>
        <w:left w:val="none" w:sz="0" w:space="0" w:color="auto"/>
        <w:bottom w:val="none" w:sz="0" w:space="0" w:color="auto"/>
        <w:right w:val="none" w:sz="0" w:space="0" w:color="auto"/>
      </w:divBdr>
      <w:divsChild>
        <w:div w:id="771318163">
          <w:marLeft w:val="480"/>
          <w:marRight w:val="0"/>
          <w:marTop w:val="0"/>
          <w:marBottom w:val="0"/>
          <w:divBdr>
            <w:top w:val="none" w:sz="0" w:space="0" w:color="auto"/>
            <w:left w:val="none" w:sz="0" w:space="0" w:color="auto"/>
            <w:bottom w:val="none" w:sz="0" w:space="0" w:color="auto"/>
            <w:right w:val="none" w:sz="0" w:space="0" w:color="auto"/>
          </w:divBdr>
          <w:divsChild>
            <w:div w:id="319162841">
              <w:marLeft w:val="0"/>
              <w:marRight w:val="0"/>
              <w:marTop w:val="0"/>
              <w:marBottom w:val="0"/>
              <w:divBdr>
                <w:top w:val="none" w:sz="0" w:space="0" w:color="auto"/>
                <w:left w:val="none" w:sz="0" w:space="0" w:color="auto"/>
                <w:bottom w:val="none" w:sz="0" w:space="0" w:color="auto"/>
                <w:right w:val="none" w:sz="0" w:space="0" w:color="auto"/>
              </w:divBdr>
            </w:div>
            <w:div w:id="11086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9003">
      <w:bodyDiv w:val="1"/>
      <w:marLeft w:val="0"/>
      <w:marRight w:val="0"/>
      <w:marTop w:val="0"/>
      <w:marBottom w:val="0"/>
      <w:divBdr>
        <w:top w:val="none" w:sz="0" w:space="0" w:color="auto"/>
        <w:left w:val="none" w:sz="0" w:space="0" w:color="auto"/>
        <w:bottom w:val="none" w:sz="0" w:space="0" w:color="auto"/>
        <w:right w:val="none" w:sz="0" w:space="0" w:color="auto"/>
      </w:divBdr>
    </w:div>
    <w:div w:id="1606110392">
      <w:bodyDiv w:val="1"/>
      <w:marLeft w:val="0"/>
      <w:marRight w:val="0"/>
      <w:marTop w:val="0"/>
      <w:marBottom w:val="0"/>
      <w:divBdr>
        <w:top w:val="none" w:sz="0" w:space="0" w:color="auto"/>
        <w:left w:val="none" w:sz="0" w:space="0" w:color="auto"/>
        <w:bottom w:val="none" w:sz="0" w:space="0" w:color="auto"/>
        <w:right w:val="none" w:sz="0" w:space="0" w:color="auto"/>
      </w:divBdr>
    </w:div>
    <w:div w:id="1620457161">
      <w:bodyDiv w:val="1"/>
      <w:marLeft w:val="0"/>
      <w:marRight w:val="0"/>
      <w:marTop w:val="0"/>
      <w:marBottom w:val="0"/>
      <w:divBdr>
        <w:top w:val="none" w:sz="0" w:space="0" w:color="auto"/>
        <w:left w:val="none" w:sz="0" w:space="0" w:color="auto"/>
        <w:bottom w:val="none" w:sz="0" w:space="0" w:color="auto"/>
        <w:right w:val="none" w:sz="0" w:space="0" w:color="auto"/>
      </w:divBdr>
      <w:divsChild>
        <w:div w:id="571815292">
          <w:marLeft w:val="0"/>
          <w:marRight w:val="0"/>
          <w:marTop w:val="0"/>
          <w:marBottom w:val="0"/>
          <w:divBdr>
            <w:top w:val="none" w:sz="0" w:space="0" w:color="auto"/>
            <w:left w:val="none" w:sz="0" w:space="0" w:color="auto"/>
            <w:bottom w:val="none" w:sz="0" w:space="0" w:color="auto"/>
            <w:right w:val="none" w:sz="0" w:space="0" w:color="auto"/>
          </w:divBdr>
        </w:div>
      </w:divsChild>
    </w:div>
    <w:div w:id="1679774767">
      <w:bodyDiv w:val="1"/>
      <w:marLeft w:val="0"/>
      <w:marRight w:val="0"/>
      <w:marTop w:val="0"/>
      <w:marBottom w:val="0"/>
      <w:divBdr>
        <w:top w:val="none" w:sz="0" w:space="0" w:color="auto"/>
        <w:left w:val="none" w:sz="0" w:space="0" w:color="auto"/>
        <w:bottom w:val="none" w:sz="0" w:space="0" w:color="auto"/>
        <w:right w:val="none" w:sz="0" w:space="0" w:color="auto"/>
      </w:divBdr>
    </w:div>
    <w:div w:id="1707482041">
      <w:bodyDiv w:val="1"/>
      <w:marLeft w:val="0"/>
      <w:marRight w:val="0"/>
      <w:marTop w:val="0"/>
      <w:marBottom w:val="0"/>
      <w:divBdr>
        <w:top w:val="none" w:sz="0" w:space="0" w:color="auto"/>
        <w:left w:val="none" w:sz="0" w:space="0" w:color="auto"/>
        <w:bottom w:val="none" w:sz="0" w:space="0" w:color="auto"/>
        <w:right w:val="none" w:sz="0" w:space="0" w:color="auto"/>
      </w:divBdr>
      <w:divsChild>
        <w:div w:id="352419087">
          <w:marLeft w:val="480"/>
          <w:marRight w:val="0"/>
          <w:marTop w:val="0"/>
          <w:marBottom w:val="0"/>
          <w:divBdr>
            <w:top w:val="none" w:sz="0" w:space="0" w:color="auto"/>
            <w:left w:val="none" w:sz="0" w:space="0" w:color="auto"/>
            <w:bottom w:val="none" w:sz="0" w:space="0" w:color="auto"/>
            <w:right w:val="none" w:sz="0" w:space="0" w:color="auto"/>
          </w:divBdr>
          <w:divsChild>
            <w:div w:id="511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983">
      <w:bodyDiv w:val="1"/>
      <w:marLeft w:val="0"/>
      <w:marRight w:val="0"/>
      <w:marTop w:val="0"/>
      <w:marBottom w:val="0"/>
      <w:divBdr>
        <w:top w:val="none" w:sz="0" w:space="0" w:color="auto"/>
        <w:left w:val="none" w:sz="0" w:space="0" w:color="auto"/>
        <w:bottom w:val="none" w:sz="0" w:space="0" w:color="auto"/>
        <w:right w:val="none" w:sz="0" w:space="0" w:color="auto"/>
      </w:divBdr>
    </w:div>
    <w:div w:id="1837647949">
      <w:bodyDiv w:val="1"/>
      <w:marLeft w:val="0"/>
      <w:marRight w:val="0"/>
      <w:marTop w:val="0"/>
      <w:marBottom w:val="0"/>
      <w:divBdr>
        <w:top w:val="none" w:sz="0" w:space="0" w:color="auto"/>
        <w:left w:val="none" w:sz="0" w:space="0" w:color="auto"/>
        <w:bottom w:val="none" w:sz="0" w:space="0" w:color="auto"/>
        <w:right w:val="none" w:sz="0" w:space="0" w:color="auto"/>
      </w:divBdr>
      <w:divsChild>
        <w:div w:id="1958482738">
          <w:marLeft w:val="480"/>
          <w:marRight w:val="0"/>
          <w:marTop w:val="0"/>
          <w:marBottom w:val="0"/>
          <w:divBdr>
            <w:top w:val="none" w:sz="0" w:space="0" w:color="auto"/>
            <w:left w:val="none" w:sz="0" w:space="0" w:color="auto"/>
            <w:bottom w:val="none" w:sz="0" w:space="0" w:color="auto"/>
            <w:right w:val="none" w:sz="0" w:space="0" w:color="auto"/>
          </w:divBdr>
          <w:divsChild>
            <w:div w:id="1155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8334">
      <w:bodyDiv w:val="1"/>
      <w:marLeft w:val="0"/>
      <w:marRight w:val="0"/>
      <w:marTop w:val="0"/>
      <w:marBottom w:val="0"/>
      <w:divBdr>
        <w:top w:val="none" w:sz="0" w:space="0" w:color="auto"/>
        <w:left w:val="none" w:sz="0" w:space="0" w:color="auto"/>
        <w:bottom w:val="none" w:sz="0" w:space="0" w:color="auto"/>
        <w:right w:val="none" w:sz="0" w:space="0" w:color="auto"/>
      </w:divBdr>
    </w:div>
    <w:div w:id="1930500669">
      <w:bodyDiv w:val="1"/>
      <w:marLeft w:val="0"/>
      <w:marRight w:val="0"/>
      <w:marTop w:val="0"/>
      <w:marBottom w:val="0"/>
      <w:divBdr>
        <w:top w:val="none" w:sz="0" w:space="0" w:color="auto"/>
        <w:left w:val="none" w:sz="0" w:space="0" w:color="auto"/>
        <w:bottom w:val="none" w:sz="0" w:space="0" w:color="auto"/>
        <w:right w:val="none" w:sz="0" w:space="0" w:color="auto"/>
      </w:divBdr>
      <w:divsChild>
        <w:div w:id="1122380189">
          <w:marLeft w:val="0"/>
          <w:marRight w:val="0"/>
          <w:marTop w:val="0"/>
          <w:marBottom w:val="0"/>
          <w:divBdr>
            <w:top w:val="none" w:sz="0" w:space="0" w:color="auto"/>
            <w:left w:val="none" w:sz="0" w:space="0" w:color="auto"/>
            <w:bottom w:val="none" w:sz="0" w:space="0" w:color="auto"/>
            <w:right w:val="none" w:sz="0" w:space="0" w:color="auto"/>
          </w:divBdr>
        </w:div>
      </w:divsChild>
    </w:div>
    <w:div w:id="1935741335">
      <w:bodyDiv w:val="1"/>
      <w:marLeft w:val="0"/>
      <w:marRight w:val="0"/>
      <w:marTop w:val="0"/>
      <w:marBottom w:val="0"/>
      <w:divBdr>
        <w:top w:val="none" w:sz="0" w:space="0" w:color="auto"/>
        <w:left w:val="none" w:sz="0" w:space="0" w:color="auto"/>
        <w:bottom w:val="none" w:sz="0" w:space="0" w:color="auto"/>
        <w:right w:val="none" w:sz="0" w:space="0" w:color="auto"/>
      </w:divBdr>
      <w:divsChild>
        <w:div w:id="1484543775">
          <w:marLeft w:val="480"/>
          <w:marRight w:val="0"/>
          <w:marTop w:val="0"/>
          <w:marBottom w:val="0"/>
          <w:divBdr>
            <w:top w:val="none" w:sz="0" w:space="0" w:color="auto"/>
            <w:left w:val="none" w:sz="0" w:space="0" w:color="auto"/>
            <w:bottom w:val="none" w:sz="0" w:space="0" w:color="auto"/>
            <w:right w:val="none" w:sz="0" w:space="0" w:color="auto"/>
          </w:divBdr>
          <w:divsChild>
            <w:div w:id="12018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5154">
      <w:bodyDiv w:val="1"/>
      <w:marLeft w:val="0"/>
      <w:marRight w:val="0"/>
      <w:marTop w:val="0"/>
      <w:marBottom w:val="0"/>
      <w:divBdr>
        <w:top w:val="none" w:sz="0" w:space="0" w:color="auto"/>
        <w:left w:val="none" w:sz="0" w:space="0" w:color="auto"/>
        <w:bottom w:val="none" w:sz="0" w:space="0" w:color="auto"/>
        <w:right w:val="none" w:sz="0" w:space="0" w:color="auto"/>
      </w:divBdr>
    </w:div>
    <w:div w:id="2026327293">
      <w:bodyDiv w:val="1"/>
      <w:marLeft w:val="0"/>
      <w:marRight w:val="0"/>
      <w:marTop w:val="0"/>
      <w:marBottom w:val="0"/>
      <w:divBdr>
        <w:top w:val="none" w:sz="0" w:space="0" w:color="auto"/>
        <w:left w:val="none" w:sz="0" w:space="0" w:color="auto"/>
        <w:bottom w:val="none" w:sz="0" w:space="0" w:color="auto"/>
        <w:right w:val="none" w:sz="0" w:space="0" w:color="auto"/>
      </w:divBdr>
      <w:divsChild>
        <w:div w:id="1097289757">
          <w:marLeft w:val="0"/>
          <w:marRight w:val="0"/>
          <w:marTop w:val="0"/>
          <w:marBottom w:val="0"/>
          <w:divBdr>
            <w:top w:val="none" w:sz="0" w:space="0" w:color="auto"/>
            <w:left w:val="none" w:sz="0" w:space="0" w:color="auto"/>
            <w:bottom w:val="none" w:sz="0" w:space="0" w:color="auto"/>
            <w:right w:val="none" w:sz="0" w:space="0" w:color="auto"/>
          </w:divBdr>
          <w:divsChild>
            <w:div w:id="1360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6248">
      <w:bodyDiv w:val="1"/>
      <w:marLeft w:val="0"/>
      <w:marRight w:val="0"/>
      <w:marTop w:val="0"/>
      <w:marBottom w:val="0"/>
      <w:divBdr>
        <w:top w:val="none" w:sz="0" w:space="0" w:color="auto"/>
        <w:left w:val="none" w:sz="0" w:space="0" w:color="auto"/>
        <w:bottom w:val="none" w:sz="0" w:space="0" w:color="auto"/>
        <w:right w:val="none" w:sz="0" w:space="0" w:color="auto"/>
      </w:divBdr>
      <w:divsChild>
        <w:div w:id="722363622">
          <w:marLeft w:val="0"/>
          <w:marRight w:val="0"/>
          <w:marTop w:val="0"/>
          <w:marBottom w:val="0"/>
          <w:divBdr>
            <w:top w:val="none" w:sz="0" w:space="0" w:color="auto"/>
            <w:left w:val="none" w:sz="0" w:space="0" w:color="auto"/>
            <w:bottom w:val="none" w:sz="0" w:space="0" w:color="auto"/>
            <w:right w:val="none" w:sz="0" w:space="0" w:color="auto"/>
          </w:divBdr>
          <w:divsChild>
            <w:div w:id="15049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301">
      <w:bodyDiv w:val="1"/>
      <w:marLeft w:val="0"/>
      <w:marRight w:val="0"/>
      <w:marTop w:val="0"/>
      <w:marBottom w:val="0"/>
      <w:divBdr>
        <w:top w:val="none" w:sz="0" w:space="0" w:color="auto"/>
        <w:left w:val="none" w:sz="0" w:space="0" w:color="auto"/>
        <w:bottom w:val="none" w:sz="0" w:space="0" w:color="auto"/>
        <w:right w:val="none" w:sz="0" w:space="0" w:color="auto"/>
      </w:divBdr>
    </w:div>
    <w:div w:id="2097899876">
      <w:bodyDiv w:val="1"/>
      <w:marLeft w:val="0"/>
      <w:marRight w:val="0"/>
      <w:marTop w:val="0"/>
      <w:marBottom w:val="0"/>
      <w:divBdr>
        <w:top w:val="none" w:sz="0" w:space="0" w:color="auto"/>
        <w:left w:val="none" w:sz="0" w:space="0" w:color="auto"/>
        <w:bottom w:val="none" w:sz="0" w:space="0" w:color="auto"/>
        <w:right w:val="none" w:sz="0" w:space="0" w:color="auto"/>
      </w:divBdr>
    </w:div>
    <w:div w:id="2110004761">
      <w:bodyDiv w:val="1"/>
      <w:marLeft w:val="0"/>
      <w:marRight w:val="0"/>
      <w:marTop w:val="0"/>
      <w:marBottom w:val="0"/>
      <w:divBdr>
        <w:top w:val="none" w:sz="0" w:space="0" w:color="auto"/>
        <w:left w:val="none" w:sz="0" w:space="0" w:color="auto"/>
        <w:bottom w:val="none" w:sz="0" w:space="0" w:color="auto"/>
        <w:right w:val="none" w:sz="0" w:space="0" w:color="auto"/>
      </w:divBdr>
    </w:div>
    <w:div w:id="2134127670">
      <w:bodyDiv w:val="1"/>
      <w:marLeft w:val="0"/>
      <w:marRight w:val="0"/>
      <w:marTop w:val="0"/>
      <w:marBottom w:val="0"/>
      <w:divBdr>
        <w:top w:val="none" w:sz="0" w:space="0" w:color="auto"/>
        <w:left w:val="none" w:sz="0" w:space="0" w:color="auto"/>
        <w:bottom w:val="none" w:sz="0" w:space="0" w:color="auto"/>
        <w:right w:val="none" w:sz="0" w:space="0" w:color="auto"/>
      </w:divBdr>
      <w:divsChild>
        <w:div w:id="1505166887">
          <w:marLeft w:val="480"/>
          <w:marRight w:val="0"/>
          <w:marTop w:val="0"/>
          <w:marBottom w:val="0"/>
          <w:divBdr>
            <w:top w:val="none" w:sz="0" w:space="0" w:color="auto"/>
            <w:left w:val="none" w:sz="0" w:space="0" w:color="auto"/>
            <w:bottom w:val="none" w:sz="0" w:space="0" w:color="auto"/>
            <w:right w:val="none" w:sz="0" w:space="0" w:color="auto"/>
          </w:divBdr>
          <w:divsChild>
            <w:div w:id="8494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9183X.2021.19418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c.ac.uk/publications/#briefing_paper" TargetMode="External"/><Relationship Id="rId4" Type="http://schemas.openxmlformats.org/officeDocument/2006/relationships/settings" Target="settings.xml"/><Relationship Id="rId9" Type="http://schemas.openxmlformats.org/officeDocument/2006/relationships/hyperlink" Target="https://doi.org/10.1111/1468-4446.124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C720-81DF-43D2-B64F-F6EC4AF9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8911</Words>
  <Characters>49955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58749</CharactersWithSpaces>
  <SharedDoc>false</SharedDoc>
  <HLinks>
    <vt:vector size="372" baseType="variant">
      <vt:variant>
        <vt:i4>3276870</vt:i4>
      </vt:variant>
      <vt:variant>
        <vt:i4>207</vt:i4>
      </vt:variant>
      <vt:variant>
        <vt:i4>0</vt:i4>
      </vt:variant>
      <vt:variant>
        <vt:i4>5</vt:i4>
      </vt:variant>
      <vt:variant>
        <vt:lpwstr>http://classonline.org.uk/docs/2013_05_Policy_Paper_-_A_duty_to_care_%28Allyson_Pollock__David_Price%29.pdf</vt:lpwstr>
      </vt:variant>
      <vt:variant>
        <vt:lpwstr/>
      </vt:variant>
      <vt:variant>
        <vt:i4>4194315</vt:i4>
      </vt:variant>
      <vt:variant>
        <vt:i4>201</vt:i4>
      </vt:variant>
      <vt:variant>
        <vt:i4>0</vt:i4>
      </vt:variant>
      <vt:variant>
        <vt:i4>5</vt:i4>
      </vt:variant>
      <vt:variant>
        <vt:lpwstr/>
      </vt:variant>
      <vt:variant>
        <vt:lpwstr>_ENREF_14</vt:lpwstr>
      </vt:variant>
      <vt:variant>
        <vt:i4>4325387</vt:i4>
      </vt:variant>
      <vt:variant>
        <vt:i4>198</vt:i4>
      </vt:variant>
      <vt:variant>
        <vt:i4>0</vt:i4>
      </vt:variant>
      <vt:variant>
        <vt:i4>5</vt:i4>
      </vt:variant>
      <vt:variant>
        <vt:lpwstr/>
      </vt:variant>
      <vt:variant>
        <vt:lpwstr>_ENREF_30</vt:lpwstr>
      </vt:variant>
      <vt:variant>
        <vt:i4>4325387</vt:i4>
      </vt:variant>
      <vt:variant>
        <vt:i4>195</vt:i4>
      </vt:variant>
      <vt:variant>
        <vt:i4>0</vt:i4>
      </vt:variant>
      <vt:variant>
        <vt:i4>5</vt:i4>
      </vt:variant>
      <vt:variant>
        <vt:lpwstr/>
      </vt:variant>
      <vt:variant>
        <vt:lpwstr>_ENREF_31</vt:lpwstr>
      </vt:variant>
      <vt:variant>
        <vt:i4>4194315</vt:i4>
      </vt:variant>
      <vt:variant>
        <vt:i4>192</vt:i4>
      </vt:variant>
      <vt:variant>
        <vt:i4>0</vt:i4>
      </vt:variant>
      <vt:variant>
        <vt:i4>5</vt:i4>
      </vt:variant>
      <vt:variant>
        <vt:lpwstr/>
      </vt:variant>
      <vt:variant>
        <vt:lpwstr>_ENREF_15</vt:lpwstr>
      </vt:variant>
      <vt:variant>
        <vt:i4>4390923</vt:i4>
      </vt:variant>
      <vt:variant>
        <vt:i4>189</vt:i4>
      </vt:variant>
      <vt:variant>
        <vt:i4>0</vt:i4>
      </vt:variant>
      <vt:variant>
        <vt:i4>5</vt:i4>
      </vt:variant>
      <vt:variant>
        <vt:lpwstr/>
      </vt:variant>
      <vt:variant>
        <vt:lpwstr>_ENREF_29</vt:lpwstr>
      </vt:variant>
      <vt:variant>
        <vt:i4>4521995</vt:i4>
      </vt:variant>
      <vt:variant>
        <vt:i4>186</vt:i4>
      </vt:variant>
      <vt:variant>
        <vt:i4>0</vt:i4>
      </vt:variant>
      <vt:variant>
        <vt:i4>5</vt:i4>
      </vt:variant>
      <vt:variant>
        <vt:lpwstr/>
      </vt:variant>
      <vt:variant>
        <vt:lpwstr>_ENREF_41</vt:lpwstr>
      </vt:variant>
      <vt:variant>
        <vt:i4>4390923</vt:i4>
      </vt:variant>
      <vt:variant>
        <vt:i4>183</vt:i4>
      </vt:variant>
      <vt:variant>
        <vt:i4>0</vt:i4>
      </vt:variant>
      <vt:variant>
        <vt:i4>5</vt:i4>
      </vt:variant>
      <vt:variant>
        <vt:lpwstr/>
      </vt:variant>
      <vt:variant>
        <vt:lpwstr>_ENREF_21</vt:lpwstr>
      </vt:variant>
      <vt:variant>
        <vt:i4>4390923</vt:i4>
      </vt:variant>
      <vt:variant>
        <vt:i4>180</vt:i4>
      </vt:variant>
      <vt:variant>
        <vt:i4>0</vt:i4>
      </vt:variant>
      <vt:variant>
        <vt:i4>5</vt:i4>
      </vt:variant>
      <vt:variant>
        <vt:lpwstr/>
      </vt:variant>
      <vt:variant>
        <vt:lpwstr>_ENREF_22</vt:lpwstr>
      </vt:variant>
      <vt:variant>
        <vt:i4>4784139</vt:i4>
      </vt:variant>
      <vt:variant>
        <vt:i4>177</vt:i4>
      </vt:variant>
      <vt:variant>
        <vt:i4>0</vt:i4>
      </vt:variant>
      <vt:variant>
        <vt:i4>5</vt:i4>
      </vt:variant>
      <vt:variant>
        <vt:lpwstr/>
      </vt:variant>
      <vt:variant>
        <vt:lpwstr>_ENREF_8</vt:lpwstr>
      </vt:variant>
      <vt:variant>
        <vt:i4>4325387</vt:i4>
      </vt:variant>
      <vt:variant>
        <vt:i4>174</vt:i4>
      </vt:variant>
      <vt:variant>
        <vt:i4>0</vt:i4>
      </vt:variant>
      <vt:variant>
        <vt:i4>5</vt:i4>
      </vt:variant>
      <vt:variant>
        <vt:lpwstr/>
      </vt:variant>
      <vt:variant>
        <vt:lpwstr>_ENREF_32</vt:lpwstr>
      </vt:variant>
      <vt:variant>
        <vt:i4>4325387</vt:i4>
      </vt:variant>
      <vt:variant>
        <vt:i4>171</vt:i4>
      </vt:variant>
      <vt:variant>
        <vt:i4>0</vt:i4>
      </vt:variant>
      <vt:variant>
        <vt:i4>5</vt:i4>
      </vt:variant>
      <vt:variant>
        <vt:lpwstr/>
      </vt:variant>
      <vt:variant>
        <vt:lpwstr>_ENREF_3</vt:lpwstr>
      </vt:variant>
      <vt:variant>
        <vt:i4>4456459</vt:i4>
      </vt:variant>
      <vt:variant>
        <vt:i4>168</vt:i4>
      </vt:variant>
      <vt:variant>
        <vt:i4>0</vt:i4>
      </vt:variant>
      <vt:variant>
        <vt:i4>5</vt:i4>
      </vt:variant>
      <vt:variant>
        <vt:lpwstr/>
      </vt:variant>
      <vt:variant>
        <vt:lpwstr>_ENREF_5</vt:lpwstr>
      </vt:variant>
      <vt:variant>
        <vt:i4>4390923</vt:i4>
      </vt:variant>
      <vt:variant>
        <vt:i4>165</vt:i4>
      </vt:variant>
      <vt:variant>
        <vt:i4>0</vt:i4>
      </vt:variant>
      <vt:variant>
        <vt:i4>5</vt:i4>
      </vt:variant>
      <vt:variant>
        <vt:lpwstr/>
      </vt:variant>
      <vt:variant>
        <vt:lpwstr>_ENREF_20</vt:lpwstr>
      </vt:variant>
      <vt:variant>
        <vt:i4>4325387</vt:i4>
      </vt:variant>
      <vt:variant>
        <vt:i4>162</vt:i4>
      </vt:variant>
      <vt:variant>
        <vt:i4>0</vt:i4>
      </vt:variant>
      <vt:variant>
        <vt:i4>5</vt:i4>
      </vt:variant>
      <vt:variant>
        <vt:lpwstr/>
      </vt:variant>
      <vt:variant>
        <vt:lpwstr>_ENREF_34</vt:lpwstr>
      </vt:variant>
      <vt:variant>
        <vt:i4>4325387</vt:i4>
      </vt:variant>
      <vt:variant>
        <vt:i4>159</vt:i4>
      </vt:variant>
      <vt:variant>
        <vt:i4>0</vt:i4>
      </vt:variant>
      <vt:variant>
        <vt:i4>5</vt:i4>
      </vt:variant>
      <vt:variant>
        <vt:lpwstr/>
      </vt:variant>
      <vt:variant>
        <vt:lpwstr>_ENREF_35</vt:lpwstr>
      </vt:variant>
      <vt:variant>
        <vt:i4>4325387</vt:i4>
      </vt:variant>
      <vt:variant>
        <vt:i4>156</vt:i4>
      </vt:variant>
      <vt:variant>
        <vt:i4>0</vt:i4>
      </vt:variant>
      <vt:variant>
        <vt:i4>5</vt:i4>
      </vt:variant>
      <vt:variant>
        <vt:lpwstr/>
      </vt:variant>
      <vt:variant>
        <vt:lpwstr>_ENREF_36</vt:lpwstr>
      </vt:variant>
      <vt:variant>
        <vt:i4>4521995</vt:i4>
      </vt:variant>
      <vt:variant>
        <vt:i4>153</vt:i4>
      </vt:variant>
      <vt:variant>
        <vt:i4>0</vt:i4>
      </vt:variant>
      <vt:variant>
        <vt:i4>5</vt:i4>
      </vt:variant>
      <vt:variant>
        <vt:lpwstr/>
      </vt:variant>
      <vt:variant>
        <vt:lpwstr>_ENREF_43</vt:lpwstr>
      </vt:variant>
      <vt:variant>
        <vt:i4>4194315</vt:i4>
      </vt:variant>
      <vt:variant>
        <vt:i4>150</vt:i4>
      </vt:variant>
      <vt:variant>
        <vt:i4>0</vt:i4>
      </vt:variant>
      <vt:variant>
        <vt:i4>5</vt:i4>
      </vt:variant>
      <vt:variant>
        <vt:lpwstr/>
      </vt:variant>
      <vt:variant>
        <vt:lpwstr>_ENREF_1</vt:lpwstr>
      </vt:variant>
      <vt:variant>
        <vt:i4>4653067</vt:i4>
      </vt:variant>
      <vt:variant>
        <vt:i4>147</vt:i4>
      </vt:variant>
      <vt:variant>
        <vt:i4>0</vt:i4>
      </vt:variant>
      <vt:variant>
        <vt:i4>5</vt:i4>
      </vt:variant>
      <vt:variant>
        <vt:lpwstr/>
      </vt:variant>
      <vt:variant>
        <vt:lpwstr>_ENREF_6</vt:lpwstr>
      </vt:variant>
      <vt:variant>
        <vt:i4>4390923</vt:i4>
      </vt:variant>
      <vt:variant>
        <vt:i4>144</vt:i4>
      </vt:variant>
      <vt:variant>
        <vt:i4>0</vt:i4>
      </vt:variant>
      <vt:variant>
        <vt:i4>5</vt:i4>
      </vt:variant>
      <vt:variant>
        <vt:lpwstr/>
      </vt:variant>
      <vt:variant>
        <vt:lpwstr>_ENREF_25</vt:lpwstr>
      </vt:variant>
      <vt:variant>
        <vt:i4>4390923</vt:i4>
      </vt:variant>
      <vt:variant>
        <vt:i4>141</vt:i4>
      </vt:variant>
      <vt:variant>
        <vt:i4>0</vt:i4>
      </vt:variant>
      <vt:variant>
        <vt:i4>5</vt:i4>
      </vt:variant>
      <vt:variant>
        <vt:lpwstr/>
      </vt:variant>
      <vt:variant>
        <vt:lpwstr>_ENREF_27</vt:lpwstr>
      </vt:variant>
      <vt:variant>
        <vt:i4>4390923</vt:i4>
      </vt:variant>
      <vt:variant>
        <vt:i4>138</vt:i4>
      </vt:variant>
      <vt:variant>
        <vt:i4>0</vt:i4>
      </vt:variant>
      <vt:variant>
        <vt:i4>5</vt:i4>
      </vt:variant>
      <vt:variant>
        <vt:lpwstr/>
      </vt:variant>
      <vt:variant>
        <vt:lpwstr>_ENREF_28</vt:lpwstr>
      </vt:variant>
      <vt:variant>
        <vt:i4>4194315</vt:i4>
      </vt:variant>
      <vt:variant>
        <vt:i4>135</vt:i4>
      </vt:variant>
      <vt:variant>
        <vt:i4>0</vt:i4>
      </vt:variant>
      <vt:variant>
        <vt:i4>5</vt:i4>
      </vt:variant>
      <vt:variant>
        <vt:lpwstr/>
      </vt:variant>
      <vt:variant>
        <vt:lpwstr>_ENREF_12</vt:lpwstr>
      </vt:variant>
      <vt:variant>
        <vt:i4>4194315</vt:i4>
      </vt:variant>
      <vt:variant>
        <vt:i4>132</vt:i4>
      </vt:variant>
      <vt:variant>
        <vt:i4>0</vt:i4>
      </vt:variant>
      <vt:variant>
        <vt:i4>5</vt:i4>
      </vt:variant>
      <vt:variant>
        <vt:lpwstr/>
      </vt:variant>
      <vt:variant>
        <vt:lpwstr>_ENREF_16</vt:lpwstr>
      </vt:variant>
      <vt:variant>
        <vt:i4>4194315</vt:i4>
      </vt:variant>
      <vt:variant>
        <vt:i4>129</vt:i4>
      </vt:variant>
      <vt:variant>
        <vt:i4>0</vt:i4>
      </vt:variant>
      <vt:variant>
        <vt:i4>5</vt:i4>
      </vt:variant>
      <vt:variant>
        <vt:lpwstr/>
      </vt:variant>
      <vt:variant>
        <vt:lpwstr>_ENREF_17</vt:lpwstr>
      </vt:variant>
      <vt:variant>
        <vt:i4>4194315</vt:i4>
      </vt:variant>
      <vt:variant>
        <vt:i4>126</vt:i4>
      </vt:variant>
      <vt:variant>
        <vt:i4>0</vt:i4>
      </vt:variant>
      <vt:variant>
        <vt:i4>5</vt:i4>
      </vt:variant>
      <vt:variant>
        <vt:lpwstr/>
      </vt:variant>
      <vt:variant>
        <vt:lpwstr>_ENREF_18</vt:lpwstr>
      </vt:variant>
      <vt:variant>
        <vt:i4>4325387</vt:i4>
      </vt:variant>
      <vt:variant>
        <vt:i4>123</vt:i4>
      </vt:variant>
      <vt:variant>
        <vt:i4>0</vt:i4>
      </vt:variant>
      <vt:variant>
        <vt:i4>5</vt:i4>
      </vt:variant>
      <vt:variant>
        <vt:lpwstr/>
      </vt:variant>
      <vt:variant>
        <vt:lpwstr>_ENREF_38</vt:lpwstr>
      </vt:variant>
      <vt:variant>
        <vt:i4>4325387</vt:i4>
      </vt:variant>
      <vt:variant>
        <vt:i4>120</vt:i4>
      </vt:variant>
      <vt:variant>
        <vt:i4>0</vt:i4>
      </vt:variant>
      <vt:variant>
        <vt:i4>5</vt:i4>
      </vt:variant>
      <vt:variant>
        <vt:lpwstr/>
      </vt:variant>
      <vt:variant>
        <vt:lpwstr>_ENREF_39</vt:lpwstr>
      </vt:variant>
      <vt:variant>
        <vt:i4>4390923</vt:i4>
      </vt:variant>
      <vt:variant>
        <vt:i4>117</vt:i4>
      </vt:variant>
      <vt:variant>
        <vt:i4>0</vt:i4>
      </vt:variant>
      <vt:variant>
        <vt:i4>5</vt:i4>
      </vt:variant>
      <vt:variant>
        <vt:lpwstr/>
      </vt:variant>
      <vt:variant>
        <vt:lpwstr>_ENREF_24</vt:lpwstr>
      </vt:variant>
      <vt:variant>
        <vt:i4>4325387</vt:i4>
      </vt:variant>
      <vt:variant>
        <vt:i4>114</vt:i4>
      </vt:variant>
      <vt:variant>
        <vt:i4>0</vt:i4>
      </vt:variant>
      <vt:variant>
        <vt:i4>5</vt:i4>
      </vt:variant>
      <vt:variant>
        <vt:lpwstr/>
      </vt:variant>
      <vt:variant>
        <vt:lpwstr>_ENREF_33</vt:lpwstr>
      </vt:variant>
      <vt:variant>
        <vt:i4>4587531</vt:i4>
      </vt:variant>
      <vt:variant>
        <vt:i4>111</vt:i4>
      </vt:variant>
      <vt:variant>
        <vt:i4>0</vt:i4>
      </vt:variant>
      <vt:variant>
        <vt:i4>5</vt:i4>
      </vt:variant>
      <vt:variant>
        <vt:lpwstr/>
      </vt:variant>
      <vt:variant>
        <vt:lpwstr>_ENREF_7</vt:lpwstr>
      </vt:variant>
      <vt:variant>
        <vt:i4>4194315</vt:i4>
      </vt:variant>
      <vt:variant>
        <vt:i4>108</vt:i4>
      </vt:variant>
      <vt:variant>
        <vt:i4>0</vt:i4>
      </vt:variant>
      <vt:variant>
        <vt:i4>5</vt:i4>
      </vt:variant>
      <vt:variant>
        <vt:lpwstr/>
      </vt:variant>
      <vt:variant>
        <vt:lpwstr>_ENREF_13</vt:lpwstr>
      </vt:variant>
      <vt:variant>
        <vt:i4>4194315</vt:i4>
      </vt:variant>
      <vt:variant>
        <vt:i4>105</vt:i4>
      </vt:variant>
      <vt:variant>
        <vt:i4>0</vt:i4>
      </vt:variant>
      <vt:variant>
        <vt:i4>5</vt:i4>
      </vt:variant>
      <vt:variant>
        <vt:lpwstr/>
      </vt:variant>
      <vt:variant>
        <vt:lpwstr>_ENREF_19</vt:lpwstr>
      </vt:variant>
      <vt:variant>
        <vt:i4>4390923</vt:i4>
      </vt:variant>
      <vt:variant>
        <vt:i4>102</vt:i4>
      </vt:variant>
      <vt:variant>
        <vt:i4>0</vt:i4>
      </vt:variant>
      <vt:variant>
        <vt:i4>5</vt:i4>
      </vt:variant>
      <vt:variant>
        <vt:lpwstr/>
      </vt:variant>
      <vt:variant>
        <vt:lpwstr>_ENREF_23</vt:lpwstr>
      </vt:variant>
      <vt:variant>
        <vt:i4>4390923</vt:i4>
      </vt:variant>
      <vt:variant>
        <vt:i4>99</vt:i4>
      </vt:variant>
      <vt:variant>
        <vt:i4>0</vt:i4>
      </vt:variant>
      <vt:variant>
        <vt:i4>5</vt:i4>
      </vt:variant>
      <vt:variant>
        <vt:lpwstr/>
      </vt:variant>
      <vt:variant>
        <vt:lpwstr>_ENREF_26</vt:lpwstr>
      </vt:variant>
      <vt:variant>
        <vt:i4>4325387</vt:i4>
      </vt:variant>
      <vt:variant>
        <vt:i4>96</vt:i4>
      </vt:variant>
      <vt:variant>
        <vt:i4>0</vt:i4>
      </vt:variant>
      <vt:variant>
        <vt:i4>5</vt:i4>
      </vt:variant>
      <vt:variant>
        <vt:lpwstr/>
      </vt:variant>
      <vt:variant>
        <vt:lpwstr>_ENREF_37</vt:lpwstr>
      </vt:variant>
      <vt:variant>
        <vt:i4>4521995</vt:i4>
      </vt:variant>
      <vt:variant>
        <vt:i4>93</vt:i4>
      </vt:variant>
      <vt:variant>
        <vt:i4>0</vt:i4>
      </vt:variant>
      <vt:variant>
        <vt:i4>5</vt:i4>
      </vt:variant>
      <vt:variant>
        <vt:lpwstr/>
      </vt:variant>
      <vt:variant>
        <vt:lpwstr>_ENREF_40</vt:lpwstr>
      </vt:variant>
      <vt:variant>
        <vt:i4>4521995</vt:i4>
      </vt:variant>
      <vt:variant>
        <vt:i4>90</vt:i4>
      </vt:variant>
      <vt:variant>
        <vt:i4>0</vt:i4>
      </vt:variant>
      <vt:variant>
        <vt:i4>5</vt:i4>
      </vt:variant>
      <vt:variant>
        <vt:lpwstr/>
      </vt:variant>
      <vt:variant>
        <vt:lpwstr>_ENREF_42</vt:lpwstr>
      </vt:variant>
      <vt:variant>
        <vt:i4>4390923</vt:i4>
      </vt:variant>
      <vt:variant>
        <vt:i4>87</vt:i4>
      </vt:variant>
      <vt:variant>
        <vt:i4>0</vt:i4>
      </vt:variant>
      <vt:variant>
        <vt:i4>5</vt:i4>
      </vt:variant>
      <vt:variant>
        <vt:lpwstr/>
      </vt:variant>
      <vt:variant>
        <vt:lpwstr>_ENREF_2</vt:lpwstr>
      </vt:variant>
      <vt:variant>
        <vt:i4>4521995</vt:i4>
      </vt:variant>
      <vt:variant>
        <vt:i4>84</vt:i4>
      </vt:variant>
      <vt:variant>
        <vt:i4>0</vt:i4>
      </vt:variant>
      <vt:variant>
        <vt:i4>5</vt:i4>
      </vt:variant>
      <vt:variant>
        <vt:lpwstr/>
      </vt:variant>
      <vt:variant>
        <vt:lpwstr>_ENREF_4</vt:lpwstr>
      </vt:variant>
      <vt:variant>
        <vt:i4>4718603</vt:i4>
      </vt:variant>
      <vt:variant>
        <vt:i4>81</vt:i4>
      </vt:variant>
      <vt:variant>
        <vt:i4>0</vt:i4>
      </vt:variant>
      <vt:variant>
        <vt:i4>5</vt:i4>
      </vt:variant>
      <vt:variant>
        <vt:lpwstr/>
      </vt:variant>
      <vt:variant>
        <vt:lpwstr>_ENREF_9</vt:lpwstr>
      </vt:variant>
      <vt:variant>
        <vt:i4>4521995</vt:i4>
      </vt:variant>
      <vt:variant>
        <vt:i4>78</vt:i4>
      </vt:variant>
      <vt:variant>
        <vt:i4>0</vt:i4>
      </vt:variant>
      <vt:variant>
        <vt:i4>5</vt:i4>
      </vt:variant>
      <vt:variant>
        <vt:lpwstr/>
      </vt:variant>
      <vt:variant>
        <vt:lpwstr>_ENREF_44</vt:lpwstr>
      </vt:variant>
      <vt:variant>
        <vt:i4>4194315</vt:i4>
      </vt:variant>
      <vt:variant>
        <vt:i4>75</vt:i4>
      </vt:variant>
      <vt:variant>
        <vt:i4>0</vt:i4>
      </vt:variant>
      <vt:variant>
        <vt:i4>5</vt:i4>
      </vt:variant>
      <vt:variant>
        <vt:lpwstr/>
      </vt:variant>
      <vt:variant>
        <vt:lpwstr>_ENREF_10</vt:lpwstr>
      </vt:variant>
      <vt:variant>
        <vt:i4>4194315</vt:i4>
      </vt:variant>
      <vt:variant>
        <vt:i4>72</vt:i4>
      </vt:variant>
      <vt:variant>
        <vt:i4>0</vt:i4>
      </vt:variant>
      <vt:variant>
        <vt:i4>5</vt:i4>
      </vt:variant>
      <vt:variant>
        <vt:lpwstr/>
      </vt:variant>
      <vt:variant>
        <vt:lpwstr>_ENREF_11</vt:lpwstr>
      </vt:variant>
      <vt:variant>
        <vt:i4>4521995</vt:i4>
      </vt:variant>
      <vt:variant>
        <vt:i4>69</vt:i4>
      </vt:variant>
      <vt:variant>
        <vt:i4>0</vt:i4>
      </vt:variant>
      <vt:variant>
        <vt:i4>5</vt:i4>
      </vt:variant>
      <vt:variant>
        <vt:lpwstr/>
      </vt:variant>
      <vt:variant>
        <vt:lpwstr>_ENREF_45</vt:lpwstr>
      </vt:variant>
      <vt:variant>
        <vt:i4>4521995</vt:i4>
      </vt:variant>
      <vt:variant>
        <vt:i4>66</vt:i4>
      </vt:variant>
      <vt:variant>
        <vt:i4>0</vt:i4>
      </vt:variant>
      <vt:variant>
        <vt:i4>5</vt:i4>
      </vt:variant>
      <vt:variant>
        <vt:lpwstr/>
      </vt:variant>
      <vt:variant>
        <vt:lpwstr>_ENREF_46</vt:lpwstr>
      </vt:variant>
      <vt:variant>
        <vt:i4>4325387</vt:i4>
      </vt:variant>
      <vt:variant>
        <vt:i4>56</vt:i4>
      </vt:variant>
      <vt:variant>
        <vt:i4>0</vt:i4>
      </vt:variant>
      <vt:variant>
        <vt:i4>5</vt:i4>
      </vt:variant>
      <vt:variant>
        <vt:lpwstr/>
      </vt:variant>
      <vt:variant>
        <vt:lpwstr>_ENREF_3</vt:lpwstr>
      </vt:variant>
      <vt:variant>
        <vt:i4>4521995</vt:i4>
      </vt:variant>
      <vt:variant>
        <vt:i4>53</vt:i4>
      </vt:variant>
      <vt:variant>
        <vt:i4>0</vt:i4>
      </vt:variant>
      <vt:variant>
        <vt:i4>5</vt:i4>
      </vt:variant>
      <vt:variant>
        <vt:lpwstr/>
      </vt:variant>
      <vt:variant>
        <vt:lpwstr>_ENREF_4</vt:lpwstr>
      </vt:variant>
      <vt:variant>
        <vt:i4>4390923</vt:i4>
      </vt:variant>
      <vt:variant>
        <vt:i4>50</vt:i4>
      </vt:variant>
      <vt:variant>
        <vt:i4>0</vt:i4>
      </vt:variant>
      <vt:variant>
        <vt:i4>5</vt:i4>
      </vt:variant>
      <vt:variant>
        <vt:lpwstr/>
      </vt:variant>
      <vt:variant>
        <vt:lpwstr>_ENREF_23</vt:lpwstr>
      </vt:variant>
      <vt:variant>
        <vt:i4>4194315</vt:i4>
      </vt:variant>
      <vt:variant>
        <vt:i4>47</vt:i4>
      </vt:variant>
      <vt:variant>
        <vt:i4>0</vt:i4>
      </vt:variant>
      <vt:variant>
        <vt:i4>5</vt:i4>
      </vt:variant>
      <vt:variant>
        <vt:lpwstr/>
      </vt:variant>
      <vt:variant>
        <vt:lpwstr>_ENREF_13</vt:lpwstr>
      </vt:variant>
      <vt:variant>
        <vt:i4>4194315</vt:i4>
      </vt:variant>
      <vt:variant>
        <vt:i4>44</vt:i4>
      </vt:variant>
      <vt:variant>
        <vt:i4>0</vt:i4>
      </vt:variant>
      <vt:variant>
        <vt:i4>5</vt:i4>
      </vt:variant>
      <vt:variant>
        <vt:lpwstr/>
      </vt:variant>
      <vt:variant>
        <vt:lpwstr>_ENREF_16</vt:lpwstr>
      </vt:variant>
      <vt:variant>
        <vt:i4>4325387</vt:i4>
      </vt:variant>
      <vt:variant>
        <vt:i4>41</vt:i4>
      </vt:variant>
      <vt:variant>
        <vt:i4>0</vt:i4>
      </vt:variant>
      <vt:variant>
        <vt:i4>5</vt:i4>
      </vt:variant>
      <vt:variant>
        <vt:lpwstr/>
      </vt:variant>
      <vt:variant>
        <vt:lpwstr>_ENREF_30</vt:lpwstr>
      </vt:variant>
      <vt:variant>
        <vt:i4>4325387</vt:i4>
      </vt:variant>
      <vt:variant>
        <vt:i4>38</vt:i4>
      </vt:variant>
      <vt:variant>
        <vt:i4>0</vt:i4>
      </vt:variant>
      <vt:variant>
        <vt:i4>5</vt:i4>
      </vt:variant>
      <vt:variant>
        <vt:lpwstr/>
      </vt:variant>
      <vt:variant>
        <vt:lpwstr>_ENREF_31</vt:lpwstr>
      </vt:variant>
      <vt:variant>
        <vt:i4>4194315</vt:i4>
      </vt:variant>
      <vt:variant>
        <vt:i4>35</vt:i4>
      </vt:variant>
      <vt:variant>
        <vt:i4>0</vt:i4>
      </vt:variant>
      <vt:variant>
        <vt:i4>5</vt:i4>
      </vt:variant>
      <vt:variant>
        <vt:lpwstr/>
      </vt:variant>
      <vt:variant>
        <vt:lpwstr>_ENREF_11</vt:lpwstr>
      </vt:variant>
      <vt:variant>
        <vt:i4>4521995</vt:i4>
      </vt:variant>
      <vt:variant>
        <vt:i4>32</vt:i4>
      </vt:variant>
      <vt:variant>
        <vt:i4>0</vt:i4>
      </vt:variant>
      <vt:variant>
        <vt:i4>5</vt:i4>
      </vt:variant>
      <vt:variant>
        <vt:lpwstr/>
      </vt:variant>
      <vt:variant>
        <vt:lpwstr>_ENREF_44</vt:lpwstr>
      </vt:variant>
      <vt:variant>
        <vt:i4>4521995</vt:i4>
      </vt:variant>
      <vt:variant>
        <vt:i4>29</vt:i4>
      </vt:variant>
      <vt:variant>
        <vt:i4>0</vt:i4>
      </vt:variant>
      <vt:variant>
        <vt:i4>5</vt:i4>
      </vt:variant>
      <vt:variant>
        <vt:lpwstr/>
      </vt:variant>
      <vt:variant>
        <vt:lpwstr>_ENREF_42</vt:lpwstr>
      </vt:variant>
      <vt:variant>
        <vt:i4>4194315</vt:i4>
      </vt:variant>
      <vt:variant>
        <vt:i4>21</vt:i4>
      </vt:variant>
      <vt:variant>
        <vt:i4>0</vt:i4>
      </vt:variant>
      <vt:variant>
        <vt:i4>5</vt:i4>
      </vt:variant>
      <vt:variant>
        <vt:lpwstr/>
      </vt:variant>
      <vt:variant>
        <vt:lpwstr>_ENREF_18</vt:lpwstr>
      </vt:variant>
      <vt:variant>
        <vt:i4>4521995</vt:i4>
      </vt:variant>
      <vt:variant>
        <vt:i4>18</vt:i4>
      </vt:variant>
      <vt:variant>
        <vt:i4>0</vt:i4>
      </vt:variant>
      <vt:variant>
        <vt:i4>5</vt:i4>
      </vt:variant>
      <vt:variant>
        <vt:lpwstr/>
      </vt:variant>
      <vt:variant>
        <vt:lpwstr>_ENREF_46</vt:lpwstr>
      </vt:variant>
      <vt:variant>
        <vt:i4>4390923</vt:i4>
      </vt:variant>
      <vt:variant>
        <vt:i4>10</vt:i4>
      </vt:variant>
      <vt:variant>
        <vt:i4>0</vt:i4>
      </vt:variant>
      <vt:variant>
        <vt:i4>5</vt:i4>
      </vt:variant>
      <vt:variant>
        <vt:lpwstr/>
      </vt:variant>
      <vt:variant>
        <vt:lpwstr>_ENREF_2</vt:lpwstr>
      </vt:variant>
      <vt:variant>
        <vt:i4>4718603</vt:i4>
      </vt:variant>
      <vt:variant>
        <vt:i4>7</vt:i4>
      </vt:variant>
      <vt:variant>
        <vt:i4>0</vt:i4>
      </vt:variant>
      <vt:variant>
        <vt:i4>5</vt:i4>
      </vt:variant>
      <vt:variant>
        <vt:lpwstr/>
      </vt:variant>
      <vt:variant>
        <vt:lpwstr>_ENREF_9</vt:lpwstr>
      </vt:variant>
      <vt:variant>
        <vt:i4>4521995</vt:i4>
      </vt:variant>
      <vt:variant>
        <vt:i4>4</vt:i4>
      </vt:variant>
      <vt:variant>
        <vt:i4>0</vt:i4>
      </vt:variant>
      <vt:variant>
        <vt:i4>5</vt:i4>
      </vt:variant>
      <vt:variant>
        <vt:lpwstr/>
      </vt:variant>
      <vt:variant>
        <vt:lpwstr>_ENREF_45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2021-10-07T16:35:00Z</dcterms:created>
  <dcterms:modified xsi:type="dcterms:W3CDTF">2021-10-07T16:56:00Z</dcterms:modified>
</cp:coreProperties>
</file>