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7AF1" w14:textId="77777777" w:rsidR="00024070" w:rsidRPr="00024070" w:rsidRDefault="00024070" w:rsidP="00F46860">
      <w:pPr>
        <w:spacing w:after="160" w:line="259" w:lineRule="auto"/>
        <w:jc w:val="center"/>
        <w:rPr>
          <w:b/>
          <w:color w:val="000000" w:themeColor="text1"/>
        </w:rPr>
      </w:pPr>
      <w:r w:rsidRPr="00024070">
        <w:rPr>
          <w:b/>
          <w:color w:val="000000" w:themeColor="text1"/>
        </w:rPr>
        <w:t>Cognitive ability in former professional football (soccer) players is associated with estimated heading frequency</w:t>
      </w:r>
    </w:p>
    <w:p w14:paraId="5F6F2B91" w14:textId="77777777" w:rsidR="00024070" w:rsidRPr="00024070" w:rsidRDefault="00024070" w:rsidP="00024070">
      <w:pPr>
        <w:spacing w:after="160" w:line="259" w:lineRule="auto"/>
        <w:rPr>
          <w:bCs/>
          <w:color w:val="000000" w:themeColor="text1"/>
        </w:rPr>
      </w:pPr>
    </w:p>
    <w:p w14:paraId="46E74679" w14:textId="77777777" w:rsidR="00024070" w:rsidRPr="00024070" w:rsidRDefault="00024070" w:rsidP="00F46860">
      <w:pPr>
        <w:spacing w:after="160" w:line="259" w:lineRule="auto"/>
        <w:jc w:val="center"/>
        <w:rPr>
          <w:bCs/>
          <w:color w:val="000000" w:themeColor="text1"/>
        </w:rPr>
      </w:pPr>
      <w:r w:rsidRPr="00024070">
        <w:rPr>
          <w:bCs/>
          <w:color w:val="000000" w:themeColor="text1"/>
        </w:rPr>
        <w:t>Davide Bruno</w:t>
      </w:r>
      <w:r w:rsidRPr="00024070">
        <w:rPr>
          <w:bCs/>
          <w:color w:val="000000" w:themeColor="text1"/>
          <w:vertAlign w:val="superscript"/>
        </w:rPr>
        <w:t>1</w:t>
      </w:r>
      <w:r w:rsidRPr="00024070">
        <w:rPr>
          <w:bCs/>
          <w:color w:val="000000" w:themeColor="text1"/>
        </w:rPr>
        <w:t xml:space="preserve"> and Andrew Rutherford</w:t>
      </w:r>
      <w:r w:rsidRPr="00024070">
        <w:rPr>
          <w:bCs/>
          <w:color w:val="000000" w:themeColor="text1"/>
          <w:vertAlign w:val="superscript"/>
        </w:rPr>
        <w:t>2</w:t>
      </w:r>
    </w:p>
    <w:p w14:paraId="31875FE8" w14:textId="77777777" w:rsidR="00024070" w:rsidRPr="00024070" w:rsidRDefault="00024070" w:rsidP="00024070">
      <w:pPr>
        <w:spacing w:after="160" w:line="259" w:lineRule="auto"/>
        <w:rPr>
          <w:color w:val="000000" w:themeColor="text1"/>
        </w:rPr>
      </w:pPr>
    </w:p>
    <w:p w14:paraId="317719DA" w14:textId="77777777" w:rsidR="00024070" w:rsidRPr="00024070" w:rsidRDefault="00024070" w:rsidP="00024070">
      <w:pPr>
        <w:spacing w:after="160" w:line="259" w:lineRule="auto"/>
        <w:rPr>
          <w:color w:val="000000" w:themeColor="text1"/>
        </w:rPr>
      </w:pPr>
      <w:r w:rsidRPr="00024070">
        <w:rPr>
          <w:color w:val="000000" w:themeColor="text1"/>
        </w:rPr>
        <w:t xml:space="preserve">1: School of Psychology, Liverpool John </w:t>
      </w:r>
      <w:proofErr w:type="spellStart"/>
      <w:r w:rsidRPr="00024070">
        <w:rPr>
          <w:color w:val="000000" w:themeColor="text1"/>
        </w:rPr>
        <w:t>Moores</w:t>
      </w:r>
      <w:proofErr w:type="spellEnd"/>
      <w:r w:rsidRPr="00024070">
        <w:rPr>
          <w:color w:val="000000" w:themeColor="text1"/>
        </w:rPr>
        <w:t xml:space="preserve"> University, Liverpool, United Kingdom</w:t>
      </w:r>
    </w:p>
    <w:p w14:paraId="4127A07A" w14:textId="77777777" w:rsidR="00024070" w:rsidRPr="00024070" w:rsidRDefault="00024070" w:rsidP="00024070">
      <w:pPr>
        <w:spacing w:after="160" w:line="259" w:lineRule="auto"/>
        <w:rPr>
          <w:color w:val="000000" w:themeColor="text1"/>
        </w:rPr>
      </w:pPr>
      <w:r w:rsidRPr="00024070">
        <w:rPr>
          <w:color w:val="000000" w:themeColor="text1"/>
        </w:rPr>
        <w:t xml:space="preserve">2: School of Psychology, </w:t>
      </w:r>
      <w:proofErr w:type="spellStart"/>
      <w:r w:rsidRPr="00024070">
        <w:rPr>
          <w:color w:val="000000" w:themeColor="text1"/>
        </w:rPr>
        <w:t>Keele</w:t>
      </w:r>
      <w:proofErr w:type="spellEnd"/>
      <w:r w:rsidRPr="00024070">
        <w:rPr>
          <w:color w:val="000000" w:themeColor="text1"/>
        </w:rPr>
        <w:t xml:space="preserve"> University, </w:t>
      </w:r>
      <w:proofErr w:type="spellStart"/>
      <w:r w:rsidRPr="00024070">
        <w:rPr>
          <w:color w:val="000000" w:themeColor="text1"/>
        </w:rPr>
        <w:t>Keele</w:t>
      </w:r>
      <w:proofErr w:type="spellEnd"/>
      <w:r w:rsidRPr="00024070">
        <w:rPr>
          <w:color w:val="000000" w:themeColor="text1"/>
        </w:rPr>
        <w:t>, United Kingdom</w:t>
      </w:r>
    </w:p>
    <w:p w14:paraId="284451D2" w14:textId="77777777" w:rsidR="00024070" w:rsidRPr="00024070" w:rsidRDefault="00024070" w:rsidP="00024070">
      <w:pPr>
        <w:spacing w:after="160" w:line="259" w:lineRule="auto"/>
        <w:rPr>
          <w:color w:val="000000" w:themeColor="text1"/>
        </w:rPr>
      </w:pPr>
    </w:p>
    <w:p w14:paraId="6003B589" w14:textId="77777777" w:rsidR="00024070" w:rsidRPr="00024070" w:rsidRDefault="00024070" w:rsidP="00024070">
      <w:pPr>
        <w:spacing w:after="160" w:line="259" w:lineRule="auto"/>
        <w:rPr>
          <w:color w:val="000000" w:themeColor="text1"/>
        </w:rPr>
      </w:pPr>
    </w:p>
    <w:p w14:paraId="09583738" w14:textId="77777777" w:rsidR="00024070" w:rsidRPr="00024070" w:rsidRDefault="00024070" w:rsidP="00024070">
      <w:pPr>
        <w:spacing w:after="160" w:line="259" w:lineRule="auto"/>
        <w:rPr>
          <w:color w:val="000000" w:themeColor="text1"/>
        </w:rPr>
      </w:pPr>
      <w:r w:rsidRPr="00024070">
        <w:rPr>
          <w:color w:val="000000" w:themeColor="text1"/>
        </w:rPr>
        <w:t>Contact:</w:t>
      </w:r>
    </w:p>
    <w:p w14:paraId="184B08C8" w14:textId="77777777" w:rsidR="00024070" w:rsidRPr="00024070" w:rsidRDefault="00024070" w:rsidP="00024070">
      <w:pPr>
        <w:spacing w:after="160" w:line="259" w:lineRule="auto"/>
        <w:rPr>
          <w:color w:val="000000" w:themeColor="text1"/>
        </w:rPr>
      </w:pPr>
      <w:r w:rsidRPr="00024070">
        <w:rPr>
          <w:color w:val="000000" w:themeColor="text1"/>
        </w:rPr>
        <w:t>Dr Davide Bruno,</w:t>
      </w:r>
    </w:p>
    <w:p w14:paraId="119CA54B" w14:textId="77777777" w:rsidR="00024070" w:rsidRPr="00024070" w:rsidRDefault="00024070" w:rsidP="00024070">
      <w:pPr>
        <w:spacing w:after="160" w:line="259" w:lineRule="auto"/>
        <w:rPr>
          <w:color w:val="000000" w:themeColor="text1"/>
        </w:rPr>
      </w:pPr>
      <w:r w:rsidRPr="00024070">
        <w:rPr>
          <w:color w:val="000000" w:themeColor="text1"/>
        </w:rPr>
        <w:t>Tom Reilly building,</w:t>
      </w:r>
    </w:p>
    <w:p w14:paraId="417DF068" w14:textId="77777777" w:rsidR="00024070" w:rsidRPr="00024070" w:rsidRDefault="00024070" w:rsidP="00024070">
      <w:pPr>
        <w:spacing w:after="160" w:line="259" w:lineRule="auto"/>
        <w:rPr>
          <w:color w:val="000000" w:themeColor="text1"/>
        </w:rPr>
      </w:pPr>
      <w:proofErr w:type="spellStart"/>
      <w:r w:rsidRPr="00024070">
        <w:rPr>
          <w:color w:val="000000" w:themeColor="text1"/>
        </w:rPr>
        <w:t>Byrom</w:t>
      </w:r>
      <w:proofErr w:type="spellEnd"/>
      <w:r w:rsidRPr="00024070">
        <w:rPr>
          <w:color w:val="000000" w:themeColor="text1"/>
        </w:rPr>
        <w:t xml:space="preserve"> St., Liverpool</w:t>
      </w:r>
    </w:p>
    <w:p w14:paraId="177CAE89" w14:textId="77777777" w:rsidR="00024070" w:rsidRPr="00024070" w:rsidRDefault="00024070" w:rsidP="00024070">
      <w:pPr>
        <w:spacing w:after="160" w:line="259" w:lineRule="auto"/>
        <w:rPr>
          <w:color w:val="000000" w:themeColor="text1"/>
        </w:rPr>
      </w:pPr>
      <w:r w:rsidRPr="00024070">
        <w:rPr>
          <w:color w:val="000000" w:themeColor="text1"/>
        </w:rPr>
        <w:t>L3 3AF</w:t>
      </w:r>
    </w:p>
    <w:p w14:paraId="25406EB3" w14:textId="77777777" w:rsidR="00024070" w:rsidRPr="00024070" w:rsidRDefault="00024070" w:rsidP="00024070">
      <w:pPr>
        <w:spacing w:after="160" w:line="259" w:lineRule="auto"/>
        <w:rPr>
          <w:color w:val="000000" w:themeColor="text1"/>
        </w:rPr>
      </w:pPr>
      <w:r w:rsidRPr="00024070">
        <w:rPr>
          <w:color w:val="000000" w:themeColor="text1"/>
        </w:rPr>
        <w:t>Tel.: 0044 (0)151 904 6320</w:t>
      </w:r>
    </w:p>
    <w:p w14:paraId="33E393F5" w14:textId="77777777" w:rsidR="00024070" w:rsidRPr="00024070" w:rsidRDefault="00024070" w:rsidP="00024070">
      <w:pPr>
        <w:spacing w:after="160" w:line="259" w:lineRule="auto"/>
        <w:rPr>
          <w:color w:val="000000" w:themeColor="text1"/>
        </w:rPr>
      </w:pPr>
      <w:r w:rsidRPr="00024070">
        <w:rPr>
          <w:color w:val="000000" w:themeColor="text1"/>
        </w:rPr>
        <w:t xml:space="preserve">Email: </w:t>
      </w:r>
      <w:hyperlink r:id="rId8" w:history="1">
        <w:r w:rsidRPr="00024070">
          <w:rPr>
            <w:rStyle w:val="Hyperlink"/>
          </w:rPr>
          <w:t>d.bruno@ljmu.ac.uk</w:t>
        </w:r>
      </w:hyperlink>
    </w:p>
    <w:p w14:paraId="3CAFEA0F" w14:textId="77777777" w:rsidR="00024070" w:rsidRPr="00024070" w:rsidRDefault="00024070" w:rsidP="00024070">
      <w:pPr>
        <w:spacing w:after="160" w:line="259" w:lineRule="auto"/>
        <w:rPr>
          <w:color w:val="000000" w:themeColor="text1"/>
        </w:rPr>
      </w:pPr>
    </w:p>
    <w:p w14:paraId="43B302F0" w14:textId="77777777" w:rsidR="00024070" w:rsidRPr="00024070" w:rsidRDefault="00024070" w:rsidP="00024070">
      <w:pPr>
        <w:spacing w:after="160" w:line="259" w:lineRule="auto"/>
        <w:rPr>
          <w:color w:val="000000" w:themeColor="text1"/>
        </w:rPr>
      </w:pPr>
      <w:r w:rsidRPr="00024070">
        <w:rPr>
          <w:color w:val="000000" w:themeColor="text1"/>
        </w:rPr>
        <w:t>Word count: 2,786</w:t>
      </w:r>
    </w:p>
    <w:p w14:paraId="45848196" w14:textId="77777777" w:rsidR="00024070" w:rsidRPr="00024070" w:rsidRDefault="00024070" w:rsidP="00024070">
      <w:pPr>
        <w:spacing w:after="160" w:line="259" w:lineRule="auto"/>
        <w:rPr>
          <w:color w:val="000000" w:themeColor="text1"/>
        </w:rPr>
      </w:pPr>
      <w:r w:rsidRPr="00024070">
        <w:rPr>
          <w:color w:val="000000" w:themeColor="text1"/>
        </w:rPr>
        <w:t>Data are available as supporting materials</w:t>
      </w:r>
    </w:p>
    <w:p w14:paraId="076C2D83" w14:textId="77777777" w:rsidR="00024070" w:rsidRPr="00024070" w:rsidRDefault="00024070" w:rsidP="00024070">
      <w:pPr>
        <w:spacing w:after="160" w:line="259" w:lineRule="auto"/>
        <w:rPr>
          <w:color w:val="000000" w:themeColor="text1"/>
        </w:rPr>
      </w:pPr>
    </w:p>
    <w:p w14:paraId="5C1AC225" w14:textId="77777777" w:rsidR="00024070" w:rsidRPr="00024070" w:rsidRDefault="00024070" w:rsidP="00024070">
      <w:pPr>
        <w:spacing w:after="160" w:line="259" w:lineRule="auto"/>
        <w:rPr>
          <w:color w:val="000000" w:themeColor="text1"/>
        </w:rPr>
      </w:pPr>
    </w:p>
    <w:p w14:paraId="0996F131" w14:textId="77777777" w:rsidR="00024070" w:rsidRPr="00024070" w:rsidRDefault="00024070" w:rsidP="00024070">
      <w:pPr>
        <w:spacing w:after="160" w:line="259" w:lineRule="auto"/>
        <w:rPr>
          <w:color w:val="000000" w:themeColor="text1"/>
        </w:rPr>
      </w:pPr>
    </w:p>
    <w:p w14:paraId="7EAF9FEA" w14:textId="77777777" w:rsidR="00024070" w:rsidRPr="00024070" w:rsidRDefault="00024070" w:rsidP="00024070">
      <w:pPr>
        <w:spacing w:after="160" w:line="259" w:lineRule="auto"/>
        <w:rPr>
          <w:color w:val="000000" w:themeColor="text1"/>
        </w:rPr>
      </w:pPr>
    </w:p>
    <w:p w14:paraId="3296E046" w14:textId="77777777" w:rsidR="00024070" w:rsidRPr="00024070" w:rsidRDefault="00024070" w:rsidP="00024070">
      <w:pPr>
        <w:spacing w:after="160" w:line="259" w:lineRule="auto"/>
        <w:rPr>
          <w:color w:val="000000" w:themeColor="text1"/>
        </w:rPr>
      </w:pPr>
    </w:p>
    <w:p w14:paraId="0E7E2681" w14:textId="77777777" w:rsidR="00024070" w:rsidRDefault="00024070">
      <w:pPr>
        <w:spacing w:after="160" w:line="259" w:lineRule="auto"/>
        <w:rPr>
          <w:color w:val="000000" w:themeColor="text1"/>
        </w:rPr>
      </w:pPr>
      <w:r>
        <w:rPr>
          <w:color w:val="000000" w:themeColor="text1"/>
        </w:rPr>
        <w:br w:type="page"/>
      </w:r>
    </w:p>
    <w:p w14:paraId="6126B877" w14:textId="556B3FDF" w:rsidR="00024070" w:rsidRPr="00024070" w:rsidRDefault="00024070" w:rsidP="00F46860">
      <w:pPr>
        <w:spacing w:after="160" w:line="259" w:lineRule="auto"/>
        <w:jc w:val="center"/>
        <w:rPr>
          <w:b/>
          <w:bCs/>
          <w:color w:val="000000" w:themeColor="text1"/>
        </w:rPr>
      </w:pPr>
      <w:r w:rsidRPr="00024070">
        <w:rPr>
          <w:b/>
          <w:bCs/>
          <w:color w:val="000000" w:themeColor="text1"/>
        </w:rPr>
        <w:lastRenderedPageBreak/>
        <w:t>Acknowledgments</w:t>
      </w:r>
    </w:p>
    <w:p w14:paraId="257FA1AC" w14:textId="77777777" w:rsidR="00024070" w:rsidRPr="00024070" w:rsidRDefault="00024070" w:rsidP="00024070">
      <w:pPr>
        <w:spacing w:after="160" w:line="259" w:lineRule="auto"/>
        <w:rPr>
          <w:color w:val="000000" w:themeColor="text1"/>
        </w:rPr>
      </w:pPr>
      <w:r w:rsidRPr="00024070">
        <w:rPr>
          <w:color w:val="000000" w:themeColor="text1"/>
        </w:rPr>
        <w:t xml:space="preserve">We wish to acknowledge the help provided by Ms Caitlin Louise Lloyd in collecting the data. We also wish to thank the two former professional </w:t>
      </w:r>
      <w:proofErr w:type="gramStart"/>
      <w:r w:rsidRPr="00024070">
        <w:rPr>
          <w:color w:val="000000" w:themeColor="text1"/>
        </w:rPr>
        <w:t>footballers</w:t>
      </w:r>
      <w:proofErr w:type="gramEnd"/>
      <w:r w:rsidRPr="00024070">
        <w:rPr>
          <w:color w:val="000000" w:themeColor="text1"/>
        </w:rPr>
        <w:t xml:space="preserve"> associations that have helped us with recruitment and data collection, and the former professional football players who have provided us with feedback on previous version of the survey, and on the rating score. Neither author has conflicts of interest to declare. Funding was provided by the </w:t>
      </w:r>
      <w:proofErr w:type="spellStart"/>
      <w:r w:rsidRPr="00024070">
        <w:rPr>
          <w:color w:val="000000" w:themeColor="text1"/>
        </w:rPr>
        <w:t>Univers</w:t>
      </w:r>
      <w:proofErr w:type="spellEnd"/>
      <w:r w:rsidRPr="00024070">
        <w:rPr>
          <w:color w:val="000000" w:themeColor="text1"/>
        </w:rPr>
        <w:t xml:space="preserve"> Foundation (Grant Number: 18-02-172). The data are available as Supplemental Material.</w:t>
      </w:r>
    </w:p>
    <w:p w14:paraId="2C6A014D" w14:textId="77777777" w:rsidR="00024070" w:rsidRPr="00024070" w:rsidRDefault="00024070" w:rsidP="00024070">
      <w:pPr>
        <w:spacing w:after="160" w:line="259" w:lineRule="auto"/>
        <w:rPr>
          <w:color w:val="000000" w:themeColor="text1"/>
        </w:rPr>
      </w:pPr>
    </w:p>
    <w:p w14:paraId="79C0BB30" w14:textId="77777777" w:rsidR="00024070" w:rsidRPr="00024070" w:rsidRDefault="00024070" w:rsidP="00024070">
      <w:pPr>
        <w:spacing w:after="160" w:line="259" w:lineRule="auto"/>
        <w:rPr>
          <w:color w:val="000000" w:themeColor="text1"/>
        </w:rPr>
      </w:pPr>
    </w:p>
    <w:p w14:paraId="71DA26EE" w14:textId="77777777" w:rsidR="00024070" w:rsidRPr="00024070" w:rsidRDefault="00024070" w:rsidP="00024070">
      <w:pPr>
        <w:spacing w:after="160" w:line="259" w:lineRule="auto"/>
        <w:rPr>
          <w:color w:val="000000" w:themeColor="text1"/>
        </w:rPr>
      </w:pPr>
    </w:p>
    <w:p w14:paraId="4B744910" w14:textId="77777777" w:rsidR="00024070" w:rsidRDefault="00024070">
      <w:pPr>
        <w:spacing w:after="160" w:line="259" w:lineRule="auto"/>
        <w:rPr>
          <w:color w:val="000000" w:themeColor="text1"/>
        </w:rPr>
      </w:pPr>
      <w:r>
        <w:rPr>
          <w:color w:val="000000" w:themeColor="text1"/>
        </w:rPr>
        <w:br w:type="page"/>
      </w:r>
    </w:p>
    <w:p w14:paraId="25019ED5" w14:textId="2085E378" w:rsidR="00E060E8" w:rsidRPr="00B908AD" w:rsidRDefault="00E060E8" w:rsidP="003B5878">
      <w:pPr>
        <w:spacing w:line="480" w:lineRule="auto"/>
        <w:jc w:val="center"/>
        <w:rPr>
          <w:color w:val="000000" w:themeColor="text1"/>
        </w:rPr>
      </w:pPr>
      <w:r w:rsidRPr="00B908AD">
        <w:rPr>
          <w:color w:val="000000" w:themeColor="text1"/>
        </w:rPr>
        <w:lastRenderedPageBreak/>
        <w:t>Abstract</w:t>
      </w:r>
    </w:p>
    <w:p w14:paraId="141D880A" w14:textId="7BA3425A" w:rsidR="00375836" w:rsidRPr="00B908AD" w:rsidRDefault="00375836" w:rsidP="00375836">
      <w:pPr>
        <w:spacing w:line="480" w:lineRule="auto"/>
        <w:rPr>
          <w:color w:val="000000" w:themeColor="text1"/>
        </w:rPr>
      </w:pPr>
      <w:r w:rsidRPr="00B908AD">
        <w:rPr>
          <w:b/>
          <w:color w:val="000000" w:themeColor="text1"/>
        </w:rPr>
        <w:t>Objectives</w:t>
      </w:r>
      <w:proofErr w:type="gramStart"/>
      <w:r w:rsidRPr="00B908AD">
        <w:rPr>
          <w:b/>
          <w:color w:val="000000" w:themeColor="text1"/>
        </w:rPr>
        <w:t>.</w:t>
      </w:r>
      <w:r w:rsidRPr="00B908AD">
        <w:rPr>
          <w:color w:val="000000" w:themeColor="text1"/>
        </w:rPr>
        <w:t xml:space="preserve"> </w:t>
      </w:r>
      <w:r w:rsidR="005B1E73">
        <w:rPr>
          <w:color w:val="000000" w:themeColor="text1"/>
        </w:rPr>
        <w:t xml:space="preserve"> </w:t>
      </w:r>
      <w:proofErr w:type="gramEnd"/>
      <w:r w:rsidRPr="00B908AD">
        <w:rPr>
          <w:color w:val="000000" w:themeColor="text1"/>
        </w:rPr>
        <w:t>The link between football (soccer) headings and dementia risk is a concern given the popularity of this sport worldwide</w:t>
      </w:r>
      <w:proofErr w:type="gramStart"/>
      <w:r w:rsidRPr="00B908AD">
        <w:rPr>
          <w:color w:val="000000" w:themeColor="text1"/>
        </w:rPr>
        <w:t xml:space="preserve">. </w:t>
      </w:r>
      <w:r w:rsidR="005B1E73">
        <w:rPr>
          <w:color w:val="000000" w:themeColor="text1"/>
        </w:rPr>
        <w:t xml:space="preserve"> </w:t>
      </w:r>
      <w:proofErr w:type="gramEnd"/>
      <w:r w:rsidRPr="00B908AD">
        <w:rPr>
          <w:color w:val="000000" w:themeColor="text1"/>
        </w:rPr>
        <w:t xml:space="preserve">To assess this link, </w:t>
      </w:r>
      <w:r w:rsidR="005B1E73">
        <w:rPr>
          <w:color w:val="000000" w:themeColor="text1"/>
        </w:rPr>
        <w:t>the</w:t>
      </w:r>
      <w:r w:rsidRPr="00B908AD">
        <w:rPr>
          <w:color w:val="000000" w:themeColor="text1"/>
        </w:rPr>
        <w:t xml:space="preserve"> cognitive ability </w:t>
      </w:r>
      <w:r w:rsidR="005B1E73">
        <w:rPr>
          <w:color w:val="000000" w:themeColor="text1"/>
        </w:rPr>
        <w:t>of</w:t>
      </w:r>
      <w:r w:rsidR="005B1E73" w:rsidRPr="00B908AD">
        <w:rPr>
          <w:color w:val="000000" w:themeColor="text1"/>
        </w:rPr>
        <w:t xml:space="preserve"> </w:t>
      </w:r>
      <w:r w:rsidRPr="00B908AD">
        <w:rPr>
          <w:color w:val="000000" w:themeColor="text1"/>
        </w:rPr>
        <w:t xml:space="preserve">former professional players </w:t>
      </w:r>
      <w:r w:rsidR="005B1E73">
        <w:rPr>
          <w:color w:val="000000" w:themeColor="text1"/>
        </w:rPr>
        <w:t xml:space="preserve">was tested </w:t>
      </w:r>
      <w:r w:rsidRPr="00B908AD">
        <w:rPr>
          <w:color w:val="000000" w:themeColor="text1"/>
        </w:rPr>
        <w:t>and self-reported estimates on heading frequency</w:t>
      </w:r>
      <w:r w:rsidR="005B1E73">
        <w:rPr>
          <w:color w:val="000000" w:themeColor="text1"/>
        </w:rPr>
        <w:t xml:space="preserve"> were</w:t>
      </w:r>
      <w:r w:rsidR="005B1E73" w:rsidRPr="005B1E73">
        <w:t xml:space="preserve"> </w:t>
      </w:r>
      <w:r w:rsidR="005B1E73" w:rsidRPr="005B1E73">
        <w:rPr>
          <w:color w:val="000000" w:themeColor="text1"/>
        </w:rPr>
        <w:t>collected</w:t>
      </w:r>
      <w:r w:rsidRPr="00B908AD">
        <w:rPr>
          <w:color w:val="000000" w:themeColor="text1"/>
        </w:rPr>
        <w:t>.</w:t>
      </w:r>
    </w:p>
    <w:p w14:paraId="4BF89E2E" w14:textId="73324652" w:rsidR="00375836" w:rsidRPr="00B908AD" w:rsidRDefault="00375836" w:rsidP="00375836">
      <w:pPr>
        <w:spacing w:line="480" w:lineRule="auto"/>
        <w:rPr>
          <w:color w:val="000000" w:themeColor="text1"/>
        </w:rPr>
      </w:pPr>
      <w:r w:rsidRPr="00B908AD">
        <w:rPr>
          <w:b/>
          <w:color w:val="000000" w:themeColor="text1"/>
        </w:rPr>
        <w:t>Methods</w:t>
      </w:r>
      <w:proofErr w:type="gramStart"/>
      <w:r w:rsidRPr="00B908AD">
        <w:rPr>
          <w:b/>
          <w:color w:val="000000" w:themeColor="text1"/>
        </w:rPr>
        <w:t>.</w:t>
      </w:r>
      <w:r w:rsidRPr="00B908AD">
        <w:rPr>
          <w:color w:val="000000" w:themeColor="text1"/>
        </w:rPr>
        <w:t xml:space="preserve"> </w:t>
      </w:r>
      <w:r w:rsidR="0082213E">
        <w:rPr>
          <w:color w:val="000000" w:themeColor="text1"/>
        </w:rPr>
        <w:t xml:space="preserve"> </w:t>
      </w:r>
      <w:proofErr w:type="gramEnd"/>
      <w:r w:rsidRPr="00B908AD">
        <w:rPr>
          <w:color w:val="000000" w:themeColor="text1"/>
        </w:rPr>
        <w:t xml:space="preserve">A survey was co-designed with former players to gather demographics data; information on playing career, including playing position; estimates of total head injuries sustained in training and match play; and estimates of heading frequency during training and match play. Data </w:t>
      </w:r>
      <w:r w:rsidR="00A466F0" w:rsidRPr="00A466F0">
        <w:rPr>
          <w:color w:val="000000" w:themeColor="text1"/>
        </w:rPr>
        <w:t xml:space="preserve">then </w:t>
      </w:r>
      <w:r w:rsidRPr="00B908AD">
        <w:rPr>
          <w:color w:val="000000" w:themeColor="text1"/>
        </w:rPr>
        <w:t>were collected by post from 60 males (mean age = 67.5; SD = 9.5), who had played professionally for teams in England</w:t>
      </w:r>
      <w:proofErr w:type="gramStart"/>
      <w:r w:rsidRPr="00B908AD">
        <w:rPr>
          <w:color w:val="000000" w:themeColor="text1"/>
        </w:rPr>
        <w:t xml:space="preserve">. </w:t>
      </w:r>
      <w:r w:rsidR="005B1E73">
        <w:rPr>
          <w:color w:val="000000" w:themeColor="text1"/>
        </w:rPr>
        <w:t xml:space="preserve"> </w:t>
      </w:r>
      <w:proofErr w:type="gramEnd"/>
      <w:r w:rsidRPr="00B908AD">
        <w:rPr>
          <w:color w:val="000000" w:themeColor="text1"/>
        </w:rPr>
        <w:t>In addition to the survey, each individual also completed the Test Your Memory (TYM) self-administered cognitive test to evaluate overall ability</w:t>
      </w:r>
      <w:proofErr w:type="gramStart"/>
      <w:r w:rsidRPr="00B908AD">
        <w:rPr>
          <w:color w:val="000000" w:themeColor="text1"/>
        </w:rPr>
        <w:t xml:space="preserve">.  </w:t>
      </w:r>
      <w:proofErr w:type="gramEnd"/>
    </w:p>
    <w:p w14:paraId="1BD92D8B" w14:textId="40B5BA20" w:rsidR="00375836" w:rsidRPr="00B908AD" w:rsidRDefault="00375836" w:rsidP="00375836">
      <w:pPr>
        <w:spacing w:line="480" w:lineRule="auto"/>
        <w:rPr>
          <w:color w:val="000000" w:themeColor="text1"/>
        </w:rPr>
      </w:pPr>
      <w:r w:rsidRPr="00B908AD">
        <w:rPr>
          <w:b/>
          <w:color w:val="000000" w:themeColor="text1"/>
        </w:rPr>
        <w:t>Results.</w:t>
      </w:r>
      <w:r w:rsidRPr="00B908AD">
        <w:rPr>
          <w:color w:val="000000" w:themeColor="text1"/>
        </w:rPr>
        <w:t xml:space="preserve"> Bayesian and traditional linear regression analyses were carried out using the TYM score as outcome</w:t>
      </w:r>
      <w:r w:rsidR="008B2A04" w:rsidRPr="00B908AD">
        <w:rPr>
          <w:color w:val="000000" w:themeColor="text1"/>
        </w:rPr>
        <w:t>.</w:t>
      </w:r>
      <w:r w:rsidRPr="00B908AD">
        <w:rPr>
          <w:color w:val="000000" w:themeColor="text1"/>
        </w:rPr>
        <w:t xml:space="preserve"> </w:t>
      </w:r>
      <w:r w:rsidR="008B2A04" w:rsidRPr="00B908AD">
        <w:rPr>
          <w:color w:val="000000" w:themeColor="text1"/>
        </w:rPr>
        <w:t xml:space="preserve">Predictors were </w:t>
      </w:r>
      <w:r w:rsidRPr="00B908AD">
        <w:rPr>
          <w:color w:val="000000" w:themeColor="text1"/>
        </w:rPr>
        <w:t>estimated career head injuries and estimated career headers</w:t>
      </w:r>
      <w:r w:rsidR="008B2A04" w:rsidRPr="00B908AD">
        <w:rPr>
          <w:color w:val="000000" w:themeColor="text1"/>
        </w:rPr>
        <w:t xml:space="preserve">, while we controlled for age and </w:t>
      </w:r>
      <w:r w:rsidR="00E92F9B" w:rsidRPr="00B908AD">
        <w:rPr>
          <w:color w:val="000000" w:themeColor="text1"/>
        </w:rPr>
        <w:t xml:space="preserve">reported </w:t>
      </w:r>
      <w:r w:rsidR="008B2A04" w:rsidRPr="00B908AD">
        <w:rPr>
          <w:color w:val="000000" w:themeColor="text1"/>
        </w:rPr>
        <w:t>non-football</w:t>
      </w:r>
      <w:r w:rsidR="00E92F9B" w:rsidRPr="00B908AD">
        <w:rPr>
          <w:color w:val="000000" w:themeColor="text1"/>
        </w:rPr>
        <w:t xml:space="preserve"> head injuries</w:t>
      </w:r>
      <w:proofErr w:type="gramStart"/>
      <w:r w:rsidRPr="00B908AD">
        <w:rPr>
          <w:color w:val="000000" w:themeColor="text1"/>
        </w:rPr>
        <w:t xml:space="preserve">. </w:t>
      </w:r>
      <w:r w:rsidR="005B1E73">
        <w:rPr>
          <w:color w:val="000000" w:themeColor="text1"/>
        </w:rPr>
        <w:t xml:space="preserve"> </w:t>
      </w:r>
      <w:proofErr w:type="gramEnd"/>
      <w:r w:rsidRPr="00B908AD">
        <w:rPr>
          <w:color w:val="000000" w:themeColor="text1"/>
        </w:rPr>
        <w:t>The results of our analyses showed that estimated career headers, but not estimated career head injuries, predicted TYM score</w:t>
      </w:r>
      <w:r w:rsidR="00640E70">
        <w:rPr>
          <w:color w:val="000000" w:themeColor="text1"/>
        </w:rPr>
        <w:t>s</w:t>
      </w:r>
      <w:proofErr w:type="gramStart"/>
      <w:r w:rsidRPr="00B908AD">
        <w:rPr>
          <w:color w:val="000000" w:themeColor="text1"/>
        </w:rPr>
        <w:t xml:space="preserve">.  </w:t>
      </w:r>
      <w:proofErr w:type="gramEnd"/>
    </w:p>
    <w:p w14:paraId="75B4F75F" w14:textId="6AC0AE19" w:rsidR="00375836" w:rsidRPr="00B908AD" w:rsidRDefault="00375836" w:rsidP="00375836">
      <w:pPr>
        <w:spacing w:line="480" w:lineRule="auto"/>
        <w:rPr>
          <w:color w:val="000000" w:themeColor="text1"/>
        </w:rPr>
      </w:pPr>
      <w:r w:rsidRPr="00B908AD">
        <w:rPr>
          <w:b/>
          <w:color w:val="000000" w:themeColor="text1"/>
        </w:rPr>
        <w:t>Conclusion.</w:t>
      </w:r>
      <w:r w:rsidRPr="00B908AD">
        <w:rPr>
          <w:color w:val="000000" w:themeColor="text1"/>
        </w:rPr>
        <w:t xml:space="preserve"> To our knowledge, this is the first study to provide direct evidence </w:t>
      </w:r>
      <w:r w:rsidR="00A466F0">
        <w:rPr>
          <w:color w:val="000000" w:themeColor="text1"/>
        </w:rPr>
        <w:t>supporting</w:t>
      </w:r>
      <w:r w:rsidRPr="00B908AD">
        <w:rPr>
          <w:color w:val="000000" w:themeColor="text1"/>
        </w:rPr>
        <w:t xml:space="preserve"> a link between heading the ball and cognitive impairment in </w:t>
      </w:r>
      <w:r w:rsidR="00FA48AD" w:rsidRPr="00B908AD">
        <w:rPr>
          <w:color w:val="000000" w:themeColor="text1"/>
        </w:rPr>
        <w:t>retired</w:t>
      </w:r>
      <w:r w:rsidRPr="00B908AD">
        <w:rPr>
          <w:color w:val="000000" w:themeColor="text1"/>
        </w:rPr>
        <w:t xml:space="preserve"> professional football players.</w:t>
      </w:r>
    </w:p>
    <w:p w14:paraId="3A82FB76" w14:textId="77777777" w:rsidR="00375836" w:rsidRPr="00B908AD" w:rsidRDefault="00375836" w:rsidP="00375836">
      <w:pPr>
        <w:spacing w:line="480" w:lineRule="auto"/>
        <w:rPr>
          <w:color w:val="000000" w:themeColor="text1"/>
        </w:rPr>
      </w:pPr>
    </w:p>
    <w:p w14:paraId="2DDD0BE1" w14:textId="77777777" w:rsidR="00375836" w:rsidRPr="00B908AD" w:rsidRDefault="00375836" w:rsidP="003B5878">
      <w:pPr>
        <w:spacing w:line="480" w:lineRule="auto"/>
        <w:jc w:val="center"/>
        <w:rPr>
          <w:color w:val="000000" w:themeColor="text1"/>
        </w:rPr>
      </w:pPr>
    </w:p>
    <w:p w14:paraId="061F949A" w14:textId="2CC6765A" w:rsidR="0018406C" w:rsidRPr="00B908AD" w:rsidRDefault="00D462CD" w:rsidP="003B5878">
      <w:pPr>
        <w:spacing w:after="160" w:line="480" w:lineRule="auto"/>
        <w:rPr>
          <w:color w:val="000000" w:themeColor="text1"/>
        </w:rPr>
      </w:pPr>
      <w:r w:rsidRPr="00B908AD">
        <w:rPr>
          <w:color w:val="000000" w:themeColor="text1"/>
        </w:rPr>
        <w:t>Keywords:</w:t>
      </w:r>
      <w:r w:rsidR="00ED5F7C" w:rsidRPr="00B908AD">
        <w:rPr>
          <w:color w:val="000000" w:themeColor="text1"/>
        </w:rPr>
        <w:t xml:space="preserve"> </w:t>
      </w:r>
      <w:r w:rsidR="00097336" w:rsidRPr="00B908AD">
        <w:rPr>
          <w:color w:val="000000" w:themeColor="text1"/>
        </w:rPr>
        <w:t>Association football; Soccer; Heading; Cognitive impairment</w:t>
      </w:r>
    </w:p>
    <w:p w14:paraId="4C7FB37D" w14:textId="77777777" w:rsidR="00133793" w:rsidRDefault="00133793" w:rsidP="00194CDF">
      <w:pPr>
        <w:spacing w:line="480" w:lineRule="auto"/>
        <w:jc w:val="center"/>
        <w:rPr>
          <w:color w:val="000000" w:themeColor="text1"/>
        </w:rPr>
      </w:pPr>
    </w:p>
    <w:p w14:paraId="4F31CF9B" w14:textId="77777777" w:rsidR="00D277B0" w:rsidRDefault="00D277B0" w:rsidP="00194CDF">
      <w:pPr>
        <w:spacing w:line="480" w:lineRule="auto"/>
        <w:jc w:val="center"/>
        <w:rPr>
          <w:color w:val="000000" w:themeColor="text1"/>
        </w:rPr>
      </w:pPr>
    </w:p>
    <w:p w14:paraId="5D6287C2" w14:textId="7CE3EE16" w:rsidR="00642490" w:rsidRPr="00B908AD" w:rsidRDefault="00642490" w:rsidP="00194CDF">
      <w:pPr>
        <w:spacing w:line="480" w:lineRule="auto"/>
        <w:jc w:val="center"/>
        <w:rPr>
          <w:color w:val="000000" w:themeColor="text1"/>
        </w:rPr>
      </w:pPr>
      <w:r w:rsidRPr="00B908AD">
        <w:rPr>
          <w:color w:val="000000" w:themeColor="text1"/>
        </w:rPr>
        <w:lastRenderedPageBreak/>
        <w:t>Introduction</w:t>
      </w:r>
    </w:p>
    <w:p w14:paraId="75C56DA8" w14:textId="53756846" w:rsidR="000E66E0" w:rsidRDefault="0082213E" w:rsidP="00564A56">
      <w:pPr>
        <w:spacing w:line="480" w:lineRule="auto"/>
        <w:rPr>
          <w:color w:val="000000" w:themeColor="text1"/>
        </w:rPr>
      </w:pPr>
      <w:r>
        <w:rPr>
          <w:color w:val="000000" w:themeColor="text1"/>
        </w:rPr>
        <w:tab/>
      </w:r>
      <w:r w:rsidR="00F764FA" w:rsidRPr="00B908AD">
        <w:rPr>
          <w:color w:val="000000" w:themeColor="text1"/>
        </w:rPr>
        <w:t xml:space="preserve">The </w:t>
      </w:r>
      <w:r w:rsidR="00B71EC4" w:rsidRPr="00B908AD">
        <w:rPr>
          <w:color w:val="000000" w:themeColor="text1"/>
        </w:rPr>
        <w:t xml:space="preserve">study of the </w:t>
      </w:r>
      <w:r w:rsidR="00F764FA" w:rsidRPr="00B908AD">
        <w:rPr>
          <w:color w:val="000000" w:themeColor="text1"/>
        </w:rPr>
        <w:t xml:space="preserve">link between </w:t>
      </w:r>
      <w:r w:rsidR="00AD14DD" w:rsidRPr="00B908AD">
        <w:rPr>
          <w:color w:val="000000" w:themeColor="text1"/>
        </w:rPr>
        <w:t xml:space="preserve">association </w:t>
      </w:r>
      <w:r w:rsidR="00F764FA" w:rsidRPr="00B908AD">
        <w:rPr>
          <w:color w:val="000000" w:themeColor="text1"/>
        </w:rPr>
        <w:t>football (</w:t>
      </w:r>
      <w:r w:rsidR="00AD14DD" w:rsidRPr="00B908AD">
        <w:rPr>
          <w:color w:val="000000" w:themeColor="text1"/>
        </w:rPr>
        <w:t xml:space="preserve">i.e., </w:t>
      </w:r>
      <w:r w:rsidR="00F764FA" w:rsidRPr="00B908AD">
        <w:rPr>
          <w:color w:val="000000" w:themeColor="text1"/>
        </w:rPr>
        <w:t>soccer</w:t>
      </w:r>
      <w:r w:rsidR="00AD14DD" w:rsidRPr="00B908AD">
        <w:rPr>
          <w:color w:val="000000" w:themeColor="text1"/>
        </w:rPr>
        <w:t>; henceforth, football</w:t>
      </w:r>
      <w:r w:rsidR="00F764FA" w:rsidRPr="00B908AD">
        <w:rPr>
          <w:color w:val="000000" w:themeColor="text1"/>
        </w:rPr>
        <w:t>) heading</w:t>
      </w:r>
      <w:r w:rsidR="00AD14DD" w:rsidRPr="00B908AD">
        <w:rPr>
          <w:color w:val="000000" w:themeColor="text1"/>
        </w:rPr>
        <w:t>s</w:t>
      </w:r>
      <w:r w:rsidR="002C417C" w:rsidRPr="00B908AD">
        <w:rPr>
          <w:color w:val="000000" w:themeColor="text1"/>
        </w:rPr>
        <w:t>, head injur</w:t>
      </w:r>
      <w:r w:rsidR="00AD14DD" w:rsidRPr="00B908AD">
        <w:rPr>
          <w:color w:val="000000" w:themeColor="text1"/>
        </w:rPr>
        <w:t>y</w:t>
      </w:r>
      <w:r w:rsidR="00F764FA" w:rsidRPr="00B908AD">
        <w:rPr>
          <w:color w:val="000000" w:themeColor="text1"/>
        </w:rPr>
        <w:t xml:space="preserve"> and</w:t>
      </w:r>
      <w:r w:rsidR="00C967F2" w:rsidRPr="00B908AD">
        <w:rPr>
          <w:color w:val="000000" w:themeColor="text1"/>
        </w:rPr>
        <w:t xml:space="preserve"> neurodegenerative diseases</w:t>
      </w:r>
      <w:r w:rsidR="00F764FA" w:rsidRPr="00B908AD">
        <w:rPr>
          <w:color w:val="000000" w:themeColor="text1"/>
        </w:rPr>
        <w:t xml:space="preserve"> </w:t>
      </w:r>
      <w:r w:rsidR="00C967F2" w:rsidRPr="00B908AD">
        <w:rPr>
          <w:color w:val="000000" w:themeColor="text1"/>
        </w:rPr>
        <w:t xml:space="preserve">leading to dementia </w:t>
      </w:r>
      <w:r w:rsidR="00B71EC4" w:rsidRPr="00B908AD">
        <w:rPr>
          <w:color w:val="000000" w:themeColor="text1"/>
        </w:rPr>
        <w:t xml:space="preserve">has </w:t>
      </w:r>
      <w:r w:rsidR="0085365A" w:rsidRPr="00B908AD">
        <w:rPr>
          <w:color w:val="000000" w:themeColor="text1"/>
        </w:rPr>
        <w:t xml:space="preserve">generated </w:t>
      </w:r>
      <w:r w:rsidR="004B5080" w:rsidRPr="00B908AD">
        <w:rPr>
          <w:color w:val="000000" w:themeColor="text1"/>
        </w:rPr>
        <w:t>much media attention</w:t>
      </w:r>
      <w:r w:rsidR="00896949" w:rsidRPr="00B908AD">
        <w:rPr>
          <w:color w:val="000000" w:themeColor="text1"/>
        </w:rPr>
        <w:t xml:space="preserve"> in recent years</w:t>
      </w:r>
      <w:r w:rsidR="004A3663" w:rsidRPr="00B908AD">
        <w:rPr>
          <w:color w:val="000000" w:themeColor="text1"/>
        </w:rPr>
        <w:t xml:space="preserve">, leading to </w:t>
      </w:r>
      <w:r w:rsidR="00F04E05" w:rsidRPr="00F04E05">
        <w:rPr>
          <w:color w:val="000000" w:themeColor="text1"/>
        </w:rPr>
        <w:t xml:space="preserve">the (English) Football Association (FA) and the (English) Premier League issuing guidelines, to be introduced in the 2021/2022 Season, limiting the number of higher force training headers to ten per week. This guidance </w:t>
      </w:r>
      <w:r w:rsidR="00F04E05">
        <w:rPr>
          <w:color w:val="000000" w:themeColor="text1"/>
        </w:rPr>
        <w:t xml:space="preserve">also </w:t>
      </w:r>
      <w:r w:rsidR="00F04E05" w:rsidRPr="00F04E05">
        <w:rPr>
          <w:color w:val="000000" w:themeColor="text1"/>
        </w:rPr>
        <w:t>has been agreed by the FA, the Premier League, the English Football League, the Professional Footballers Association (PFA) and the League Managers Association (LMA), and applies to all levels of English football, including grassroots and amateur levels [1, 2].</w:t>
      </w:r>
      <w:r w:rsidR="00F04E05">
        <w:rPr>
          <w:color w:val="000000" w:themeColor="text1"/>
        </w:rPr>
        <w:t xml:space="preserve"> N</w:t>
      </w:r>
      <w:r w:rsidR="00843EBB" w:rsidRPr="00B908AD">
        <w:rPr>
          <w:color w:val="000000" w:themeColor="text1"/>
        </w:rPr>
        <w:t xml:space="preserve">ew guidance </w:t>
      </w:r>
      <w:r w:rsidR="00F04E05">
        <w:rPr>
          <w:color w:val="000000" w:themeColor="text1"/>
        </w:rPr>
        <w:t xml:space="preserve">also has been adopted by </w:t>
      </w:r>
      <w:r w:rsidR="00843EBB" w:rsidRPr="00B908AD">
        <w:rPr>
          <w:color w:val="000000" w:themeColor="text1"/>
        </w:rPr>
        <w:t xml:space="preserve">the </w:t>
      </w:r>
      <w:r w:rsidR="00117D1A" w:rsidRPr="00B908AD">
        <w:rPr>
          <w:color w:val="000000" w:themeColor="text1"/>
        </w:rPr>
        <w:t>Scottish [</w:t>
      </w:r>
      <w:r w:rsidR="00F62F3F">
        <w:rPr>
          <w:color w:val="000000" w:themeColor="text1"/>
        </w:rPr>
        <w:t>3</w:t>
      </w:r>
      <w:r w:rsidR="00117D1A" w:rsidRPr="00B908AD">
        <w:rPr>
          <w:color w:val="000000" w:themeColor="text1"/>
        </w:rPr>
        <w:t>], English [</w:t>
      </w:r>
      <w:r w:rsidR="00F62F3F">
        <w:rPr>
          <w:color w:val="000000" w:themeColor="text1"/>
        </w:rPr>
        <w:t>4</w:t>
      </w:r>
      <w:r w:rsidR="00117D1A" w:rsidRPr="00B908AD">
        <w:rPr>
          <w:color w:val="000000" w:themeColor="text1"/>
        </w:rPr>
        <w:t xml:space="preserve">] and (Northern) Irish </w:t>
      </w:r>
      <w:r w:rsidR="00843EBB" w:rsidRPr="00B908AD">
        <w:rPr>
          <w:color w:val="000000" w:themeColor="text1"/>
        </w:rPr>
        <w:t>Football Association</w:t>
      </w:r>
      <w:r w:rsidR="00117D1A" w:rsidRPr="00B908AD">
        <w:rPr>
          <w:color w:val="000000" w:themeColor="text1"/>
        </w:rPr>
        <w:t>s</w:t>
      </w:r>
      <w:r w:rsidR="00843EBB" w:rsidRPr="00B908AD">
        <w:rPr>
          <w:color w:val="000000" w:themeColor="text1"/>
        </w:rPr>
        <w:t xml:space="preserve"> </w:t>
      </w:r>
      <w:bookmarkStart w:id="0" w:name="_Hlk71536481"/>
      <w:r w:rsidR="00794226" w:rsidRPr="00B908AD">
        <w:rPr>
          <w:color w:val="000000" w:themeColor="text1"/>
        </w:rPr>
        <w:t>[</w:t>
      </w:r>
      <w:r w:rsidR="00F62F3F">
        <w:rPr>
          <w:color w:val="000000" w:themeColor="text1"/>
        </w:rPr>
        <w:t>5</w:t>
      </w:r>
      <w:r w:rsidR="00794226" w:rsidRPr="00B908AD">
        <w:rPr>
          <w:color w:val="000000" w:themeColor="text1"/>
        </w:rPr>
        <w:t>]</w:t>
      </w:r>
      <w:r w:rsidR="00117D1A" w:rsidRPr="00B908AD">
        <w:rPr>
          <w:color w:val="000000" w:themeColor="text1"/>
        </w:rPr>
        <w:t>,</w:t>
      </w:r>
      <w:r w:rsidR="00794226" w:rsidRPr="00B908AD">
        <w:rPr>
          <w:color w:val="000000" w:themeColor="text1"/>
        </w:rPr>
        <w:t xml:space="preserve"> </w:t>
      </w:r>
      <w:bookmarkEnd w:id="0"/>
      <w:r w:rsidR="00160103" w:rsidRPr="00B908AD">
        <w:rPr>
          <w:color w:val="000000" w:themeColor="text1"/>
        </w:rPr>
        <w:t xml:space="preserve">aimed at protecting </w:t>
      </w:r>
      <w:r w:rsidR="00B01733" w:rsidRPr="00B908AD">
        <w:rPr>
          <w:color w:val="000000" w:themeColor="text1"/>
        </w:rPr>
        <w:t>children</w:t>
      </w:r>
      <w:proofErr w:type="gramStart"/>
      <w:r w:rsidR="00B01733" w:rsidRPr="00B908AD">
        <w:rPr>
          <w:color w:val="000000" w:themeColor="text1"/>
        </w:rPr>
        <w:t xml:space="preserve">. </w:t>
      </w:r>
      <w:r w:rsidR="00117D1A" w:rsidRPr="00B908AD">
        <w:rPr>
          <w:color w:val="000000" w:themeColor="text1"/>
        </w:rPr>
        <w:t xml:space="preserve"> </w:t>
      </w:r>
      <w:proofErr w:type="gramEnd"/>
      <w:r w:rsidR="00630611">
        <w:rPr>
          <w:color w:val="000000" w:themeColor="text1"/>
        </w:rPr>
        <w:t>N</w:t>
      </w:r>
      <w:r w:rsidR="00630611" w:rsidRPr="00B908AD">
        <w:rPr>
          <w:color w:val="000000" w:themeColor="text1"/>
        </w:rPr>
        <w:t>ever</w:t>
      </w:r>
      <w:r w:rsidR="00630611">
        <w:rPr>
          <w:color w:val="000000" w:themeColor="text1"/>
        </w:rPr>
        <w:t>theless</w:t>
      </w:r>
      <w:r w:rsidR="00C95511" w:rsidRPr="00B908AD">
        <w:rPr>
          <w:color w:val="000000" w:themeColor="text1"/>
        </w:rPr>
        <w:t xml:space="preserve">, the view that football heading </w:t>
      </w:r>
      <w:r w:rsidR="00C95511" w:rsidRPr="00B908AD">
        <w:rPr>
          <w:i/>
          <w:iCs/>
          <w:color w:val="000000" w:themeColor="text1"/>
        </w:rPr>
        <w:t>per se</w:t>
      </w:r>
      <w:r w:rsidR="00C95511" w:rsidRPr="00B908AD">
        <w:rPr>
          <w:color w:val="000000" w:themeColor="text1"/>
        </w:rPr>
        <w:t xml:space="preserve"> has pathological long-term neuropsychological consequences is based on research that is limited in </w:t>
      </w:r>
      <w:r w:rsidR="007B42CF" w:rsidRPr="00B908AD">
        <w:rPr>
          <w:color w:val="000000" w:themeColor="text1"/>
        </w:rPr>
        <w:t>scope</w:t>
      </w:r>
      <w:r w:rsidR="009C1A30" w:rsidRPr="00B908AD">
        <w:rPr>
          <w:color w:val="000000" w:themeColor="text1"/>
        </w:rPr>
        <w:t xml:space="preserve"> [</w:t>
      </w:r>
      <w:r w:rsidR="00F62F3F">
        <w:rPr>
          <w:color w:val="000000" w:themeColor="text1"/>
        </w:rPr>
        <w:t>6</w:t>
      </w:r>
      <w:r w:rsidR="009C1A30" w:rsidRPr="00B908AD">
        <w:rPr>
          <w:color w:val="000000" w:themeColor="text1"/>
        </w:rPr>
        <w:t>-</w:t>
      </w:r>
      <w:r w:rsidR="00F62F3F">
        <w:rPr>
          <w:color w:val="000000" w:themeColor="text1"/>
        </w:rPr>
        <w:t>8</w:t>
      </w:r>
      <w:r w:rsidR="009C1A30" w:rsidRPr="00B908AD">
        <w:rPr>
          <w:color w:val="000000" w:themeColor="text1"/>
        </w:rPr>
        <w:t>]</w:t>
      </w:r>
      <w:r w:rsidR="007B42CF" w:rsidRPr="00B908AD">
        <w:rPr>
          <w:color w:val="000000" w:themeColor="text1"/>
        </w:rPr>
        <w:t xml:space="preserve">, focusing primarily on </w:t>
      </w:r>
      <w:r w:rsidR="00B1506F" w:rsidRPr="00B908AD">
        <w:rPr>
          <w:color w:val="000000" w:themeColor="text1"/>
        </w:rPr>
        <w:t xml:space="preserve">active </w:t>
      </w:r>
      <w:r w:rsidR="007B42CF" w:rsidRPr="00B908AD">
        <w:rPr>
          <w:color w:val="000000" w:themeColor="text1"/>
        </w:rPr>
        <w:t xml:space="preserve">younger </w:t>
      </w:r>
      <w:r w:rsidR="00B1506F" w:rsidRPr="00B908AD">
        <w:rPr>
          <w:color w:val="000000" w:themeColor="text1"/>
        </w:rPr>
        <w:t>players and ignoring longer term effects</w:t>
      </w:r>
      <w:r w:rsidR="00B93164" w:rsidRPr="00B908AD">
        <w:rPr>
          <w:color w:val="000000" w:themeColor="text1"/>
        </w:rPr>
        <w:t xml:space="preserve"> [</w:t>
      </w:r>
      <w:r w:rsidR="00F62F3F">
        <w:rPr>
          <w:color w:val="000000" w:themeColor="text1"/>
        </w:rPr>
        <w:t>9</w:t>
      </w:r>
      <w:r w:rsidR="00B93164" w:rsidRPr="00B908AD">
        <w:rPr>
          <w:color w:val="000000" w:themeColor="text1"/>
        </w:rPr>
        <w:t>]</w:t>
      </w:r>
      <w:r w:rsidR="00C95511" w:rsidRPr="00B908AD">
        <w:rPr>
          <w:color w:val="000000" w:themeColor="text1"/>
        </w:rPr>
        <w:t>.</w:t>
      </w:r>
      <w:r w:rsidR="00117D1A" w:rsidRPr="00B908AD">
        <w:rPr>
          <w:color w:val="000000" w:themeColor="text1"/>
        </w:rPr>
        <w:t xml:space="preserve"> </w:t>
      </w:r>
      <w:r w:rsidR="00801AA9" w:rsidRPr="00B908AD">
        <w:rPr>
          <w:color w:val="000000" w:themeColor="text1"/>
        </w:rPr>
        <w:t xml:space="preserve">Therefore, </w:t>
      </w:r>
      <w:r w:rsidR="00F04E05" w:rsidRPr="00F04E05">
        <w:rPr>
          <w:color w:val="000000" w:themeColor="text1"/>
        </w:rPr>
        <w:t xml:space="preserve">still missing is </w:t>
      </w:r>
      <w:r w:rsidR="00D90731" w:rsidRPr="00B908AD">
        <w:rPr>
          <w:color w:val="000000" w:themeColor="text1"/>
        </w:rPr>
        <w:t xml:space="preserve">strong </w:t>
      </w:r>
      <w:r w:rsidR="00801AA9" w:rsidRPr="00B908AD">
        <w:rPr>
          <w:color w:val="000000" w:themeColor="text1"/>
        </w:rPr>
        <w:t>e</w:t>
      </w:r>
      <w:r w:rsidR="005A3B90" w:rsidRPr="00B908AD">
        <w:rPr>
          <w:color w:val="000000" w:themeColor="text1"/>
        </w:rPr>
        <w:t xml:space="preserve">vidence that football play, and </w:t>
      </w:r>
      <w:r w:rsidR="00DD732C" w:rsidRPr="00B908AD">
        <w:rPr>
          <w:color w:val="000000" w:themeColor="text1"/>
        </w:rPr>
        <w:t xml:space="preserve">football </w:t>
      </w:r>
      <w:r w:rsidR="00A466F0" w:rsidRPr="00B908AD">
        <w:rPr>
          <w:color w:val="000000" w:themeColor="text1"/>
        </w:rPr>
        <w:t>head</w:t>
      </w:r>
      <w:r w:rsidR="00A466F0">
        <w:rPr>
          <w:color w:val="000000" w:themeColor="text1"/>
        </w:rPr>
        <w:t>ing</w:t>
      </w:r>
      <w:r w:rsidR="00A466F0" w:rsidRPr="00B908AD">
        <w:rPr>
          <w:color w:val="000000" w:themeColor="text1"/>
        </w:rPr>
        <w:t xml:space="preserve"> </w:t>
      </w:r>
      <w:r w:rsidR="00DD732C" w:rsidRPr="00B908AD">
        <w:rPr>
          <w:color w:val="000000" w:themeColor="text1"/>
        </w:rPr>
        <w:t>in particular, are risk factor</w:t>
      </w:r>
      <w:r w:rsidR="00A466F0">
        <w:rPr>
          <w:color w:val="000000" w:themeColor="text1"/>
        </w:rPr>
        <w:t>s</w:t>
      </w:r>
      <w:r w:rsidR="00DD732C" w:rsidRPr="00B908AD">
        <w:rPr>
          <w:color w:val="000000" w:themeColor="text1"/>
        </w:rPr>
        <w:t xml:space="preserve"> for dementia </w:t>
      </w:r>
      <w:r w:rsidR="00B93164" w:rsidRPr="00B908AD">
        <w:rPr>
          <w:color w:val="000000" w:themeColor="text1"/>
        </w:rPr>
        <w:t>[</w:t>
      </w:r>
      <w:r w:rsidR="00F62F3F">
        <w:rPr>
          <w:color w:val="000000" w:themeColor="text1"/>
        </w:rPr>
        <w:t>10</w:t>
      </w:r>
      <w:r w:rsidR="00B93164" w:rsidRPr="00B908AD">
        <w:rPr>
          <w:color w:val="000000" w:themeColor="text1"/>
        </w:rPr>
        <w:t>]</w:t>
      </w:r>
      <w:r w:rsidR="000E66E0">
        <w:rPr>
          <w:color w:val="000000" w:themeColor="text1"/>
        </w:rPr>
        <w:t>.</w:t>
      </w:r>
    </w:p>
    <w:p w14:paraId="3F620557" w14:textId="06522609" w:rsidR="00117D1A" w:rsidRPr="00B908AD" w:rsidRDefault="0082213E" w:rsidP="00C40889">
      <w:pPr>
        <w:spacing w:line="480" w:lineRule="auto"/>
        <w:ind w:firstLine="567"/>
        <w:rPr>
          <w:color w:val="000000" w:themeColor="text1"/>
        </w:rPr>
      </w:pPr>
      <w:r>
        <w:rPr>
          <w:color w:val="000000" w:themeColor="text1"/>
        </w:rPr>
        <w:t>The</w:t>
      </w:r>
      <w:r w:rsidR="00A7357D" w:rsidRPr="00B908AD">
        <w:rPr>
          <w:color w:val="000000" w:themeColor="text1"/>
        </w:rPr>
        <w:t xml:space="preserve"> </w:t>
      </w:r>
      <w:r w:rsidR="00D90731" w:rsidRPr="00B908AD">
        <w:rPr>
          <w:color w:val="000000" w:themeColor="text1"/>
        </w:rPr>
        <w:t xml:space="preserve">most </w:t>
      </w:r>
      <w:r w:rsidR="00E018F9" w:rsidRPr="00B908AD">
        <w:rPr>
          <w:color w:val="000000" w:themeColor="text1"/>
        </w:rPr>
        <w:t>convincing</w:t>
      </w:r>
      <w:r w:rsidR="00D90731" w:rsidRPr="00B908AD">
        <w:rPr>
          <w:color w:val="000000" w:themeColor="text1"/>
        </w:rPr>
        <w:t xml:space="preserve"> report</w:t>
      </w:r>
      <w:r w:rsidR="00A7357D">
        <w:rPr>
          <w:color w:val="000000" w:themeColor="text1"/>
        </w:rPr>
        <w:t>s</w:t>
      </w:r>
      <w:r w:rsidR="00D90731" w:rsidRPr="00B908AD">
        <w:rPr>
          <w:color w:val="000000" w:themeColor="text1"/>
        </w:rPr>
        <w:t xml:space="preserve"> </w:t>
      </w:r>
      <w:r w:rsidR="009A53D6" w:rsidRPr="00B908AD">
        <w:rPr>
          <w:color w:val="000000" w:themeColor="text1"/>
        </w:rPr>
        <w:t>linking</w:t>
      </w:r>
      <w:r w:rsidR="003514BE" w:rsidRPr="00B908AD">
        <w:rPr>
          <w:color w:val="000000" w:themeColor="text1"/>
        </w:rPr>
        <w:t xml:space="preserve"> football play with risk of dementia </w:t>
      </w:r>
      <w:r w:rsidR="00C40889">
        <w:rPr>
          <w:color w:val="000000" w:themeColor="text1"/>
        </w:rPr>
        <w:t xml:space="preserve">to date </w:t>
      </w:r>
      <w:r w:rsidR="00A7357D" w:rsidRPr="00B908AD">
        <w:rPr>
          <w:color w:val="000000" w:themeColor="text1"/>
        </w:rPr>
        <w:t>w</w:t>
      </w:r>
      <w:r w:rsidR="00A7357D">
        <w:rPr>
          <w:color w:val="000000" w:themeColor="text1"/>
        </w:rPr>
        <w:t>ere</w:t>
      </w:r>
      <w:r w:rsidR="00A7357D" w:rsidRPr="00B908AD">
        <w:rPr>
          <w:color w:val="000000" w:themeColor="text1"/>
        </w:rPr>
        <w:t xml:space="preserve"> </w:t>
      </w:r>
      <w:r w:rsidR="00D90731" w:rsidRPr="00B908AD">
        <w:rPr>
          <w:color w:val="000000" w:themeColor="text1"/>
        </w:rPr>
        <w:t>published by Mackay et al.</w:t>
      </w:r>
      <w:r w:rsidR="00DC04A4" w:rsidRPr="00B908AD">
        <w:rPr>
          <w:color w:val="000000" w:themeColor="text1"/>
        </w:rPr>
        <w:t xml:space="preserve"> [</w:t>
      </w:r>
      <w:r w:rsidR="00F62F3F">
        <w:rPr>
          <w:color w:val="000000" w:themeColor="text1"/>
        </w:rPr>
        <w:t>11</w:t>
      </w:r>
      <w:r w:rsidR="00DC04A4" w:rsidRPr="00B908AD">
        <w:rPr>
          <w:color w:val="000000" w:themeColor="text1"/>
        </w:rPr>
        <w:t>]</w:t>
      </w:r>
      <w:r w:rsidR="00A7357D" w:rsidRPr="00A7357D">
        <w:t xml:space="preserve"> </w:t>
      </w:r>
      <w:r w:rsidR="00A7357D" w:rsidRPr="00A7357D">
        <w:rPr>
          <w:color w:val="000000" w:themeColor="text1"/>
        </w:rPr>
        <w:t>and Russell et al. [1</w:t>
      </w:r>
      <w:r w:rsidR="00F62F3F">
        <w:rPr>
          <w:color w:val="000000" w:themeColor="text1"/>
        </w:rPr>
        <w:t>2</w:t>
      </w:r>
      <w:r w:rsidR="00A7357D" w:rsidRPr="00A7357D">
        <w:rPr>
          <w:color w:val="000000" w:themeColor="text1"/>
        </w:rPr>
        <w:t>]</w:t>
      </w:r>
      <w:r w:rsidR="00D90731" w:rsidRPr="00B908AD">
        <w:rPr>
          <w:color w:val="000000" w:themeColor="text1"/>
        </w:rPr>
        <w:t xml:space="preserve">. </w:t>
      </w:r>
      <w:r w:rsidR="007B6B10" w:rsidRPr="00B908AD">
        <w:rPr>
          <w:color w:val="000000" w:themeColor="text1"/>
        </w:rPr>
        <w:t>Mackay et al. [</w:t>
      </w:r>
      <w:r w:rsidR="007B6B10">
        <w:rPr>
          <w:color w:val="000000" w:themeColor="text1"/>
        </w:rPr>
        <w:t>11</w:t>
      </w:r>
      <w:r w:rsidR="007B6B10" w:rsidRPr="00B908AD">
        <w:rPr>
          <w:color w:val="000000" w:themeColor="text1"/>
        </w:rPr>
        <w:t>]</w:t>
      </w:r>
      <w:r w:rsidR="00D90731" w:rsidRPr="00B908AD">
        <w:rPr>
          <w:color w:val="000000" w:themeColor="text1"/>
        </w:rPr>
        <w:t xml:space="preserve"> examined </w:t>
      </w:r>
      <w:r w:rsidR="0005190B" w:rsidRPr="00B908AD">
        <w:rPr>
          <w:color w:val="000000" w:themeColor="text1"/>
        </w:rPr>
        <w:t xml:space="preserve">the </w:t>
      </w:r>
      <w:r w:rsidR="00D90731" w:rsidRPr="00B908AD">
        <w:rPr>
          <w:color w:val="000000" w:themeColor="text1"/>
        </w:rPr>
        <w:t xml:space="preserve">death </w:t>
      </w:r>
      <w:r w:rsidR="0005190B" w:rsidRPr="00B908AD">
        <w:rPr>
          <w:color w:val="000000" w:themeColor="text1"/>
        </w:rPr>
        <w:t xml:space="preserve">certificates of </w:t>
      </w:r>
      <w:r w:rsidR="00A10657" w:rsidRPr="00B908AD">
        <w:rPr>
          <w:color w:val="000000" w:themeColor="text1"/>
        </w:rPr>
        <w:t>7676 Scottish male former professional football</w:t>
      </w:r>
      <w:r w:rsidR="00886F5B">
        <w:rPr>
          <w:color w:val="000000" w:themeColor="text1"/>
        </w:rPr>
        <w:t>ers</w:t>
      </w:r>
      <w:r w:rsidR="00A10657" w:rsidRPr="00B908AD">
        <w:rPr>
          <w:color w:val="000000" w:themeColor="text1"/>
        </w:rPr>
        <w:t xml:space="preserve"> </w:t>
      </w:r>
      <w:r w:rsidR="005248E9">
        <w:rPr>
          <w:color w:val="000000" w:themeColor="text1"/>
        </w:rPr>
        <w:t>(</w:t>
      </w:r>
      <w:r w:rsidR="00886F5B">
        <w:rPr>
          <w:color w:val="000000" w:themeColor="text1"/>
        </w:rPr>
        <w:t xml:space="preserve">FPFs) </w:t>
      </w:r>
      <w:r w:rsidR="00ED2000" w:rsidRPr="00B908AD">
        <w:rPr>
          <w:color w:val="000000" w:themeColor="text1"/>
        </w:rPr>
        <w:t>and compared their death certificate information with similar information obtained from 23,028 general population controls matched with the players on the basis of sex, age, and degree of social deprivation.</w:t>
      </w:r>
      <w:r w:rsidR="00117D1A" w:rsidRPr="00B908AD">
        <w:rPr>
          <w:color w:val="000000" w:themeColor="text1"/>
        </w:rPr>
        <w:t xml:space="preserve"> </w:t>
      </w:r>
      <w:r w:rsidR="00FF16D4" w:rsidRPr="00B908AD">
        <w:rPr>
          <w:color w:val="000000" w:themeColor="text1"/>
        </w:rPr>
        <w:t xml:space="preserve">They found that </w:t>
      </w:r>
      <w:r w:rsidR="00886F5B">
        <w:rPr>
          <w:color w:val="000000" w:themeColor="text1"/>
        </w:rPr>
        <w:t>FPFs</w:t>
      </w:r>
      <w:r w:rsidR="00FF16D4" w:rsidRPr="00B908AD">
        <w:rPr>
          <w:color w:val="000000" w:themeColor="text1"/>
        </w:rPr>
        <w:t xml:space="preserve"> aged 70 years and over were nearly 3.5 times more likely to die from dementia than similarly aged male members of the general population</w:t>
      </w:r>
      <w:proofErr w:type="gramStart"/>
      <w:r w:rsidR="00FF16D4" w:rsidRPr="00B908AD">
        <w:rPr>
          <w:color w:val="000000" w:themeColor="text1"/>
        </w:rPr>
        <w:t>.</w:t>
      </w:r>
      <w:r w:rsidR="006F6510" w:rsidRPr="00B908AD">
        <w:rPr>
          <w:color w:val="000000" w:themeColor="text1"/>
        </w:rPr>
        <w:t xml:space="preserve"> </w:t>
      </w:r>
      <w:r w:rsidR="00117D1A" w:rsidRPr="00B908AD">
        <w:rPr>
          <w:color w:val="000000" w:themeColor="text1"/>
        </w:rPr>
        <w:t xml:space="preserve"> </w:t>
      </w:r>
      <w:proofErr w:type="gramEnd"/>
      <w:r w:rsidR="00A7357D" w:rsidRPr="00A7357D">
        <w:rPr>
          <w:color w:val="000000" w:themeColor="text1"/>
        </w:rPr>
        <w:t xml:space="preserve">Russell et al. </w:t>
      </w:r>
      <w:r w:rsidR="002B5FCB">
        <w:rPr>
          <w:color w:val="000000" w:themeColor="text1"/>
        </w:rPr>
        <w:t xml:space="preserve">[12] </w:t>
      </w:r>
      <w:r w:rsidR="00A7357D" w:rsidRPr="00A7357D">
        <w:rPr>
          <w:color w:val="000000" w:themeColor="text1"/>
        </w:rPr>
        <w:t xml:space="preserve">reanalysed the same data, but with greater focus on records that could reveal incidence of neurogenerative disease as a function of field (i.e., playing) position. They observed that defenders ran the highest risk of neurogenerative disease (HR = 4.98), closely </w:t>
      </w:r>
      <w:r w:rsidR="00A7357D" w:rsidRPr="00A7357D">
        <w:rPr>
          <w:color w:val="000000" w:themeColor="text1"/>
        </w:rPr>
        <w:lastRenderedPageBreak/>
        <w:t xml:space="preserve">followed by </w:t>
      </w:r>
      <w:r w:rsidR="0059566F">
        <w:rPr>
          <w:color w:val="000000" w:themeColor="text1"/>
        </w:rPr>
        <w:t>FPFs</w:t>
      </w:r>
      <w:r w:rsidR="00A7357D" w:rsidRPr="00A7357D">
        <w:rPr>
          <w:color w:val="000000" w:themeColor="text1"/>
        </w:rPr>
        <w:t xml:space="preserve"> who played in a variety of positions (labelled multi position, HR = 4.94) and midfielders (HR = 4.59), while forwards exhibited the second lowest risk of neurogenerative disease (HR = 2.79) across playing positions (only goalkeepers had a lower neurogenerative disease risk; HR = 1.83). Russell et al. </w:t>
      </w:r>
      <w:r w:rsidR="006E1B7F">
        <w:rPr>
          <w:color w:val="000000" w:themeColor="text1"/>
        </w:rPr>
        <w:t xml:space="preserve">[12] </w:t>
      </w:r>
      <w:r w:rsidR="00A7357D" w:rsidRPr="00A7357D">
        <w:rPr>
          <w:color w:val="000000" w:themeColor="text1"/>
        </w:rPr>
        <w:t xml:space="preserve">also examined neurogenerative disease risk as a function of the </w:t>
      </w:r>
      <w:r w:rsidR="0059566F">
        <w:rPr>
          <w:color w:val="000000" w:themeColor="text1"/>
        </w:rPr>
        <w:t>FPF’s</w:t>
      </w:r>
      <w:r w:rsidR="00A7357D" w:rsidRPr="00A7357D">
        <w:rPr>
          <w:color w:val="000000" w:themeColor="text1"/>
        </w:rPr>
        <w:t xml:space="preserve"> career length, noting that </w:t>
      </w:r>
      <w:r w:rsidR="0059566F">
        <w:rPr>
          <w:color w:val="000000" w:themeColor="text1"/>
        </w:rPr>
        <w:t>those</w:t>
      </w:r>
      <w:r w:rsidR="00A7357D" w:rsidRPr="00A7357D">
        <w:rPr>
          <w:color w:val="000000" w:themeColor="text1"/>
        </w:rPr>
        <w:t xml:space="preserve"> with the longest playing careers, i.e., greater than 15 years, revealed greatest risk of neurogenerative disease (HR = 5.20). Although no direct evidence was available, the strong suggestion by Russell et al. </w:t>
      </w:r>
      <w:r w:rsidR="00DA4319">
        <w:rPr>
          <w:color w:val="000000" w:themeColor="text1"/>
        </w:rPr>
        <w:t xml:space="preserve">[12] </w:t>
      </w:r>
      <w:r w:rsidR="00A7357D" w:rsidRPr="00A7357D">
        <w:rPr>
          <w:color w:val="000000" w:themeColor="text1"/>
        </w:rPr>
        <w:t xml:space="preserve">was that these findings could be attributed to the relative number and severity of head impacts sustained by the </w:t>
      </w:r>
      <w:r w:rsidR="0059566F">
        <w:rPr>
          <w:color w:val="000000" w:themeColor="text1"/>
        </w:rPr>
        <w:t>FPFs</w:t>
      </w:r>
      <w:r w:rsidR="00A7357D" w:rsidRPr="00A7357D">
        <w:rPr>
          <w:color w:val="000000" w:themeColor="text1"/>
        </w:rPr>
        <w:t xml:space="preserve"> when they headed the ball.</w:t>
      </w:r>
    </w:p>
    <w:p w14:paraId="44C6FA47" w14:textId="245174A0" w:rsidR="00117D1A" w:rsidRPr="00B908AD" w:rsidRDefault="00053F4D" w:rsidP="0082213E">
      <w:pPr>
        <w:spacing w:line="480" w:lineRule="auto"/>
        <w:ind w:firstLine="567"/>
        <w:rPr>
          <w:color w:val="000000" w:themeColor="text1"/>
        </w:rPr>
      </w:pPr>
      <w:r w:rsidRPr="00191D72">
        <w:rPr>
          <w:color w:val="000000" w:themeColor="text1"/>
        </w:rPr>
        <w:t xml:space="preserve">One of the </w:t>
      </w:r>
      <w:r w:rsidR="0018747B" w:rsidRPr="00191D72">
        <w:rPr>
          <w:color w:val="000000" w:themeColor="text1"/>
        </w:rPr>
        <w:t>ways</w:t>
      </w:r>
      <w:r w:rsidRPr="00B908AD">
        <w:rPr>
          <w:color w:val="000000" w:themeColor="text1"/>
        </w:rPr>
        <w:t xml:space="preserve"> to </w:t>
      </w:r>
      <w:r w:rsidR="0018747B" w:rsidRPr="00B908AD">
        <w:rPr>
          <w:color w:val="000000" w:themeColor="text1"/>
        </w:rPr>
        <w:t>move</w:t>
      </w:r>
      <w:r w:rsidR="00BC62D9" w:rsidRPr="00B908AD">
        <w:rPr>
          <w:color w:val="000000" w:themeColor="text1"/>
        </w:rPr>
        <w:t xml:space="preserve"> past circumstantial evidence </w:t>
      </w:r>
      <w:r w:rsidR="0018747B" w:rsidRPr="00B908AD">
        <w:rPr>
          <w:color w:val="000000" w:themeColor="text1"/>
        </w:rPr>
        <w:t>is to</w:t>
      </w:r>
      <w:r w:rsidR="00BC62D9" w:rsidRPr="00B908AD">
        <w:rPr>
          <w:color w:val="000000" w:themeColor="text1"/>
        </w:rPr>
        <w:t xml:space="preserve"> </w:t>
      </w:r>
      <w:r w:rsidR="00E42276" w:rsidRPr="00B908AD">
        <w:rPr>
          <w:color w:val="000000" w:themeColor="text1"/>
        </w:rPr>
        <w:t>examine</w:t>
      </w:r>
      <w:r w:rsidR="00BC62D9" w:rsidRPr="00B908AD">
        <w:rPr>
          <w:color w:val="000000" w:themeColor="text1"/>
        </w:rPr>
        <w:t xml:space="preserve"> </w:t>
      </w:r>
      <w:r w:rsidR="00E42276" w:rsidRPr="00B908AD">
        <w:rPr>
          <w:color w:val="000000" w:themeColor="text1"/>
        </w:rPr>
        <w:t xml:space="preserve">dementia-related outcomes (e.g., memory and </w:t>
      </w:r>
      <w:r w:rsidR="00650634" w:rsidRPr="00B908AD">
        <w:rPr>
          <w:color w:val="000000" w:themeColor="text1"/>
        </w:rPr>
        <w:t>cognitive ability</w:t>
      </w:r>
      <w:r w:rsidR="0052668A" w:rsidRPr="00B908AD">
        <w:rPr>
          <w:color w:val="000000" w:themeColor="text1"/>
        </w:rPr>
        <w:t xml:space="preserve">) in </w:t>
      </w:r>
      <w:r w:rsidR="0018747B" w:rsidRPr="00B908AD">
        <w:rPr>
          <w:color w:val="000000" w:themeColor="text1"/>
        </w:rPr>
        <w:t>individuals who</w:t>
      </w:r>
      <w:r w:rsidR="00F40BDB" w:rsidRPr="00B908AD">
        <w:rPr>
          <w:color w:val="000000" w:themeColor="text1"/>
        </w:rPr>
        <w:t xml:space="preserve"> are at an age where symptoms of dementia </w:t>
      </w:r>
      <w:r w:rsidR="008B504F" w:rsidRPr="00B908AD">
        <w:rPr>
          <w:color w:val="000000" w:themeColor="text1"/>
        </w:rPr>
        <w:t xml:space="preserve">are most likely to begin </w:t>
      </w:r>
      <w:r w:rsidR="00A466F0">
        <w:rPr>
          <w:color w:val="000000" w:themeColor="text1"/>
        </w:rPr>
        <w:t xml:space="preserve">to </w:t>
      </w:r>
      <w:r w:rsidR="008B504F" w:rsidRPr="00B908AD">
        <w:rPr>
          <w:color w:val="000000" w:themeColor="text1"/>
        </w:rPr>
        <w:t>manifest (i.e., ~ 6</w:t>
      </w:r>
      <w:r w:rsidR="00F00F04" w:rsidRPr="00B908AD">
        <w:rPr>
          <w:color w:val="000000" w:themeColor="text1"/>
        </w:rPr>
        <w:t>0</w:t>
      </w:r>
      <w:r w:rsidR="008B504F" w:rsidRPr="00B908AD">
        <w:rPr>
          <w:color w:val="000000" w:themeColor="text1"/>
        </w:rPr>
        <w:t xml:space="preserve"> years of age)</w:t>
      </w:r>
      <w:r w:rsidR="00C44A61" w:rsidRPr="00B908AD">
        <w:rPr>
          <w:color w:val="000000" w:themeColor="text1"/>
        </w:rPr>
        <w:t xml:space="preserve">, and </w:t>
      </w:r>
      <w:r w:rsidR="00486855" w:rsidRPr="00B908AD">
        <w:rPr>
          <w:color w:val="000000" w:themeColor="text1"/>
        </w:rPr>
        <w:t xml:space="preserve">who </w:t>
      </w:r>
      <w:r w:rsidR="00C44A61" w:rsidRPr="00B908AD">
        <w:rPr>
          <w:color w:val="000000" w:themeColor="text1"/>
        </w:rPr>
        <w:t xml:space="preserve">played professionally </w:t>
      </w:r>
      <w:r w:rsidR="00580B72" w:rsidRPr="00B908AD">
        <w:rPr>
          <w:color w:val="000000" w:themeColor="text1"/>
        </w:rPr>
        <w:t xml:space="preserve">when younger. </w:t>
      </w:r>
      <w:r w:rsidR="00886F5B">
        <w:rPr>
          <w:color w:val="000000" w:themeColor="text1"/>
        </w:rPr>
        <w:t>FPFs</w:t>
      </w:r>
      <w:r w:rsidR="00580B72" w:rsidRPr="00B908AD">
        <w:rPr>
          <w:color w:val="000000" w:themeColor="text1"/>
        </w:rPr>
        <w:t xml:space="preserve"> are more likely to have </w:t>
      </w:r>
      <w:r w:rsidR="00D14843" w:rsidRPr="00B908AD">
        <w:rPr>
          <w:color w:val="000000" w:themeColor="text1"/>
        </w:rPr>
        <w:t>played at a higher intensity level</w:t>
      </w:r>
      <w:r w:rsidR="00A466F0" w:rsidRPr="00A466F0">
        <w:t xml:space="preserve"> </w:t>
      </w:r>
      <w:r w:rsidR="00A466F0" w:rsidRPr="00A466F0">
        <w:rPr>
          <w:color w:val="000000" w:themeColor="text1"/>
        </w:rPr>
        <w:t>than amateur footballers</w:t>
      </w:r>
      <w:r w:rsidR="00D14843" w:rsidRPr="00B908AD">
        <w:rPr>
          <w:color w:val="000000" w:themeColor="text1"/>
        </w:rPr>
        <w:t xml:space="preserve">, therefore </w:t>
      </w:r>
      <w:r w:rsidR="00710CBD" w:rsidRPr="00B908AD">
        <w:rPr>
          <w:color w:val="000000" w:themeColor="text1"/>
        </w:rPr>
        <w:t>having the potential to have accrued the most football-related damage</w:t>
      </w:r>
      <w:r w:rsidR="006C74F8" w:rsidRPr="00B908AD">
        <w:rPr>
          <w:color w:val="000000" w:themeColor="text1"/>
        </w:rPr>
        <w:t xml:space="preserve"> [</w:t>
      </w:r>
      <w:r w:rsidR="00F62F3F">
        <w:rPr>
          <w:color w:val="000000" w:themeColor="text1"/>
        </w:rPr>
        <w:t>9</w:t>
      </w:r>
      <w:r w:rsidR="006C74F8" w:rsidRPr="00B908AD">
        <w:rPr>
          <w:color w:val="000000" w:themeColor="text1"/>
        </w:rPr>
        <w:t>]</w:t>
      </w:r>
      <w:r w:rsidR="00710CBD" w:rsidRPr="00B908AD">
        <w:rPr>
          <w:color w:val="000000" w:themeColor="text1"/>
        </w:rPr>
        <w:t>.</w:t>
      </w:r>
      <w:r w:rsidR="00B128DC">
        <w:rPr>
          <w:color w:val="000000" w:themeColor="text1"/>
        </w:rPr>
        <w:t xml:space="preserve"> </w:t>
      </w:r>
      <w:r w:rsidR="00710CBD" w:rsidRPr="00B908AD">
        <w:rPr>
          <w:color w:val="000000" w:themeColor="text1"/>
        </w:rPr>
        <w:t xml:space="preserve">A study </w:t>
      </w:r>
      <w:r w:rsidR="003743B3" w:rsidRPr="00B908AD">
        <w:rPr>
          <w:color w:val="000000" w:themeColor="text1"/>
        </w:rPr>
        <w:t xml:space="preserve">approximating these criteria </w:t>
      </w:r>
      <w:r w:rsidR="000B2A53" w:rsidRPr="00B908AD">
        <w:rPr>
          <w:color w:val="000000" w:themeColor="text1"/>
        </w:rPr>
        <w:t xml:space="preserve">was published by </w:t>
      </w:r>
      <w:r w:rsidR="005D6E07" w:rsidRPr="00B908AD">
        <w:rPr>
          <w:color w:val="000000" w:themeColor="text1"/>
        </w:rPr>
        <w:t>Vann</w:t>
      </w:r>
      <w:r w:rsidR="00087FCF" w:rsidRPr="00B908AD">
        <w:rPr>
          <w:color w:val="000000" w:themeColor="text1"/>
        </w:rPr>
        <w:t>-</w:t>
      </w:r>
      <w:r w:rsidR="005D6E07" w:rsidRPr="00B908AD">
        <w:rPr>
          <w:color w:val="000000" w:themeColor="text1"/>
        </w:rPr>
        <w:t xml:space="preserve">Jones, </w:t>
      </w:r>
      <w:proofErr w:type="spellStart"/>
      <w:r w:rsidR="005D6E07" w:rsidRPr="00B908AD">
        <w:rPr>
          <w:color w:val="000000" w:themeColor="text1"/>
        </w:rPr>
        <w:t>Breakey</w:t>
      </w:r>
      <w:proofErr w:type="spellEnd"/>
      <w:r w:rsidR="005D6E07" w:rsidRPr="00B908AD">
        <w:rPr>
          <w:color w:val="000000" w:themeColor="text1"/>
        </w:rPr>
        <w:t xml:space="preserve"> and Evans </w:t>
      </w:r>
      <w:r w:rsidR="00AD1F47" w:rsidRPr="00B908AD">
        <w:rPr>
          <w:color w:val="000000" w:themeColor="text1"/>
        </w:rPr>
        <w:t>[</w:t>
      </w:r>
      <w:r w:rsidR="0024447A">
        <w:rPr>
          <w:color w:val="000000" w:themeColor="text1"/>
        </w:rPr>
        <w:t>1</w:t>
      </w:r>
      <w:r w:rsidR="00A96B0C">
        <w:rPr>
          <w:color w:val="000000" w:themeColor="text1"/>
        </w:rPr>
        <w:t>3</w:t>
      </w:r>
      <w:r w:rsidR="00AD1F47" w:rsidRPr="00B908AD">
        <w:rPr>
          <w:color w:val="000000" w:themeColor="text1"/>
        </w:rPr>
        <w:t>]</w:t>
      </w:r>
      <w:r w:rsidR="00393FB1" w:rsidRPr="00B908AD">
        <w:rPr>
          <w:color w:val="000000" w:themeColor="text1"/>
        </w:rPr>
        <w:t xml:space="preserve">, who collected </w:t>
      </w:r>
      <w:r w:rsidR="00753175" w:rsidRPr="00B908AD">
        <w:rPr>
          <w:color w:val="000000" w:themeColor="text1"/>
        </w:rPr>
        <w:t xml:space="preserve">remote </w:t>
      </w:r>
      <w:r w:rsidR="001A2332" w:rsidRPr="00B908AD">
        <w:rPr>
          <w:color w:val="000000" w:themeColor="text1"/>
        </w:rPr>
        <w:t xml:space="preserve">data on </w:t>
      </w:r>
      <w:r w:rsidR="002E6AE4" w:rsidRPr="00B908AD">
        <w:rPr>
          <w:color w:val="000000" w:themeColor="text1"/>
        </w:rPr>
        <w:t xml:space="preserve">the </w:t>
      </w:r>
      <w:r w:rsidR="001A2332" w:rsidRPr="00B908AD">
        <w:rPr>
          <w:color w:val="000000" w:themeColor="text1"/>
        </w:rPr>
        <w:t xml:space="preserve">memory ability </w:t>
      </w:r>
      <w:r w:rsidR="002E6AE4" w:rsidRPr="00B908AD">
        <w:rPr>
          <w:color w:val="000000" w:themeColor="text1"/>
        </w:rPr>
        <w:t>of</w:t>
      </w:r>
      <w:r w:rsidR="001A2332" w:rsidRPr="00B908AD">
        <w:rPr>
          <w:color w:val="000000" w:themeColor="text1"/>
        </w:rPr>
        <w:t xml:space="preserve"> </w:t>
      </w:r>
      <w:r w:rsidR="00886F5B">
        <w:rPr>
          <w:color w:val="000000" w:themeColor="text1"/>
        </w:rPr>
        <w:t>FPFs</w:t>
      </w:r>
      <w:r w:rsidR="001A2332" w:rsidRPr="00B908AD">
        <w:rPr>
          <w:color w:val="000000" w:themeColor="text1"/>
        </w:rPr>
        <w:t xml:space="preserve"> in </w:t>
      </w:r>
      <w:r w:rsidR="00117D1A" w:rsidRPr="00B908AD">
        <w:rPr>
          <w:color w:val="000000" w:themeColor="text1"/>
        </w:rPr>
        <w:t xml:space="preserve">Scotland and </w:t>
      </w:r>
      <w:r w:rsidR="001A2332" w:rsidRPr="00B908AD">
        <w:rPr>
          <w:color w:val="000000" w:themeColor="text1"/>
        </w:rPr>
        <w:t>England</w:t>
      </w:r>
      <w:r w:rsidR="00753175" w:rsidRPr="00B908AD">
        <w:rPr>
          <w:color w:val="000000" w:themeColor="text1"/>
        </w:rPr>
        <w:t>.</w:t>
      </w:r>
      <w:r w:rsidR="00117D1A" w:rsidRPr="00B908AD">
        <w:rPr>
          <w:color w:val="000000" w:themeColor="text1"/>
        </w:rPr>
        <w:t xml:space="preserve"> </w:t>
      </w:r>
      <w:r w:rsidR="00753175" w:rsidRPr="00B908AD">
        <w:rPr>
          <w:color w:val="000000" w:themeColor="text1"/>
        </w:rPr>
        <w:t>Vann</w:t>
      </w:r>
      <w:r w:rsidR="00087FCF" w:rsidRPr="00B908AD">
        <w:rPr>
          <w:color w:val="000000" w:themeColor="text1"/>
        </w:rPr>
        <w:t>-</w:t>
      </w:r>
      <w:r w:rsidR="00753175" w:rsidRPr="00B908AD">
        <w:rPr>
          <w:color w:val="000000" w:themeColor="text1"/>
        </w:rPr>
        <w:t xml:space="preserve">Jones et al. </w:t>
      </w:r>
      <w:r w:rsidR="001C0624" w:rsidRPr="00B908AD">
        <w:rPr>
          <w:color w:val="000000" w:themeColor="text1"/>
        </w:rPr>
        <w:t xml:space="preserve">measured memory with the Test Your Memory (TYM) questionnaire, </w:t>
      </w:r>
      <w:r w:rsidR="001C0624" w:rsidRPr="006935E3">
        <w:rPr>
          <w:color w:val="FF0000"/>
        </w:rPr>
        <w:t>a</w:t>
      </w:r>
      <w:r w:rsidR="00893712" w:rsidRPr="006935E3">
        <w:rPr>
          <w:color w:val="FF0000"/>
        </w:rPr>
        <w:t xml:space="preserve"> </w:t>
      </w:r>
      <w:r w:rsidR="00D277B0" w:rsidRPr="006935E3">
        <w:rPr>
          <w:color w:val="FF0000"/>
        </w:rPr>
        <w:t xml:space="preserve">self-administered </w:t>
      </w:r>
      <w:r w:rsidR="003463D3" w:rsidRPr="006935E3">
        <w:rPr>
          <w:color w:val="FF0000"/>
        </w:rPr>
        <w:t>cognitive</w:t>
      </w:r>
      <w:r w:rsidR="001C0624" w:rsidRPr="006935E3">
        <w:rPr>
          <w:color w:val="FF0000"/>
        </w:rPr>
        <w:t xml:space="preserve"> test </w:t>
      </w:r>
      <w:r w:rsidR="009D2132" w:rsidRPr="006935E3">
        <w:rPr>
          <w:color w:val="FF0000"/>
        </w:rPr>
        <w:t>proven to be effective for screening individuals with memory problems</w:t>
      </w:r>
      <w:r w:rsidR="00343147" w:rsidRPr="006935E3">
        <w:rPr>
          <w:color w:val="FF0000"/>
        </w:rPr>
        <w:t xml:space="preserve"> </w:t>
      </w:r>
      <w:r w:rsidR="00D277B0" w:rsidRPr="006935E3">
        <w:rPr>
          <w:color w:val="FF0000"/>
        </w:rPr>
        <w:t xml:space="preserve">and dementia </w:t>
      </w:r>
      <w:r w:rsidR="00AA6734" w:rsidRPr="00B908AD">
        <w:rPr>
          <w:color w:val="000000" w:themeColor="text1"/>
        </w:rPr>
        <w:t>[</w:t>
      </w:r>
      <w:r w:rsidR="00D277B0">
        <w:rPr>
          <w:color w:val="000000" w:themeColor="text1"/>
        </w:rPr>
        <w:t>14-</w:t>
      </w:r>
      <w:r w:rsidR="0024447A" w:rsidRPr="00B908AD">
        <w:rPr>
          <w:color w:val="000000" w:themeColor="text1"/>
        </w:rPr>
        <w:t>1</w:t>
      </w:r>
      <w:r w:rsidR="00D76091">
        <w:rPr>
          <w:color w:val="000000" w:themeColor="text1"/>
        </w:rPr>
        <w:t>7</w:t>
      </w:r>
      <w:r w:rsidR="00AA6734" w:rsidRPr="00B908AD">
        <w:rPr>
          <w:color w:val="000000" w:themeColor="text1"/>
        </w:rPr>
        <w:t>]</w:t>
      </w:r>
      <w:r w:rsidR="009D2132" w:rsidRPr="00B908AD">
        <w:rPr>
          <w:color w:val="000000" w:themeColor="text1"/>
        </w:rPr>
        <w:t>. Vann</w:t>
      </w:r>
      <w:r w:rsidR="00087FCF" w:rsidRPr="00B908AD">
        <w:rPr>
          <w:color w:val="000000" w:themeColor="text1"/>
        </w:rPr>
        <w:t>-</w:t>
      </w:r>
      <w:r w:rsidR="009D2132" w:rsidRPr="00B908AD">
        <w:rPr>
          <w:color w:val="000000" w:themeColor="text1"/>
        </w:rPr>
        <w:t xml:space="preserve">Jones et al. </w:t>
      </w:r>
      <w:r w:rsidR="00D277B0">
        <w:rPr>
          <w:color w:val="000000" w:themeColor="text1"/>
        </w:rPr>
        <w:t xml:space="preserve">[13] </w:t>
      </w:r>
      <w:r w:rsidR="009D2132" w:rsidRPr="00B908AD">
        <w:rPr>
          <w:color w:val="000000" w:themeColor="text1"/>
        </w:rPr>
        <w:t>compared TYM scores in their</w:t>
      </w:r>
      <w:r w:rsidR="00390C03" w:rsidRPr="00B908AD">
        <w:rPr>
          <w:color w:val="000000" w:themeColor="text1"/>
        </w:rPr>
        <w:t xml:space="preserve"> cohort (n=92)</w:t>
      </w:r>
      <w:r w:rsidR="00315F35" w:rsidRPr="00B908AD">
        <w:rPr>
          <w:color w:val="000000" w:themeColor="text1"/>
        </w:rPr>
        <w:t xml:space="preserve"> to the general population </w:t>
      </w:r>
      <w:r w:rsidR="00EC67A7" w:rsidRPr="00B908AD">
        <w:rPr>
          <w:color w:val="000000" w:themeColor="text1"/>
        </w:rPr>
        <w:t xml:space="preserve">finding no significant </w:t>
      </w:r>
      <w:r w:rsidR="00315F35" w:rsidRPr="00B908AD">
        <w:rPr>
          <w:color w:val="000000" w:themeColor="text1"/>
        </w:rPr>
        <w:t>difference</w:t>
      </w:r>
      <w:r w:rsidR="00EC67A7" w:rsidRPr="00B908AD">
        <w:rPr>
          <w:color w:val="000000" w:themeColor="text1"/>
        </w:rPr>
        <w:t xml:space="preserve">, </w:t>
      </w:r>
      <w:r w:rsidR="00397F93" w:rsidRPr="00B908AD">
        <w:rPr>
          <w:color w:val="000000" w:themeColor="text1"/>
        </w:rPr>
        <w:t xml:space="preserve">therefore </w:t>
      </w:r>
      <w:r w:rsidR="00EC67A7" w:rsidRPr="00B908AD">
        <w:rPr>
          <w:color w:val="000000" w:themeColor="text1"/>
        </w:rPr>
        <w:t xml:space="preserve">concluding </w:t>
      </w:r>
      <w:r w:rsidR="005068CC" w:rsidRPr="00B908AD">
        <w:rPr>
          <w:color w:val="000000" w:themeColor="text1"/>
        </w:rPr>
        <w:t xml:space="preserve">that participation in professional football did not confer higher risk </w:t>
      </w:r>
      <w:r w:rsidR="005D203C" w:rsidRPr="00B908AD">
        <w:rPr>
          <w:color w:val="000000" w:themeColor="text1"/>
        </w:rPr>
        <w:t>of dementia.</w:t>
      </w:r>
    </w:p>
    <w:p w14:paraId="5B66D2C4" w14:textId="3C04D681" w:rsidR="00117D1A" w:rsidRPr="00B908AD" w:rsidRDefault="009A3F4A" w:rsidP="00BC4969">
      <w:pPr>
        <w:spacing w:line="480" w:lineRule="auto"/>
        <w:ind w:firstLine="567"/>
        <w:rPr>
          <w:color w:val="000000" w:themeColor="text1"/>
        </w:rPr>
      </w:pPr>
      <w:r w:rsidRPr="00B908AD">
        <w:rPr>
          <w:color w:val="000000" w:themeColor="text1"/>
        </w:rPr>
        <w:t>I</w:t>
      </w:r>
      <w:r w:rsidR="002A35A1" w:rsidRPr="00B908AD">
        <w:rPr>
          <w:color w:val="000000" w:themeColor="text1"/>
        </w:rPr>
        <w:t>n th</w:t>
      </w:r>
      <w:r w:rsidRPr="00B908AD">
        <w:rPr>
          <w:color w:val="000000" w:themeColor="text1"/>
        </w:rPr>
        <w:t>e present</w:t>
      </w:r>
      <w:r w:rsidR="002A35A1" w:rsidRPr="00B908AD">
        <w:rPr>
          <w:color w:val="000000" w:themeColor="text1"/>
        </w:rPr>
        <w:t xml:space="preserve"> study, we </w:t>
      </w:r>
      <w:r w:rsidRPr="00B908AD">
        <w:rPr>
          <w:color w:val="000000" w:themeColor="text1"/>
        </w:rPr>
        <w:t xml:space="preserve">set out to expand on the work by </w:t>
      </w:r>
      <w:r w:rsidR="005D4544" w:rsidRPr="00B908AD">
        <w:rPr>
          <w:color w:val="000000" w:themeColor="text1"/>
        </w:rPr>
        <w:t>Vann</w:t>
      </w:r>
      <w:r w:rsidR="00087FCF" w:rsidRPr="00B908AD">
        <w:rPr>
          <w:color w:val="000000" w:themeColor="text1"/>
        </w:rPr>
        <w:t>-</w:t>
      </w:r>
      <w:r w:rsidR="005D4544" w:rsidRPr="00B908AD">
        <w:rPr>
          <w:color w:val="000000" w:themeColor="text1"/>
        </w:rPr>
        <w:t>Jones</w:t>
      </w:r>
      <w:r w:rsidR="007243EF" w:rsidRPr="00B908AD">
        <w:rPr>
          <w:color w:val="000000" w:themeColor="text1"/>
        </w:rPr>
        <w:t xml:space="preserve"> et al.</w:t>
      </w:r>
      <w:r w:rsidR="005D4544" w:rsidRPr="00B908AD">
        <w:rPr>
          <w:color w:val="000000" w:themeColor="text1"/>
        </w:rPr>
        <w:t xml:space="preserve"> </w:t>
      </w:r>
      <w:r w:rsidR="00AD4795" w:rsidRPr="00B908AD">
        <w:rPr>
          <w:color w:val="000000" w:themeColor="text1"/>
        </w:rPr>
        <w:t>[</w:t>
      </w:r>
      <w:r w:rsidR="0024447A">
        <w:rPr>
          <w:color w:val="000000" w:themeColor="text1"/>
        </w:rPr>
        <w:t>1</w:t>
      </w:r>
      <w:r w:rsidR="00D76091">
        <w:rPr>
          <w:color w:val="000000" w:themeColor="text1"/>
        </w:rPr>
        <w:t>3</w:t>
      </w:r>
      <w:r w:rsidR="00AD4795" w:rsidRPr="00B908AD">
        <w:rPr>
          <w:color w:val="000000" w:themeColor="text1"/>
        </w:rPr>
        <w:t>]</w:t>
      </w:r>
      <w:r w:rsidRPr="00B908AD">
        <w:rPr>
          <w:color w:val="000000" w:themeColor="text1"/>
        </w:rPr>
        <w:t xml:space="preserve"> </w:t>
      </w:r>
      <w:r w:rsidR="001C7224" w:rsidRPr="00B908AD">
        <w:rPr>
          <w:color w:val="000000" w:themeColor="text1"/>
        </w:rPr>
        <w:t xml:space="preserve">by </w:t>
      </w:r>
      <w:r w:rsidR="007A6011" w:rsidRPr="00B908AD">
        <w:rPr>
          <w:color w:val="000000" w:themeColor="text1"/>
        </w:rPr>
        <w:t xml:space="preserve">adding </w:t>
      </w:r>
      <w:r w:rsidR="003300FF" w:rsidRPr="00B908AD">
        <w:rPr>
          <w:color w:val="000000" w:themeColor="text1"/>
        </w:rPr>
        <w:t xml:space="preserve">information on heading frequency and </w:t>
      </w:r>
      <w:r w:rsidR="006A46D0" w:rsidRPr="00B908AD">
        <w:rPr>
          <w:color w:val="000000" w:themeColor="text1"/>
        </w:rPr>
        <w:t>football-related head injuries</w:t>
      </w:r>
      <w:proofErr w:type="gramStart"/>
      <w:r w:rsidR="006A46D0" w:rsidRPr="00B908AD">
        <w:rPr>
          <w:color w:val="000000" w:themeColor="text1"/>
        </w:rPr>
        <w:t xml:space="preserve">. </w:t>
      </w:r>
      <w:r w:rsidR="00117D1A" w:rsidRPr="00B908AD">
        <w:rPr>
          <w:color w:val="000000" w:themeColor="text1"/>
        </w:rPr>
        <w:t xml:space="preserve"> </w:t>
      </w:r>
      <w:proofErr w:type="gramEnd"/>
      <w:r w:rsidR="005D4544" w:rsidRPr="00B908AD">
        <w:rPr>
          <w:color w:val="000000" w:themeColor="text1"/>
        </w:rPr>
        <w:t>T</w:t>
      </w:r>
      <w:r w:rsidR="006A46D0" w:rsidRPr="00B908AD">
        <w:rPr>
          <w:color w:val="000000" w:themeColor="text1"/>
        </w:rPr>
        <w:t xml:space="preserve">his </w:t>
      </w:r>
      <w:r w:rsidR="005D4544" w:rsidRPr="00B908AD">
        <w:rPr>
          <w:color w:val="000000" w:themeColor="text1"/>
        </w:rPr>
        <w:t xml:space="preserve">was done </w:t>
      </w:r>
      <w:r w:rsidR="006A46D0" w:rsidRPr="00B908AD">
        <w:rPr>
          <w:color w:val="000000" w:themeColor="text1"/>
        </w:rPr>
        <w:t xml:space="preserve">by </w:t>
      </w:r>
      <w:r w:rsidR="00245987" w:rsidRPr="00B908AD">
        <w:rPr>
          <w:color w:val="000000" w:themeColor="text1"/>
        </w:rPr>
        <w:t>carr</w:t>
      </w:r>
      <w:r w:rsidR="006A46D0" w:rsidRPr="00B908AD">
        <w:rPr>
          <w:color w:val="000000" w:themeColor="text1"/>
        </w:rPr>
        <w:t>ying</w:t>
      </w:r>
      <w:r w:rsidR="00245987" w:rsidRPr="00B908AD">
        <w:rPr>
          <w:color w:val="000000" w:themeColor="text1"/>
        </w:rPr>
        <w:t xml:space="preserve"> out a postal survey directed to </w:t>
      </w:r>
      <w:r w:rsidR="00886F5B">
        <w:rPr>
          <w:color w:val="000000" w:themeColor="text1"/>
        </w:rPr>
        <w:t>FPFs</w:t>
      </w:r>
      <w:r w:rsidR="00245987" w:rsidRPr="00B908AD">
        <w:rPr>
          <w:color w:val="000000" w:themeColor="text1"/>
        </w:rPr>
        <w:t xml:space="preserve">, </w:t>
      </w:r>
      <w:r w:rsidR="006A46D0" w:rsidRPr="00B908AD">
        <w:rPr>
          <w:color w:val="000000" w:themeColor="text1"/>
        </w:rPr>
        <w:t xml:space="preserve">and </w:t>
      </w:r>
      <w:r w:rsidR="00245987" w:rsidRPr="00B908AD">
        <w:rPr>
          <w:color w:val="000000" w:themeColor="text1"/>
        </w:rPr>
        <w:t>ask</w:t>
      </w:r>
      <w:r w:rsidR="005D4544" w:rsidRPr="00B908AD">
        <w:rPr>
          <w:color w:val="000000" w:themeColor="text1"/>
        </w:rPr>
        <w:t>ing</w:t>
      </w:r>
      <w:r w:rsidR="00245987" w:rsidRPr="00B908AD">
        <w:rPr>
          <w:color w:val="000000" w:themeColor="text1"/>
        </w:rPr>
        <w:t xml:space="preserve"> them to estimate the average </w:t>
      </w:r>
      <w:r w:rsidR="00245987" w:rsidRPr="00B908AD">
        <w:rPr>
          <w:color w:val="000000" w:themeColor="text1"/>
        </w:rPr>
        <w:lastRenderedPageBreak/>
        <w:t xml:space="preserve">number of match and training headers; </w:t>
      </w:r>
      <w:r w:rsidR="006F0531" w:rsidRPr="00B908AD">
        <w:rPr>
          <w:color w:val="000000" w:themeColor="text1"/>
        </w:rPr>
        <w:t>and</w:t>
      </w:r>
      <w:r w:rsidR="00245987" w:rsidRPr="00B908AD">
        <w:rPr>
          <w:color w:val="000000" w:themeColor="text1"/>
        </w:rPr>
        <w:t xml:space="preserve"> the </w:t>
      </w:r>
      <w:r w:rsidR="00275EB5">
        <w:rPr>
          <w:color w:val="000000" w:themeColor="text1"/>
        </w:rPr>
        <w:t>number</w:t>
      </w:r>
      <w:r w:rsidR="00275EB5" w:rsidRPr="00B908AD">
        <w:rPr>
          <w:color w:val="000000" w:themeColor="text1"/>
        </w:rPr>
        <w:t xml:space="preserve"> </w:t>
      </w:r>
      <w:r w:rsidR="00245987" w:rsidRPr="00B908AD">
        <w:rPr>
          <w:color w:val="000000" w:themeColor="text1"/>
        </w:rPr>
        <w:t xml:space="preserve">of </w:t>
      </w:r>
      <w:r w:rsidR="00003CCC" w:rsidRPr="00B908AD">
        <w:rPr>
          <w:color w:val="000000" w:themeColor="text1"/>
        </w:rPr>
        <w:t xml:space="preserve">football-related </w:t>
      </w:r>
      <w:r w:rsidR="00245987" w:rsidRPr="00B908AD">
        <w:rPr>
          <w:color w:val="000000" w:themeColor="text1"/>
        </w:rPr>
        <w:t>head injuries sustained</w:t>
      </w:r>
      <w:r w:rsidR="006F0531" w:rsidRPr="00B908AD">
        <w:rPr>
          <w:color w:val="000000" w:themeColor="text1"/>
        </w:rPr>
        <w:t xml:space="preserve">. </w:t>
      </w:r>
      <w:r w:rsidR="00677FB8" w:rsidRPr="00677FB8">
        <w:rPr>
          <w:color w:val="000000" w:themeColor="text1"/>
        </w:rPr>
        <w:t xml:space="preserve">A </w:t>
      </w:r>
      <w:r w:rsidR="00504F91">
        <w:rPr>
          <w:color w:val="000000" w:themeColor="text1"/>
        </w:rPr>
        <w:t>novel</w:t>
      </w:r>
      <w:r w:rsidR="00677FB8" w:rsidRPr="00677FB8">
        <w:rPr>
          <w:color w:val="000000" w:themeColor="text1"/>
        </w:rPr>
        <w:t xml:space="preserve"> </w:t>
      </w:r>
      <w:r w:rsidR="00646AB9">
        <w:rPr>
          <w:color w:val="000000" w:themeColor="text1"/>
        </w:rPr>
        <w:t xml:space="preserve">and very important </w:t>
      </w:r>
      <w:r w:rsidR="00677FB8" w:rsidRPr="00677FB8">
        <w:rPr>
          <w:color w:val="000000" w:themeColor="text1"/>
        </w:rPr>
        <w:t>feature of our study was that training activity was included</w:t>
      </w:r>
      <w:r w:rsidR="00B435D3">
        <w:rPr>
          <w:color w:val="000000" w:themeColor="text1"/>
        </w:rPr>
        <w:t xml:space="preserve"> [cf.</w:t>
      </w:r>
      <w:r w:rsidR="00A2085B">
        <w:rPr>
          <w:color w:val="000000" w:themeColor="text1"/>
        </w:rPr>
        <w:t xml:space="preserve"> 1</w:t>
      </w:r>
      <w:r w:rsidR="00520DED">
        <w:rPr>
          <w:color w:val="000000" w:themeColor="text1"/>
        </w:rPr>
        <w:t>8-21].</w:t>
      </w:r>
      <w:r w:rsidR="00C24264">
        <w:rPr>
          <w:color w:val="000000" w:themeColor="text1"/>
        </w:rPr>
        <w:t xml:space="preserve"> </w:t>
      </w:r>
      <w:r w:rsidR="006F0531" w:rsidRPr="00B908AD">
        <w:rPr>
          <w:color w:val="000000" w:themeColor="text1"/>
        </w:rPr>
        <w:t xml:space="preserve">Additionally, </w:t>
      </w:r>
      <w:r w:rsidR="00275EB5">
        <w:rPr>
          <w:color w:val="000000" w:themeColor="text1"/>
        </w:rPr>
        <w:t xml:space="preserve">participants were </w:t>
      </w:r>
      <w:r w:rsidR="006F0531" w:rsidRPr="00B908AD">
        <w:rPr>
          <w:color w:val="000000" w:themeColor="text1"/>
        </w:rPr>
        <w:t xml:space="preserve">asked </w:t>
      </w:r>
      <w:r w:rsidR="00245987" w:rsidRPr="00B908AD">
        <w:rPr>
          <w:color w:val="000000" w:themeColor="text1"/>
        </w:rPr>
        <w:t xml:space="preserve">to complete </w:t>
      </w:r>
      <w:r w:rsidR="006F0531" w:rsidRPr="00B908AD">
        <w:rPr>
          <w:color w:val="000000" w:themeColor="text1"/>
        </w:rPr>
        <w:t>the</w:t>
      </w:r>
      <w:r w:rsidR="00245987" w:rsidRPr="00B908AD">
        <w:rPr>
          <w:color w:val="000000" w:themeColor="text1"/>
        </w:rPr>
        <w:t xml:space="preserve"> TYM test. </w:t>
      </w:r>
      <w:r w:rsidR="00275EB5">
        <w:rPr>
          <w:color w:val="000000" w:themeColor="text1"/>
        </w:rPr>
        <w:t>The</w:t>
      </w:r>
      <w:r w:rsidR="00275EB5" w:rsidRPr="00B908AD">
        <w:rPr>
          <w:color w:val="000000" w:themeColor="text1"/>
        </w:rPr>
        <w:t xml:space="preserve"> </w:t>
      </w:r>
      <w:r w:rsidR="00245987" w:rsidRPr="00B908AD">
        <w:rPr>
          <w:color w:val="000000" w:themeColor="text1"/>
        </w:rPr>
        <w:t>objective was to determine whether the heading</w:t>
      </w:r>
      <w:r w:rsidR="00955BCC" w:rsidRPr="00B908AD">
        <w:rPr>
          <w:color w:val="000000" w:themeColor="text1"/>
        </w:rPr>
        <w:t xml:space="preserve"> and </w:t>
      </w:r>
      <w:r w:rsidR="00275EB5" w:rsidRPr="00275EB5">
        <w:rPr>
          <w:color w:val="000000" w:themeColor="text1"/>
        </w:rPr>
        <w:t xml:space="preserve">football-related </w:t>
      </w:r>
      <w:r w:rsidR="00955BCC" w:rsidRPr="00B908AD">
        <w:rPr>
          <w:color w:val="000000" w:themeColor="text1"/>
        </w:rPr>
        <w:t>head-</w:t>
      </w:r>
      <w:r w:rsidR="00245987" w:rsidRPr="00B908AD">
        <w:rPr>
          <w:color w:val="000000" w:themeColor="text1"/>
        </w:rPr>
        <w:t>injur</w:t>
      </w:r>
      <w:r w:rsidR="00117D1A" w:rsidRPr="00B908AD">
        <w:rPr>
          <w:color w:val="000000" w:themeColor="text1"/>
        </w:rPr>
        <w:t>y</w:t>
      </w:r>
      <w:r w:rsidR="00245987" w:rsidRPr="00B908AD">
        <w:rPr>
          <w:color w:val="000000" w:themeColor="text1"/>
        </w:rPr>
        <w:t xml:space="preserve"> measures </w:t>
      </w:r>
      <w:r w:rsidR="000A5ECE" w:rsidRPr="00B908AD">
        <w:rPr>
          <w:color w:val="000000" w:themeColor="text1"/>
        </w:rPr>
        <w:t xml:space="preserve">predicted </w:t>
      </w:r>
      <w:r w:rsidR="00955BCC" w:rsidRPr="00B908AD">
        <w:rPr>
          <w:color w:val="000000" w:themeColor="text1"/>
        </w:rPr>
        <w:t xml:space="preserve">the </w:t>
      </w:r>
      <w:r w:rsidR="00886F5B">
        <w:rPr>
          <w:color w:val="000000" w:themeColor="text1"/>
        </w:rPr>
        <w:t>FPFs</w:t>
      </w:r>
      <w:r w:rsidR="00955BCC" w:rsidRPr="00B908AD">
        <w:rPr>
          <w:color w:val="000000" w:themeColor="text1"/>
        </w:rPr>
        <w:t xml:space="preserve">’ </w:t>
      </w:r>
      <w:r w:rsidR="000A5ECE" w:rsidRPr="00B908AD">
        <w:rPr>
          <w:color w:val="000000" w:themeColor="text1"/>
        </w:rPr>
        <w:t>TYM</w:t>
      </w:r>
      <w:r w:rsidR="008F2F60" w:rsidRPr="00B908AD">
        <w:rPr>
          <w:color w:val="000000" w:themeColor="text1"/>
        </w:rPr>
        <w:t>-</w:t>
      </w:r>
      <w:r w:rsidR="000A5ECE" w:rsidRPr="00B908AD">
        <w:rPr>
          <w:color w:val="000000" w:themeColor="text1"/>
        </w:rPr>
        <w:t xml:space="preserve">assessed </w:t>
      </w:r>
      <w:r w:rsidR="00955BCC" w:rsidRPr="00B908AD">
        <w:rPr>
          <w:color w:val="000000" w:themeColor="text1"/>
        </w:rPr>
        <w:t>cognitive ability</w:t>
      </w:r>
      <w:r w:rsidR="00245987" w:rsidRPr="00B908AD">
        <w:rPr>
          <w:color w:val="000000" w:themeColor="text1"/>
        </w:rPr>
        <w:t>.</w:t>
      </w:r>
    </w:p>
    <w:p w14:paraId="31824316" w14:textId="793D3AEC" w:rsidR="00642490" w:rsidRPr="00B908AD" w:rsidRDefault="000129FF" w:rsidP="00194CDF">
      <w:pPr>
        <w:spacing w:line="480" w:lineRule="auto"/>
        <w:jc w:val="center"/>
        <w:rPr>
          <w:bCs/>
          <w:color w:val="000000" w:themeColor="text1"/>
        </w:rPr>
      </w:pPr>
      <w:r w:rsidRPr="00B908AD">
        <w:rPr>
          <w:bCs/>
          <w:color w:val="000000" w:themeColor="text1"/>
        </w:rPr>
        <w:t>Methods</w:t>
      </w:r>
    </w:p>
    <w:p w14:paraId="75F0840E" w14:textId="496532D3" w:rsidR="00406306" w:rsidRPr="00B908AD" w:rsidRDefault="009A62B5" w:rsidP="0096037C">
      <w:pPr>
        <w:spacing w:line="480" w:lineRule="auto"/>
        <w:rPr>
          <w:color w:val="000000" w:themeColor="text1"/>
        </w:rPr>
      </w:pPr>
      <w:r w:rsidRPr="00B908AD">
        <w:rPr>
          <w:i/>
          <w:iCs/>
          <w:color w:val="000000" w:themeColor="text1"/>
        </w:rPr>
        <w:t>Participants.</w:t>
      </w:r>
      <w:r w:rsidRPr="00B908AD">
        <w:rPr>
          <w:color w:val="000000" w:themeColor="text1"/>
        </w:rPr>
        <w:t xml:space="preserve"> A total of </w:t>
      </w:r>
      <w:r w:rsidR="00B927CA" w:rsidRPr="00B908AD">
        <w:rPr>
          <w:color w:val="000000" w:themeColor="text1"/>
        </w:rPr>
        <w:t>208</w:t>
      </w:r>
      <w:r w:rsidR="0014125F" w:rsidRPr="00B908AD">
        <w:rPr>
          <w:color w:val="000000" w:themeColor="text1"/>
        </w:rPr>
        <w:t xml:space="preserve"> male </w:t>
      </w:r>
      <w:r w:rsidR="00886F5B">
        <w:rPr>
          <w:color w:val="000000" w:themeColor="text1"/>
        </w:rPr>
        <w:t>FPFs</w:t>
      </w:r>
      <w:r w:rsidR="00B65AA9" w:rsidRPr="00B908AD">
        <w:rPr>
          <w:color w:val="000000" w:themeColor="text1"/>
        </w:rPr>
        <w:t xml:space="preserve">, from two </w:t>
      </w:r>
      <w:r w:rsidR="00C27B07" w:rsidRPr="00B908AD">
        <w:rPr>
          <w:color w:val="000000" w:themeColor="text1"/>
        </w:rPr>
        <w:t xml:space="preserve">former professional footballer associations, were sent copies of the </w:t>
      </w:r>
      <w:bookmarkStart w:id="1" w:name="_Hlk71536954"/>
      <w:r w:rsidR="00C27B07" w:rsidRPr="00B908AD">
        <w:rPr>
          <w:color w:val="000000" w:themeColor="text1"/>
        </w:rPr>
        <w:t>survey</w:t>
      </w:r>
      <w:bookmarkEnd w:id="1"/>
      <w:proofErr w:type="gramStart"/>
      <w:r w:rsidR="00D61EFF" w:rsidRPr="00B908AD">
        <w:rPr>
          <w:color w:val="000000" w:themeColor="text1"/>
        </w:rPr>
        <w:t xml:space="preserve">. </w:t>
      </w:r>
      <w:r w:rsidR="00117D1A" w:rsidRPr="00B908AD">
        <w:rPr>
          <w:color w:val="000000" w:themeColor="text1"/>
        </w:rPr>
        <w:t xml:space="preserve"> </w:t>
      </w:r>
      <w:proofErr w:type="gramEnd"/>
      <w:r w:rsidR="006C0880" w:rsidRPr="00B908AD">
        <w:rPr>
          <w:color w:val="000000" w:themeColor="text1"/>
        </w:rPr>
        <w:t xml:space="preserve">From this initial cohort, </w:t>
      </w:r>
      <w:r w:rsidR="00656D34" w:rsidRPr="00B908AD">
        <w:rPr>
          <w:color w:val="000000" w:themeColor="text1"/>
        </w:rPr>
        <w:t xml:space="preserve">60 </w:t>
      </w:r>
      <w:r w:rsidR="00886F5B">
        <w:rPr>
          <w:color w:val="000000" w:themeColor="text1"/>
        </w:rPr>
        <w:t>FPFs</w:t>
      </w:r>
      <w:r w:rsidR="00656D34" w:rsidRPr="00B908AD">
        <w:rPr>
          <w:color w:val="000000" w:themeColor="text1"/>
        </w:rPr>
        <w:t xml:space="preserve"> </w:t>
      </w:r>
      <w:r w:rsidR="00B97C6D" w:rsidRPr="00B908AD">
        <w:rPr>
          <w:color w:val="000000" w:themeColor="text1"/>
        </w:rPr>
        <w:t xml:space="preserve">completed the </w:t>
      </w:r>
      <w:r w:rsidR="00117D1A" w:rsidRPr="00B908AD">
        <w:rPr>
          <w:color w:val="000000" w:themeColor="text1"/>
        </w:rPr>
        <w:t>whole</w:t>
      </w:r>
      <w:r w:rsidR="00B97C6D" w:rsidRPr="00B908AD">
        <w:rPr>
          <w:color w:val="000000" w:themeColor="text1"/>
        </w:rPr>
        <w:t xml:space="preserve"> </w:t>
      </w:r>
      <w:r w:rsidR="00D55944" w:rsidRPr="00B908AD">
        <w:rPr>
          <w:color w:val="000000" w:themeColor="text1"/>
        </w:rPr>
        <w:t xml:space="preserve">survey and </w:t>
      </w:r>
      <w:r w:rsidR="0078616A" w:rsidRPr="00B908AD">
        <w:rPr>
          <w:color w:val="000000" w:themeColor="text1"/>
        </w:rPr>
        <w:t xml:space="preserve">the </w:t>
      </w:r>
      <w:r w:rsidR="00D55944" w:rsidRPr="00B908AD">
        <w:rPr>
          <w:color w:val="000000" w:themeColor="text1"/>
        </w:rPr>
        <w:t>TYM</w:t>
      </w:r>
      <w:r w:rsidR="0078616A" w:rsidRPr="00B908AD">
        <w:rPr>
          <w:color w:val="000000" w:themeColor="text1"/>
        </w:rPr>
        <w:t xml:space="preserve"> test</w:t>
      </w:r>
      <w:proofErr w:type="gramStart"/>
      <w:r w:rsidR="00B97C6D" w:rsidRPr="00B908AD">
        <w:rPr>
          <w:color w:val="000000" w:themeColor="text1"/>
        </w:rPr>
        <w:t xml:space="preserve">. </w:t>
      </w:r>
      <w:r w:rsidR="00117D1A" w:rsidRPr="00B908AD">
        <w:rPr>
          <w:color w:val="000000" w:themeColor="text1"/>
        </w:rPr>
        <w:t xml:space="preserve"> </w:t>
      </w:r>
      <w:proofErr w:type="gramEnd"/>
      <w:r w:rsidR="00C207D6" w:rsidRPr="00B908AD">
        <w:rPr>
          <w:color w:val="000000" w:themeColor="text1"/>
        </w:rPr>
        <w:t>All participants had played professionally for teams in England</w:t>
      </w:r>
      <w:proofErr w:type="gramStart"/>
      <w:r w:rsidR="00C86A2C" w:rsidRPr="00B908AD">
        <w:rPr>
          <w:color w:val="000000" w:themeColor="text1"/>
        </w:rPr>
        <w:t xml:space="preserve">. </w:t>
      </w:r>
      <w:r w:rsidR="00D55944" w:rsidRPr="00B908AD">
        <w:rPr>
          <w:color w:val="000000" w:themeColor="text1"/>
        </w:rPr>
        <w:t xml:space="preserve"> </w:t>
      </w:r>
      <w:proofErr w:type="gramEnd"/>
      <w:r w:rsidR="0093045D" w:rsidRPr="00B908AD">
        <w:rPr>
          <w:color w:val="000000" w:themeColor="text1"/>
        </w:rPr>
        <w:t xml:space="preserve">The average age of the sample was </w:t>
      </w:r>
      <w:r w:rsidR="00C24605" w:rsidRPr="00B908AD">
        <w:rPr>
          <w:color w:val="000000" w:themeColor="text1"/>
        </w:rPr>
        <w:t>67.5</w:t>
      </w:r>
      <w:r w:rsidR="00F240C6" w:rsidRPr="00B908AD">
        <w:rPr>
          <w:color w:val="000000" w:themeColor="text1"/>
        </w:rPr>
        <w:t xml:space="preserve"> years (SD = </w:t>
      </w:r>
      <w:r w:rsidR="00C24605" w:rsidRPr="00B908AD">
        <w:rPr>
          <w:color w:val="000000" w:themeColor="text1"/>
        </w:rPr>
        <w:t>9.5</w:t>
      </w:r>
      <w:r w:rsidR="00F240C6" w:rsidRPr="00B908AD">
        <w:rPr>
          <w:color w:val="000000" w:themeColor="text1"/>
        </w:rPr>
        <w:t xml:space="preserve">), ranging from </w:t>
      </w:r>
      <w:r w:rsidR="00136E29" w:rsidRPr="00B908AD">
        <w:rPr>
          <w:color w:val="000000" w:themeColor="text1"/>
        </w:rPr>
        <w:t>39</w:t>
      </w:r>
      <w:r w:rsidR="00F53DD5" w:rsidRPr="00B908AD">
        <w:rPr>
          <w:color w:val="000000" w:themeColor="text1"/>
        </w:rPr>
        <w:t xml:space="preserve"> to 87</w:t>
      </w:r>
      <w:r w:rsidR="0072395E" w:rsidRPr="0072395E">
        <w:t xml:space="preserve"> </w:t>
      </w:r>
      <w:r w:rsidR="0072395E" w:rsidRPr="0072395E">
        <w:rPr>
          <w:color w:val="000000" w:themeColor="text1"/>
        </w:rPr>
        <w:t>years</w:t>
      </w:r>
      <w:proofErr w:type="gramStart"/>
      <w:r w:rsidR="00F53DD5" w:rsidRPr="00B908AD">
        <w:rPr>
          <w:color w:val="000000" w:themeColor="text1"/>
        </w:rPr>
        <w:t>.</w:t>
      </w:r>
      <w:r w:rsidR="00F3005A" w:rsidRPr="00B908AD">
        <w:rPr>
          <w:color w:val="000000" w:themeColor="text1"/>
        </w:rPr>
        <w:t xml:space="preserve"> </w:t>
      </w:r>
      <w:r w:rsidR="00D55944" w:rsidRPr="00B908AD">
        <w:rPr>
          <w:color w:val="000000" w:themeColor="text1"/>
        </w:rPr>
        <w:t xml:space="preserve"> </w:t>
      </w:r>
      <w:proofErr w:type="gramEnd"/>
      <w:r w:rsidR="00FE5FE8" w:rsidRPr="00B908AD">
        <w:rPr>
          <w:color w:val="000000" w:themeColor="text1"/>
        </w:rPr>
        <w:t>On average, participants started the</w:t>
      </w:r>
      <w:r w:rsidR="00FE2FC0" w:rsidRPr="00B908AD">
        <w:rPr>
          <w:color w:val="000000" w:themeColor="text1"/>
        </w:rPr>
        <w:t>ir</w:t>
      </w:r>
      <w:r w:rsidR="00FE5FE8" w:rsidRPr="00B908AD">
        <w:rPr>
          <w:color w:val="000000" w:themeColor="text1"/>
        </w:rPr>
        <w:t xml:space="preserve"> career at </w:t>
      </w:r>
      <w:r w:rsidR="000C3C64" w:rsidRPr="00B908AD">
        <w:rPr>
          <w:color w:val="000000" w:themeColor="text1"/>
        </w:rPr>
        <w:t>16.8</w:t>
      </w:r>
      <w:r w:rsidR="00FE5FE8" w:rsidRPr="00B908AD">
        <w:rPr>
          <w:color w:val="000000" w:themeColor="text1"/>
        </w:rPr>
        <w:t xml:space="preserve"> </w:t>
      </w:r>
      <w:r w:rsidR="000C3C64" w:rsidRPr="00B908AD">
        <w:rPr>
          <w:color w:val="000000" w:themeColor="text1"/>
        </w:rPr>
        <w:t xml:space="preserve">years old </w:t>
      </w:r>
      <w:r w:rsidR="00FE5FE8" w:rsidRPr="00B908AD">
        <w:rPr>
          <w:color w:val="000000" w:themeColor="text1"/>
        </w:rPr>
        <w:t>(1.</w:t>
      </w:r>
      <w:r w:rsidR="000C3C64" w:rsidRPr="00B908AD">
        <w:rPr>
          <w:color w:val="000000" w:themeColor="text1"/>
        </w:rPr>
        <w:t>4</w:t>
      </w:r>
      <w:r w:rsidR="00FE5FE8" w:rsidRPr="00B908AD">
        <w:rPr>
          <w:color w:val="000000" w:themeColor="text1"/>
        </w:rPr>
        <w:t>)</w:t>
      </w:r>
      <w:r w:rsidR="00D55944" w:rsidRPr="00B908AD">
        <w:rPr>
          <w:color w:val="000000" w:themeColor="text1"/>
        </w:rPr>
        <w:t>,</w:t>
      </w:r>
      <w:r w:rsidR="00FE5FE8" w:rsidRPr="00B908AD">
        <w:rPr>
          <w:color w:val="000000" w:themeColor="text1"/>
        </w:rPr>
        <w:t xml:space="preserve"> </w:t>
      </w:r>
      <w:r w:rsidR="00D55944" w:rsidRPr="00B908AD">
        <w:rPr>
          <w:color w:val="000000" w:themeColor="text1"/>
        </w:rPr>
        <w:t xml:space="preserve">played professionally </w:t>
      </w:r>
      <w:r w:rsidR="00475226" w:rsidRPr="00B908AD">
        <w:rPr>
          <w:color w:val="000000" w:themeColor="text1"/>
        </w:rPr>
        <w:t xml:space="preserve">for </w:t>
      </w:r>
      <w:r w:rsidR="00733AAE" w:rsidRPr="00B908AD">
        <w:rPr>
          <w:color w:val="000000" w:themeColor="text1"/>
        </w:rPr>
        <w:t>15.7</w:t>
      </w:r>
      <w:r w:rsidR="00475226" w:rsidRPr="00B908AD">
        <w:rPr>
          <w:color w:val="000000" w:themeColor="text1"/>
        </w:rPr>
        <w:t xml:space="preserve"> (4.</w:t>
      </w:r>
      <w:r w:rsidR="00733AAE" w:rsidRPr="00B908AD">
        <w:rPr>
          <w:color w:val="000000" w:themeColor="text1"/>
        </w:rPr>
        <w:t>4</w:t>
      </w:r>
      <w:r w:rsidR="00475226" w:rsidRPr="00B908AD">
        <w:rPr>
          <w:color w:val="000000" w:themeColor="text1"/>
        </w:rPr>
        <w:t>) years</w:t>
      </w:r>
      <w:r w:rsidR="00D55944" w:rsidRPr="00B908AD">
        <w:rPr>
          <w:color w:val="000000" w:themeColor="text1"/>
        </w:rPr>
        <w:t xml:space="preserve">, before retiring aged 32.5 (4.5). </w:t>
      </w:r>
      <w:r w:rsidR="00021475" w:rsidRPr="00B908AD">
        <w:rPr>
          <w:color w:val="000000" w:themeColor="text1"/>
        </w:rPr>
        <w:t xml:space="preserve">The average time between end of career and survey completion in this sample was </w:t>
      </w:r>
      <w:r w:rsidR="0023634C" w:rsidRPr="00B908AD">
        <w:rPr>
          <w:color w:val="000000" w:themeColor="text1"/>
        </w:rPr>
        <w:t xml:space="preserve">35.0 years (9.7). </w:t>
      </w:r>
      <w:r w:rsidR="008F6D93" w:rsidRPr="00B908AD">
        <w:rPr>
          <w:color w:val="000000" w:themeColor="text1"/>
        </w:rPr>
        <w:t>Seven participants had played primarily as goalkeepers, 13 at full-back, eight as centre-halves, three in wide-midfield positions, 11 in central-midfield, 13 at centre-forward</w:t>
      </w:r>
      <w:r w:rsidR="006D1780" w:rsidRPr="00B908AD">
        <w:rPr>
          <w:color w:val="000000" w:themeColor="text1"/>
        </w:rPr>
        <w:t>,</w:t>
      </w:r>
      <w:r w:rsidR="008F6D93" w:rsidRPr="00B908AD">
        <w:rPr>
          <w:color w:val="000000" w:themeColor="text1"/>
        </w:rPr>
        <w:t xml:space="preserve"> and </w:t>
      </w:r>
      <w:r w:rsidR="006A3F70" w:rsidRPr="00B908AD">
        <w:rPr>
          <w:color w:val="000000" w:themeColor="text1"/>
        </w:rPr>
        <w:t>two</w:t>
      </w:r>
      <w:r w:rsidR="008F6D93" w:rsidRPr="00B908AD">
        <w:rPr>
          <w:color w:val="000000" w:themeColor="text1"/>
        </w:rPr>
        <w:t xml:space="preserve"> at inside-forward</w:t>
      </w:r>
      <w:proofErr w:type="gramStart"/>
      <w:r w:rsidR="008F6D93" w:rsidRPr="00B908AD">
        <w:rPr>
          <w:color w:val="000000" w:themeColor="text1"/>
        </w:rPr>
        <w:t>.</w:t>
      </w:r>
      <w:r w:rsidR="00D55944" w:rsidRPr="00B908AD">
        <w:rPr>
          <w:color w:val="000000" w:themeColor="text1"/>
        </w:rPr>
        <w:t xml:space="preserve"> </w:t>
      </w:r>
      <w:r w:rsidR="0072395E">
        <w:rPr>
          <w:color w:val="000000" w:themeColor="text1"/>
        </w:rPr>
        <w:t xml:space="preserve"> </w:t>
      </w:r>
      <w:proofErr w:type="gramEnd"/>
      <w:r w:rsidR="00C24B85" w:rsidRPr="00B908AD">
        <w:rPr>
          <w:color w:val="000000" w:themeColor="text1"/>
        </w:rPr>
        <w:t>The mean TYM score was 4</w:t>
      </w:r>
      <w:r w:rsidR="00867F87" w:rsidRPr="00B908AD">
        <w:rPr>
          <w:color w:val="000000" w:themeColor="text1"/>
        </w:rPr>
        <w:t>6</w:t>
      </w:r>
      <w:r w:rsidR="00C24B85" w:rsidRPr="00B908AD">
        <w:rPr>
          <w:color w:val="000000" w:themeColor="text1"/>
        </w:rPr>
        <w:t>.</w:t>
      </w:r>
      <w:r w:rsidR="00867F87" w:rsidRPr="00B908AD">
        <w:rPr>
          <w:color w:val="000000" w:themeColor="text1"/>
        </w:rPr>
        <w:t>4</w:t>
      </w:r>
      <w:r w:rsidR="00C24B85" w:rsidRPr="00B908AD">
        <w:rPr>
          <w:color w:val="000000" w:themeColor="text1"/>
        </w:rPr>
        <w:t xml:space="preserve"> (</w:t>
      </w:r>
      <w:r w:rsidR="00590C44" w:rsidRPr="00B908AD">
        <w:rPr>
          <w:color w:val="000000" w:themeColor="text1"/>
        </w:rPr>
        <w:t>5</w:t>
      </w:r>
      <w:r w:rsidR="00C24B85" w:rsidRPr="00B908AD">
        <w:rPr>
          <w:color w:val="000000" w:themeColor="text1"/>
        </w:rPr>
        <w:t>.0)</w:t>
      </w:r>
      <w:r w:rsidR="004C401A" w:rsidRPr="00B908AD">
        <w:rPr>
          <w:color w:val="000000" w:themeColor="text1"/>
        </w:rPr>
        <w:t xml:space="preserve">, ranging from </w:t>
      </w:r>
      <w:r w:rsidR="00C22A76" w:rsidRPr="00B908AD">
        <w:rPr>
          <w:color w:val="000000" w:themeColor="text1"/>
        </w:rPr>
        <w:t>21 to 50</w:t>
      </w:r>
      <w:proofErr w:type="gramStart"/>
      <w:r w:rsidR="00C22A76" w:rsidRPr="00B908AD">
        <w:rPr>
          <w:color w:val="000000" w:themeColor="text1"/>
        </w:rPr>
        <w:t>.</w:t>
      </w:r>
      <w:r w:rsidR="000F7008" w:rsidRPr="00B908AD">
        <w:rPr>
          <w:color w:val="000000" w:themeColor="text1"/>
        </w:rPr>
        <w:t xml:space="preserve"> </w:t>
      </w:r>
      <w:r w:rsidR="00805ABB" w:rsidRPr="00B908AD">
        <w:rPr>
          <w:color w:val="000000" w:themeColor="text1"/>
        </w:rPr>
        <w:t xml:space="preserve"> </w:t>
      </w:r>
      <w:proofErr w:type="gramEnd"/>
      <w:r w:rsidR="000F7008" w:rsidRPr="00B908AD">
        <w:rPr>
          <w:color w:val="000000" w:themeColor="text1"/>
        </w:rPr>
        <w:t xml:space="preserve">Participants provided implied consent </w:t>
      </w:r>
      <w:r w:rsidR="006330A4" w:rsidRPr="00B908AD">
        <w:rPr>
          <w:color w:val="000000" w:themeColor="text1"/>
        </w:rPr>
        <w:t xml:space="preserve">to use of data for research by returning </w:t>
      </w:r>
      <w:r w:rsidR="006B45FC" w:rsidRPr="00B908AD">
        <w:rPr>
          <w:color w:val="000000" w:themeColor="text1"/>
        </w:rPr>
        <w:t xml:space="preserve">the </w:t>
      </w:r>
      <w:r w:rsidR="006330A4" w:rsidRPr="00B908AD">
        <w:rPr>
          <w:color w:val="000000" w:themeColor="text1"/>
        </w:rPr>
        <w:t xml:space="preserve">survey </w:t>
      </w:r>
      <w:r w:rsidR="00805ABB" w:rsidRPr="00B908AD">
        <w:rPr>
          <w:color w:val="000000" w:themeColor="text1"/>
        </w:rPr>
        <w:t xml:space="preserve">and/or </w:t>
      </w:r>
      <w:r w:rsidR="006B45FC" w:rsidRPr="00B908AD">
        <w:rPr>
          <w:color w:val="000000" w:themeColor="text1"/>
        </w:rPr>
        <w:t xml:space="preserve">the </w:t>
      </w:r>
      <w:r w:rsidR="00805ABB" w:rsidRPr="00B908AD">
        <w:rPr>
          <w:color w:val="000000" w:themeColor="text1"/>
        </w:rPr>
        <w:t>TYM materials</w:t>
      </w:r>
      <w:proofErr w:type="gramStart"/>
      <w:r w:rsidR="006330A4" w:rsidRPr="00B908AD">
        <w:rPr>
          <w:color w:val="000000" w:themeColor="text1"/>
        </w:rPr>
        <w:t>.</w:t>
      </w:r>
      <w:r w:rsidR="00C41620" w:rsidRPr="00B908AD">
        <w:rPr>
          <w:color w:val="000000" w:themeColor="text1"/>
        </w:rPr>
        <w:t xml:space="preserve"> </w:t>
      </w:r>
      <w:r w:rsidR="00805ABB" w:rsidRPr="00B908AD">
        <w:rPr>
          <w:color w:val="000000" w:themeColor="text1"/>
        </w:rPr>
        <w:t xml:space="preserve"> </w:t>
      </w:r>
      <w:proofErr w:type="gramEnd"/>
      <w:r w:rsidR="00C41620" w:rsidRPr="00B908AD">
        <w:rPr>
          <w:color w:val="000000" w:themeColor="text1"/>
        </w:rPr>
        <w:t xml:space="preserve">The study was approved by </w:t>
      </w:r>
      <w:r w:rsidR="00805ABB" w:rsidRPr="00B908AD">
        <w:rPr>
          <w:color w:val="000000" w:themeColor="text1"/>
        </w:rPr>
        <w:t>the Faculty of Natural Sciences Psychology Research Ethics Committee</w:t>
      </w:r>
      <w:r w:rsidR="00C41620" w:rsidRPr="00B908AD">
        <w:rPr>
          <w:color w:val="000000" w:themeColor="text1"/>
        </w:rPr>
        <w:t>.</w:t>
      </w:r>
    </w:p>
    <w:p w14:paraId="729EE26B" w14:textId="47069587" w:rsidR="00140D63" w:rsidRPr="00B26161" w:rsidRDefault="00406306" w:rsidP="00194CDF">
      <w:pPr>
        <w:spacing w:line="480" w:lineRule="auto"/>
        <w:rPr>
          <w:color w:val="C00000"/>
        </w:rPr>
      </w:pPr>
      <w:r w:rsidRPr="00B908AD">
        <w:rPr>
          <w:i/>
          <w:iCs/>
          <w:color w:val="000000" w:themeColor="text1"/>
        </w:rPr>
        <w:t>Materials</w:t>
      </w:r>
      <w:proofErr w:type="gramStart"/>
      <w:r w:rsidRPr="00B908AD">
        <w:rPr>
          <w:i/>
          <w:iCs/>
          <w:color w:val="000000" w:themeColor="text1"/>
        </w:rPr>
        <w:t>.</w:t>
      </w:r>
      <w:r w:rsidR="00140D63" w:rsidRPr="00B908AD">
        <w:rPr>
          <w:i/>
          <w:iCs/>
          <w:color w:val="000000" w:themeColor="text1"/>
        </w:rPr>
        <w:t xml:space="preserve"> </w:t>
      </w:r>
      <w:r w:rsidR="006B45FC" w:rsidRPr="00B908AD">
        <w:rPr>
          <w:i/>
          <w:iCs/>
          <w:color w:val="000000" w:themeColor="text1"/>
        </w:rPr>
        <w:t xml:space="preserve"> </w:t>
      </w:r>
      <w:proofErr w:type="gramEnd"/>
      <w:r w:rsidR="00FE0561" w:rsidRPr="00B908AD">
        <w:rPr>
          <w:color w:val="000000" w:themeColor="text1"/>
        </w:rPr>
        <w:t xml:space="preserve">A </w:t>
      </w:r>
      <w:r w:rsidR="00D20734" w:rsidRPr="00B908AD">
        <w:rPr>
          <w:color w:val="000000" w:themeColor="text1"/>
        </w:rPr>
        <w:t xml:space="preserve">retrospective </w:t>
      </w:r>
      <w:r w:rsidR="00FE0561" w:rsidRPr="00B908AD">
        <w:rPr>
          <w:color w:val="000000" w:themeColor="text1"/>
        </w:rPr>
        <w:t xml:space="preserve">survey </w:t>
      </w:r>
      <w:r w:rsidR="00140D63" w:rsidRPr="00B908AD">
        <w:rPr>
          <w:color w:val="000000" w:themeColor="text1"/>
        </w:rPr>
        <w:t xml:space="preserve">was </w:t>
      </w:r>
      <w:r w:rsidR="00007083" w:rsidRPr="00B908AD">
        <w:rPr>
          <w:color w:val="000000" w:themeColor="text1"/>
        </w:rPr>
        <w:t>co-</w:t>
      </w:r>
      <w:r w:rsidR="00140D63" w:rsidRPr="00B908AD">
        <w:rPr>
          <w:color w:val="000000" w:themeColor="text1"/>
        </w:rPr>
        <w:t xml:space="preserve">designed </w:t>
      </w:r>
      <w:r w:rsidR="00FE0561" w:rsidRPr="00B908AD">
        <w:rPr>
          <w:i/>
          <w:iCs/>
          <w:color w:val="000000" w:themeColor="text1"/>
        </w:rPr>
        <w:t>ad hoc</w:t>
      </w:r>
      <w:r w:rsidR="00FE0561" w:rsidRPr="00B908AD">
        <w:rPr>
          <w:color w:val="000000" w:themeColor="text1"/>
        </w:rPr>
        <w:t xml:space="preserve"> for this study</w:t>
      </w:r>
      <w:r w:rsidR="00482585" w:rsidRPr="00B908AD">
        <w:rPr>
          <w:color w:val="000000" w:themeColor="text1"/>
        </w:rPr>
        <w:t xml:space="preserve">, </w:t>
      </w:r>
      <w:r w:rsidR="00326B12" w:rsidRPr="00B908AD">
        <w:rPr>
          <w:color w:val="000000" w:themeColor="text1"/>
        </w:rPr>
        <w:t xml:space="preserve">incorporating </w:t>
      </w:r>
      <w:r w:rsidR="007F1B7D">
        <w:rPr>
          <w:color w:val="000000" w:themeColor="text1"/>
        </w:rPr>
        <w:t xml:space="preserve">input and </w:t>
      </w:r>
      <w:r w:rsidR="00326B12" w:rsidRPr="00B908AD">
        <w:rPr>
          <w:color w:val="000000" w:themeColor="text1"/>
        </w:rPr>
        <w:t xml:space="preserve">feedback from </w:t>
      </w:r>
      <w:r w:rsidR="00886F5B">
        <w:rPr>
          <w:color w:val="000000" w:themeColor="text1"/>
        </w:rPr>
        <w:t>FPFs</w:t>
      </w:r>
      <w:r w:rsidR="0072395E">
        <w:rPr>
          <w:color w:val="000000" w:themeColor="text1"/>
        </w:rPr>
        <w:t xml:space="preserve"> via their </w:t>
      </w:r>
      <w:r w:rsidR="0072395E" w:rsidRPr="0072395E">
        <w:rPr>
          <w:color w:val="000000" w:themeColor="text1"/>
        </w:rPr>
        <w:t>professional footballer association</w:t>
      </w:r>
      <w:r w:rsidR="0072395E">
        <w:rPr>
          <w:color w:val="000000" w:themeColor="text1"/>
        </w:rPr>
        <w:t xml:space="preserve"> committees</w:t>
      </w:r>
      <w:r w:rsidR="007F1B7D">
        <w:rPr>
          <w:color w:val="000000" w:themeColor="text1"/>
        </w:rPr>
        <w:t>,</w:t>
      </w:r>
      <w:r w:rsidR="0072395E">
        <w:rPr>
          <w:color w:val="000000" w:themeColor="text1"/>
        </w:rPr>
        <w:t xml:space="preserve"> </w:t>
      </w:r>
      <w:r w:rsidR="007F1B7D">
        <w:rPr>
          <w:color w:val="000000" w:themeColor="text1"/>
        </w:rPr>
        <w:t>as arrang</w:t>
      </w:r>
      <w:r w:rsidR="0072395E">
        <w:rPr>
          <w:color w:val="000000" w:themeColor="text1"/>
        </w:rPr>
        <w:t xml:space="preserve">ed by the </w:t>
      </w:r>
      <w:r w:rsidR="007F1B7D" w:rsidRPr="007F1B7D">
        <w:rPr>
          <w:color w:val="000000" w:themeColor="text1"/>
        </w:rPr>
        <w:t>association</w:t>
      </w:r>
      <w:r w:rsidR="007F1B7D">
        <w:rPr>
          <w:color w:val="000000" w:themeColor="text1"/>
        </w:rPr>
        <w:t xml:space="preserve"> </w:t>
      </w:r>
      <w:r w:rsidR="0072395E">
        <w:rPr>
          <w:color w:val="000000" w:themeColor="text1"/>
        </w:rPr>
        <w:t>secretarie</w:t>
      </w:r>
      <w:r w:rsidR="0072395E" w:rsidRPr="0072395E">
        <w:rPr>
          <w:color w:val="000000" w:themeColor="text1"/>
        </w:rPr>
        <w:t>s</w:t>
      </w:r>
      <w:proofErr w:type="gramStart"/>
      <w:r w:rsidR="006D1C60" w:rsidRPr="00B908AD">
        <w:rPr>
          <w:color w:val="000000" w:themeColor="text1"/>
        </w:rPr>
        <w:t xml:space="preserve">. </w:t>
      </w:r>
      <w:r w:rsidR="006B45FC" w:rsidRPr="00B908AD">
        <w:rPr>
          <w:color w:val="000000" w:themeColor="text1"/>
        </w:rPr>
        <w:t xml:space="preserve"> </w:t>
      </w:r>
      <w:proofErr w:type="gramEnd"/>
      <w:r w:rsidR="00140D63" w:rsidRPr="00B908AD">
        <w:rPr>
          <w:color w:val="000000" w:themeColor="text1"/>
        </w:rPr>
        <w:t xml:space="preserve">The survey consisted of 18 items, each with an aim of obtaining information relating to the </w:t>
      </w:r>
      <w:r w:rsidR="00886F5B">
        <w:rPr>
          <w:color w:val="000000" w:themeColor="text1"/>
        </w:rPr>
        <w:t>FPF</w:t>
      </w:r>
      <w:r w:rsidR="00140D63" w:rsidRPr="00B908AD">
        <w:rPr>
          <w:color w:val="000000" w:themeColor="text1"/>
        </w:rPr>
        <w:t>’s career</w:t>
      </w:r>
      <w:proofErr w:type="gramStart"/>
      <w:r w:rsidR="00140D63" w:rsidRPr="00B908AD">
        <w:rPr>
          <w:color w:val="000000" w:themeColor="text1"/>
        </w:rPr>
        <w:t xml:space="preserve">. </w:t>
      </w:r>
      <w:r w:rsidR="006B45FC" w:rsidRPr="00B908AD">
        <w:rPr>
          <w:color w:val="000000" w:themeColor="text1"/>
        </w:rPr>
        <w:t xml:space="preserve"> </w:t>
      </w:r>
      <w:proofErr w:type="gramEnd"/>
      <w:r w:rsidR="00140D63" w:rsidRPr="00B908AD">
        <w:rPr>
          <w:color w:val="000000" w:themeColor="text1"/>
        </w:rPr>
        <w:t>Th</w:t>
      </w:r>
      <w:r w:rsidR="005275BC" w:rsidRPr="00B908AD">
        <w:rPr>
          <w:color w:val="000000" w:themeColor="text1"/>
        </w:rPr>
        <w:t xml:space="preserve">e questions asked </w:t>
      </w:r>
      <w:r w:rsidR="00C029B0" w:rsidRPr="00B908AD">
        <w:rPr>
          <w:color w:val="000000" w:themeColor="text1"/>
        </w:rPr>
        <w:t xml:space="preserve">about </w:t>
      </w:r>
      <w:r w:rsidR="00140D63" w:rsidRPr="00B908AD">
        <w:rPr>
          <w:color w:val="000000" w:themeColor="text1"/>
        </w:rPr>
        <w:t>career</w:t>
      </w:r>
      <w:r w:rsidR="00C029B0" w:rsidRPr="00B908AD">
        <w:rPr>
          <w:color w:val="000000" w:themeColor="text1"/>
        </w:rPr>
        <w:t xml:space="preserve"> length</w:t>
      </w:r>
      <w:r w:rsidR="00140D63" w:rsidRPr="00B908AD">
        <w:rPr>
          <w:color w:val="000000" w:themeColor="text1"/>
        </w:rPr>
        <w:t>,</w:t>
      </w:r>
      <w:r w:rsidR="00D12145" w:rsidRPr="00B908AD">
        <w:rPr>
          <w:color w:val="000000" w:themeColor="text1"/>
        </w:rPr>
        <w:t xml:space="preserve"> </w:t>
      </w:r>
      <w:r w:rsidR="00646AB9">
        <w:rPr>
          <w:color w:val="000000" w:themeColor="text1"/>
        </w:rPr>
        <w:t>main</w:t>
      </w:r>
      <w:r w:rsidR="00646AB9" w:rsidRPr="00B908AD">
        <w:rPr>
          <w:color w:val="000000" w:themeColor="text1"/>
        </w:rPr>
        <w:t xml:space="preserve"> </w:t>
      </w:r>
      <w:r w:rsidR="00D12145" w:rsidRPr="00B908AD">
        <w:rPr>
          <w:color w:val="000000" w:themeColor="text1"/>
        </w:rPr>
        <w:t>playing position</w:t>
      </w:r>
      <w:r w:rsidR="00646AB9">
        <w:rPr>
          <w:color w:val="000000" w:themeColor="text1"/>
        </w:rPr>
        <w:t>s</w:t>
      </w:r>
      <w:r w:rsidR="00D12145" w:rsidRPr="00B908AD">
        <w:rPr>
          <w:color w:val="000000" w:themeColor="text1"/>
        </w:rPr>
        <w:t xml:space="preserve">, </w:t>
      </w:r>
      <w:r w:rsidR="00140D63" w:rsidRPr="00B908AD">
        <w:rPr>
          <w:color w:val="000000" w:themeColor="text1"/>
        </w:rPr>
        <w:t xml:space="preserve">the number of training sessions and matches in a season, how often multiple training sessions took place, the </w:t>
      </w:r>
      <w:r w:rsidR="00C029B0" w:rsidRPr="00B908AD">
        <w:rPr>
          <w:color w:val="000000" w:themeColor="text1"/>
        </w:rPr>
        <w:t xml:space="preserve">estimated </w:t>
      </w:r>
      <w:r w:rsidR="00140D63" w:rsidRPr="00B908AD">
        <w:rPr>
          <w:color w:val="000000" w:themeColor="text1"/>
        </w:rPr>
        <w:t xml:space="preserve">number of headers </w:t>
      </w:r>
      <w:r w:rsidR="00805ABB" w:rsidRPr="00B908AD">
        <w:rPr>
          <w:color w:val="000000" w:themeColor="text1"/>
        </w:rPr>
        <w:t>made</w:t>
      </w:r>
      <w:r w:rsidR="00C029B0" w:rsidRPr="00B908AD">
        <w:rPr>
          <w:color w:val="000000" w:themeColor="text1"/>
        </w:rPr>
        <w:t xml:space="preserve"> </w:t>
      </w:r>
      <w:r w:rsidR="00805ABB" w:rsidRPr="00B908AD">
        <w:rPr>
          <w:color w:val="000000" w:themeColor="text1"/>
        </w:rPr>
        <w:t>per</w:t>
      </w:r>
      <w:r w:rsidR="00140D63" w:rsidRPr="00B908AD">
        <w:rPr>
          <w:color w:val="000000" w:themeColor="text1"/>
        </w:rPr>
        <w:t xml:space="preserve"> match and </w:t>
      </w:r>
      <w:r w:rsidR="00646AB9">
        <w:rPr>
          <w:color w:val="000000" w:themeColor="text1"/>
        </w:rPr>
        <w:t xml:space="preserve">per </w:t>
      </w:r>
      <w:r w:rsidR="00140D63" w:rsidRPr="00B908AD">
        <w:rPr>
          <w:color w:val="000000" w:themeColor="text1"/>
        </w:rPr>
        <w:t xml:space="preserve">training session, as well as reporting how many head injuries had </w:t>
      </w:r>
      <w:r w:rsidR="00275EB5">
        <w:rPr>
          <w:color w:val="000000" w:themeColor="text1"/>
        </w:rPr>
        <w:t xml:space="preserve">been </w:t>
      </w:r>
      <w:r w:rsidR="00140D63" w:rsidRPr="00B908AD">
        <w:rPr>
          <w:color w:val="000000" w:themeColor="text1"/>
        </w:rPr>
        <w:t>sustained (</w:t>
      </w:r>
      <w:r w:rsidR="00C5765D" w:rsidRPr="00B908AD">
        <w:rPr>
          <w:color w:val="000000" w:themeColor="text1"/>
        </w:rPr>
        <w:t xml:space="preserve">see </w:t>
      </w:r>
      <w:r w:rsidR="00B0435F" w:rsidRPr="00B908AD">
        <w:rPr>
          <w:i/>
          <w:iCs/>
          <w:color w:val="000000" w:themeColor="text1"/>
        </w:rPr>
        <w:lastRenderedPageBreak/>
        <w:t>Supplemental Material</w:t>
      </w:r>
      <w:r w:rsidR="00140D63" w:rsidRPr="00B908AD">
        <w:rPr>
          <w:color w:val="000000" w:themeColor="text1"/>
        </w:rPr>
        <w:t>)</w:t>
      </w:r>
      <w:proofErr w:type="gramStart"/>
      <w:r w:rsidR="00140D63" w:rsidRPr="00B908AD">
        <w:rPr>
          <w:color w:val="000000" w:themeColor="text1"/>
        </w:rPr>
        <w:t xml:space="preserve">. </w:t>
      </w:r>
      <w:r w:rsidR="00805ABB" w:rsidRPr="00B908AD">
        <w:rPr>
          <w:color w:val="000000" w:themeColor="text1"/>
        </w:rPr>
        <w:t xml:space="preserve"> </w:t>
      </w:r>
      <w:proofErr w:type="gramEnd"/>
      <w:r w:rsidR="00047548" w:rsidRPr="00B908AD">
        <w:rPr>
          <w:color w:val="000000" w:themeColor="text1"/>
        </w:rPr>
        <w:t xml:space="preserve">Additionally, the </w:t>
      </w:r>
      <w:r w:rsidR="00140D63" w:rsidRPr="00B908AD">
        <w:rPr>
          <w:color w:val="000000" w:themeColor="text1"/>
        </w:rPr>
        <w:t>TYM test</w:t>
      </w:r>
      <w:r w:rsidR="00047548" w:rsidRPr="00B908AD">
        <w:rPr>
          <w:color w:val="000000" w:themeColor="text1"/>
        </w:rPr>
        <w:t xml:space="preserve"> was used</w:t>
      </w:r>
      <w:r w:rsidR="00164029" w:rsidRPr="00B908AD">
        <w:rPr>
          <w:color w:val="000000" w:themeColor="text1"/>
        </w:rPr>
        <w:t xml:space="preserve"> to measure cognitive ability</w:t>
      </w:r>
      <w:proofErr w:type="gramStart"/>
      <w:r w:rsidR="00164029" w:rsidRPr="00B908AD">
        <w:rPr>
          <w:color w:val="000000" w:themeColor="text1"/>
        </w:rPr>
        <w:t xml:space="preserve">. </w:t>
      </w:r>
      <w:r w:rsidR="00414BC6">
        <w:rPr>
          <w:color w:val="000000" w:themeColor="text1"/>
        </w:rPr>
        <w:t xml:space="preserve"> </w:t>
      </w:r>
      <w:proofErr w:type="gramEnd"/>
      <w:r w:rsidR="00164029" w:rsidRPr="00B908AD">
        <w:rPr>
          <w:color w:val="000000" w:themeColor="text1"/>
        </w:rPr>
        <w:t>This test</w:t>
      </w:r>
      <w:r w:rsidR="00B20C76" w:rsidRPr="00B908AD">
        <w:rPr>
          <w:color w:val="000000" w:themeColor="text1"/>
        </w:rPr>
        <w:t xml:space="preserve"> </w:t>
      </w:r>
      <w:r w:rsidR="00140D63" w:rsidRPr="00B908AD">
        <w:rPr>
          <w:color w:val="000000" w:themeColor="text1"/>
        </w:rPr>
        <w:t>take</w:t>
      </w:r>
      <w:r w:rsidR="00B20C76" w:rsidRPr="00B908AD">
        <w:rPr>
          <w:color w:val="000000" w:themeColor="text1"/>
        </w:rPr>
        <w:t>s</w:t>
      </w:r>
      <w:r w:rsidR="00140D63" w:rsidRPr="00B908AD">
        <w:rPr>
          <w:color w:val="000000" w:themeColor="text1"/>
        </w:rPr>
        <w:t xml:space="preserve"> approximately five minutes to complete</w:t>
      </w:r>
      <w:proofErr w:type="gramStart"/>
      <w:r w:rsidR="0079389C" w:rsidRPr="00B908AD">
        <w:rPr>
          <w:color w:val="000000" w:themeColor="text1"/>
        </w:rPr>
        <w:t xml:space="preserve">. </w:t>
      </w:r>
      <w:r w:rsidR="00414BC6">
        <w:rPr>
          <w:color w:val="000000" w:themeColor="text1"/>
        </w:rPr>
        <w:t xml:space="preserve"> </w:t>
      </w:r>
      <w:proofErr w:type="gramEnd"/>
      <w:r w:rsidR="0079389C" w:rsidRPr="00B908AD">
        <w:rPr>
          <w:color w:val="000000" w:themeColor="text1"/>
        </w:rPr>
        <w:t>The TYM test</w:t>
      </w:r>
      <w:r w:rsidR="00687391" w:rsidRPr="00B908AD">
        <w:rPr>
          <w:color w:val="000000" w:themeColor="text1"/>
        </w:rPr>
        <w:t>, despite its name,</w:t>
      </w:r>
      <w:r w:rsidR="00B20C76" w:rsidRPr="00B908AD">
        <w:rPr>
          <w:color w:val="000000" w:themeColor="text1"/>
        </w:rPr>
        <w:t xml:space="preserve"> includes a series of </w:t>
      </w:r>
      <w:r w:rsidR="00805ABB" w:rsidRPr="00B908AD">
        <w:rPr>
          <w:color w:val="000000" w:themeColor="text1"/>
        </w:rPr>
        <w:t>(</w:t>
      </w:r>
      <w:r w:rsidR="00E03333" w:rsidRPr="00B908AD">
        <w:rPr>
          <w:color w:val="000000" w:themeColor="text1"/>
        </w:rPr>
        <w:t>self-</w:t>
      </w:r>
      <w:r w:rsidR="00805ABB" w:rsidRPr="00B908AD">
        <w:rPr>
          <w:color w:val="000000" w:themeColor="text1"/>
        </w:rPr>
        <w:t>administrable)</w:t>
      </w:r>
      <w:r w:rsidR="00E03333" w:rsidRPr="00B908AD">
        <w:rPr>
          <w:color w:val="000000" w:themeColor="text1"/>
        </w:rPr>
        <w:t xml:space="preserve"> </w:t>
      </w:r>
      <w:r w:rsidR="0079389C" w:rsidRPr="00B908AD">
        <w:rPr>
          <w:color w:val="000000" w:themeColor="text1"/>
        </w:rPr>
        <w:t>cognitive tasks</w:t>
      </w:r>
      <w:r w:rsidR="00805ABB" w:rsidRPr="00B908AD">
        <w:rPr>
          <w:color w:val="000000" w:themeColor="text1"/>
        </w:rPr>
        <w:t>,</w:t>
      </w:r>
      <w:r w:rsidR="0079389C" w:rsidRPr="00B908AD">
        <w:rPr>
          <w:color w:val="000000" w:themeColor="text1"/>
        </w:rPr>
        <w:t xml:space="preserve"> </w:t>
      </w:r>
      <w:r w:rsidR="00D20C04" w:rsidRPr="00B908AD">
        <w:rPr>
          <w:color w:val="000000" w:themeColor="text1"/>
        </w:rPr>
        <w:t xml:space="preserve">aimed at </w:t>
      </w:r>
      <w:r w:rsidR="0003133D" w:rsidRPr="00B908AD">
        <w:rPr>
          <w:color w:val="000000" w:themeColor="text1"/>
        </w:rPr>
        <w:t xml:space="preserve">measuring </w:t>
      </w:r>
      <w:r w:rsidR="00687391" w:rsidRPr="00B908AD">
        <w:rPr>
          <w:color w:val="000000" w:themeColor="text1"/>
        </w:rPr>
        <w:t>more than just memory</w:t>
      </w:r>
      <w:proofErr w:type="gramStart"/>
      <w:r w:rsidR="00687391" w:rsidRPr="00B908AD">
        <w:rPr>
          <w:color w:val="000000" w:themeColor="text1"/>
        </w:rPr>
        <w:t>.</w:t>
      </w:r>
      <w:r w:rsidR="00805ABB" w:rsidRPr="00B908AD">
        <w:rPr>
          <w:color w:val="000000" w:themeColor="text1"/>
        </w:rPr>
        <w:t xml:space="preserve"> </w:t>
      </w:r>
      <w:r w:rsidR="00687391" w:rsidRPr="00B908AD">
        <w:rPr>
          <w:color w:val="000000" w:themeColor="text1"/>
        </w:rPr>
        <w:t xml:space="preserve"> </w:t>
      </w:r>
      <w:proofErr w:type="gramEnd"/>
      <w:r w:rsidR="00687391" w:rsidRPr="00B908AD">
        <w:rPr>
          <w:color w:val="000000" w:themeColor="text1"/>
        </w:rPr>
        <w:t xml:space="preserve">In fact, it </w:t>
      </w:r>
      <w:proofErr w:type="gramStart"/>
      <w:r w:rsidR="00687391" w:rsidRPr="00B908AD">
        <w:rPr>
          <w:color w:val="000000" w:themeColor="text1"/>
        </w:rPr>
        <w:t>includes:</w:t>
      </w:r>
      <w:proofErr w:type="gramEnd"/>
      <w:r w:rsidR="00687391" w:rsidRPr="00B908AD">
        <w:rPr>
          <w:color w:val="000000" w:themeColor="text1"/>
        </w:rPr>
        <w:t xml:space="preserve"> </w:t>
      </w:r>
      <w:r w:rsidR="00B13A19" w:rsidRPr="00B908AD">
        <w:rPr>
          <w:color w:val="000000" w:themeColor="text1"/>
        </w:rPr>
        <w:t>general knowledge questions</w:t>
      </w:r>
      <w:r w:rsidR="00687391" w:rsidRPr="00B908AD">
        <w:rPr>
          <w:color w:val="000000" w:themeColor="text1"/>
        </w:rPr>
        <w:t xml:space="preserve">, </w:t>
      </w:r>
      <w:r w:rsidR="00B13A19" w:rsidRPr="00B908AD">
        <w:rPr>
          <w:color w:val="000000" w:themeColor="text1"/>
        </w:rPr>
        <w:t xml:space="preserve">a </w:t>
      </w:r>
      <w:r w:rsidR="00140D63" w:rsidRPr="00B908AD">
        <w:rPr>
          <w:color w:val="000000" w:themeColor="text1"/>
        </w:rPr>
        <w:t>calculation</w:t>
      </w:r>
      <w:r w:rsidR="0003133D" w:rsidRPr="00B908AD">
        <w:rPr>
          <w:color w:val="000000" w:themeColor="text1"/>
        </w:rPr>
        <w:t xml:space="preserve"> </w:t>
      </w:r>
      <w:r w:rsidR="00B13A19" w:rsidRPr="00B908AD">
        <w:rPr>
          <w:color w:val="000000" w:themeColor="text1"/>
        </w:rPr>
        <w:t xml:space="preserve">task, </w:t>
      </w:r>
      <w:r w:rsidR="00F87F48" w:rsidRPr="00B908AD">
        <w:rPr>
          <w:color w:val="000000" w:themeColor="text1"/>
        </w:rPr>
        <w:t xml:space="preserve">a word fluency task, </w:t>
      </w:r>
      <w:r w:rsidR="0016676E" w:rsidRPr="00B908AD">
        <w:rPr>
          <w:color w:val="000000" w:themeColor="text1"/>
        </w:rPr>
        <w:t xml:space="preserve">a reasoning task, a naming task, </w:t>
      </w:r>
      <w:r w:rsidR="00275351" w:rsidRPr="00B908AD">
        <w:rPr>
          <w:color w:val="000000" w:themeColor="text1"/>
        </w:rPr>
        <w:t xml:space="preserve">a visuospatial task, </w:t>
      </w:r>
      <w:r w:rsidR="00D20C04" w:rsidRPr="00B908AD">
        <w:rPr>
          <w:color w:val="000000" w:themeColor="text1"/>
        </w:rPr>
        <w:t xml:space="preserve">and finally a delayed recall task. </w:t>
      </w:r>
      <w:r w:rsidR="00805ABB" w:rsidRPr="00B908AD">
        <w:rPr>
          <w:color w:val="000000" w:themeColor="text1"/>
        </w:rPr>
        <w:t xml:space="preserve"> </w:t>
      </w:r>
      <w:r w:rsidR="00140D63" w:rsidRPr="00B908AD">
        <w:rPr>
          <w:color w:val="000000" w:themeColor="text1"/>
        </w:rPr>
        <w:t>Each of the</w:t>
      </w:r>
      <w:r w:rsidR="00275351" w:rsidRPr="00B908AD">
        <w:rPr>
          <w:color w:val="000000" w:themeColor="text1"/>
        </w:rPr>
        <w:t>se</w:t>
      </w:r>
      <w:r w:rsidR="00140D63" w:rsidRPr="00B908AD">
        <w:rPr>
          <w:color w:val="000000" w:themeColor="text1"/>
        </w:rPr>
        <w:t xml:space="preserve"> tasks are scored individually, with the maximum </w:t>
      </w:r>
      <w:r w:rsidR="00275351" w:rsidRPr="00B908AD">
        <w:rPr>
          <w:color w:val="000000" w:themeColor="text1"/>
        </w:rPr>
        <w:t xml:space="preserve">overall </w:t>
      </w:r>
      <w:r w:rsidR="00140D63" w:rsidRPr="00B908AD">
        <w:rPr>
          <w:color w:val="000000" w:themeColor="text1"/>
        </w:rPr>
        <w:t xml:space="preserve">score </w:t>
      </w:r>
      <w:r w:rsidR="00275351" w:rsidRPr="00B908AD">
        <w:rPr>
          <w:color w:val="000000" w:themeColor="text1"/>
        </w:rPr>
        <w:t>of</w:t>
      </w:r>
      <w:r w:rsidR="00140D63" w:rsidRPr="00B908AD">
        <w:rPr>
          <w:color w:val="000000" w:themeColor="text1"/>
        </w:rPr>
        <w:t xml:space="preserve"> 50 points.</w:t>
      </w:r>
      <w:r w:rsidR="00F1363C" w:rsidRPr="00B908AD">
        <w:rPr>
          <w:color w:val="000000" w:themeColor="text1"/>
        </w:rPr>
        <w:t xml:space="preserve"> To note, assistance with completing the TYM test is accounted for by </w:t>
      </w:r>
      <w:r w:rsidR="00BD5791" w:rsidRPr="00B908AD">
        <w:rPr>
          <w:color w:val="000000" w:themeColor="text1"/>
        </w:rPr>
        <w:t xml:space="preserve">adding </w:t>
      </w:r>
      <w:r w:rsidR="003A42AD" w:rsidRPr="00B908AD">
        <w:rPr>
          <w:color w:val="000000" w:themeColor="text1"/>
        </w:rPr>
        <w:t xml:space="preserve">five points </w:t>
      </w:r>
      <w:r w:rsidR="00BD5791" w:rsidRPr="00B908AD">
        <w:rPr>
          <w:color w:val="000000" w:themeColor="text1"/>
        </w:rPr>
        <w:t xml:space="preserve">to the total score if </w:t>
      </w:r>
      <w:r w:rsidR="003A42AD" w:rsidRPr="00B908AD">
        <w:rPr>
          <w:color w:val="000000" w:themeColor="text1"/>
        </w:rPr>
        <w:t xml:space="preserve">no assistance </w:t>
      </w:r>
      <w:r w:rsidR="00BD5791" w:rsidRPr="00B908AD">
        <w:rPr>
          <w:color w:val="000000" w:themeColor="text1"/>
        </w:rPr>
        <w:t xml:space="preserve">is </w:t>
      </w:r>
      <w:r w:rsidR="003A42AD" w:rsidRPr="00B908AD">
        <w:rPr>
          <w:color w:val="000000" w:themeColor="text1"/>
        </w:rPr>
        <w:t>received</w:t>
      </w:r>
      <w:r w:rsidR="00BD5791" w:rsidRPr="00B908AD">
        <w:rPr>
          <w:color w:val="000000" w:themeColor="text1"/>
        </w:rPr>
        <w:t>;</w:t>
      </w:r>
      <w:r w:rsidR="003A42AD" w:rsidRPr="00B908AD">
        <w:rPr>
          <w:color w:val="000000" w:themeColor="text1"/>
        </w:rPr>
        <w:t xml:space="preserve"> four points for trivial assistance</w:t>
      </w:r>
      <w:r w:rsidR="00BD5791" w:rsidRPr="00B908AD">
        <w:rPr>
          <w:color w:val="000000" w:themeColor="text1"/>
        </w:rPr>
        <w:t>;</w:t>
      </w:r>
      <w:r w:rsidR="003A42AD" w:rsidRPr="00B908AD">
        <w:rPr>
          <w:color w:val="000000" w:themeColor="text1"/>
        </w:rPr>
        <w:t xml:space="preserve"> three for minor assistance</w:t>
      </w:r>
      <w:r w:rsidR="00BD5791" w:rsidRPr="00B908AD">
        <w:rPr>
          <w:color w:val="000000" w:themeColor="text1"/>
        </w:rPr>
        <w:t>;</w:t>
      </w:r>
      <w:r w:rsidR="003A42AD" w:rsidRPr="00B908AD">
        <w:rPr>
          <w:color w:val="000000" w:themeColor="text1"/>
        </w:rPr>
        <w:t xml:space="preserve"> </w:t>
      </w:r>
      <w:r w:rsidR="00863713" w:rsidRPr="00B908AD">
        <w:rPr>
          <w:color w:val="000000" w:themeColor="text1"/>
        </w:rPr>
        <w:t>two for moderate assistance</w:t>
      </w:r>
      <w:r w:rsidR="00BD5791" w:rsidRPr="00B908AD">
        <w:rPr>
          <w:color w:val="000000" w:themeColor="text1"/>
        </w:rPr>
        <w:t>;</w:t>
      </w:r>
      <w:r w:rsidR="00863713" w:rsidRPr="00B908AD">
        <w:rPr>
          <w:color w:val="000000" w:themeColor="text1"/>
        </w:rPr>
        <w:t xml:space="preserve"> and </w:t>
      </w:r>
      <w:r w:rsidR="00BD5791" w:rsidRPr="00B908AD">
        <w:rPr>
          <w:color w:val="000000" w:themeColor="text1"/>
        </w:rPr>
        <w:t xml:space="preserve">finally </w:t>
      </w:r>
      <w:r w:rsidR="00863713" w:rsidRPr="00B908AD">
        <w:rPr>
          <w:color w:val="000000" w:themeColor="text1"/>
        </w:rPr>
        <w:t xml:space="preserve">one </w:t>
      </w:r>
      <w:r w:rsidR="00BD5791" w:rsidRPr="00B908AD">
        <w:rPr>
          <w:color w:val="000000" w:themeColor="text1"/>
        </w:rPr>
        <w:t xml:space="preserve">point </w:t>
      </w:r>
      <w:r w:rsidR="00863713" w:rsidRPr="00B908AD">
        <w:rPr>
          <w:color w:val="000000" w:themeColor="text1"/>
        </w:rPr>
        <w:t>for major</w:t>
      </w:r>
      <w:r w:rsidR="00BD5791" w:rsidRPr="00B908AD">
        <w:rPr>
          <w:color w:val="000000" w:themeColor="text1"/>
        </w:rPr>
        <w:t xml:space="preserve"> assistance</w:t>
      </w:r>
      <w:proofErr w:type="gramStart"/>
      <w:r w:rsidR="00BD5791" w:rsidRPr="00B908AD">
        <w:rPr>
          <w:color w:val="000000" w:themeColor="text1"/>
        </w:rPr>
        <w:t>.</w:t>
      </w:r>
      <w:r w:rsidR="00414BC6">
        <w:rPr>
          <w:color w:val="000000" w:themeColor="text1"/>
        </w:rPr>
        <w:t xml:space="preserve"> </w:t>
      </w:r>
      <w:r w:rsidR="00B44F30">
        <w:rPr>
          <w:color w:val="000000" w:themeColor="text1"/>
        </w:rPr>
        <w:t xml:space="preserve"> </w:t>
      </w:r>
      <w:proofErr w:type="gramEnd"/>
      <w:r w:rsidR="00B44F30" w:rsidRPr="00B26161">
        <w:rPr>
          <w:color w:val="C00000"/>
        </w:rPr>
        <w:t xml:space="preserve">As </w:t>
      </w:r>
      <w:r w:rsidR="008A78DB">
        <w:rPr>
          <w:color w:val="C00000"/>
        </w:rPr>
        <w:t xml:space="preserve">both </w:t>
      </w:r>
      <w:r w:rsidR="00B44F30" w:rsidRPr="00B26161">
        <w:rPr>
          <w:color w:val="C00000"/>
        </w:rPr>
        <w:t xml:space="preserve">the </w:t>
      </w:r>
      <w:r w:rsidR="00414BC6">
        <w:rPr>
          <w:color w:val="C00000"/>
        </w:rPr>
        <w:t>survey and TYM</w:t>
      </w:r>
      <w:r w:rsidR="00414BC6" w:rsidRPr="00B26161">
        <w:rPr>
          <w:color w:val="C00000"/>
        </w:rPr>
        <w:t xml:space="preserve"> w</w:t>
      </w:r>
      <w:r w:rsidR="00414BC6">
        <w:rPr>
          <w:color w:val="C00000"/>
        </w:rPr>
        <w:t>ere</w:t>
      </w:r>
      <w:r w:rsidR="00414BC6" w:rsidRPr="00B26161">
        <w:rPr>
          <w:color w:val="C00000"/>
        </w:rPr>
        <w:t xml:space="preserve"> </w:t>
      </w:r>
      <w:r w:rsidR="00B44F30" w:rsidRPr="00B26161">
        <w:rPr>
          <w:color w:val="C00000"/>
        </w:rPr>
        <w:t>completed entirely remotely, it was not possible to verify the TYM scores with independent clinician evaluations.</w:t>
      </w:r>
    </w:p>
    <w:p w14:paraId="32062844" w14:textId="3DB32824" w:rsidR="00CE09AF" w:rsidRPr="006D23B1" w:rsidRDefault="007E0597" w:rsidP="00FD2D19">
      <w:pPr>
        <w:spacing w:line="480" w:lineRule="auto"/>
        <w:rPr>
          <w:rFonts w:cstheme="minorHAnsi"/>
          <w:color w:val="00B0F0"/>
        </w:rPr>
      </w:pPr>
      <w:r w:rsidRPr="006D23B1">
        <w:rPr>
          <w:i/>
          <w:iCs/>
          <w:color w:val="00B0F0"/>
        </w:rPr>
        <w:t>Procedure</w:t>
      </w:r>
      <w:r w:rsidRPr="006D23B1">
        <w:rPr>
          <w:color w:val="00B0F0"/>
        </w:rPr>
        <w:t xml:space="preserve">. </w:t>
      </w:r>
      <w:r w:rsidR="00CB70A7" w:rsidRPr="006D23B1">
        <w:rPr>
          <w:rFonts w:cstheme="minorHAnsi"/>
          <w:color w:val="00B0F0"/>
        </w:rPr>
        <w:t xml:space="preserve">The secretaries of seven former professional footballer </w:t>
      </w:r>
      <w:r w:rsidR="00646AB9">
        <w:rPr>
          <w:rFonts w:cstheme="minorHAnsi"/>
          <w:color w:val="00B0F0"/>
        </w:rPr>
        <w:t>a</w:t>
      </w:r>
      <w:r w:rsidR="00646AB9" w:rsidRPr="006D23B1">
        <w:rPr>
          <w:rFonts w:cstheme="minorHAnsi"/>
          <w:color w:val="00B0F0"/>
        </w:rPr>
        <w:t xml:space="preserve">ssociations </w:t>
      </w:r>
      <w:r w:rsidR="00CB70A7" w:rsidRPr="006D23B1">
        <w:rPr>
          <w:rFonts w:cstheme="minorHAnsi"/>
          <w:color w:val="00B0F0"/>
        </w:rPr>
        <w:t>located near the authors were contacted by email and invited to participate in the research</w:t>
      </w:r>
      <w:proofErr w:type="gramStart"/>
      <w:r w:rsidR="00CB70A7" w:rsidRPr="006D23B1">
        <w:rPr>
          <w:rFonts w:cstheme="minorHAnsi"/>
          <w:color w:val="00B0F0"/>
        </w:rPr>
        <w:t>.</w:t>
      </w:r>
      <w:r w:rsidR="001F06C1" w:rsidRPr="006D23B1">
        <w:rPr>
          <w:rFonts w:cstheme="minorHAnsi"/>
          <w:color w:val="00B0F0"/>
        </w:rPr>
        <w:t xml:space="preserve"> </w:t>
      </w:r>
      <w:r w:rsidR="00CB70A7" w:rsidRPr="006D23B1">
        <w:rPr>
          <w:rFonts w:cstheme="minorHAnsi"/>
          <w:color w:val="00B0F0"/>
        </w:rPr>
        <w:t xml:space="preserve"> </w:t>
      </w:r>
      <w:proofErr w:type="gramEnd"/>
      <w:r w:rsidR="00CB70A7" w:rsidRPr="006D23B1">
        <w:rPr>
          <w:rFonts w:cstheme="minorHAnsi"/>
          <w:color w:val="00B0F0"/>
        </w:rPr>
        <w:t>It was explained that participation would involve meeting with the researchers to provide feedback on a</w:t>
      </w:r>
      <w:r w:rsidR="00646AB9">
        <w:rPr>
          <w:rFonts w:cstheme="minorHAnsi"/>
          <w:color w:val="00B0F0"/>
        </w:rPr>
        <w:t xml:space="preserve"> draft</w:t>
      </w:r>
      <w:r w:rsidR="00CB70A7" w:rsidRPr="006D23B1">
        <w:rPr>
          <w:rFonts w:cstheme="minorHAnsi"/>
          <w:color w:val="00B0F0"/>
        </w:rPr>
        <w:t xml:space="preserve"> </w:t>
      </w:r>
      <w:r w:rsidR="00CB70A7" w:rsidRPr="006D23B1">
        <w:rPr>
          <w:rFonts w:cstheme="minorHAnsi"/>
          <w:i/>
          <w:iCs/>
          <w:color w:val="00B0F0"/>
        </w:rPr>
        <w:t>Career Football Heading Survey</w:t>
      </w:r>
      <w:r w:rsidR="00CB70A7" w:rsidRPr="006D23B1">
        <w:rPr>
          <w:rFonts w:cstheme="minorHAnsi"/>
          <w:color w:val="00B0F0"/>
        </w:rPr>
        <w:t xml:space="preserve">, as well as assisting with the eventual distribution of </w:t>
      </w:r>
      <w:r w:rsidR="00646AB9" w:rsidRPr="006D23B1">
        <w:rPr>
          <w:rFonts w:cstheme="minorHAnsi"/>
          <w:color w:val="00B0F0"/>
        </w:rPr>
        <w:t>th</w:t>
      </w:r>
      <w:r w:rsidR="00646AB9">
        <w:rPr>
          <w:rFonts w:cstheme="minorHAnsi"/>
          <w:color w:val="00B0F0"/>
        </w:rPr>
        <w:t>e completed version of the</w:t>
      </w:r>
      <w:r w:rsidR="00646AB9" w:rsidRPr="006D23B1">
        <w:rPr>
          <w:rFonts w:cstheme="minorHAnsi"/>
          <w:color w:val="00B0F0"/>
        </w:rPr>
        <w:t xml:space="preserve"> </w:t>
      </w:r>
      <w:r w:rsidR="00CB70A7" w:rsidRPr="006D23B1">
        <w:rPr>
          <w:rFonts w:cstheme="minorHAnsi"/>
          <w:color w:val="00B0F0"/>
        </w:rPr>
        <w:t>survey to members</w:t>
      </w:r>
      <w:proofErr w:type="gramStart"/>
      <w:r w:rsidR="00CB70A7" w:rsidRPr="006D23B1">
        <w:rPr>
          <w:rFonts w:cstheme="minorHAnsi"/>
          <w:color w:val="00B0F0"/>
        </w:rPr>
        <w:t xml:space="preserve">. </w:t>
      </w:r>
      <w:r w:rsidR="001F06C1" w:rsidRPr="006D23B1">
        <w:rPr>
          <w:rFonts w:cstheme="minorHAnsi"/>
          <w:color w:val="00B0F0"/>
        </w:rPr>
        <w:t xml:space="preserve"> </w:t>
      </w:r>
      <w:proofErr w:type="gramEnd"/>
      <w:r w:rsidR="00CB70A7" w:rsidRPr="006D23B1">
        <w:rPr>
          <w:rFonts w:cstheme="minorHAnsi"/>
          <w:color w:val="00B0F0"/>
        </w:rPr>
        <w:t xml:space="preserve">Three </w:t>
      </w:r>
      <w:r w:rsidR="00646AB9">
        <w:rPr>
          <w:rFonts w:cstheme="minorHAnsi"/>
          <w:color w:val="00B0F0"/>
        </w:rPr>
        <w:t>a</w:t>
      </w:r>
      <w:r w:rsidR="00646AB9" w:rsidRPr="006D23B1">
        <w:rPr>
          <w:rFonts w:cstheme="minorHAnsi"/>
          <w:color w:val="00B0F0"/>
        </w:rPr>
        <w:t xml:space="preserve">ssociations </w:t>
      </w:r>
      <w:r w:rsidR="00CB70A7" w:rsidRPr="006D23B1">
        <w:rPr>
          <w:rFonts w:cstheme="minorHAnsi"/>
          <w:color w:val="00B0F0"/>
        </w:rPr>
        <w:t>agreed to take part in survey development</w:t>
      </w:r>
      <w:proofErr w:type="gramStart"/>
      <w:r w:rsidR="00CB70A7" w:rsidRPr="006D23B1">
        <w:rPr>
          <w:rFonts w:cstheme="minorHAnsi"/>
          <w:color w:val="00B0F0"/>
        </w:rPr>
        <w:t xml:space="preserve">. </w:t>
      </w:r>
      <w:r w:rsidR="001F06C1" w:rsidRPr="006D23B1">
        <w:rPr>
          <w:rFonts w:cstheme="minorHAnsi"/>
          <w:color w:val="00B0F0"/>
        </w:rPr>
        <w:t xml:space="preserve"> </w:t>
      </w:r>
      <w:proofErr w:type="gramEnd"/>
      <w:r w:rsidR="00CB70A7" w:rsidRPr="006D23B1">
        <w:rPr>
          <w:rFonts w:cstheme="minorHAnsi"/>
          <w:color w:val="00B0F0"/>
        </w:rPr>
        <w:t>We then emailed a survey draft to them asking for suggestions on how to improve it, and met in person with some members</w:t>
      </w:r>
      <w:proofErr w:type="gramStart"/>
      <w:r w:rsidR="00CB70A7" w:rsidRPr="006D23B1">
        <w:rPr>
          <w:rFonts w:cstheme="minorHAnsi"/>
          <w:color w:val="00B0F0"/>
        </w:rPr>
        <w:t>.</w:t>
      </w:r>
      <w:r w:rsidR="001F06C1" w:rsidRPr="006D23B1">
        <w:rPr>
          <w:rFonts w:cstheme="minorHAnsi"/>
          <w:color w:val="00B0F0"/>
        </w:rPr>
        <w:t xml:space="preserve"> </w:t>
      </w:r>
      <w:r w:rsidR="00CB70A7" w:rsidRPr="006D23B1">
        <w:rPr>
          <w:rFonts w:cstheme="minorHAnsi"/>
          <w:color w:val="00B0F0"/>
        </w:rPr>
        <w:t xml:space="preserve"> </w:t>
      </w:r>
      <w:proofErr w:type="gramEnd"/>
      <w:r w:rsidR="00CB70A7" w:rsidRPr="006D23B1">
        <w:rPr>
          <w:rFonts w:cstheme="minorHAnsi"/>
          <w:color w:val="00B0F0"/>
        </w:rPr>
        <w:t xml:space="preserve">At the end of this process, we had a </w:t>
      </w:r>
      <w:r w:rsidR="00646AB9">
        <w:rPr>
          <w:rFonts w:cstheme="minorHAnsi"/>
          <w:color w:val="00B0F0"/>
        </w:rPr>
        <w:t xml:space="preserve">relatively short </w:t>
      </w:r>
      <w:r w:rsidR="00CB70A7" w:rsidRPr="006D23B1">
        <w:rPr>
          <w:rFonts w:cstheme="minorHAnsi"/>
          <w:color w:val="00B0F0"/>
        </w:rPr>
        <w:t xml:space="preserve">co-designed document aimed at capturing information about the </w:t>
      </w:r>
      <w:r w:rsidR="0059566F">
        <w:rPr>
          <w:rFonts w:cstheme="minorHAnsi"/>
          <w:color w:val="00B0F0"/>
        </w:rPr>
        <w:t>FPFs’</w:t>
      </w:r>
      <w:r w:rsidR="00CB70A7" w:rsidRPr="006D23B1">
        <w:rPr>
          <w:rFonts w:cstheme="minorHAnsi"/>
          <w:color w:val="00B0F0"/>
        </w:rPr>
        <w:t xml:space="preserve"> career</w:t>
      </w:r>
      <w:r w:rsidR="0059566F">
        <w:rPr>
          <w:rFonts w:cstheme="minorHAnsi"/>
          <w:color w:val="00B0F0"/>
        </w:rPr>
        <w:t>s</w:t>
      </w:r>
      <w:r w:rsidR="00CB70A7" w:rsidRPr="006D23B1">
        <w:rPr>
          <w:rFonts w:cstheme="minorHAnsi"/>
          <w:color w:val="00B0F0"/>
        </w:rPr>
        <w:t>.</w:t>
      </w:r>
    </w:p>
    <w:p w14:paraId="551631EE" w14:textId="04DACE36" w:rsidR="00DF13CE" w:rsidRPr="006D23B1" w:rsidRDefault="001F06C1" w:rsidP="00E40F5D">
      <w:pPr>
        <w:pStyle w:val="ListParagraph"/>
        <w:spacing w:line="480" w:lineRule="auto"/>
        <w:ind w:left="0" w:firstLine="567"/>
        <w:rPr>
          <w:color w:val="00B0F0"/>
        </w:rPr>
      </w:pPr>
      <w:r w:rsidRPr="006D23B1">
        <w:rPr>
          <w:color w:val="00B0F0"/>
        </w:rPr>
        <w:t>P</w:t>
      </w:r>
      <w:r w:rsidR="00FD2D19" w:rsidRPr="006D23B1">
        <w:rPr>
          <w:color w:val="00B0F0"/>
        </w:rPr>
        <w:t xml:space="preserve">rospective participants </w:t>
      </w:r>
      <w:r w:rsidR="00DF13CE" w:rsidRPr="006D23B1">
        <w:rPr>
          <w:color w:val="00B0F0"/>
        </w:rPr>
        <w:t xml:space="preserve">were approached via their </w:t>
      </w:r>
      <w:r w:rsidRPr="006D23B1">
        <w:rPr>
          <w:color w:val="00B0F0"/>
        </w:rPr>
        <w:t xml:space="preserve">former professional footballer </w:t>
      </w:r>
      <w:r w:rsidR="00646AB9">
        <w:rPr>
          <w:color w:val="00B0F0"/>
        </w:rPr>
        <w:t>a</w:t>
      </w:r>
      <w:r w:rsidR="00646AB9" w:rsidRPr="006D23B1">
        <w:rPr>
          <w:color w:val="00B0F0"/>
        </w:rPr>
        <w:t xml:space="preserve">ssociations </w:t>
      </w:r>
      <w:r w:rsidR="009F119E" w:rsidRPr="006D23B1">
        <w:rPr>
          <w:color w:val="00B0F0"/>
        </w:rPr>
        <w:t>for data collection</w:t>
      </w:r>
      <w:r w:rsidR="00DF13CE" w:rsidRPr="006D23B1">
        <w:rPr>
          <w:color w:val="00B0F0"/>
        </w:rPr>
        <w:t>.</w:t>
      </w:r>
      <w:r w:rsidR="00805ABB" w:rsidRPr="006D23B1">
        <w:rPr>
          <w:color w:val="00B0F0"/>
        </w:rPr>
        <w:t xml:space="preserve"> </w:t>
      </w:r>
      <w:r w:rsidR="00DF13CE" w:rsidRPr="006D23B1">
        <w:rPr>
          <w:color w:val="00B0F0"/>
        </w:rPr>
        <w:t xml:space="preserve">All participants received a </w:t>
      </w:r>
      <w:r w:rsidR="008F51C2" w:rsidRPr="006D23B1">
        <w:rPr>
          <w:color w:val="00B0F0"/>
        </w:rPr>
        <w:t xml:space="preserve">package </w:t>
      </w:r>
      <w:r w:rsidR="00DF13CE" w:rsidRPr="006D23B1">
        <w:rPr>
          <w:color w:val="00B0F0"/>
        </w:rPr>
        <w:t xml:space="preserve">through the post containing </w:t>
      </w:r>
      <w:r w:rsidR="008F51C2" w:rsidRPr="006D23B1">
        <w:rPr>
          <w:color w:val="00B0F0"/>
        </w:rPr>
        <w:t xml:space="preserve">a cover letter, </w:t>
      </w:r>
      <w:r w:rsidR="00DF13CE" w:rsidRPr="006D23B1">
        <w:rPr>
          <w:color w:val="00B0F0"/>
        </w:rPr>
        <w:t xml:space="preserve">the </w:t>
      </w:r>
      <w:r w:rsidR="008F51C2" w:rsidRPr="006D23B1">
        <w:rPr>
          <w:color w:val="00B0F0"/>
        </w:rPr>
        <w:t xml:space="preserve">football heading and head injury </w:t>
      </w:r>
      <w:r w:rsidR="003C0210" w:rsidRPr="006D23B1">
        <w:rPr>
          <w:color w:val="00B0F0"/>
        </w:rPr>
        <w:t>survey</w:t>
      </w:r>
      <w:r w:rsidR="008F51C2" w:rsidRPr="006D23B1">
        <w:rPr>
          <w:color w:val="00B0F0"/>
        </w:rPr>
        <w:t>,</w:t>
      </w:r>
      <w:r w:rsidR="003C0210" w:rsidRPr="006D23B1">
        <w:rPr>
          <w:color w:val="00B0F0"/>
        </w:rPr>
        <w:t xml:space="preserve"> </w:t>
      </w:r>
      <w:r w:rsidR="008F51C2" w:rsidRPr="006D23B1">
        <w:rPr>
          <w:color w:val="00B0F0"/>
        </w:rPr>
        <w:t xml:space="preserve">the </w:t>
      </w:r>
      <w:r w:rsidR="003C0210" w:rsidRPr="006D23B1">
        <w:rPr>
          <w:color w:val="00B0F0"/>
        </w:rPr>
        <w:t xml:space="preserve">TYM test </w:t>
      </w:r>
      <w:r w:rsidR="008F51C2" w:rsidRPr="006D23B1">
        <w:rPr>
          <w:color w:val="00B0F0"/>
        </w:rPr>
        <w:t>and a</w:t>
      </w:r>
      <w:r w:rsidR="00B82788" w:rsidRPr="006D23B1">
        <w:rPr>
          <w:color w:val="00B0F0"/>
        </w:rPr>
        <w:t>n addressed and</w:t>
      </w:r>
      <w:r w:rsidR="008F51C2" w:rsidRPr="006D23B1">
        <w:rPr>
          <w:color w:val="00B0F0"/>
        </w:rPr>
        <w:t xml:space="preserve"> franked envelope to be used to return</w:t>
      </w:r>
      <w:r w:rsidR="00F63CA4" w:rsidRPr="006D23B1">
        <w:rPr>
          <w:color w:val="00B0F0"/>
        </w:rPr>
        <w:t xml:space="preserve"> the materials </w:t>
      </w:r>
      <w:r w:rsidR="00B82788" w:rsidRPr="006D23B1">
        <w:rPr>
          <w:color w:val="00B0F0"/>
        </w:rPr>
        <w:t>free of charge</w:t>
      </w:r>
      <w:r w:rsidR="00F62F3F" w:rsidRPr="006D23B1">
        <w:rPr>
          <w:color w:val="00B0F0"/>
        </w:rPr>
        <w:t xml:space="preserve"> </w:t>
      </w:r>
      <w:r w:rsidR="003C0210" w:rsidRPr="006D23B1">
        <w:rPr>
          <w:color w:val="00B0F0"/>
        </w:rPr>
        <w:t xml:space="preserve">(see </w:t>
      </w:r>
      <w:r w:rsidR="003C0210" w:rsidRPr="006D23B1">
        <w:rPr>
          <w:i/>
          <w:iCs/>
          <w:color w:val="00B0F0"/>
        </w:rPr>
        <w:t>Materials</w:t>
      </w:r>
      <w:r w:rsidR="003C0210" w:rsidRPr="006D23B1">
        <w:rPr>
          <w:color w:val="00B0F0"/>
        </w:rPr>
        <w:t xml:space="preserve">). </w:t>
      </w:r>
      <w:r w:rsidR="00B82788" w:rsidRPr="006D23B1">
        <w:rPr>
          <w:color w:val="00B0F0"/>
        </w:rPr>
        <w:t>The cover</w:t>
      </w:r>
      <w:r w:rsidR="0082213E" w:rsidRPr="006D23B1">
        <w:rPr>
          <w:color w:val="00B0F0"/>
        </w:rPr>
        <w:t xml:space="preserve"> </w:t>
      </w:r>
      <w:r w:rsidR="00B82788" w:rsidRPr="006D23B1">
        <w:rPr>
          <w:color w:val="00B0F0"/>
        </w:rPr>
        <w:t xml:space="preserve">letter addressed to participants </w:t>
      </w:r>
      <w:r w:rsidR="00DF13CE" w:rsidRPr="006D23B1">
        <w:rPr>
          <w:color w:val="00B0F0"/>
        </w:rPr>
        <w:t xml:space="preserve">explained </w:t>
      </w:r>
      <w:r w:rsidR="009A4C76" w:rsidRPr="006D23B1">
        <w:rPr>
          <w:color w:val="00B0F0"/>
        </w:rPr>
        <w:t xml:space="preserve">who we (the researchers) </w:t>
      </w:r>
      <w:r w:rsidR="009A4C76" w:rsidRPr="006D23B1">
        <w:rPr>
          <w:color w:val="00B0F0"/>
        </w:rPr>
        <w:lastRenderedPageBreak/>
        <w:t>were and their Former Professional Footballer Association</w:t>
      </w:r>
      <w:r w:rsidR="00FD3DEB" w:rsidRPr="006D23B1">
        <w:rPr>
          <w:color w:val="00B0F0"/>
        </w:rPr>
        <w:t>’s</w:t>
      </w:r>
      <w:r w:rsidR="009A4C76" w:rsidRPr="006D23B1">
        <w:rPr>
          <w:color w:val="00B0F0"/>
        </w:rPr>
        <w:t xml:space="preserve"> ful</w:t>
      </w:r>
      <w:r w:rsidR="00FD3DEB" w:rsidRPr="006D23B1">
        <w:rPr>
          <w:color w:val="00B0F0"/>
        </w:rPr>
        <w:t>l</w:t>
      </w:r>
      <w:r w:rsidR="009A4C76" w:rsidRPr="006D23B1">
        <w:rPr>
          <w:color w:val="00B0F0"/>
        </w:rPr>
        <w:t xml:space="preserve"> support</w:t>
      </w:r>
      <w:r w:rsidR="00FD3DEB" w:rsidRPr="006D23B1">
        <w:rPr>
          <w:color w:val="00B0F0"/>
        </w:rPr>
        <w:t xml:space="preserve"> for</w:t>
      </w:r>
      <w:r w:rsidR="009A4C76" w:rsidRPr="006D23B1">
        <w:rPr>
          <w:color w:val="00B0F0"/>
        </w:rPr>
        <w:t xml:space="preserve"> our research</w:t>
      </w:r>
      <w:proofErr w:type="gramStart"/>
      <w:r w:rsidR="009A4C76" w:rsidRPr="006D23B1">
        <w:rPr>
          <w:color w:val="00B0F0"/>
        </w:rPr>
        <w:t xml:space="preserve">.  </w:t>
      </w:r>
      <w:proofErr w:type="gramEnd"/>
      <w:r w:rsidR="00FD3DEB" w:rsidRPr="006D23B1">
        <w:rPr>
          <w:color w:val="00B0F0"/>
        </w:rPr>
        <w:t xml:space="preserve">(One Former Professional Footballer Association provided a separate letter to be included in the pack received by their members </w:t>
      </w:r>
      <w:r w:rsidR="00F86361" w:rsidRPr="006D23B1">
        <w:rPr>
          <w:color w:val="00B0F0"/>
        </w:rPr>
        <w:t xml:space="preserve">that expressed the extent of their support for </w:t>
      </w:r>
      <w:r w:rsidR="00646AB9" w:rsidRPr="006D23B1">
        <w:rPr>
          <w:color w:val="00B0F0"/>
        </w:rPr>
        <w:t>th</w:t>
      </w:r>
      <w:r w:rsidR="00646AB9">
        <w:rPr>
          <w:color w:val="00B0F0"/>
        </w:rPr>
        <w:t>is</w:t>
      </w:r>
      <w:r w:rsidR="00646AB9" w:rsidRPr="006D23B1">
        <w:rPr>
          <w:color w:val="00B0F0"/>
        </w:rPr>
        <w:t xml:space="preserve"> </w:t>
      </w:r>
      <w:r w:rsidR="00F86361" w:rsidRPr="006D23B1">
        <w:rPr>
          <w:color w:val="00B0F0"/>
        </w:rPr>
        <w:t xml:space="preserve">research.) </w:t>
      </w:r>
      <w:r w:rsidR="00FD3DEB" w:rsidRPr="006D23B1">
        <w:rPr>
          <w:color w:val="00B0F0"/>
        </w:rPr>
        <w:t xml:space="preserve"> </w:t>
      </w:r>
      <w:r w:rsidR="009A4C76" w:rsidRPr="006D23B1">
        <w:rPr>
          <w:color w:val="00B0F0"/>
        </w:rPr>
        <w:t xml:space="preserve">After explaining </w:t>
      </w:r>
      <w:r w:rsidR="008F51C2" w:rsidRPr="006D23B1">
        <w:rPr>
          <w:color w:val="00B0F0"/>
        </w:rPr>
        <w:t xml:space="preserve">how </w:t>
      </w:r>
      <w:r w:rsidR="00F86361" w:rsidRPr="006D23B1">
        <w:rPr>
          <w:color w:val="00B0F0"/>
        </w:rPr>
        <w:t>participant</w:t>
      </w:r>
      <w:r w:rsidR="00B82788" w:rsidRPr="006D23B1">
        <w:rPr>
          <w:color w:val="00B0F0"/>
        </w:rPr>
        <w:t xml:space="preserve"> anonymity would be maintained, t</w:t>
      </w:r>
      <w:r w:rsidR="009A4C76" w:rsidRPr="006D23B1">
        <w:rPr>
          <w:color w:val="00B0F0"/>
        </w:rPr>
        <w:t xml:space="preserve">he letter also </w:t>
      </w:r>
      <w:r w:rsidR="00B82788" w:rsidRPr="006D23B1">
        <w:rPr>
          <w:color w:val="00B0F0"/>
        </w:rPr>
        <w:t xml:space="preserve">explained how </w:t>
      </w:r>
      <w:r w:rsidR="00DF13CE" w:rsidRPr="006D23B1">
        <w:rPr>
          <w:color w:val="00B0F0"/>
        </w:rPr>
        <w:t>participants should return the</w:t>
      </w:r>
      <w:r w:rsidR="00F62F3F" w:rsidRPr="006D23B1">
        <w:rPr>
          <w:color w:val="00B0F0"/>
        </w:rPr>
        <w:t xml:space="preserve"> completed</w:t>
      </w:r>
      <w:r w:rsidR="00DF13CE" w:rsidRPr="006D23B1">
        <w:rPr>
          <w:color w:val="00B0F0"/>
        </w:rPr>
        <w:t xml:space="preserve"> </w:t>
      </w:r>
      <w:r w:rsidR="00F62F3F" w:rsidRPr="006D23B1">
        <w:rPr>
          <w:color w:val="00B0F0"/>
        </w:rPr>
        <w:t>survey</w:t>
      </w:r>
      <w:r w:rsidR="00F62F3F" w:rsidRPr="006D23B1" w:rsidDel="00F62F3F">
        <w:rPr>
          <w:color w:val="00B0F0"/>
        </w:rPr>
        <w:t xml:space="preserve"> </w:t>
      </w:r>
      <w:r w:rsidR="00F62F3F" w:rsidRPr="006D23B1">
        <w:rPr>
          <w:color w:val="00B0F0"/>
        </w:rPr>
        <w:t xml:space="preserve">and TYM </w:t>
      </w:r>
      <w:r w:rsidR="00DF13CE" w:rsidRPr="006D23B1">
        <w:rPr>
          <w:color w:val="00B0F0"/>
        </w:rPr>
        <w:t xml:space="preserve">using the </w:t>
      </w:r>
      <w:r w:rsidR="00F62F3F" w:rsidRPr="006D23B1">
        <w:rPr>
          <w:color w:val="00B0F0"/>
        </w:rPr>
        <w:t>addressed</w:t>
      </w:r>
      <w:r w:rsidR="00F86361" w:rsidRPr="006D23B1">
        <w:rPr>
          <w:color w:val="00B0F0"/>
        </w:rPr>
        <w:t xml:space="preserve"> and</w:t>
      </w:r>
      <w:r w:rsidR="00F62F3F" w:rsidRPr="006D23B1">
        <w:rPr>
          <w:color w:val="00B0F0"/>
        </w:rPr>
        <w:t xml:space="preserve"> franked </w:t>
      </w:r>
      <w:r w:rsidR="00F86361" w:rsidRPr="006D23B1">
        <w:rPr>
          <w:color w:val="00B0F0"/>
        </w:rPr>
        <w:t xml:space="preserve">(i.e. </w:t>
      </w:r>
      <w:r w:rsidR="00DF13CE" w:rsidRPr="006D23B1">
        <w:rPr>
          <w:color w:val="00B0F0"/>
        </w:rPr>
        <w:t>prepaid</w:t>
      </w:r>
      <w:r w:rsidR="00F86361" w:rsidRPr="006D23B1">
        <w:rPr>
          <w:color w:val="00B0F0"/>
        </w:rPr>
        <w:t>)</w:t>
      </w:r>
      <w:r w:rsidR="00DF13CE" w:rsidRPr="006D23B1">
        <w:rPr>
          <w:color w:val="00B0F0"/>
        </w:rPr>
        <w:t xml:space="preserve"> envelope provided</w:t>
      </w:r>
      <w:proofErr w:type="gramStart"/>
      <w:r w:rsidR="00DF13CE" w:rsidRPr="006D23B1">
        <w:rPr>
          <w:color w:val="00B0F0"/>
        </w:rPr>
        <w:t xml:space="preserve">. </w:t>
      </w:r>
      <w:r w:rsidR="002367E6" w:rsidRPr="006D23B1">
        <w:rPr>
          <w:color w:val="00B0F0"/>
        </w:rPr>
        <w:t xml:space="preserve"> </w:t>
      </w:r>
      <w:bookmarkStart w:id="2" w:name="_Hlk82509871"/>
      <w:proofErr w:type="gramEnd"/>
      <w:r w:rsidR="00F86361" w:rsidRPr="006D23B1">
        <w:rPr>
          <w:color w:val="00B0F0"/>
        </w:rPr>
        <w:t>Additionally, p</w:t>
      </w:r>
      <w:r w:rsidR="002367E6" w:rsidRPr="006D23B1">
        <w:rPr>
          <w:color w:val="00B0F0"/>
        </w:rPr>
        <w:t xml:space="preserve">articipants were </w:t>
      </w:r>
      <w:bookmarkEnd w:id="2"/>
      <w:r w:rsidR="002367E6" w:rsidRPr="006D23B1">
        <w:rPr>
          <w:color w:val="00B0F0"/>
        </w:rPr>
        <w:t>encouraged to take their time completing the football heading survey</w:t>
      </w:r>
      <w:r w:rsidR="00F86361" w:rsidRPr="006D23B1">
        <w:rPr>
          <w:color w:val="00B0F0"/>
        </w:rPr>
        <w:t>,</w:t>
      </w:r>
      <w:r w:rsidR="002367E6" w:rsidRPr="006D23B1">
        <w:rPr>
          <w:color w:val="00B0F0"/>
        </w:rPr>
        <w:t xml:space="preserve"> </w:t>
      </w:r>
      <w:r w:rsidR="00F62F3F" w:rsidRPr="006D23B1">
        <w:rPr>
          <w:color w:val="00B0F0"/>
        </w:rPr>
        <w:t xml:space="preserve">so as </w:t>
      </w:r>
      <w:r w:rsidR="002367E6" w:rsidRPr="006D23B1">
        <w:rPr>
          <w:color w:val="00B0F0"/>
        </w:rPr>
        <w:t xml:space="preserve">to </w:t>
      </w:r>
      <w:r w:rsidR="00F62F3F" w:rsidRPr="006D23B1">
        <w:rPr>
          <w:color w:val="00B0F0"/>
        </w:rPr>
        <w:t xml:space="preserve">provide </w:t>
      </w:r>
      <w:r w:rsidR="002367E6" w:rsidRPr="006D23B1">
        <w:rPr>
          <w:color w:val="00B0F0"/>
        </w:rPr>
        <w:t>a full and accurate account</w:t>
      </w:r>
      <w:proofErr w:type="gramStart"/>
      <w:r w:rsidR="002367E6" w:rsidRPr="006D23B1">
        <w:rPr>
          <w:color w:val="00B0F0"/>
        </w:rPr>
        <w:t xml:space="preserve">.  </w:t>
      </w:r>
      <w:proofErr w:type="gramEnd"/>
      <w:r w:rsidR="002367E6" w:rsidRPr="006D23B1">
        <w:rPr>
          <w:color w:val="00B0F0"/>
        </w:rPr>
        <w:t xml:space="preserve">Participants </w:t>
      </w:r>
      <w:r w:rsidR="00C40F56" w:rsidRPr="006D23B1">
        <w:rPr>
          <w:color w:val="00B0F0"/>
        </w:rPr>
        <w:t xml:space="preserve">were </w:t>
      </w:r>
      <w:r w:rsidR="00DF13CE" w:rsidRPr="006D23B1">
        <w:rPr>
          <w:color w:val="00B0F0"/>
        </w:rPr>
        <w:t>informed that the TYM test should take approximately five minutes</w:t>
      </w:r>
      <w:r w:rsidR="002367E6" w:rsidRPr="006D23B1">
        <w:rPr>
          <w:color w:val="00B0F0"/>
        </w:rPr>
        <w:t xml:space="preserve"> to complete</w:t>
      </w:r>
      <w:r w:rsidR="00DF13CE" w:rsidRPr="006D23B1">
        <w:rPr>
          <w:color w:val="00B0F0"/>
        </w:rPr>
        <w:t xml:space="preserve">, </w:t>
      </w:r>
      <w:r w:rsidR="0026447B" w:rsidRPr="006D23B1">
        <w:rPr>
          <w:color w:val="00B0F0"/>
        </w:rPr>
        <w:t xml:space="preserve">and that it </w:t>
      </w:r>
      <w:r w:rsidR="002367E6" w:rsidRPr="006D23B1">
        <w:rPr>
          <w:color w:val="00B0F0"/>
        </w:rPr>
        <w:t xml:space="preserve">should </w:t>
      </w:r>
      <w:r w:rsidR="0026447B" w:rsidRPr="006D23B1">
        <w:rPr>
          <w:color w:val="00B0F0"/>
        </w:rPr>
        <w:t xml:space="preserve">be </w:t>
      </w:r>
      <w:r w:rsidR="00CB00FA" w:rsidRPr="006D23B1">
        <w:rPr>
          <w:color w:val="00B0F0"/>
        </w:rPr>
        <w:t xml:space="preserve">self-administered, although the test </w:t>
      </w:r>
      <w:r w:rsidR="002367E6" w:rsidRPr="006D23B1">
        <w:rPr>
          <w:color w:val="00B0F0"/>
        </w:rPr>
        <w:t xml:space="preserve">does </w:t>
      </w:r>
      <w:r w:rsidR="00CB00FA" w:rsidRPr="006D23B1">
        <w:rPr>
          <w:color w:val="00B0F0"/>
        </w:rPr>
        <w:t xml:space="preserve">allow </w:t>
      </w:r>
      <w:r w:rsidR="00A41A8B" w:rsidRPr="006D23B1">
        <w:rPr>
          <w:color w:val="00B0F0"/>
        </w:rPr>
        <w:t xml:space="preserve">external </w:t>
      </w:r>
      <w:r w:rsidR="00CB00FA" w:rsidRPr="006D23B1">
        <w:rPr>
          <w:color w:val="00B0F0"/>
        </w:rPr>
        <w:t xml:space="preserve">help </w:t>
      </w:r>
      <w:r w:rsidR="00A41A8B" w:rsidRPr="006D23B1">
        <w:rPr>
          <w:color w:val="00B0F0"/>
        </w:rPr>
        <w:t>to</w:t>
      </w:r>
      <w:r w:rsidR="00CB00FA" w:rsidRPr="006D23B1">
        <w:rPr>
          <w:color w:val="00B0F0"/>
        </w:rPr>
        <w:t xml:space="preserve"> </w:t>
      </w:r>
      <w:r w:rsidR="002367E6" w:rsidRPr="006D23B1">
        <w:rPr>
          <w:color w:val="00B0F0"/>
        </w:rPr>
        <w:t>be recorded</w:t>
      </w:r>
      <w:proofErr w:type="gramStart"/>
      <w:r w:rsidR="00A41A8B" w:rsidRPr="006D23B1">
        <w:rPr>
          <w:color w:val="00B0F0"/>
        </w:rPr>
        <w:t>.</w:t>
      </w:r>
      <w:r w:rsidR="00343533" w:rsidRPr="006D23B1">
        <w:rPr>
          <w:color w:val="00B0F0"/>
        </w:rPr>
        <w:t xml:space="preserve"> </w:t>
      </w:r>
      <w:r w:rsidR="002367E6" w:rsidRPr="006D23B1">
        <w:rPr>
          <w:color w:val="00B0F0"/>
        </w:rPr>
        <w:t xml:space="preserve"> </w:t>
      </w:r>
      <w:proofErr w:type="gramEnd"/>
      <w:r w:rsidR="00BB28B4" w:rsidRPr="006D23B1">
        <w:rPr>
          <w:color w:val="00B0F0"/>
        </w:rPr>
        <w:t>P</w:t>
      </w:r>
      <w:r w:rsidR="00DF13CE" w:rsidRPr="006D23B1">
        <w:rPr>
          <w:color w:val="00B0F0"/>
        </w:rPr>
        <w:t xml:space="preserve">articipants were made aware that returning the materials </w:t>
      </w:r>
      <w:r w:rsidR="00023E43" w:rsidRPr="006D23B1">
        <w:rPr>
          <w:color w:val="00B0F0"/>
        </w:rPr>
        <w:t>would</w:t>
      </w:r>
      <w:r w:rsidR="00DF13CE" w:rsidRPr="006D23B1">
        <w:rPr>
          <w:color w:val="00B0F0"/>
        </w:rPr>
        <w:t xml:space="preserve"> be interpreted as informed consent</w:t>
      </w:r>
      <w:r w:rsidR="00023E43" w:rsidRPr="006D23B1">
        <w:rPr>
          <w:color w:val="00B0F0"/>
        </w:rPr>
        <w:t xml:space="preserve">, but that they had the option of </w:t>
      </w:r>
      <w:r w:rsidR="00DF13CE" w:rsidRPr="006D23B1">
        <w:rPr>
          <w:color w:val="00B0F0"/>
        </w:rPr>
        <w:t>withdraw</w:t>
      </w:r>
      <w:r w:rsidR="00023E43" w:rsidRPr="006D23B1">
        <w:rPr>
          <w:color w:val="00B0F0"/>
        </w:rPr>
        <w:t>ing</w:t>
      </w:r>
      <w:r w:rsidR="00DF13CE" w:rsidRPr="006D23B1">
        <w:rPr>
          <w:color w:val="00B0F0"/>
        </w:rPr>
        <w:t xml:space="preserve"> their data</w:t>
      </w:r>
      <w:r w:rsidR="00023E43" w:rsidRPr="006D23B1">
        <w:rPr>
          <w:color w:val="00B0F0"/>
        </w:rPr>
        <w:t xml:space="preserve"> by </w:t>
      </w:r>
      <w:r w:rsidR="00DF13CE" w:rsidRPr="006D23B1">
        <w:rPr>
          <w:color w:val="00B0F0"/>
        </w:rPr>
        <w:t>contact</w:t>
      </w:r>
      <w:r w:rsidR="00023E43" w:rsidRPr="006D23B1">
        <w:rPr>
          <w:color w:val="00B0F0"/>
        </w:rPr>
        <w:t>ing</w:t>
      </w:r>
      <w:r w:rsidR="00DF13CE" w:rsidRPr="006D23B1">
        <w:rPr>
          <w:color w:val="00B0F0"/>
        </w:rPr>
        <w:t xml:space="preserve"> the researcher at any </w:t>
      </w:r>
      <w:r w:rsidR="000A7208" w:rsidRPr="006D23B1">
        <w:rPr>
          <w:color w:val="00B0F0"/>
        </w:rPr>
        <w:t xml:space="preserve">subsequent </w:t>
      </w:r>
      <w:r w:rsidR="00DF13CE" w:rsidRPr="006D23B1">
        <w:rPr>
          <w:color w:val="00B0F0"/>
        </w:rPr>
        <w:t>time.</w:t>
      </w:r>
    </w:p>
    <w:p w14:paraId="693C5FDB" w14:textId="1DD0CF74" w:rsidR="00953E16" w:rsidRPr="00B908AD" w:rsidRDefault="001E69F5" w:rsidP="00FD2D19">
      <w:pPr>
        <w:spacing w:line="480" w:lineRule="auto"/>
        <w:rPr>
          <w:color w:val="000000" w:themeColor="text1"/>
        </w:rPr>
      </w:pPr>
      <w:r w:rsidRPr="00B908AD">
        <w:rPr>
          <w:i/>
          <w:iCs/>
          <w:color w:val="000000" w:themeColor="text1"/>
        </w:rPr>
        <w:t>Design and analysis</w:t>
      </w:r>
      <w:r w:rsidRPr="00B908AD">
        <w:rPr>
          <w:color w:val="000000" w:themeColor="text1"/>
        </w:rPr>
        <w:t>.</w:t>
      </w:r>
      <w:r w:rsidR="008864D5" w:rsidRPr="00B908AD">
        <w:rPr>
          <w:color w:val="000000" w:themeColor="text1"/>
        </w:rPr>
        <w:t xml:space="preserve"> </w:t>
      </w:r>
      <w:r w:rsidR="000E6FA2" w:rsidRPr="00B908AD">
        <w:rPr>
          <w:color w:val="000000" w:themeColor="text1"/>
        </w:rPr>
        <w:t>A cross-sectional design was applied</w:t>
      </w:r>
      <w:proofErr w:type="gramStart"/>
      <w:r w:rsidR="000E6FA2" w:rsidRPr="00B908AD">
        <w:rPr>
          <w:color w:val="000000" w:themeColor="text1"/>
        </w:rPr>
        <w:t xml:space="preserve">. </w:t>
      </w:r>
      <w:r w:rsidR="00BB28B4">
        <w:rPr>
          <w:color w:val="000000" w:themeColor="text1"/>
        </w:rPr>
        <w:t xml:space="preserve"> </w:t>
      </w:r>
      <w:proofErr w:type="gramEnd"/>
      <w:r w:rsidR="008864D5" w:rsidRPr="00B908AD">
        <w:rPr>
          <w:color w:val="000000" w:themeColor="text1"/>
        </w:rPr>
        <w:t xml:space="preserve">The data were analysed </w:t>
      </w:r>
      <w:r w:rsidR="001056FB" w:rsidRPr="00B908AD">
        <w:rPr>
          <w:color w:val="000000" w:themeColor="text1"/>
        </w:rPr>
        <w:t>in two steps</w:t>
      </w:r>
      <w:proofErr w:type="gramStart"/>
      <w:r w:rsidR="00BB28B4">
        <w:rPr>
          <w:color w:val="000000" w:themeColor="text1"/>
        </w:rPr>
        <w:t xml:space="preserve">.  </w:t>
      </w:r>
      <w:proofErr w:type="gramEnd"/>
      <w:r w:rsidR="00BB28B4">
        <w:rPr>
          <w:color w:val="000000" w:themeColor="text1"/>
        </w:rPr>
        <w:t>F</w:t>
      </w:r>
      <w:r w:rsidR="00112685" w:rsidRPr="00B908AD">
        <w:rPr>
          <w:color w:val="000000" w:themeColor="text1"/>
        </w:rPr>
        <w:t xml:space="preserve">irst, </w:t>
      </w:r>
      <w:r w:rsidR="008864D5" w:rsidRPr="00B908AD">
        <w:rPr>
          <w:color w:val="000000" w:themeColor="text1"/>
        </w:rPr>
        <w:t>Bayesian</w:t>
      </w:r>
      <w:r w:rsidR="00112685" w:rsidRPr="00B908AD">
        <w:rPr>
          <w:color w:val="000000" w:themeColor="text1"/>
        </w:rPr>
        <w:t xml:space="preserve"> linear regression</w:t>
      </w:r>
      <w:r w:rsidR="005216FD" w:rsidRPr="00B908AD">
        <w:rPr>
          <w:color w:val="000000" w:themeColor="text1"/>
        </w:rPr>
        <w:t xml:space="preserve"> hypotheses were tested</w:t>
      </w:r>
      <w:r w:rsidR="00BB28B4">
        <w:rPr>
          <w:color w:val="000000" w:themeColor="text1"/>
        </w:rPr>
        <w:t>, and</w:t>
      </w:r>
      <w:r w:rsidR="00BB28B4" w:rsidRPr="00B908AD">
        <w:rPr>
          <w:color w:val="000000" w:themeColor="text1"/>
        </w:rPr>
        <w:t xml:space="preserve"> </w:t>
      </w:r>
      <w:r w:rsidR="00112685" w:rsidRPr="00B908AD">
        <w:rPr>
          <w:color w:val="000000" w:themeColor="text1"/>
        </w:rPr>
        <w:t xml:space="preserve">second, </w:t>
      </w:r>
      <w:r w:rsidR="00C77D66" w:rsidRPr="00B908AD">
        <w:rPr>
          <w:color w:val="000000" w:themeColor="text1"/>
        </w:rPr>
        <w:t xml:space="preserve">further </w:t>
      </w:r>
      <w:r w:rsidR="00553424" w:rsidRPr="00B908AD">
        <w:rPr>
          <w:color w:val="000000" w:themeColor="text1"/>
        </w:rPr>
        <w:t>confirm</w:t>
      </w:r>
      <w:r w:rsidR="00C77D66" w:rsidRPr="00B908AD">
        <w:rPr>
          <w:color w:val="000000" w:themeColor="text1"/>
        </w:rPr>
        <w:t xml:space="preserve">ation </w:t>
      </w:r>
      <w:r w:rsidR="00BB28B4">
        <w:rPr>
          <w:color w:val="000000" w:themeColor="text1"/>
        </w:rPr>
        <w:t xml:space="preserve">of </w:t>
      </w:r>
      <w:r w:rsidR="00553424" w:rsidRPr="00B908AD">
        <w:rPr>
          <w:color w:val="000000" w:themeColor="text1"/>
        </w:rPr>
        <w:t xml:space="preserve">supported hypotheses </w:t>
      </w:r>
      <w:r w:rsidR="00BB28B4">
        <w:rPr>
          <w:color w:val="000000" w:themeColor="text1"/>
        </w:rPr>
        <w:t xml:space="preserve">was </w:t>
      </w:r>
      <w:r w:rsidR="00346D70">
        <w:rPr>
          <w:color w:val="000000" w:themeColor="text1"/>
        </w:rPr>
        <w:t>provid</w:t>
      </w:r>
      <w:r w:rsidR="00BB28B4">
        <w:rPr>
          <w:color w:val="000000" w:themeColor="text1"/>
        </w:rPr>
        <w:t xml:space="preserve">ed by </w:t>
      </w:r>
      <w:r w:rsidR="00DE099F" w:rsidRPr="00B908AD">
        <w:rPr>
          <w:color w:val="000000" w:themeColor="text1"/>
        </w:rPr>
        <w:t>traditional</w:t>
      </w:r>
      <w:r w:rsidR="00027524" w:rsidRPr="00B908AD">
        <w:rPr>
          <w:color w:val="000000" w:themeColor="text1"/>
        </w:rPr>
        <w:t xml:space="preserve"> </w:t>
      </w:r>
      <w:r w:rsidR="009B173A" w:rsidRPr="00B908AD">
        <w:rPr>
          <w:color w:val="000000" w:themeColor="text1"/>
        </w:rPr>
        <w:t xml:space="preserve">(frequentist) </w:t>
      </w:r>
      <w:r w:rsidR="003B0C3D" w:rsidRPr="00B908AD">
        <w:rPr>
          <w:color w:val="000000" w:themeColor="text1"/>
        </w:rPr>
        <w:t xml:space="preserve">linear </w:t>
      </w:r>
      <w:r w:rsidR="001056FB" w:rsidRPr="00B908AD">
        <w:rPr>
          <w:color w:val="000000" w:themeColor="text1"/>
        </w:rPr>
        <w:t xml:space="preserve">and logistic </w:t>
      </w:r>
      <w:r w:rsidR="003B0C3D" w:rsidRPr="00B908AD">
        <w:rPr>
          <w:color w:val="000000" w:themeColor="text1"/>
        </w:rPr>
        <w:t>regression</w:t>
      </w:r>
      <w:r w:rsidR="00A53F9E" w:rsidRPr="00B908AD">
        <w:rPr>
          <w:color w:val="000000" w:themeColor="text1"/>
        </w:rPr>
        <w:t>s</w:t>
      </w:r>
      <w:proofErr w:type="gramStart"/>
      <w:r w:rsidR="00027524" w:rsidRPr="00B908AD">
        <w:rPr>
          <w:color w:val="000000" w:themeColor="text1"/>
        </w:rPr>
        <w:t xml:space="preserve">. </w:t>
      </w:r>
      <w:r w:rsidR="00953E16" w:rsidRPr="00B908AD">
        <w:rPr>
          <w:color w:val="000000" w:themeColor="text1"/>
        </w:rPr>
        <w:t xml:space="preserve"> </w:t>
      </w:r>
      <w:proofErr w:type="gramEnd"/>
      <w:r w:rsidR="00027524" w:rsidRPr="00B908AD">
        <w:rPr>
          <w:color w:val="000000" w:themeColor="text1"/>
        </w:rPr>
        <w:t>Analyses were carried out using JASP</w:t>
      </w:r>
      <w:r w:rsidR="007651E5" w:rsidRPr="00B908AD">
        <w:rPr>
          <w:color w:val="000000" w:themeColor="text1"/>
        </w:rPr>
        <w:t xml:space="preserve"> (0.13.1</w:t>
      </w:r>
      <w:r w:rsidR="00AA5B59" w:rsidRPr="00B908AD">
        <w:rPr>
          <w:color w:val="000000" w:themeColor="text1"/>
        </w:rPr>
        <w:t xml:space="preserve">; </w:t>
      </w:r>
      <w:hyperlink r:id="rId9" w:history="1">
        <w:r w:rsidR="00563731" w:rsidRPr="00893F5A">
          <w:rPr>
            <w:rStyle w:val="Hyperlink"/>
          </w:rPr>
          <w:t>https://jasp-stats.org/</w:t>
        </w:r>
      </w:hyperlink>
      <w:r w:rsidR="007651E5" w:rsidRPr="00B908AD">
        <w:rPr>
          <w:color w:val="000000" w:themeColor="text1"/>
        </w:rPr>
        <w:t>)</w:t>
      </w:r>
      <w:proofErr w:type="gramStart"/>
      <w:r w:rsidR="00027524" w:rsidRPr="00B908AD">
        <w:rPr>
          <w:color w:val="000000" w:themeColor="text1"/>
        </w:rPr>
        <w:t>.</w:t>
      </w:r>
      <w:r w:rsidR="00BB28B4">
        <w:rPr>
          <w:color w:val="000000" w:themeColor="text1"/>
        </w:rPr>
        <w:t xml:space="preserve"> </w:t>
      </w:r>
      <w:r w:rsidR="00563731">
        <w:rPr>
          <w:color w:val="000000" w:themeColor="text1"/>
        </w:rPr>
        <w:t xml:space="preserve"> </w:t>
      </w:r>
      <w:proofErr w:type="gramEnd"/>
      <w:r w:rsidR="00BB28B4">
        <w:rPr>
          <w:color w:val="00B050"/>
        </w:rPr>
        <w:t>T</w:t>
      </w:r>
      <w:r w:rsidR="00324A3D">
        <w:rPr>
          <w:color w:val="00B050"/>
        </w:rPr>
        <w:t>hese t</w:t>
      </w:r>
      <w:r w:rsidR="00563731" w:rsidRPr="00532264">
        <w:rPr>
          <w:color w:val="00B050"/>
        </w:rPr>
        <w:t xml:space="preserve">wo analytical techniques </w:t>
      </w:r>
      <w:r w:rsidR="00324A3D">
        <w:rPr>
          <w:color w:val="00B050"/>
        </w:rPr>
        <w:t xml:space="preserve">were applied </w:t>
      </w:r>
      <w:r w:rsidR="00563731" w:rsidRPr="00532264">
        <w:rPr>
          <w:color w:val="00B050"/>
        </w:rPr>
        <w:t xml:space="preserve">to provide converging evidence in support of our </w:t>
      </w:r>
      <w:r w:rsidR="00324A3D">
        <w:rPr>
          <w:color w:val="00B050"/>
        </w:rPr>
        <w:t>hypotheses</w:t>
      </w:r>
      <w:r w:rsidR="00563731" w:rsidRPr="00532264">
        <w:rPr>
          <w:color w:val="00B050"/>
        </w:rPr>
        <w:t>.</w:t>
      </w:r>
    </w:p>
    <w:p w14:paraId="42F4F38B" w14:textId="4E342DDE" w:rsidR="00CE2C1C" w:rsidRPr="00B908AD" w:rsidRDefault="00304885" w:rsidP="00BA3C19">
      <w:pPr>
        <w:tabs>
          <w:tab w:val="left" w:pos="7100"/>
        </w:tabs>
        <w:spacing w:line="480" w:lineRule="auto"/>
        <w:rPr>
          <w:color w:val="000000" w:themeColor="text1"/>
        </w:rPr>
      </w:pPr>
      <w:r w:rsidRPr="00B908AD">
        <w:rPr>
          <w:color w:val="000000" w:themeColor="text1"/>
        </w:rPr>
        <w:t xml:space="preserve">Before describing the Bayesian and traditional approaches </w:t>
      </w:r>
      <w:r w:rsidR="00324A3D">
        <w:rPr>
          <w:color w:val="000000" w:themeColor="text1"/>
        </w:rPr>
        <w:t>appli</w:t>
      </w:r>
      <w:r w:rsidR="00324A3D" w:rsidRPr="00B908AD">
        <w:rPr>
          <w:color w:val="000000" w:themeColor="text1"/>
        </w:rPr>
        <w:t>ed</w:t>
      </w:r>
      <w:r w:rsidRPr="00B908AD">
        <w:rPr>
          <w:color w:val="000000" w:themeColor="text1"/>
        </w:rPr>
        <w:t xml:space="preserve">, </w:t>
      </w:r>
      <w:r w:rsidR="00C1642F" w:rsidRPr="00B908AD">
        <w:rPr>
          <w:color w:val="000000" w:themeColor="text1"/>
        </w:rPr>
        <w:t>the predictor variab</w:t>
      </w:r>
      <w:r w:rsidR="00BA3C19" w:rsidRPr="00B908AD">
        <w:rPr>
          <w:color w:val="000000" w:themeColor="text1"/>
        </w:rPr>
        <w:t>les</w:t>
      </w:r>
      <w:r w:rsidR="00953E16" w:rsidRPr="00B908AD">
        <w:rPr>
          <w:color w:val="000000" w:themeColor="text1"/>
        </w:rPr>
        <w:t xml:space="preserve"> will be defined</w:t>
      </w:r>
      <w:r w:rsidR="00BA3C19" w:rsidRPr="00B908AD">
        <w:rPr>
          <w:color w:val="000000" w:themeColor="text1"/>
        </w:rPr>
        <w:t xml:space="preserve">: </w:t>
      </w:r>
      <w:r w:rsidRPr="00B908AD">
        <w:rPr>
          <w:color w:val="000000" w:themeColor="text1"/>
        </w:rPr>
        <w:t xml:space="preserve">total estimated </w:t>
      </w:r>
      <w:r w:rsidR="00BA3C19" w:rsidRPr="00B908AD">
        <w:rPr>
          <w:color w:val="000000" w:themeColor="text1"/>
        </w:rPr>
        <w:t xml:space="preserve">number of </w:t>
      </w:r>
      <w:r w:rsidRPr="00B908AD">
        <w:rPr>
          <w:color w:val="000000" w:themeColor="text1"/>
        </w:rPr>
        <w:t>career headers</w:t>
      </w:r>
      <w:r w:rsidR="00BA3C19" w:rsidRPr="00B908AD">
        <w:rPr>
          <w:color w:val="000000" w:themeColor="text1"/>
        </w:rPr>
        <w:t xml:space="preserve"> (henceforth</w:t>
      </w:r>
      <w:r w:rsidR="00727788" w:rsidRPr="00B908AD">
        <w:rPr>
          <w:color w:val="000000" w:themeColor="text1"/>
        </w:rPr>
        <w:t>,</w:t>
      </w:r>
      <w:r w:rsidR="00BA3C19" w:rsidRPr="00B908AD">
        <w:rPr>
          <w:color w:val="000000" w:themeColor="text1"/>
        </w:rPr>
        <w:t xml:space="preserve"> headers</w:t>
      </w:r>
      <w:r w:rsidR="00324A3D" w:rsidRPr="00B908AD">
        <w:rPr>
          <w:color w:val="000000" w:themeColor="text1"/>
        </w:rPr>
        <w:t>)</w:t>
      </w:r>
      <w:r w:rsidR="00324A3D">
        <w:rPr>
          <w:color w:val="000000" w:themeColor="text1"/>
        </w:rPr>
        <w:t xml:space="preserve"> and the </w:t>
      </w:r>
      <w:r w:rsidRPr="00B908AD">
        <w:rPr>
          <w:color w:val="000000" w:themeColor="text1"/>
        </w:rPr>
        <w:t xml:space="preserve">total estimated </w:t>
      </w:r>
      <w:r w:rsidR="00727788" w:rsidRPr="00B908AD">
        <w:rPr>
          <w:color w:val="000000" w:themeColor="text1"/>
        </w:rPr>
        <w:t xml:space="preserve">number of </w:t>
      </w:r>
      <w:r w:rsidRPr="00B908AD">
        <w:rPr>
          <w:color w:val="000000" w:themeColor="text1"/>
        </w:rPr>
        <w:t>career football head injuries</w:t>
      </w:r>
      <w:r w:rsidR="00727788" w:rsidRPr="00B908AD">
        <w:rPr>
          <w:color w:val="000000" w:themeColor="text1"/>
        </w:rPr>
        <w:t xml:space="preserve"> (henceforth, injuries)</w:t>
      </w:r>
      <w:proofErr w:type="gramStart"/>
      <w:r w:rsidRPr="00B908AD">
        <w:rPr>
          <w:color w:val="000000" w:themeColor="text1"/>
        </w:rPr>
        <w:t xml:space="preserve">. </w:t>
      </w:r>
      <w:r w:rsidR="00324A3D">
        <w:rPr>
          <w:color w:val="000000" w:themeColor="text1"/>
        </w:rPr>
        <w:t xml:space="preserve"> </w:t>
      </w:r>
      <w:proofErr w:type="gramEnd"/>
      <w:r w:rsidR="00324A3D">
        <w:rPr>
          <w:color w:val="000000" w:themeColor="text1"/>
        </w:rPr>
        <w:t>The number of h</w:t>
      </w:r>
      <w:r w:rsidRPr="00B908AD">
        <w:rPr>
          <w:color w:val="000000" w:themeColor="text1"/>
        </w:rPr>
        <w:t xml:space="preserve">eaders </w:t>
      </w:r>
      <w:r w:rsidR="00324A3D" w:rsidRPr="00B908AD">
        <w:rPr>
          <w:color w:val="000000" w:themeColor="text1"/>
        </w:rPr>
        <w:t>w</w:t>
      </w:r>
      <w:r w:rsidR="00324A3D">
        <w:rPr>
          <w:color w:val="000000" w:themeColor="text1"/>
        </w:rPr>
        <w:t>as</w:t>
      </w:r>
      <w:r w:rsidR="00324A3D" w:rsidRPr="00B908AD">
        <w:rPr>
          <w:color w:val="000000" w:themeColor="text1"/>
        </w:rPr>
        <w:t xml:space="preserve"> </w:t>
      </w:r>
      <w:r w:rsidR="00324A3D">
        <w:rPr>
          <w:color w:val="000000" w:themeColor="text1"/>
        </w:rPr>
        <w:t>determin</w:t>
      </w:r>
      <w:r w:rsidR="00324A3D" w:rsidRPr="00B908AD">
        <w:rPr>
          <w:color w:val="000000" w:themeColor="text1"/>
        </w:rPr>
        <w:t xml:space="preserve">ed </w:t>
      </w:r>
      <w:r w:rsidRPr="00B908AD">
        <w:rPr>
          <w:color w:val="000000" w:themeColor="text1"/>
        </w:rPr>
        <w:t xml:space="preserve">by adding </w:t>
      </w:r>
      <w:r w:rsidR="00CD070E" w:rsidRPr="00B908AD">
        <w:rPr>
          <w:color w:val="000000" w:themeColor="text1"/>
        </w:rPr>
        <w:t xml:space="preserve">the </w:t>
      </w:r>
      <w:r w:rsidRPr="00B908AD">
        <w:rPr>
          <w:color w:val="000000" w:themeColor="text1"/>
        </w:rPr>
        <w:t xml:space="preserve">total </w:t>
      </w:r>
      <w:r w:rsidR="00A56F4B" w:rsidRPr="00B908AD">
        <w:rPr>
          <w:color w:val="000000" w:themeColor="text1"/>
        </w:rPr>
        <w:t xml:space="preserve">number of </w:t>
      </w:r>
      <w:r w:rsidRPr="00B908AD">
        <w:rPr>
          <w:color w:val="000000" w:themeColor="text1"/>
        </w:rPr>
        <w:t xml:space="preserve">estimated career </w:t>
      </w:r>
      <w:r w:rsidRPr="00B908AD">
        <w:rPr>
          <w:i/>
          <w:iCs/>
          <w:color w:val="000000" w:themeColor="text1"/>
        </w:rPr>
        <w:t>match</w:t>
      </w:r>
      <w:r w:rsidRPr="00B908AD">
        <w:rPr>
          <w:color w:val="000000" w:themeColor="text1"/>
        </w:rPr>
        <w:t xml:space="preserve"> headers (estimated headers per match multiplied by estimated matches per season, and career length) to total estimated career </w:t>
      </w:r>
      <w:r w:rsidRPr="00B908AD">
        <w:rPr>
          <w:i/>
          <w:iCs/>
          <w:color w:val="000000" w:themeColor="text1"/>
        </w:rPr>
        <w:t>training</w:t>
      </w:r>
      <w:r w:rsidRPr="00B908AD">
        <w:rPr>
          <w:color w:val="000000" w:themeColor="text1"/>
        </w:rPr>
        <w:t xml:space="preserve"> headers (estimated headers per training session multiplied by </w:t>
      </w:r>
      <w:r w:rsidR="00324A3D" w:rsidRPr="00324A3D">
        <w:rPr>
          <w:color w:val="000000" w:themeColor="text1"/>
        </w:rPr>
        <w:t xml:space="preserve">the number of training sessions per week, </w:t>
      </w:r>
      <w:r w:rsidR="001C7537" w:rsidRPr="00B908AD">
        <w:rPr>
          <w:color w:val="000000" w:themeColor="text1"/>
        </w:rPr>
        <w:t xml:space="preserve">the </w:t>
      </w:r>
      <w:r w:rsidRPr="00B908AD">
        <w:rPr>
          <w:color w:val="000000" w:themeColor="text1"/>
        </w:rPr>
        <w:t xml:space="preserve">number of training weeks per season, and </w:t>
      </w:r>
      <w:r w:rsidR="00324A3D">
        <w:rPr>
          <w:color w:val="000000" w:themeColor="text1"/>
        </w:rPr>
        <w:lastRenderedPageBreak/>
        <w:t xml:space="preserve">the </w:t>
      </w:r>
      <w:r w:rsidR="00324A3D" w:rsidRPr="00324A3D">
        <w:rPr>
          <w:color w:val="000000" w:themeColor="text1"/>
        </w:rPr>
        <w:t xml:space="preserve">length </w:t>
      </w:r>
      <w:r w:rsidR="00324A3D">
        <w:rPr>
          <w:color w:val="000000" w:themeColor="text1"/>
        </w:rPr>
        <w:t xml:space="preserve">(in years) of the </w:t>
      </w:r>
      <w:r w:rsidR="00143630">
        <w:rPr>
          <w:color w:val="000000" w:themeColor="text1"/>
        </w:rPr>
        <w:t>FPFs</w:t>
      </w:r>
      <w:r w:rsidR="00324A3D">
        <w:rPr>
          <w:color w:val="000000" w:themeColor="text1"/>
        </w:rPr>
        <w:t xml:space="preserve">’ </w:t>
      </w:r>
      <w:r w:rsidRPr="00B908AD">
        <w:rPr>
          <w:color w:val="000000" w:themeColor="text1"/>
        </w:rPr>
        <w:t>career</w:t>
      </w:r>
      <w:r w:rsidR="00324A3D">
        <w:rPr>
          <w:color w:val="000000" w:themeColor="text1"/>
        </w:rPr>
        <w:t>s</w:t>
      </w:r>
      <w:r w:rsidRPr="00B908AD">
        <w:rPr>
          <w:color w:val="000000" w:themeColor="text1"/>
        </w:rPr>
        <w:t>). Analogously, the number of estimated head injuries per season (match and training sessions)</w:t>
      </w:r>
      <w:r w:rsidR="00953E16" w:rsidRPr="00B908AD">
        <w:rPr>
          <w:color w:val="000000" w:themeColor="text1"/>
        </w:rPr>
        <w:t xml:space="preserve"> were</w:t>
      </w:r>
      <w:r w:rsidRPr="00B908AD">
        <w:rPr>
          <w:color w:val="000000" w:themeColor="text1"/>
        </w:rPr>
        <w:t xml:space="preserve"> multiplied by career length</w:t>
      </w:r>
      <w:proofErr w:type="gramStart"/>
      <w:r w:rsidRPr="00B908AD">
        <w:rPr>
          <w:color w:val="000000" w:themeColor="text1"/>
        </w:rPr>
        <w:t>.</w:t>
      </w:r>
      <w:r w:rsidR="00940E64" w:rsidRPr="00B908AD">
        <w:rPr>
          <w:color w:val="000000" w:themeColor="text1"/>
        </w:rPr>
        <w:t xml:space="preserve"> </w:t>
      </w:r>
      <w:r w:rsidR="00953E16" w:rsidRPr="00B908AD">
        <w:rPr>
          <w:color w:val="000000" w:themeColor="text1"/>
        </w:rPr>
        <w:t xml:space="preserve"> </w:t>
      </w:r>
      <w:proofErr w:type="gramEnd"/>
    </w:p>
    <w:p w14:paraId="0C70345A" w14:textId="7B66C29B" w:rsidR="00CE2C1C" w:rsidRPr="00B908AD" w:rsidRDefault="00E60EE7" w:rsidP="00A61202">
      <w:pPr>
        <w:spacing w:line="480" w:lineRule="auto"/>
        <w:rPr>
          <w:color w:val="000000" w:themeColor="text1"/>
        </w:rPr>
      </w:pPr>
      <w:r w:rsidRPr="00B27D67">
        <w:rPr>
          <w:i/>
          <w:iCs/>
          <w:color w:val="000000" w:themeColor="text1"/>
        </w:rPr>
        <w:t xml:space="preserve">Bayesian </w:t>
      </w:r>
      <w:r w:rsidR="004E68E5" w:rsidRPr="00B27D67">
        <w:rPr>
          <w:i/>
          <w:iCs/>
          <w:color w:val="000000" w:themeColor="text1"/>
        </w:rPr>
        <w:t xml:space="preserve">regression </w:t>
      </w:r>
      <w:r w:rsidRPr="00B27D67">
        <w:rPr>
          <w:i/>
          <w:iCs/>
          <w:color w:val="000000" w:themeColor="text1"/>
        </w:rPr>
        <w:t>analyses</w:t>
      </w:r>
      <w:r w:rsidR="00ED3ECE" w:rsidRPr="00B908AD">
        <w:rPr>
          <w:color w:val="000000" w:themeColor="text1"/>
        </w:rPr>
        <w:t xml:space="preserve"> were employed to test </w:t>
      </w:r>
      <w:r w:rsidR="00CA627A" w:rsidRPr="00B908AD">
        <w:rPr>
          <w:color w:val="000000" w:themeColor="text1"/>
        </w:rPr>
        <w:t xml:space="preserve">the following hypotheses: 1) that </w:t>
      </w:r>
      <w:r w:rsidR="00C7436B" w:rsidRPr="00B908AD">
        <w:rPr>
          <w:color w:val="000000" w:themeColor="text1"/>
        </w:rPr>
        <w:t>headers affected overall cognition, as measured by the TYM score</w:t>
      </w:r>
      <w:r w:rsidR="00063A4C">
        <w:rPr>
          <w:color w:val="000000" w:themeColor="text1"/>
        </w:rPr>
        <w:t xml:space="preserve"> and</w:t>
      </w:r>
      <w:r w:rsidR="00063A4C" w:rsidRPr="00B908AD">
        <w:rPr>
          <w:color w:val="000000" w:themeColor="text1"/>
        </w:rPr>
        <w:t xml:space="preserve"> </w:t>
      </w:r>
      <w:r w:rsidR="00C7436B" w:rsidRPr="00B908AD">
        <w:rPr>
          <w:color w:val="000000" w:themeColor="text1"/>
        </w:rPr>
        <w:t xml:space="preserve">2) that </w:t>
      </w:r>
      <w:r w:rsidR="00063A4C">
        <w:rPr>
          <w:color w:val="000000" w:themeColor="text1"/>
        </w:rPr>
        <w:t xml:space="preserve">participants’ </w:t>
      </w:r>
      <w:r w:rsidR="00C23649" w:rsidRPr="00B908AD">
        <w:rPr>
          <w:color w:val="000000" w:themeColor="text1"/>
        </w:rPr>
        <w:t xml:space="preserve">football-related </w:t>
      </w:r>
      <w:r w:rsidR="00486156" w:rsidRPr="00B908AD">
        <w:rPr>
          <w:color w:val="000000" w:themeColor="text1"/>
        </w:rPr>
        <w:t xml:space="preserve">head </w:t>
      </w:r>
      <w:r w:rsidR="00E37F8E" w:rsidRPr="00B908AD">
        <w:rPr>
          <w:color w:val="000000" w:themeColor="text1"/>
        </w:rPr>
        <w:t>injuries affected the</w:t>
      </w:r>
      <w:r w:rsidR="00063A4C">
        <w:rPr>
          <w:color w:val="000000" w:themeColor="text1"/>
        </w:rPr>
        <w:t>ir</w:t>
      </w:r>
      <w:r w:rsidR="00E37F8E" w:rsidRPr="00B908AD">
        <w:rPr>
          <w:color w:val="000000" w:themeColor="text1"/>
        </w:rPr>
        <w:t xml:space="preserve"> TYM score</w:t>
      </w:r>
      <w:proofErr w:type="gramStart"/>
      <w:r w:rsidR="00E37F8E" w:rsidRPr="00B908AD">
        <w:rPr>
          <w:color w:val="000000" w:themeColor="text1"/>
        </w:rPr>
        <w:t>.</w:t>
      </w:r>
      <w:r w:rsidR="00CE2C1C" w:rsidRPr="00B908AD">
        <w:rPr>
          <w:color w:val="000000" w:themeColor="text1"/>
        </w:rPr>
        <w:t xml:space="preserve"> </w:t>
      </w:r>
      <w:r w:rsidR="00E37F8E" w:rsidRPr="00B908AD">
        <w:rPr>
          <w:color w:val="000000" w:themeColor="text1"/>
        </w:rPr>
        <w:t xml:space="preserve"> </w:t>
      </w:r>
      <w:proofErr w:type="gramEnd"/>
      <w:r w:rsidR="00E37F8E" w:rsidRPr="00B908AD">
        <w:rPr>
          <w:color w:val="000000" w:themeColor="text1"/>
        </w:rPr>
        <w:t xml:space="preserve">For all analyses, </w:t>
      </w:r>
      <w:r w:rsidR="00843575" w:rsidRPr="00B908AD">
        <w:rPr>
          <w:color w:val="000000" w:themeColor="text1"/>
        </w:rPr>
        <w:t xml:space="preserve">the model prior was set to Uniform (i.e., all models are a-priori equally likely), and </w:t>
      </w:r>
      <w:r w:rsidRPr="00B908AD">
        <w:rPr>
          <w:color w:val="000000" w:themeColor="text1"/>
        </w:rPr>
        <w:t xml:space="preserve">the prior </w:t>
      </w:r>
      <w:r w:rsidR="00843575" w:rsidRPr="00B908AD">
        <w:rPr>
          <w:color w:val="000000" w:themeColor="text1"/>
        </w:rPr>
        <w:t xml:space="preserve">on parameters </w:t>
      </w:r>
      <w:r w:rsidRPr="00B908AD">
        <w:rPr>
          <w:color w:val="000000" w:themeColor="text1"/>
        </w:rPr>
        <w:t xml:space="preserve">was set to the default </w:t>
      </w:r>
      <w:r w:rsidR="00843575" w:rsidRPr="00B908AD">
        <w:rPr>
          <w:color w:val="000000" w:themeColor="text1"/>
        </w:rPr>
        <w:t>Jeffreys-Zellner-</w:t>
      </w:r>
      <w:proofErr w:type="spellStart"/>
      <w:r w:rsidR="00843575" w:rsidRPr="00B908AD">
        <w:rPr>
          <w:color w:val="000000" w:themeColor="text1"/>
        </w:rPr>
        <w:t>Siow</w:t>
      </w:r>
      <w:proofErr w:type="spellEnd"/>
      <w:r w:rsidR="00843575" w:rsidRPr="00B908AD">
        <w:rPr>
          <w:color w:val="000000" w:themeColor="text1"/>
        </w:rPr>
        <w:t xml:space="preserve"> (</w:t>
      </w:r>
      <w:r w:rsidRPr="00B908AD">
        <w:rPr>
          <w:color w:val="000000" w:themeColor="text1"/>
        </w:rPr>
        <w:t>JZS</w:t>
      </w:r>
      <w:r w:rsidR="00843575" w:rsidRPr="00B908AD">
        <w:rPr>
          <w:color w:val="000000" w:themeColor="text1"/>
        </w:rPr>
        <w:t>) prior</w:t>
      </w:r>
      <w:proofErr w:type="gramStart"/>
      <w:r w:rsidRPr="00B908AD">
        <w:rPr>
          <w:color w:val="000000" w:themeColor="text1"/>
        </w:rPr>
        <w:t xml:space="preserve">. </w:t>
      </w:r>
      <w:r w:rsidR="00CE2C1C" w:rsidRPr="00B908AD">
        <w:rPr>
          <w:color w:val="000000" w:themeColor="text1"/>
        </w:rPr>
        <w:t xml:space="preserve"> </w:t>
      </w:r>
      <w:proofErr w:type="gramEnd"/>
      <w:r w:rsidR="00A61202" w:rsidRPr="00B908AD">
        <w:rPr>
          <w:color w:val="000000" w:themeColor="text1"/>
          <w:lang w:val="en-US"/>
        </w:rPr>
        <w:t xml:space="preserve">To address potential issues with non-normally distributed residuals in the regressions, Markov-Monte Carlo chain sampling </w:t>
      </w:r>
      <w:r w:rsidR="00676A07" w:rsidRPr="00676A07">
        <w:rPr>
          <w:color w:val="000000" w:themeColor="text1"/>
          <w:lang w:val="en-US"/>
        </w:rPr>
        <w:t>w</w:t>
      </w:r>
      <w:r w:rsidR="00676A07">
        <w:rPr>
          <w:color w:val="000000" w:themeColor="text1"/>
          <w:lang w:val="en-US"/>
        </w:rPr>
        <w:t>as</w:t>
      </w:r>
      <w:r w:rsidR="00676A07" w:rsidRPr="00676A07">
        <w:rPr>
          <w:color w:val="000000" w:themeColor="text1"/>
          <w:lang w:val="en-US"/>
        </w:rPr>
        <w:t xml:space="preserve"> applied </w:t>
      </w:r>
      <w:r w:rsidR="00A61202" w:rsidRPr="00B908AD">
        <w:rPr>
          <w:color w:val="000000" w:themeColor="text1"/>
          <w:lang w:val="en-US"/>
        </w:rPr>
        <w:t>to each analysis 1,000 times</w:t>
      </w:r>
      <w:proofErr w:type="gramStart"/>
      <w:r w:rsidR="00A61202" w:rsidRPr="00B908AD">
        <w:rPr>
          <w:color w:val="000000" w:themeColor="text1"/>
          <w:lang w:val="en-US"/>
        </w:rPr>
        <w:t xml:space="preserve">. </w:t>
      </w:r>
      <w:r w:rsidR="00CE2C1C" w:rsidRPr="00B908AD">
        <w:rPr>
          <w:color w:val="000000" w:themeColor="text1"/>
          <w:lang w:val="en-US"/>
        </w:rPr>
        <w:t xml:space="preserve"> </w:t>
      </w:r>
      <w:proofErr w:type="gramEnd"/>
      <w:r w:rsidR="00A61202" w:rsidRPr="00B908AD">
        <w:rPr>
          <w:color w:val="000000" w:themeColor="text1"/>
          <w:lang w:val="en-US"/>
        </w:rPr>
        <w:t xml:space="preserve">In each test, </w:t>
      </w:r>
      <w:r w:rsidR="00A61202" w:rsidRPr="00B908AD">
        <w:rPr>
          <w:color w:val="000000" w:themeColor="text1"/>
        </w:rPr>
        <w:t>t</w:t>
      </w:r>
      <w:r w:rsidR="00027524" w:rsidRPr="00B908AD">
        <w:rPr>
          <w:color w:val="000000" w:themeColor="text1"/>
        </w:rPr>
        <w:t xml:space="preserve">he </w:t>
      </w:r>
      <w:r w:rsidR="000E6FA2" w:rsidRPr="00B908AD">
        <w:rPr>
          <w:color w:val="000000" w:themeColor="text1"/>
        </w:rPr>
        <w:t>outcome of the regression was the TYM score</w:t>
      </w:r>
      <w:r w:rsidR="00AC0D6E" w:rsidRPr="00B908AD">
        <w:rPr>
          <w:color w:val="000000" w:themeColor="text1"/>
        </w:rPr>
        <w:t xml:space="preserve">, and the null model </w:t>
      </w:r>
      <w:r w:rsidR="00FE0852" w:rsidRPr="00B908AD">
        <w:rPr>
          <w:color w:val="000000" w:themeColor="text1"/>
        </w:rPr>
        <w:t>included age</w:t>
      </w:r>
      <w:r w:rsidR="00083B9C" w:rsidRPr="00B908AD">
        <w:rPr>
          <w:color w:val="000000" w:themeColor="text1"/>
        </w:rPr>
        <w:t xml:space="preserve"> and </w:t>
      </w:r>
      <w:r w:rsidR="00DA03D1" w:rsidRPr="00B908AD">
        <w:rPr>
          <w:color w:val="000000" w:themeColor="text1"/>
        </w:rPr>
        <w:t xml:space="preserve">number of </w:t>
      </w:r>
      <w:r w:rsidR="00083B9C" w:rsidRPr="00B908AD">
        <w:rPr>
          <w:color w:val="000000" w:themeColor="text1"/>
        </w:rPr>
        <w:t>non-football</w:t>
      </w:r>
      <w:r w:rsidR="00DA03D1" w:rsidRPr="00B908AD">
        <w:rPr>
          <w:color w:val="000000" w:themeColor="text1"/>
        </w:rPr>
        <w:t>-related head</w:t>
      </w:r>
      <w:r w:rsidR="00083B9C" w:rsidRPr="00B908AD">
        <w:rPr>
          <w:color w:val="000000" w:themeColor="text1"/>
        </w:rPr>
        <w:t xml:space="preserve"> injuries</w:t>
      </w:r>
      <w:r w:rsidR="002B7C03" w:rsidRPr="00B908AD">
        <w:rPr>
          <w:color w:val="000000" w:themeColor="text1"/>
        </w:rPr>
        <w:t>.</w:t>
      </w:r>
    </w:p>
    <w:p w14:paraId="754FBC6A" w14:textId="46E21DF4" w:rsidR="000B469C" w:rsidRDefault="004D3F22" w:rsidP="00A61202">
      <w:pPr>
        <w:spacing w:line="480" w:lineRule="auto"/>
        <w:rPr>
          <w:color w:val="000000" w:themeColor="text1"/>
        </w:rPr>
      </w:pPr>
      <w:r w:rsidRPr="00B908AD">
        <w:rPr>
          <w:color w:val="000000" w:themeColor="text1"/>
        </w:rPr>
        <w:t xml:space="preserve">The </w:t>
      </w:r>
      <w:r w:rsidRPr="00025B2C">
        <w:rPr>
          <w:i/>
          <w:iCs/>
          <w:color w:val="000000" w:themeColor="text1"/>
        </w:rPr>
        <w:t xml:space="preserve">traditional </w:t>
      </w:r>
      <w:r w:rsidR="00DA03D1" w:rsidRPr="00025B2C">
        <w:rPr>
          <w:i/>
          <w:iCs/>
          <w:color w:val="000000" w:themeColor="text1"/>
        </w:rPr>
        <w:t xml:space="preserve">linear </w:t>
      </w:r>
      <w:r w:rsidRPr="00025B2C">
        <w:rPr>
          <w:i/>
          <w:iCs/>
          <w:color w:val="000000" w:themeColor="text1"/>
        </w:rPr>
        <w:t>regression analysis</w:t>
      </w:r>
      <w:r w:rsidR="00521084" w:rsidRPr="00B908AD">
        <w:rPr>
          <w:color w:val="000000" w:themeColor="text1"/>
        </w:rPr>
        <w:t xml:space="preserve"> </w:t>
      </w:r>
      <w:r w:rsidR="00737C54" w:rsidRPr="00B908AD">
        <w:rPr>
          <w:color w:val="000000" w:themeColor="text1"/>
        </w:rPr>
        <w:t xml:space="preserve">employed the TYM score as </w:t>
      </w:r>
      <w:r w:rsidR="000B469C">
        <w:rPr>
          <w:color w:val="000000" w:themeColor="text1"/>
        </w:rPr>
        <w:t xml:space="preserve">the </w:t>
      </w:r>
      <w:r w:rsidR="00737C54" w:rsidRPr="00B908AD">
        <w:rPr>
          <w:color w:val="000000" w:themeColor="text1"/>
        </w:rPr>
        <w:t>outcome</w:t>
      </w:r>
      <w:r w:rsidR="000B469C">
        <w:rPr>
          <w:color w:val="000000" w:themeColor="text1"/>
        </w:rPr>
        <w:t xml:space="preserve"> variable (or DV), while </w:t>
      </w:r>
      <w:r w:rsidR="00737C54" w:rsidRPr="00B908AD">
        <w:rPr>
          <w:color w:val="000000" w:themeColor="text1"/>
        </w:rPr>
        <w:t>age</w:t>
      </w:r>
      <w:r w:rsidR="00DA03D1" w:rsidRPr="00B908AD">
        <w:rPr>
          <w:color w:val="000000" w:themeColor="text1"/>
        </w:rPr>
        <w:t xml:space="preserve"> and non-football-related head injuries</w:t>
      </w:r>
      <w:r w:rsidR="005E5A87" w:rsidRPr="00B908AD">
        <w:rPr>
          <w:color w:val="000000" w:themeColor="text1"/>
        </w:rPr>
        <w:t xml:space="preserve"> </w:t>
      </w:r>
      <w:r w:rsidR="000B469C">
        <w:rPr>
          <w:color w:val="000000" w:themeColor="text1"/>
        </w:rPr>
        <w:t xml:space="preserve">were employed as </w:t>
      </w:r>
      <w:r w:rsidR="005E5A87" w:rsidRPr="00B908AD">
        <w:rPr>
          <w:color w:val="000000" w:themeColor="text1"/>
        </w:rPr>
        <w:t>covariate</w:t>
      </w:r>
      <w:r w:rsidR="000B469C">
        <w:rPr>
          <w:color w:val="000000" w:themeColor="text1"/>
        </w:rPr>
        <w:t>s</w:t>
      </w:r>
      <w:r w:rsidR="005E5A87" w:rsidRPr="00B908AD">
        <w:rPr>
          <w:color w:val="000000" w:themeColor="text1"/>
        </w:rPr>
        <w:t xml:space="preserve"> (</w:t>
      </w:r>
      <w:r w:rsidR="000B469C">
        <w:rPr>
          <w:color w:val="000000" w:themeColor="text1"/>
        </w:rPr>
        <w:t xml:space="preserve">cf. the </w:t>
      </w:r>
      <w:r w:rsidR="005E5A87" w:rsidRPr="00B908AD">
        <w:rPr>
          <w:color w:val="000000" w:themeColor="text1"/>
        </w:rPr>
        <w:t>null model</w:t>
      </w:r>
      <w:r w:rsidR="000B469C">
        <w:rPr>
          <w:color w:val="000000" w:themeColor="text1"/>
        </w:rPr>
        <w:t xml:space="preserve"> </w:t>
      </w:r>
      <w:r w:rsidR="000B469C" w:rsidRPr="00780FB3">
        <w:rPr>
          <w:color w:val="000000" w:themeColor="text1"/>
        </w:rPr>
        <w:t xml:space="preserve">in the Bayesian regressions </w:t>
      </w:r>
      <w:r w:rsidR="000B469C" w:rsidRPr="00423E45">
        <w:rPr>
          <w:color w:val="000000" w:themeColor="text1"/>
        </w:rPr>
        <w:t>above</w:t>
      </w:r>
      <w:r w:rsidR="000B469C" w:rsidRPr="00B908AD">
        <w:rPr>
          <w:color w:val="000000" w:themeColor="text1"/>
        </w:rPr>
        <w:t>)</w:t>
      </w:r>
      <w:r w:rsidR="000B469C">
        <w:rPr>
          <w:color w:val="000000" w:themeColor="text1"/>
        </w:rPr>
        <w:t>,</w:t>
      </w:r>
      <w:r w:rsidR="000B469C" w:rsidRPr="00B908AD">
        <w:rPr>
          <w:color w:val="000000" w:themeColor="text1"/>
        </w:rPr>
        <w:t xml:space="preserve"> </w:t>
      </w:r>
      <w:r w:rsidR="005E5A87" w:rsidRPr="00B908AD">
        <w:rPr>
          <w:color w:val="000000" w:themeColor="text1"/>
        </w:rPr>
        <w:t>and</w:t>
      </w:r>
      <w:r w:rsidR="00737C54" w:rsidRPr="00B908AD">
        <w:rPr>
          <w:color w:val="000000" w:themeColor="text1"/>
        </w:rPr>
        <w:t xml:space="preserve"> </w:t>
      </w:r>
      <w:r w:rsidR="00B20B40" w:rsidRPr="00B908AD">
        <w:rPr>
          <w:color w:val="000000" w:themeColor="text1"/>
        </w:rPr>
        <w:t>whichever predictor that was supported in the Bayesian tests</w:t>
      </w:r>
      <w:proofErr w:type="gramStart"/>
      <w:r w:rsidR="00737C54" w:rsidRPr="00B908AD">
        <w:rPr>
          <w:color w:val="000000" w:themeColor="text1"/>
        </w:rPr>
        <w:t xml:space="preserve">. </w:t>
      </w:r>
      <w:r w:rsidR="00CE2C1C" w:rsidRPr="00B908AD">
        <w:rPr>
          <w:color w:val="000000" w:themeColor="text1"/>
        </w:rPr>
        <w:t xml:space="preserve"> </w:t>
      </w:r>
      <w:proofErr w:type="gramEnd"/>
      <w:r w:rsidR="006E5A57" w:rsidRPr="00B908AD">
        <w:rPr>
          <w:color w:val="000000" w:themeColor="text1"/>
        </w:rPr>
        <w:t xml:space="preserve">The same approach was applied to </w:t>
      </w:r>
      <w:r w:rsidR="00BF6467" w:rsidRPr="00B908AD">
        <w:rPr>
          <w:color w:val="000000" w:themeColor="text1"/>
        </w:rPr>
        <w:t xml:space="preserve">the logistic analysis </w:t>
      </w:r>
      <w:r w:rsidR="00300CAD" w:rsidRPr="00B908AD">
        <w:rPr>
          <w:color w:val="000000" w:themeColor="text1"/>
        </w:rPr>
        <w:t>checks</w:t>
      </w:r>
      <w:r w:rsidR="007C1CE0" w:rsidRPr="00B908AD">
        <w:rPr>
          <w:color w:val="000000" w:themeColor="text1"/>
        </w:rPr>
        <w:t xml:space="preserve"> (method set as Enter)</w:t>
      </w:r>
      <w:r w:rsidR="00300CAD" w:rsidRPr="00B908AD">
        <w:rPr>
          <w:color w:val="000000" w:themeColor="text1"/>
        </w:rPr>
        <w:t>, but a</w:t>
      </w:r>
      <w:r w:rsidR="00BF6467" w:rsidRPr="00B908AD">
        <w:rPr>
          <w:color w:val="000000" w:themeColor="text1"/>
        </w:rPr>
        <w:t xml:space="preserve"> binary TYM score classification </w:t>
      </w:r>
      <w:r w:rsidR="00300CAD" w:rsidRPr="00B908AD">
        <w:rPr>
          <w:color w:val="000000" w:themeColor="text1"/>
        </w:rPr>
        <w:t xml:space="preserve">was used </w:t>
      </w:r>
      <w:r w:rsidR="00BF6467" w:rsidRPr="00B908AD">
        <w:rPr>
          <w:color w:val="000000" w:themeColor="text1"/>
        </w:rPr>
        <w:t xml:space="preserve">as </w:t>
      </w:r>
      <w:r w:rsidR="000B469C">
        <w:rPr>
          <w:color w:val="000000" w:themeColor="text1"/>
        </w:rPr>
        <w:t xml:space="preserve">the </w:t>
      </w:r>
      <w:r w:rsidR="00BF6467" w:rsidRPr="00B908AD">
        <w:rPr>
          <w:color w:val="000000" w:themeColor="text1"/>
        </w:rPr>
        <w:t>outcome</w:t>
      </w:r>
      <w:r w:rsidR="000B469C">
        <w:rPr>
          <w:color w:val="000000" w:themeColor="text1"/>
        </w:rPr>
        <w:t xml:space="preserve"> variable (DV)</w:t>
      </w:r>
      <w:proofErr w:type="gramStart"/>
      <w:r w:rsidR="00300CAD" w:rsidRPr="00B908AD">
        <w:rPr>
          <w:color w:val="000000" w:themeColor="text1"/>
        </w:rPr>
        <w:t>.</w:t>
      </w:r>
      <w:r w:rsidR="00350991" w:rsidRPr="00B908AD">
        <w:rPr>
          <w:color w:val="000000" w:themeColor="text1"/>
        </w:rPr>
        <w:t xml:space="preserve"> </w:t>
      </w:r>
      <w:r w:rsidR="00CE2C1C" w:rsidRPr="00B908AD">
        <w:rPr>
          <w:color w:val="000000" w:themeColor="text1"/>
        </w:rPr>
        <w:t xml:space="preserve"> </w:t>
      </w:r>
      <w:proofErr w:type="gramEnd"/>
      <w:r w:rsidR="00635351" w:rsidRPr="00B908AD">
        <w:rPr>
          <w:color w:val="000000" w:themeColor="text1"/>
        </w:rPr>
        <w:t xml:space="preserve">People were classified as </w:t>
      </w:r>
      <w:r w:rsidR="00130942" w:rsidRPr="00B908AD">
        <w:rPr>
          <w:color w:val="000000" w:themeColor="text1"/>
        </w:rPr>
        <w:t xml:space="preserve">not having or having cognitive problems according to the </w:t>
      </w:r>
      <w:r w:rsidR="00635351" w:rsidRPr="00B908AD">
        <w:rPr>
          <w:color w:val="000000" w:themeColor="text1"/>
        </w:rPr>
        <w:t>age-adjusted TYM cut-off scores</w:t>
      </w:r>
      <w:r w:rsidR="00130942" w:rsidRPr="00B908AD">
        <w:rPr>
          <w:color w:val="000000" w:themeColor="text1"/>
        </w:rPr>
        <w:t>:</w:t>
      </w:r>
      <w:r w:rsidR="00635351" w:rsidRPr="00B908AD">
        <w:rPr>
          <w:color w:val="000000" w:themeColor="text1"/>
        </w:rPr>
        <w:t xml:space="preserve"> </w:t>
      </w:r>
      <w:r w:rsidR="00AA3561" w:rsidRPr="00B908AD">
        <w:rPr>
          <w:color w:val="000000" w:themeColor="text1"/>
        </w:rPr>
        <w:t xml:space="preserve">cognitive problems if scoring </w:t>
      </w:r>
      <w:r w:rsidR="00635351" w:rsidRPr="00B908AD">
        <w:rPr>
          <w:color w:val="000000" w:themeColor="text1"/>
        </w:rPr>
        <w:t xml:space="preserve">below 47 in people 18-69 years of age; </w:t>
      </w:r>
      <w:r w:rsidR="00AA3561" w:rsidRPr="00B908AD">
        <w:rPr>
          <w:color w:val="000000" w:themeColor="text1"/>
        </w:rPr>
        <w:t xml:space="preserve">cognitive problems if scoring </w:t>
      </w:r>
      <w:r w:rsidR="00635351" w:rsidRPr="00B908AD">
        <w:rPr>
          <w:color w:val="000000" w:themeColor="text1"/>
        </w:rPr>
        <w:t xml:space="preserve">below 46 in people between 70 and 79; and </w:t>
      </w:r>
      <w:r w:rsidR="00AA3561" w:rsidRPr="00B908AD">
        <w:rPr>
          <w:color w:val="000000" w:themeColor="text1"/>
        </w:rPr>
        <w:t xml:space="preserve">cognitive problems if scoring </w:t>
      </w:r>
      <w:r w:rsidR="00635351" w:rsidRPr="00B908AD">
        <w:rPr>
          <w:color w:val="000000" w:themeColor="text1"/>
        </w:rPr>
        <w:t xml:space="preserve">below 45 in people </w:t>
      </w:r>
      <w:r w:rsidR="00C04A43" w:rsidRPr="00B908AD">
        <w:rPr>
          <w:color w:val="000000" w:themeColor="text1"/>
        </w:rPr>
        <w:t>who are 80 or older</w:t>
      </w:r>
      <w:proofErr w:type="gramStart"/>
      <w:r w:rsidR="00C04A43" w:rsidRPr="00B908AD">
        <w:rPr>
          <w:color w:val="000000" w:themeColor="text1"/>
        </w:rPr>
        <w:t>.</w:t>
      </w:r>
      <w:r w:rsidR="00CE2C1C" w:rsidRPr="00B908AD">
        <w:rPr>
          <w:color w:val="000000" w:themeColor="text1"/>
        </w:rPr>
        <w:t xml:space="preserve"> </w:t>
      </w:r>
      <w:r w:rsidR="000B469C">
        <w:rPr>
          <w:color w:val="000000" w:themeColor="text1"/>
        </w:rPr>
        <w:t xml:space="preserve"> </w:t>
      </w:r>
      <w:proofErr w:type="gramEnd"/>
      <w:r w:rsidR="00C04A43" w:rsidRPr="00B908AD">
        <w:rPr>
          <w:color w:val="000000" w:themeColor="text1"/>
        </w:rPr>
        <w:t>In these analyses, t</w:t>
      </w:r>
      <w:r w:rsidR="0020431D" w:rsidRPr="00B908AD">
        <w:rPr>
          <w:color w:val="000000" w:themeColor="text1"/>
        </w:rPr>
        <w:t xml:space="preserve">he </w:t>
      </w:r>
      <w:r w:rsidR="0020431D" w:rsidRPr="00B908AD">
        <w:rPr>
          <w:color w:val="000000" w:themeColor="text1"/>
        </w:rPr>
        <w:sym w:font="Symbol" w:char="F061"/>
      </w:r>
      <w:r w:rsidR="0020431D" w:rsidRPr="00B908AD">
        <w:rPr>
          <w:color w:val="000000" w:themeColor="text1"/>
        </w:rPr>
        <w:t xml:space="preserve"> level was set to 0.05.</w:t>
      </w:r>
    </w:p>
    <w:p w14:paraId="60C62AA2" w14:textId="77777777" w:rsidR="000B469C" w:rsidRDefault="000B469C">
      <w:pPr>
        <w:spacing w:after="160" w:line="259" w:lineRule="auto"/>
        <w:rPr>
          <w:color w:val="000000" w:themeColor="text1"/>
        </w:rPr>
      </w:pPr>
      <w:r>
        <w:rPr>
          <w:color w:val="000000" w:themeColor="text1"/>
        </w:rPr>
        <w:br w:type="page"/>
      </w:r>
    </w:p>
    <w:p w14:paraId="4C8AF534" w14:textId="2EDA58F9" w:rsidR="001E69F5" w:rsidRPr="00B908AD" w:rsidRDefault="00BD4BFD" w:rsidP="0051015E">
      <w:pPr>
        <w:spacing w:line="480" w:lineRule="auto"/>
        <w:jc w:val="center"/>
        <w:rPr>
          <w:i/>
          <w:iCs/>
          <w:color w:val="000000" w:themeColor="text1"/>
        </w:rPr>
      </w:pPr>
      <w:r w:rsidRPr="00B908AD">
        <w:rPr>
          <w:color w:val="000000" w:themeColor="text1"/>
        </w:rPr>
        <w:lastRenderedPageBreak/>
        <w:t>Results</w:t>
      </w:r>
    </w:p>
    <w:p w14:paraId="5B97DA20" w14:textId="04A48C1E" w:rsidR="0046680D" w:rsidRPr="00B908AD" w:rsidRDefault="00566EFD" w:rsidP="00033CA2">
      <w:pPr>
        <w:spacing w:line="480" w:lineRule="auto"/>
        <w:rPr>
          <w:color w:val="000000" w:themeColor="text1"/>
        </w:rPr>
      </w:pPr>
      <w:r w:rsidRPr="00B908AD">
        <w:rPr>
          <w:color w:val="000000" w:themeColor="text1"/>
        </w:rPr>
        <w:t xml:space="preserve">Table 1 reports </w:t>
      </w:r>
      <w:r w:rsidR="0047511A" w:rsidRPr="00B908AD">
        <w:rPr>
          <w:color w:val="000000" w:themeColor="text1"/>
        </w:rPr>
        <w:t xml:space="preserve">sample size (N), </w:t>
      </w:r>
      <w:r w:rsidR="00575338" w:rsidRPr="00B908AD">
        <w:rPr>
          <w:color w:val="000000" w:themeColor="text1"/>
        </w:rPr>
        <w:t>means, standard deviations</w:t>
      </w:r>
      <w:r w:rsidR="0047511A" w:rsidRPr="00B908AD">
        <w:rPr>
          <w:color w:val="000000" w:themeColor="text1"/>
        </w:rPr>
        <w:t xml:space="preserve"> (SD), median and lowest/highest score (min-max) </w:t>
      </w:r>
      <w:r w:rsidRPr="00B908AD">
        <w:rPr>
          <w:color w:val="000000" w:themeColor="text1"/>
        </w:rPr>
        <w:t xml:space="preserve">for </w:t>
      </w:r>
      <w:r w:rsidR="0095418B" w:rsidRPr="00B908AD">
        <w:rPr>
          <w:color w:val="000000" w:themeColor="text1"/>
        </w:rPr>
        <w:t xml:space="preserve">all </w:t>
      </w:r>
      <w:r w:rsidR="00CA6F56" w:rsidRPr="00B908AD">
        <w:rPr>
          <w:color w:val="000000" w:themeColor="text1"/>
        </w:rPr>
        <w:t>variables in the sample.</w:t>
      </w:r>
    </w:p>
    <w:p w14:paraId="37A0077B" w14:textId="77777777" w:rsidR="004D3A62" w:rsidRPr="00B908AD" w:rsidRDefault="004D3A62" w:rsidP="00033CA2">
      <w:pPr>
        <w:spacing w:line="480" w:lineRule="auto"/>
        <w:rPr>
          <w:color w:val="000000" w:themeColor="text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63"/>
        <w:gridCol w:w="132"/>
        <w:gridCol w:w="318"/>
        <w:gridCol w:w="18"/>
        <w:gridCol w:w="18"/>
        <w:gridCol w:w="1110"/>
        <w:gridCol w:w="36"/>
        <w:gridCol w:w="1110"/>
        <w:gridCol w:w="36"/>
      </w:tblGrid>
      <w:tr w:rsidR="00B908AD" w:rsidRPr="00B908AD" w14:paraId="3E6AD6F5" w14:textId="77777777" w:rsidTr="00025B2C">
        <w:trPr>
          <w:tblHeader/>
          <w:jc w:val="center"/>
        </w:trPr>
        <w:tc>
          <w:tcPr>
            <w:tcW w:w="0" w:type="auto"/>
            <w:gridSpan w:val="9"/>
            <w:tcBorders>
              <w:top w:val="nil"/>
              <w:left w:val="nil"/>
              <w:bottom w:val="single" w:sz="6" w:space="0" w:color="000000"/>
              <w:right w:val="nil"/>
            </w:tcBorders>
            <w:vAlign w:val="center"/>
            <w:hideMark/>
          </w:tcPr>
          <w:p w14:paraId="1E47AAA9" w14:textId="77777777" w:rsidR="0046680D" w:rsidRPr="00B908AD" w:rsidRDefault="0046680D" w:rsidP="00EA7818">
            <w:pPr>
              <w:rPr>
                <w:b/>
                <w:bCs/>
                <w:color w:val="000000" w:themeColor="text1"/>
              </w:rPr>
            </w:pPr>
            <w:r w:rsidRPr="00B908AD">
              <w:rPr>
                <w:b/>
                <w:bCs/>
                <w:color w:val="000000" w:themeColor="text1"/>
              </w:rPr>
              <w:t>Table 1: Descriptive statistics</w:t>
            </w:r>
          </w:p>
        </w:tc>
      </w:tr>
      <w:tr w:rsidR="00B908AD" w:rsidRPr="00B908AD" w14:paraId="6366D1F0" w14:textId="77777777" w:rsidTr="00025B2C">
        <w:trPr>
          <w:tblHeader/>
          <w:jc w:val="center"/>
        </w:trPr>
        <w:tc>
          <w:tcPr>
            <w:tcW w:w="3363" w:type="dxa"/>
            <w:tcBorders>
              <w:top w:val="nil"/>
              <w:left w:val="nil"/>
              <w:bottom w:val="single" w:sz="6" w:space="0" w:color="000000"/>
              <w:right w:val="nil"/>
            </w:tcBorders>
            <w:vAlign w:val="center"/>
            <w:hideMark/>
          </w:tcPr>
          <w:p w14:paraId="23C54C5F" w14:textId="77777777" w:rsidR="0046680D" w:rsidRPr="00B908AD" w:rsidRDefault="0046680D" w:rsidP="00EA7818">
            <w:pPr>
              <w:jc w:val="center"/>
              <w:rPr>
                <w:b/>
                <w:bCs/>
                <w:color w:val="000000" w:themeColor="text1"/>
              </w:rPr>
            </w:pPr>
            <w:r w:rsidRPr="00B908AD">
              <w:rPr>
                <w:b/>
                <w:bCs/>
                <w:color w:val="000000" w:themeColor="text1"/>
              </w:rPr>
              <w:t xml:space="preserve">  </w:t>
            </w:r>
          </w:p>
        </w:tc>
        <w:tc>
          <w:tcPr>
            <w:tcW w:w="450" w:type="dxa"/>
            <w:gridSpan w:val="3"/>
            <w:tcBorders>
              <w:top w:val="nil"/>
              <w:left w:val="nil"/>
              <w:bottom w:val="single" w:sz="6" w:space="0" w:color="000000"/>
              <w:right w:val="nil"/>
            </w:tcBorders>
            <w:vAlign w:val="center"/>
            <w:hideMark/>
          </w:tcPr>
          <w:p w14:paraId="630FAA68" w14:textId="7897E97E" w:rsidR="0046680D" w:rsidRPr="00B908AD" w:rsidRDefault="0046680D" w:rsidP="00DA229F">
            <w:pPr>
              <w:jc w:val="center"/>
              <w:rPr>
                <w:b/>
                <w:bCs/>
                <w:color w:val="000000" w:themeColor="text1"/>
              </w:rPr>
            </w:pPr>
            <w:r w:rsidRPr="00B908AD">
              <w:rPr>
                <w:b/>
                <w:bCs/>
                <w:color w:val="000000" w:themeColor="text1"/>
              </w:rPr>
              <w:t>N</w:t>
            </w:r>
          </w:p>
        </w:tc>
        <w:tc>
          <w:tcPr>
            <w:tcW w:w="0" w:type="auto"/>
            <w:gridSpan w:val="2"/>
            <w:tcBorders>
              <w:top w:val="nil"/>
              <w:left w:val="nil"/>
              <w:bottom w:val="single" w:sz="6" w:space="0" w:color="000000"/>
              <w:right w:val="nil"/>
            </w:tcBorders>
            <w:vAlign w:val="center"/>
            <w:hideMark/>
          </w:tcPr>
          <w:p w14:paraId="6B094613" w14:textId="59D9B3B1" w:rsidR="0046680D" w:rsidRPr="00B908AD" w:rsidRDefault="00DA229F" w:rsidP="00DA229F">
            <w:pPr>
              <w:jc w:val="center"/>
              <w:rPr>
                <w:b/>
                <w:bCs/>
                <w:color w:val="000000" w:themeColor="text1"/>
              </w:rPr>
            </w:pPr>
            <w:r w:rsidRPr="00B908AD">
              <w:rPr>
                <w:b/>
                <w:bCs/>
                <w:color w:val="000000" w:themeColor="text1"/>
              </w:rPr>
              <w:t xml:space="preserve"> </w:t>
            </w:r>
            <w:r w:rsidR="0046680D" w:rsidRPr="00B908AD">
              <w:rPr>
                <w:b/>
                <w:bCs/>
                <w:color w:val="000000" w:themeColor="text1"/>
              </w:rPr>
              <w:t>Mean</w:t>
            </w:r>
          </w:p>
        </w:tc>
        <w:tc>
          <w:tcPr>
            <w:tcW w:w="0" w:type="auto"/>
            <w:gridSpan w:val="3"/>
            <w:tcBorders>
              <w:top w:val="nil"/>
              <w:left w:val="nil"/>
              <w:bottom w:val="single" w:sz="6" w:space="0" w:color="000000"/>
              <w:right w:val="nil"/>
            </w:tcBorders>
            <w:vAlign w:val="center"/>
            <w:hideMark/>
          </w:tcPr>
          <w:p w14:paraId="5DD22F20" w14:textId="1FAAF01B" w:rsidR="0046680D" w:rsidRPr="00B908AD" w:rsidRDefault="00DA229F" w:rsidP="00DA229F">
            <w:pPr>
              <w:jc w:val="center"/>
              <w:rPr>
                <w:b/>
                <w:bCs/>
                <w:color w:val="000000" w:themeColor="text1"/>
              </w:rPr>
            </w:pPr>
            <w:r w:rsidRPr="00B908AD">
              <w:rPr>
                <w:b/>
                <w:bCs/>
                <w:color w:val="000000" w:themeColor="text1"/>
              </w:rPr>
              <w:t xml:space="preserve"> </w:t>
            </w:r>
            <w:r w:rsidR="0046680D" w:rsidRPr="00B908AD">
              <w:rPr>
                <w:b/>
                <w:bCs/>
                <w:color w:val="000000" w:themeColor="text1"/>
              </w:rPr>
              <w:t>SD</w:t>
            </w:r>
          </w:p>
        </w:tc>
      </w:tr>
      <w:tr w:rsidR="00B908AD" w:rsidRPr="00B908AD" w14:paraId="16E7EC88" w14:textId="77777777" w:rsidTr="00025B2C">
        <w:trPr>
          <w:jc w:val="center"/>
        </w:trPr>
        <w:tc>
          <w:tcPr>
            <w:tcW w:w="3363" w:type="dxa"/>
            <w:tcBorders>
              <w:top w:val="nil"/>
              <w:left w:val="nil"/>
              <w:bottom w:val="nil"/>
              <w:right w:val="nil"/>
            </w:tcBorders>
            <w:vAlign w:val="center"/>
            <w:hideMark/>
          </w:tcPr>
          <w:p w14:paraId="7A90D2EE" w14:textId="77777777" w:rsidR="0046680D" w:rsidRPr="00B908AD" w:rsidRDefault="0046680D" w:rsidP="00EA7818">
            <w:pPr>
              <w:rPr>
                <w:color w:val="000000" w:themeColor="text1"/>
              </w:rPr>
            </w:pPr>
            <w:r w:rsidRPr="00B908AD">
              <w:rPr>
                <w:color w:val="000000" w:themeColor="text1"/>
              </w:rPr>
              <w:t>TYM score</w:t>
            </w:r>
          </w:p>
        </w:tc>
        <w:tc>
          <w:tcPr>
            <w:tcW w:w="112" w:type="dxa"/>
            <w:tcBorders>
              <w:top w:val="nil"/>
              <w:left w:val="nil"/>
              <w:bottom w:val="nil"/>
              <w:right w:val="nil"/>
            </w:tcBorders>
            <w:vAlign w:val="center"/>
            <w:hideMark/>
          </w:tcPr>
          <w:p w14:paraId="20F8E023"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06BB52F2" w14:textId="64E50408" w:rsidR="0046680D" w:rsidRPr="00B908AD" w:rsidRDefault="0046680D" w:rsidP="00DA229F">
            <w:pPr>
              <w:jc w:val="center"/>
              <w:rPr>
                <w:color w:val="000000" w:themeColor="text1"/>
              </w:rPr>
            </w:pPr>
            <w:r w:rsidRPr="00B908AD">
              <w:rPr>
                <w:color w:val="000000" w:themeColor="text1"/>
              </w:rPr>
              <w:t>60</w:t>
            </w:r>
          </w:p>
        </w:tc>
        <w:tc>
          <w:tcPr>
            <w:tcW w:w="0" w:type="auto"/>
            <w:gridSpan w:val="2"/>
            <w:tcBorders>
              <w:top w:val="nil"/>
              <w:left w:val="nil"/>
              <w:bottom w:val="nil"/>
              <w:right w:val="nil"/>
            </w:tcBorders>
            <w:vAlign w:val="center"/>
            <w:hideMark/>
          </w:tcPr>
          <w:p w14:paraId="5B69B22E"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00E56542" w14:textId="0FCF7215" w:rsidR="0046680D" w:rsidRPr="00B908AD" w:rsidRDefault="00DA229F" w:rsidP="00DA229F">
            <w:pPr>
              <w:jc w:val="center"/>
              <w:rPr>
                <w:color w:val="000000" w:themeColor="text1"/>
              </w:rPr>
            </w:pPr>
            <w:r w:rsidRPr="00B908AD">
              <w:rPr>
                <w:color w:val="000000" w:themeColor="text1"/>
              </w:rPr>
              <w:t xml:space="preserve"> </w:t>
            </w:r>
            <w:r w:rsidR="0046680D" w:rsidRPr="00B908AD">
              <w:rPr>
                <w:color w:val="000000" w:themeColor="text1"/>
              </w:rPr>
              <w:t>46.367</w:t>
            </w:r>
          </w:p>
        </w:tc>
        <w:tc>
          <w:tcPr>
            <w:tcW w:w="0" w:type="auto"/>
            <w:tcBorders>
              <w:top w:val="nil"/>
              <w:left w:val="nil"/>
              <w:bottom w:val="nil"/>
              <w:right w:val="nil"/>
            </w:tcBorders>
            <w:vAlign w:val="center"/>
            <w:hideMark/>
          </w:tcPr>
          <w:p w14:paraId="7B6A4095"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363C8965" w14:textId="7BC9F414" w:rsidR="0046680D" w:rsidRPr="00B908AD" w:rsidRDefault="00DA229F" w:rsidP="00DA229F">
            <w:pPr>
              <w:jc w:val="center"/>
              <w:rPr>
                <w:color w:val="000000" w:themeColor="text1"/>
              </w:rPr>
            </w:pPr>
            <w:r w:rsidRPr="00B908AD">
              <w:rPr>
                <w:color w:val="000000" w:themeColor="text1"/>
              </w:rPr>
              <w:t xml:space="preserve"> </w:t>
            </w:r>
            <w:r w:rsidR="0046680D" w:rsidRPr="00B908AD">
              <w:rPr>
                <w:color w:val="000000" w:themeColor="text1"/>
              </w:rPr>
              <w:t>4.991</w:t>
            </w:r>
          </w:p>
        </w:tc>
        <w:tc>
          <w:tcPr>
            <w:tcW w:w="0" w:type="auto"/>
            <w:tcBorders>
              <w:top w:val="nil"/>
              <w:left w:val="nil"/>
              <w:bottom w:val="nil"/>
              <w:right w:val="nil"/>
            </w:tcBorders>
            <w:vAlign w:val="center"/>
            <w:hideMark/>
          </w:tcPr>
          <w:p w14:paraId="4B6FB10C" w14:textId="77777777" w:rsidR="0046680D" w:rsidRPr="00B908AD" w:rsidRDefault="0046680D" w:rsidP="00EA7818">
            <w:pPr>
              <w:jc w:val="right"/>
              <w:rPr>
                <w:color w:val="000000" w:themeColor="text1"/>
              </w:rPr>
            </w:pPr>
          </w:p>
        </w:tc>
      </w:tr>
      <w:tr w:rsidR="00B908AD" w:rsidRPr="00B908AD" w14:paraId="52CD466A" w14:textId="77777777" w:rsidTr="00025B2C">
        <w:trPr>
          <w:jc w:val="center"/>
        </w:trPr>
        <w:tc>
          <w:tcPr>
            <w:tcW w:w="3363" w:type="dxa"/>
            <w:tcBorders>
              <w:top w:val="nil"/>
              <w:left w:val="nil"/>
              <w:bottom w:val="nil"/>
              <w:right w:val="nil"/>
            </w:tcBorders>
            <w:vAlign w:val="center"/>
            <w:hideMark/>
          </w:tcPr>
          <w:p w14:paraId="5A69E8B5" w14:textId="77777777" w:rsidR="0046680D" w:rsidRPr="00B908AD" w:rsidRDefault="0046680D" w:rsidP="00EA7818">
            <w:pPr>
              <w:rPr>
                <w:color w:val="000000" w:themeColor="text1"/>
              </w:rPr>
            </w:pPr>
            <w:r w:rsidRPr="00B908AD">
              <w:rPr>
                <w:color w:val="000000" w:themeColor="text1"/>
              </w:rPr>
              <w:t xml:space="preserve">Age </w:t>
            </w:r>
          </w:p>
        </w:tc>
        <w:tc>
          <w:tcPr>
            <w:tcW w:w="112" w:type="dxa"/>
            <w:tcBorders>
              <w:top w:val="nil"/>
              <w:left w:val="nil"/>
              <w:bottom w:val="nil"/>
              <w:right w:val="nil"/>
            </w:tcBorders>
            <w:vAlign w:val="center"/>
            <w:hideMark/>
          </w:tcPr>
          <w:p w14:paraId="2C1156A6"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3035F18D" w14:textId="1B603178" w:rsidR="0046680D" w:rsidRPr="00B908AD" w:rsidRDefault="0046680D" w:rsidP="00DA229F">
            <w:pPr>
              <w:jc w:val="center"/>
              <w:rPr>
                <w:color w:val="000000" w:themeColor="text1"/>
              </w:rPr>
            </w:pPr>
            <w:r w:rsidRPr="00B908AD">
              <w:rPr>
                <w:color w:val="000000" w:themeColor="text1"/>
              </w:rPr>
              <w:t>60</w:t>
            </w:r>
          </w:p>
        </w:tc>
        <w:tc>
          <w:tcPr>
            <w:tcW w:w="0" w:type="auto"/>
            <w:gridSpan w:val="2"/>
            <w:tcBorders>
              <w:top w:val="nil"/>
              <w:left w:val="nil"/>
              <w:bottom w:val="nil"/>
              <w:right w:val="nil"/>
            </w:tcBorders>
            <w:vAlign w:val="center"/>
            <w:hideMark/>
          </w:tcPr>
          <w:p w14:paraId="2080807F"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7CCE4C8B" w14:textId="24584EDF" w:rsidR="0046680D" w:rsidRPr="00B908AD" w:rsidRDefault="00DA229F" w:rsidP="00DA229F">
            <w:pPr>
              <w:jc w:val="center"/>
              <w:rPr>
                <w:color w:val="000000" w:themeColor="text1"/>
              </w:rPr>
            </w:pPr>
            <w:r w:rsidRPr="00B908AD">
              <w:rPr>
                <w:color w:val="000000" w:themeColor="text1"/>
              </w:rPr>
              <w:t xml:space="preserve"> </w:t>
            </w:r>
            <w:r w:rsidR="0046680D" w:rsidRPr="00B908AD">
              <w:rPr>
                <w:color w:val="000000" w:themeColor="text1"/>
              </w:rPr>
              <w:t>67.467</w:t>
            </w:r>
          </w:p>
        </w:tc>
        <w:tc>
          <w:tcPr>
            <w:tcW w:w="0" w:type="auto"/>
            <w:tcBorders>
              <w:top w:val="nil"/>
              <w:left w:val="nil"/>
              <w:bottom w:val="nil"/>
              <w:right w:val="nil"/>
            </w:tcBorders>
            <w:vAlign w:val="center"/>
            <w:hideMark/>
          </w:tcPr>
          <w:p w14:paraId="115B6A7C"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7B10BF6E" w14:textId="0DA58CEB" w:rsidR="0046680D" w:rsidRPr="00B908AD" w:rsidRDefault="00DA229F" w:rsidP="00DA229F">
            <w:pPr>
              <w:jc w:val="center"/>
              <w:rPr>
                <w:color w:val="000000" w:themeColor="text1"/>
              </w:rPr>
            </w:pPr>
            <w:r w:rsidRPr="00B908AD">
              <w:rPr>
                <w:color w:val="000000" w:themeColor="text1"/>
              </w:rPr>
              <w:t xml:space="preserve"> </w:t>
            </w:r>
            <w:r w:rsidR="0046680D" w:rsidRPr="00B908AD">
              <w:rPr>
                <w:color w:val="000000" w:themeColor="text1"/>
              </w:rPr>
              <w:t>9.475</w:t>
            </w:r>
          </w:p>
        </w:tc>
        <w:tc>
          <w:tcPr>
            <w:tcW w:w="0" w:type="auto"/>
            <w:tcBorders>
              <w:top w:val="nil"/>
              <w:left w:val="nil"/>
              <w:bottom w:val="nil"/>
              <w:right w:val="nil"/>
            </w:tcBorders>
            <w:vAlign w:val="center"/>
            <w:hideMark/>
          </w:tcPr>
          <w:p w14:paraId="4C8CDB7E" w14:textId="77777777" w:rsidR="0046680D" w:rsidRPr="00B908AD" w:rsidRDefault="0046680D" w:rsidP="00EA7818">
            <w:pPr>
              <w:jc w:val="right"/>
              <w:rPr>
                <w:color w:val="000000" w:themeColor="text1"/>
              </w:rPr>
            </w:pPr>
          </w:p>
        </w:tc>
      </w:tr>
      <w:tr w:rsidR="00B908AD" w:rsidRPr="00B908AD" w14:paraId="6EDAC2D1" w14:textId="77777777" w:rsidTr="00025B2C">
        <w:trPr>
          <w:jc w:val="center"/>
        </w:trPr>
        <w:tc>
          <w:tcPr>
            <w:tcW w:w="3363" w:type="dxa"/>
            <w:tcBorders>
              <w:top w:val="nil"/>
              <w:left w:val="nil"/>
              <w:bottom w:val="nil"/>
              <w:right w:val="nil"/>
            </w:tcBorders>
            <w:vAlign w:val="center"/>
            <w:hideMark/>
          </w:tcPr>
          <w:p w14:paraId="6FC762E0" w14:textId="77777777" w:rsidR="0046680D" w:rsidRPr="00B908AD" w:rsidRDefault="0046680D" w:rsidP="00EA7818">
            <w:pPr>
              <w:rPr>
                <w:color w:val="000000" w:themeColor="text1"/>
              </w:rPr>
            </w:pPr>
            <w:r w:rsidRPr="00B908AD">
              <w:rPr>
                <w:color w:val="000000" w:themeColor="text1"/>
              </w:rPr>
              <w:t xml:space="preserve">Estimated career head injuries     </w:t>
            </w:r>
          </w:p>
        </w:tc>
        <w:tc>
          <w:tcPr>
            <w:tcW w:w="112" w:type="dxa"/>
            <w:tcBorders>
              <w:top w:val="nil"/>
              <w:left w:val="nil"/>
              <w:bottom w:val="nil"/>
              <w:right w:val="nil"/>
            </w:tcBorders>
            <w:vAlign w:val="center"/>
            <w:hideMark/>
          </w:tcPr>
          <w:p w14:paraId="4F291C97"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773AB860" w14:textId="3523DE16" w:rsidR="0046680D" w:rsidRPr="00B908AD" w:rsidRDefault="0046680D" w:rsidP="00DA229F">
            <w:pPr>
              <w:jc w:val="center"/>
              <w:rPr>
                <w:color w:val="000000" w:themeColor="text1"/>
              </w:rPr>
            </w:pPr>
            <w:r w:rsidRPr="00B908AD">
              <w:rPr>
                <w:color w:val="000000" w:themeColor="text1"/>
              </w:rPr>
              <w:t>60</w:t>
            </w:r>
          </w:p>
        </w:tc>
        <w:tc>
          <w:tcPr>
            <w:tcW w:w="0" w:type="auto"/>
            <w:gridSpan w:val="2"/>
            <w:tcBorders>
              <w:top w:val="nil"/>
              <w:left w:val="nil"/>
              <w:bottom w:val="nil"/>
              <w:right w:val="nil"/>
            </w:tcBorders>
            <w:vAlign w:val="center"/>
            <w:hideMark/>
          </w:tcPr>
          <w:p w14:paraId="22C02DD1"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41AA76FA" w14:textId="6AD6802D" w:rsidR="0046680D" w:rsidRPr="00B908AD" w:rsidRDefault="00DA229F" w:rsidP="00DA229F">
            <w:pPr>
              <w:jc w:val="center"/>
              <w:rPr>
                <w:color w:val="000000" w:themeColor="text1"/>
              </w:rPr>
            </w:pPr>
            <w:r w:rsidRPr="00B908AD">
              <w:rPr>
                <w:color w:val="000000" w:themeColor="text1"/>
              </w:rPr>
              <w:t xml:space="preserve"> </w:t>
            </w:r>
            <w:r w:rsidR="0046680D" w:rsidRPr="00B908AD">
              <w:rPr>
                <w:color w:val="000000" w:themeColor="text1"/>
              </w:rPr>
              <w:t>63.650</w:t>
            </w:r>
          </w:p>
        </w:tc>
        <w:tc>
          <w:tcPr>
            <w:tcW w:w="0" w:type="auto"/>
            <w:tcBorders>
              <w:top w:val="nil"/>
              <w:left w:val="nil"/>
              <w:bottom w:val="nil"/>
              <w:right w:val="nil"/>
            </w:tcBorders>
            <w:vAlign w:val="center"/>
            <w:hideMark/>
          </w:tcPr>
          <w:p w14:paraId="43A33CAC"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685B62E1" w14:textId="231BCB58" w:rsidR="0046680D" w:rsidRPr="00B908AD" w:rsidRDefault="00DA229F" w:rsidP="00DA229F">
            <w:pPr>
              <w:jc w:val="center"/>
              <w:rPr>
                <w:color w:val="000000" w:themeColor="text1"/>
              </w:rPr>
            </w:pPr>
            <w:r w:rsidRPr="00B908AD">
              <w:rPr>
                <w:color w:val="000000" w:themeColor="text1"/>
              </w:rPr>
              <w:t xml:space="preserve"> </w:t>
            </w:r>
            <w:r w:rsidR="0046680D" w:rsidRPr="00B908AD">
              <w:rPr>
                <w:color w:val="000000" w:themeColor="text1"/>
              </w:rPr>
              <w:t>146.782</w:t>
            </w:r>
          </w:p>
        </w:tc>
        <w:tc>
          <w:tcPr>
            <w:tcW w:w="0" w:type="auto"/>
            <w:tcBorders>
              <w:top w:val="nil"/>
              <w:left w:val="nil"/>
              <w:bottom w:val="nil"/>
              <w:right w:val="nil"/>
            </w:tcBorders>
            <w:vAlign w:val="center"/>
            <w:hideMark/>
          </w:tcPr>
          <w:p w14:paraId="14ED4E1F" w14:textId="77777777" w:rsidR="0046680D" w:rsidRPr="00B908AD" w:rsidRDefault="0046680D" w:rsidP="00EA7818">
            <w:pPr>
              <w:jc w:val="right"/>
              <w:rPr>
                <w:color w:val="000000" w:themeColor="text1"/>
              </w:rPr>
            </w:pPr>
          </w:p>
        </w:tc>
      </w:tr>
      <w:tr w:rsidR="00B908AD" w:rsidRPr="00B908AD" w14:paraId="6BC407F5" w14:textId="77777777" w:rsidTr="00025B2C">
        <w:trPr>
          <w:jc w:val="center"/>
        </w:trPr>
        <w:tc>
          <w:tcPr>
            <w:tcW w:w="3363" w:type="dxa"/>
            <w:tcBorders>
              <w:top w:val="nil"/>
              <w:left w:val="nil"/>
              <w:bottom w:val="nil"/>
              <w:right w:val="nil"/>
            </w:tcBorders>
            <w:vAlign w:val="center"/>
            <w:hideMark/>
          </w:tcPr>
          <w:p w14:paraId="5970B7AC" w14:textId="77777777" w:rsidR="0046680D" w:rsidRPr="00B908AD" w:rsidRDefault="0046680D" w:rsidP="00EA7818">
            <w:pPr>
              <w:rPr>
                <w:color w:val="000000" w:themeColor="text1"/>
              </w:rPr>
            </w:pPr>
            <w:r w:rsidRPr="00B908AD">
              <w:rPr>
                <w:color w:val="000000" w:themeColor="text1"/>
              </w:rPr>
              <w:t xml:space="preserve">Estimated career headers </w:t>
            </w:r>
          </w:p>
        </w:tc>
        <w:tc>
          <w:tcPr>
            <w:tcW w:w="112" w:type="dxa"/>
            <w:tcBorders>
              <w:top w:val="nil"/>
              <w:left w:val="nil"/>
              <w:bottom w:val="nil"/>
              <w:right w:val="nil"/>
            </w:tcBorders>
            <w:vAlign w:val="center"/>
            <w:hideMark/>
          </w:tcPr>
          <w:p w14:paraId="5443231D"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2EA70360" w14:textId="14BFCC76" w:rsidR="0046680D" w:rsidRPr="00B908AD" w:rsidRDefault="0046680D" w:rsidP="00DA229F">
            <w:pPr>
              <w:jc w:val="center"/>
              <w:rPr>
                <w:color w:val="000000" w:themeColor="text1"/>
              </w:rPr>
            </w:pPr>
            <w:r w:rsidRPr="00B908AD">
              <w:rPr>
                <w:color w:val="000000" w:themeColor="text1"/>
              </w:rPr>
              <w:t>60</w:t>
            </w:r>
          </w:p>
        </w:tc>
        <w:tc>
          <w:tcPr>
            <w:tcW w:w="0" w:type="auto"/>
            <w:gridSpan w:val="2"/>
            <w:tcBorders>
              <w:top w:val="nil"/>
              <w:left w:val="nil"/>
              <w:bottom w:val="nil"/>
              <w:right w:val="nil"/>
            </w:tcBorders>
            <w:vAlign w:val="center"/>
            <w:hideMark/>
          </w:tcPr>
          <w:p w14:paraId="58394CAB"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293F3150" w14:textId="3D95BAA8" w:rsidR="0046680D" w:rsidRPr="00B908AD" w:rsidRDefault="00DA229F" w:rsidP="00DA229F">
            <w:pPr>
              <w:jc w:val="center"/>
              <w:rPr>
                <w:color w:val="000000" w:themeColor="text1"/>
              </w:rPr>
            </w:pPr>
            <w:r w:rsidRPr="00B908AD">
              <w:rPr>
                <w:color w:val="000000" w:themeColor="text1"/>
              </w:rPr>
              <w:t xml:space="preserve"> </w:t>
            </w:r>
            <w:r w:rsidR="0046680D" w:rsidRPr="00B908AD">
              <w:rPr>
                <w:color w:val="000000" w:themeColor="text1"/>
              </w:rPr>
              <w:t>5</w:t>
            </w:r>
            <w:r w:rsidR="00F75250" w:rsidRPr="00B908AD">
              <w:rPr>
                <w:color w:val="000000" w:themeColor="text1"/>
              </w:rPr>
              <w:t>1766</w:t>
            </w:r>
            <w:r w:rsidR="0046680D" w:rsidRPr="00B908AD">
              <w:rPr>
                <w:color w:val="000000" w:themeColor="text1"/>
              </w:rPr>
              <w:t>.</w:t>
            </w:r>
            <w:r w:rsidR="00F75250" w:rsidRPr="00B908AD">
              <w:rPr>
                <w:color w:val="000000" w:themeColor="text1"/>
              </w:rPr>
              <w:t>21</w:t>
            </w:r>
            <w:r w:rsidR="00350D6D" w:rsidRPr="00B908AD">
              <w:rPr>
                <w:color w:val="000000" w:themeColor="text1"/>
              </w:rPr>
              <w:t>3</w:t>
            </w:r>
          </w:p>
        </w:tc>
        <w:tc>
          <w:tcPr>
            <w:tcW w:w="0" w:type="auto"/>
            <w:tcBorders>
              <w:top w:val="nil"/>
              <w:left w:val="nil"/>
              <w:bottom w:val="nil"/>
              <w:right w:val="nil"/>
            </w:tcBorders>
            <w:vAlign w:val="center"/>
            <w:hideMark/>
          </w:tcPr>
          <w:p w14:paraId="785380D5" w14:textId="77777777" w:rsidR="0046680D" w:rsidRPr="00B908AD" w:rsidRDefault="0046680D" w:rsidP="00DA229F">
            <w:pPr>
              <w:jc w:val="center"/>
              <w:rPr>
                <w:color w:val="000000" w:themeColor="text1"/>
              </w:rPr>
            </w:pPr>
          </w:p>
        </w:tc>
        <w:tc>
          <w:tcPr>
            <w:tcW w:w="0" w:type="auto"/>
            <w:tcBorders>
              <w:top w:val="nil"/>
              <w:left w:val="nil"/>
              <w:bottom w:val="nil"/>
              <w:right w:val="nil"/>
            </w:tcBorders>
            <w:vAlign w:val="center"/>
            <w:hideMark/>
          </w:tcPr>
          <w:p w14:paraId="3682631D" w14:textId="4906CDEC" w:rsidR="0046680D" w:rsidRPr="00B908AD" w:rsidRDefault="00DA229F" w:rsidP="00DA229F">
            <w:pPr>
              <w:jc w:val="center"/>
              <w:rPr>
                <w:color w:val="000000" w:themeColor="text1"/>
              </w:rPr>
            </w:pPr>
            <w:r w:rsidRPr="00B908AD">
              <w:rPr>
                <w:color w:val="000000" w:themeColor="text1"/>
              </w:rPr>
              <w:t xml:space="preserve"> </w:t>
            </w:r>
            <w:r w:rsidR="00350D6D" w:rsidRPr="00B908AD">
              <w:rPr>
                <w:color w:val="000000" w:themeColor="text1"/>
              </w:rPr>
              <w:t>61290</w:t>
            </w:r>
            <w:r w:rsidR="0046680D" w:rsidRPr="00B908AD">
              <w:rPr>
                <w:color w:val="000000" w:themeColor="text1"/>
              </w:rPr>
              <w:t>.</w:t>
            </w:r>
            <w:r w:rsidR="00350D6D" w:rsidRPr="00B908AD">
              <w:rPr>
                <w:color w:val="000000" w:themeColor="text1"/>
              </w:rPr>
              <w:t>326</w:t>
            </w:r>
          </w:p>
        </w:tc>
        <w:tc>
          <w:tcPr>
            <w:tcW w:w="0" w:type="auto"/>
            <w:tcBorders>
              <w:top w:val="nil"/>
              <w:left w:val="nil"/>
              <w:bottom w:val="nil"/>
              <w:right w:val="nil"/>
            </w:tcBorders>
            <w:vAlign w:val="center"/>
            <w:hideMark/>
          </w:tcPr>
          <w:p w14:paraId="43213391" w14:textId="77777777" w:rsidR="0046680D" w:rsidRPr="00B908AD" w:rsidRDefault="0046680D" w:rsidP="00EA7818">
            <w:pPr>
              <w:jc w:val="right"/>
              <w:rPr>
                <w:color w:val="000000" w:themeColor="text1"/>
              </w:rPr>
            </w:pPr>
          </w:p>
        </w:tc>
      </w:tr>
      <w:tr w:rsidR="00B908AD" w:rsidRPr="00B908AD" w14:paraId="68D0A620" w14:textId="77777777" w:rsidTr="00025B2C">
        <w:trPr>
          <w:jc w:val="center"/>
        </w:trPr>
        <w:tc>
          <w:tcPr>
            <w:tcW w:w="0" w:type="auto"/>
            <w:gridSpan w:val="9"/>
            <w:tcBorders>
              <w:top w:val="nil"/>
              <w:left w:val="nil"/>
              <w:bottom w:val="single" w:sz="12" w:space="0" w:color="000000"/>
              <w:right w:val="nil"/>
            </w:tcBorders>
            <w:vAlign w:val="center"/>
            <w:hideMark/>
          </w:tcPr>
          <w:p w14:paraId="5A722A61" w14:textId="77777777" w:rsidR="0046680D" w:rsidRPr="00B908AD" w:rsidRDefault="0046680D" w:rsidP="00DA229F">
            <w:pPr>
              <w:jc w:val="center"/>
              <w:rPr>
                <w:color w:val="000000" w:themeColor="text1"/>
                <w:sz w:val="20"/>
                <w:szCs w:val="20"/>
              </w:rPr>
            </w:pPr>
          </w:p>
        </w:tc>
      </w:tr>
    </w:tbl>
    <w:p w14:paraId="3C20572B" w14:textId="0841BF4A" w:rsidR="0046680D" w:rsidRPr="00B908AD" w:rsidRDefault="0046680D" w:rsidP="00033CA2">
      <w:pPr>
        <w:spacing w:line="480" w:lineRule="auto"/>
        <w:rPr>
          <w:i/>
          <w:iCs/>
          <w:color w:val="000000" w:themeColor="text1"/>
        </w:rPr>
      </w:pPr>
    </w:p>
    <w:p w14:paraId="47473BF8" w14:textId="5D5B22EF" w:rsidR="00CE2C1C" w:rsidRPr="00B908AD" w:rsidRDefault="00033CA2" w:rsidP="009F026D">
      <w:pPr>
        <w:spacing w:line="480" w:lineRule="auto"/>
        <w:rPr>
          <w:color w:val="000000" w:themeColor="text1"/>
        </w:rPr>
      </w:pPr>
      <w:r w:rsidRPr="00B908AD">
        <w:rPr>
          <w:i/>
          <w:iCs/>
          <w:color w:val="000000" w:themeColor="text1"/>
        </w:rPr>
        <w:t>Bayesian linear regression analys</w:t>
      </w:r>
      <w:r w:rsidR="00BB606D" w:rsidRPr="00B908AD">
        <w:rPr>
          <w:i/>
          <w:iCs/>
          <w:color w:val="000000" w:themeColor="text1"/>
        </w:rPr>
        <w:t>e</w:t>
      </w:r>
      <w:r w:rsidRPr="00B908AD">
        <w:rPr>
          <w:i/>
          <w:iCs/>
          <w:color w:val="000000" w:themeColor="text1"/>
        </w:rPr>
        <w:t>s</w:t>
      </w:r>
      <w:proofErr w:type="gramStart"/>
      <w:r w:rsidRPr="00B908AD">
        <w:rPr>
          <w:color w:val="000000" w:themeColor="text1"/>
        </w:rPr>
        <w:t xml:space="preserve">. </w:t>
      </w:r>
      <w:r w:rsidR="00A97DE3" w:rsidRPr="00B908AD">
        <w:rPr>
          <w:color w:val="000000" w:themeColor="text1"/>
        </w:rPr>
        <w:t xml:space="preserve"> </w:t>
      </w:r>
      <w:proofErr w:type="gramEnd"/>
      <w:r w:rsidR="00B6111C" w:rsidRPr="00B908AD">
        <w:rPr>
          <w:color w:val="000000" w:themeColor="text1"/>
        </w:rPr>
        <w:t xml:space="preserve">To test the hypothesis </w:t>
      </w:r>
      <w:r w:rsidR="00AF112D" w:rsidRPr="00B908AD">
        <w:rPr>
          <w:color w:val="000000" w:themeColor="text1"/>
        </w:rPr>
        <w:t>that headers affected the TYM score, the null model, including age</w:t>
      </w:r>
      <w:r w:rsidR="00C66F90" w:rsidRPr="00B908AD">
        <w:rPr>
          <w:color w:val="000000" w:themeColor="text1"/>
        </w:rPr>
        <w:t xml:space="preserve"> and non-football head injuries</w:t>
      </w:r>
      <w:r w:rsidR="00AF112D" w:rsidRPr="00B908AD">
        <w:rPr>
          <w:color w:val="000000" w:themeColor="text1"/>
        </w:rPr>
        <w:t xml:space="preserve">, </w:t>
      </w:r>
      <w:r w:rsidR="00A97DE3" w:rsidRPr="00B908AD">
        <w:rPr>
          <w:color w:val="000000" w:themeColor="text1"/>
        </w:rPr>
        <w:t xml:space="preserve">was compared </w:t>
      </w:r>
      <w:r w:rsidR="00AF112D" w:rsidRPr="00B908AD">
        <w:rPr>
          <w:color w:val="000000" w:themeColor="text1"/>
        </w:rPr>
        <w:t xml:space="preserve">with </w:t>
      </w:r>
      <w:r w:rsidR="009B2600" w:rsidRPr="00B908AD">
        <w:rPr>
          <w:color w:val="000000" w:themeColor="text1"/>
        </w:rPr>
        <w:t xml:space="preserve">the model </w:t>
      </w:r>
      <w:r w:rsidR="006D5831" w:rsidRPr="00B908AD">
        <w:rPr>
          <w:color w:val="000000" w:themeColor="text1"/>
        </w:rPr>
        <w:t>including</w:t>
      </w:r>
      <w:r w:rsidR="009B2600" w:rsidRPr="00B908AD">
        <w:rPr>
          <w:color w:val="000000" w:themeColor="text1"/>
        </w:rPr>
        <w:t xml:space="preserve"> headers</w:t>
      </w:r>
      <w:proofErr w:type="gramStart"/>
      <w:r w:rsidR="009B2600" w:rsidRPr="00B908AD">
        <w:rPr>
          <w:color w:val="000000" w:themeColor="text1"/>
        </w:rPr>
        <w:t xml:space="preserve">. </w:t>
      </w:r>
      <w:r w:rsidR="00CE2C1C" w:rsidRPr="00B908AD">
        <w:rPr>
          <w:color w:val="000000" w:themeColor="text1"/>
        </w:rPr>
        <w:t xml:space="preserve"> </w:t>
      </w:r>
      <w:proofErr w:type="gramEnd"/>
      <w:r w:rsidR="004D7392" w:rsidRPr="00B908AD">
        <w:rPr>
          <w:color w:val="000000" w:themeColor="text1"/>
        </w:rPr>
        <w:t xml:space="preserve">This analysis yielded </w:t>
      </w:r>
      <w:r w:rsidR="00A97DE3" w:rsidRPr="00B908AD">
        <w:rPr>
          <w:color w:val="000000" w:themeColor="text1"/>
        </w:rPr>
        <w:t>substantial</w:t>
      </w:r>
      <w:r w:rsidR="004D7392" w:rsidRPr="00B908AD">
        <w:rPr>
          <w:color w:val="000000" w:themeColor="text1"/>
        </w:rPr>
        <w:t xml:space="preserve"> evidence </w:t>
      </w:r>
      <w:r w:rsidR="00F25E56" w:rsidRPr="00B908AD">
        <w:rPr>
          <w:color w:val="000000" w:themeColor="text1"/>
        </w:rPr>
        <w:t xml:space="preserve">that headers affected the TYM score, </w:t>
      </w:r>
      <w:r w:rsidR="004B6C9C" w:rsidRPr="00B908AD">
        <w:rPr>
          <w:color w:val="000000" w:themeColor="text1"/>
        </w:rPr>
        <w:t>BF</w:t>
      </w:r>
      <w:r w:rsidR="004B6C9C" w:rsidRPr="00B908AD">
        <w:rPr>
          <w:color w:val="000000" w:themeColor="text1"/>
          <w:vertAlign w:val="subscript"/>
        </w:rPr>
        <w:t xml:space="preserve">M </w:t>
      </w:r>
      <w:r w:rsidR="004B6C9C" w:rsidRPr="00B908AD">
        <w:rPr>
          <w:color w:val="000000" w:themeColor="text1"/>
        </w:rPr>
        <w:t xml:space="preserve">= </w:t>
      </w:r>
      <w:r w:rsidR="00900502" w:rsidRPr="00B908AD">
        <w:rPr>
          <w:color w:val="000000" w:themeColor="text1"/>
        </w:rPr>
        <w:t>114</w:t>
      </w:r>
      <w:r w:rsidR="004B6C9C" w:rsidRPr="00B908AD">
        <w:rPr>
          <w:color w:val="000000" w:themeColor="text1"/>
        </w:rPr>
        <w:t>.</w:t>
      </w:r>
      <w:r w:rsidR="00900502" w:rsidRPr="00B908AD">
        <w:rPr>
          <w:color w:val="000000" w:themeColor="text1"/>
        </w:rPr>
        <w:t>505</w:t>
      </w:r>
      <w:r w:rsidR="007F6349" w:rsidRPr="00B908AD">
        <w:rPr>
          <w:color w:val="000000" w:themeColor="text1"/>
        </w:rPr>
        <w:t xml:space="preserve">. </w:t>
      </w:r>
      <w:r w:rsidR="00676A07">
        <w:rPr>
          <w:color w:val="000000" w:themeColor="text1"/>
        </w:rPr>
        <w:t xml:space="preserve"> </w:t>
      </w:r>
      <w:r w:rsidR="007F6349" w:rsidRPr="00B908AD">
        <w:rPr>
          <w:color w:val="000000" w:themeColor="text1"/>
        </w:rPr>
        <w:t>BF</w:t>
      </w:r>
      <w:r w:rsidR="007F6349" w:rsidRPr="00B908AD">
        <w:rPr>
          <w:color w:val="000000" w:themeColor="text1"/>
          <w:vertAlign w:val="subscript"/>
        </w:rPr>
        <w:t xml:space="preserve">M </w:t>
      </w:r>
      <w:r w:rsidR="007F6349" w:rsidRPr="00B908AD">
        <w:rPr>
          <w:color w:val="000000" w:themeColor="text1"/>
        </w:rPr>
        <w:t>indicates how much the odds of a specific model change after observing the data</w:t>
      </w:r>
      <w:proofErr w:type="gramStart"/>
      <w:r w:rsidR="00780FB3">
        <w:rPr>
          <w:color w:val="000000" w:themeColor="text1"/>
        </w:rPr>
        <w:t xml:space="preserve">.  </w:t>
      </w:r>
      <w:proofErr w:type="gramEnd"/>
      <w:r w:rsidR="00780FB3">
        <w:rPr>
          <w:color w:val="000000" w:themeColor="text1"/>
        </w:rPr>
        <w:t>A</w:t>
      </w:r>
      <w:r w:rsidR="00780FB3" w:rsidRPr="00B908AD">
        <w:rPr>
          <w:color w:val="000000" w:themeColor="text1"/>
        </w:rPr>
        <w:t xml:space="preserve">fter </w:t>
      </w:r>
      <w:r w:rsidR="00665334" w:rsidRPr="00B908AD">
        <w:rPr>
          <w:color w:val="000000" w:themeColor="text1"/>
        </w:rPr>
        <w:t xml:space="preserve">observing </w:t>
      </w:r>
      <w:r w:rsidR="007F6349" w:rsidRPr="00B908AD">
        <w:rPr>
          <w:color w:val="000000" w:themeColor="text1"/>
        </w:rPr>
        <w:t xml:space="preserve">the </w:t>
      </w:r>
      <w:r w:rsidR="00665334" w:rsidRPr="00B908AD">
        <w:rPr>
          <w:color w:val="000000" w:themeColor="text1"/>
        </w:rPr>
        <w:t>data</w:t>
      </w:r>
      <w:r w:rsidR="00780FB3" w:rsidRPr="00780FB3">
        <w:rPr>
          <w:color w:val="000000" w:themeColor="text1"/>
        </w:rPr>
        <w:t xml:space="preserve"> </w:t>
      </w:r>
      <w:r w:rsidR="00780FB3" w:rsidRPr="00B908AD">
        <w:rPr>
          <w:color w:val="000000" w:themeColor="text1"/>
        </w:rPr>
        <w:t>in this case,</w:t>
      </w:r>
      <w:r w:rsidR="00665334" w:rsidRPr="00B908AD">
        <w:rPr>
          <w:color w:val="000000" w:themeColor="text1"/>
        </w:rPr>
        <w:t xml:space="preserve"> </w:t>
      </w:r>
      <w:r w:rsidR="00B76C55" w:rsidRPr="00B908AD">
        <w:rPr>
          <w:color w:val="000000" w:themeColor="text1"/>
        </w:rPr>
        <w:t xml:space="preserve">the odds in favour of the model </w:t>
      </w:r>
      <w:r w:rsidR="00A96E00" w:rsidRPr="00B908AD">
        <w:rPr>
          <w:color w:val="000000" w:themeColor="text1"/>
        </w:rPr>
        <w:t>with</w:t>
      </w:r>
      <w:r w:rsidR="00B76C55" w:rsidRPr="00B908AD">
        <w:rPr>
          <w:color w:val="000000" w:themeColor="text1"/>
        </w:rPr>
        <w:t xml:space="preserve"> headers increased by a factor of </w:t>
      </w:r>
      <w:r w:rsidR="00900502" w:rsidRPr="00B908AD">
        <w:rPr>
          <w:color w:val="000000" w:themeColor="text1"/>
        </w:rPr>
        <w:t>114.505</w:t>
      </w:r>
      <w:r w:rsidR="00D768A5" w:rsidRPr="00B908AD">
        <w:rPr>
          <w:color w:val="000000" w:themeColor="text1"/>
        </w:rPr>
        <w:t>.</w:t>
      </w:r>
      <w:r w:rsidR="003F0BED" w:rsidRPr="00B908AD">
        <w:rPr>
          <w:color w:val="000000" w:themeColor="text1"/>
        </w:rPr>
        <w:t xml:space="preserve"> </w:t>
      </w:r>
      <w:r w:rsidR="00CE2C1C" w:rsidRPr="00B908AD">
        <w:rPr>
          <w:color w:val="000000" w:themeColor="text1"/>
        </w:rPr>
        <w:t xml:space="preserve"> </w:t>
      </w:r>
      <w:r w:rsidR="00DC092F" w:rsidRPr="00B908AD">
        <w:rPr>
          <w:color w:val="000000" w:themeColor="text1"/>
        </w:rPr>
        <w:t xml:space="preserve">The coefficient of the headers model had a posterior mean of </w:t>
      </w:r>
      <w:r w:rsidR="00CA4099" w:rsidRPr="00B908AD">
        <w:rPr>
          <w:color w:val="000000" w:themeColor="text1"/>
        </w:rPr>
        <w:t>-0.000031</w:t>
      </w:r>
      <w:r w:rsidR="00221476" w:rsidRPr="00B908AD">
        <w:rPr>
          <w:color w:val="000000" w:themeColor="text1"/>
        </w:rPr>
        <w:t>89</w:t>
      </w:r>
      <w:r w:rsidR="00364E40" w:rsidRPr="00B908AD">
        <w:rPr>
          <w:color w:val="000000" w:themeColor="text1"/>
        </w:rPr>
        <w:t xml:space="preserve">, </w:t>
      </w:r>
      <w:r w:rsidR="00221476" w:rsidRPr="00B908AD">
        <w:rPr>
          <w:color w:val="000000" w:themeColor="text1"/>
        </w:rPr>
        <w:t>a SD of 0.0000</w:t>
      </w:r>
      <w:r w:rsidR="006012FD" w:rsidRPr="00B908AD">
        <w:rPr>
          <w:color w:val="000000" w:themeColor="text1"/>
        </w:rPr>
        <w:t>9375</w:t>
      </w:r>
      <w:r w:rsidR="00221476" w:rsidRPr="00B908AD">
        <w:rPr>
          <w:color w:val="000000" w:themeColor="text1"/>
        </w:rPr>
        <w:t xml:space="preserve">, </w:t>
      </w:r>
      <w:r w:rsidR="00364E40" w:rsidRPr="00B908AD">
        <w:rPr>
          <w:color w:val="000000" w:themeColor="text1"/>
        </w:rPr>
        <w:t xml:space="preserve">and lower/higher </w:t>
      </w:r>
      <w:r w:rsidR="00E1455D" w:rsidRPr="00B908AD">
        <w:rPr>
          <w:color w:val="000000" w:themeColor="text1"/>
        </w:rPr>
        <w:t>95% credible intervals of -0.000052</w:t>
      </w:r>
      <w:r w:rsidR="006012FD" w:rsidRPr="00B908AD">
        <w:rPr>
          <w:color w:val="000000" w:themeColor="text1"/>
        </w:rPr>
        <w:t>25</w:t>
      </w:r>
      <w:r w:rsidR="00E1455D" w:rsidRPr="00B908AD">
        <w:rPr>
          <w:color w:val="000000" w:themeColor="text1"/>
        </w:rPr>
        <w:t xml:space="preserve"> and -0.000</w:t>
      </w:r>
      <w:r w:rsidR="007F1E41" w:rsidRPr="00B908AD">
        <w:rPr>
          <w:color w:val="000000" w:themeColor="text1"/>
        </w:rPr>
        <w:t>01</w:t>
      </w:r>
      <w:r w:rsidR="006012FD" w:rsidRPr="00B908AD">
        <w:rPr>
          <w:color w:val="000000" w:themeColor="text1"/>
        </w:rPr>
        <w:t>555</w:t>
      </w:r>
      <w:r w:rsidR="007F1E41" w:rsidRPr="00B908AD">
        <w:rPr>
          <w:color w:val="000000" w:themeColor="text1"/>
        </w:rPr>
        <w:t>, respectively</w:t>
      </w:r>
      <w:proofErr w:type="gramStart"/>
      <w:r w:rsidR="007F1E41" w:rsidRPr="00B908AD">
        <w:rPr>
          <w:color w:val="000000" w:themeColor="text1"/>
        </w:rPr>
        <w:t xml:space="preserve">. </w:t>
      </w:r>
      <w:r w:rsidR="00CE2C1C" w:rsidRPr="00B908AD">
        <w:rPr>
          <w:color w:val="000000" w:themeColor="text1"/>
        </w:rPr>
        <w:t xml:space="preserve"> </w:t>
      </w:r>
      <w:proofErr w:type="gramEnd"/>
      <w:r w:rsidR="007F1E41" w:rsidRPr="00B908AD">
        <w:rPr>
          <w:color w:val="000000" w:themeColor="text1"/>
        </w:rPr>
        <w:t xml:space="preserve">These values </w:t>
      </w:r>
      <w:r w:rsidR="002354DD" w:rsidRPr="00B908AD">
        <w:rPr>
          <w:color w:val="000000" w:themeColor="text1"/>
        </w:rPr>
        <w:t>indicate that 100,000 headers</w:t>
      </w:r>
      <w:r w:rsidR="00B32F25" w:rsidRPr="00B908AD">
        <w:rPr>
          <w:color w:val="000000" w:themeColor="text1"/>
        </w:rPr>
        <w:t xml:space="preserve"> </w:t>
      </w:r>
      <w:r w:rsidR="00B1259B" w:rsidRPr="00B908AD">
        <w:rPr>
          <w:color w:val="000000" w:themeColor="text1"/>
        </w:rPr>
        <w:t xml:space="preserve">would </w:t>
      </w:r>
      <w:r w:rsidR="00B32F25" w:rsidRPr="00B908AD">
        <w:rPr>
          <w:color w:val="000000" w:themeColor="text1"/>
        </w:rPr>
        <w:t>reduce the TYM score on average by 3.</w:t>
      </w:r>
      <w:r w:rsidR="001B5980" w:rsidRPr="00B908AD">
        <w:rPr>
          <w:color w:val="000000" w:themeColor="text1"/>
        </w:rPr>
        <w:t>2</w:t>
      </w:r>
      <w:r w:rsidR="00B32F25" w:rsidRPr="00B908AD">
        <w:rPr>
          <w:color w:val="000000" w:themeColor="text1"/>
        </w:rPr>
        <w:t xml:space="preserve"> points, with upper/lower limits of 5.3 and </w:t>
      </w:r>
      <w:r w:rsidR="00ED0F73" w:rsidRPr="00B908AD">
        <w:rPr>
          <w:color w:val="000000" w:themeColor="text1"/>
        </w:rPr>
        <w:t>1.</w:t>
      </w:r>
      <w:r w:rsidR="001B5980" w:rsidRPr="00B908AD">
        <w:rPr>
          <w:color w:val="000000" w:themeColor="text1"/>
        </w:rPr>
        <w:t>6</w:t>
      </w:r>
      <w:r w:rsidR="00ED0F73" w:rsidRPr="00B908AD">
        <w:rPr>
          <w:color w:val="000000" w:themeColor="text1"/>
        </w:rPr>
        <w:t xml:space="preserve"> point reductions, respectively.</w:t>
      </w:r>
      <w:r w:rsidR="009F026D">
        <w:rPr>
          <w:color w:val="000000" w:themeColor="text1"/>
        </w:rPr>
        <w:t xml:space="preserve"> In contrast</w:t>
      </w:r>
      <w:r w:rsidR="00406B53" w:rsidRPr="00B908AD">
        <w:rPr>
          <w:color w:val="000000" w:themeColor="text1"/>
        </w:rPr>
        <w:t xml:space="preserve">, </w:t>
      </w:r>
      <w:r w:rsidR="00C2295E" w:rsidRPr="00B908AD">
        <w:rPr>
          <w:color w:val="000000" w:themeColor="text1"/>
        </w:rPr>
        <w:t xml:space="preserve">the regression comparing the model with injuries </w:t>
      </w:r>
      <w:r w:rsidR="00191E5B" w:rsidRPr="00B908AD">
        <w:rPr>
          <w:color w:val="000000" w:themeColor="text1"/>
        </w:rPr>
        <w:t>(BF</w:t>
      </w:r>
      <w:r w:rsidR="00191E5B" w:rsidRPr="00B908AD">
        <w:rPr>
          <w:color w:val="000000" w:themeColor="text1"/>
          <w:vertAlign w:val="subscript"/>
        </w:rPr>
        <w:t xml:space="preserve">M </w:t>
      </w:r>
      <w:r w:rsidR="00191E5B" w:rsidRPr="00B908AD">
        <w:rPr>
          <w:color w:val="000000" w:themeColor="text1"/>
        </w:rPr>
        <w:t xml:space="preserve">= </w:t>
      </w:r>
      <w:r w:rsidR="00921580" w:rsidRPr="00B908AD">
        <w:rPr>
          <w:color w:val="000000" w:themeColor="text1"/>
        </w:rPr>
        <w:t>0.</w:t>
      </w:r>
      <w:r w:rsidR="000C6769" w:rsidRPr="00B908AD">
        <w:rPr>
          <w:color w:val="000000" w:themeColor="text1"/>
        </w:rPr>
        <w:t>464</w:t>
      </w:r>
      <w:r w:rsidR="00191E5B" w:rsidRPr="00B908AD">
        <w:rPr>
          <w:color w:val="000000" w:themeColor="text1"/>
        </w:rPr>
        <w:t xml:space="preserve">) </w:t>
      </w:r>
      <w:r w:rsidR="00C2295E" w:rsidRPr="00B908AD">
        <w:rPr>
          <w:color w:val="000000" w:themeColor="text1"/>
        </w:rPr>
        <w:t xml:space="preserve">to the null model with age </w:t>
      </w:r>
      <w:r w:rsidR="000C6769" w:rsidRPr="00B908AD">
        <w:rPr>
          <w:color w:val="000000" w:themeColor="text1"/>
        </w:rPr>
        <w:t xml:space="preserve">and non-football head injuries </w:t>
      </w:r>
      <w:r w:rsidR="00921580" w:rsidRPr="00B908AD">
        <w:rPr>
          <w:color w:val="000000" w:themeColor="text1"/>
        </w:rPr>
        <w:t>(BF</w:t>
      </w:r>
      <w:r w:rsidR="00921580" w:rsidRPr="00B908AD">
        <w:rPr>
          <w:color w:val="000000" w:themeColor="text1"/>
          <w:vertAlign w:val="subscript"/>
        </w:rPr>
        <w:t xml:space="preserve">M </w:t>
      </w:r>
      <w:r w:rsidR="00921580" w:rsidRPr="00B908AD">
        <w:rPr>
          <w:color w:val="000000" w:themeColor="text1"/>
        </w:rPr>
        <w:t>= 2.</w:t>
      </w:r>
      <w:r w:rsidR="00785947" w:rsidRPr="00B908AD">
        <w:rPr>
          <w:color w:val="000000" w:themeColor="text1"/>
        </w:rPr>
        <w:t>153</w:t>
      </w:r>
      <w:r w:rsidR="00921580" w:rsidRPr="00B908AD">
        <w:rPr>
          <w:color w:val="000000" w:themeColor="text1"/>
        </w:rPr>
        <w:t xml:space="preserve">) </w:t>
      </w:r>
      <w:r w:rsidR="00BB70B2" w:rsidRPr="00B908AD">
        <w:rPr>
          <w:color w:val="000000" w:themeColor="text1"/>
        </w:rPr>
        <w:t>favoured the null model</w:t>
      </w:r>
      <w:r w:rsidR="007B4822" w:rsidRPr="00B908AD">
        <w:rPr>
          <w:color w:val="000000" w:themeColor="text1"/>
        </w:rPr>
        <w:t>.</w:t>
      </w:r>
    </w:p>
    <w:p w14:paraId="1387F30F" w14:textId="42BCF078" w:rsidR="00CE2C1C" w:rsidRPr="00B908AD" w:rsidRDefault="00AD404C" w:rsidP="00586485">
      <w:pPr>
        <w:spacing w:line="480" w:lineRule="auto"/>
        <w:rPr>
          <w:color w:val="000000" w:themeColor="text1"/>
        </w:rPr>
      </w:pPr>
      <w:r w:rsidRPr="00B908AD">
        <w:rPr>
          <w:i/>
          <w:iCs/>
          <w:color w:val="000000" w:themeColor="text1"/>
        </w:rPr>
        <w:t>Traditional</w:t>
      </w:r>
      <w:r w:rsidR="003D3797" w:rsidRPr="00B908AD">
        <w:rPr>
          <w:i/>
          <w:iCs/>
          <w:color w:val="000000" w:themeColor="text1"/>
        </w:rPr>
        <w:t xml:space="preserve"> linear regression analysis</w:t>
      </w:r>
      <w:proofErr w:type="gramStart"/>
      <w:r w:rsidR="003D3797" w:rsidRPr="00B908AD">
        <w:rPr>
          <w:i/>
          <w:iCs/>
          <w:color w:val="000000" w:themeColor="text1"/>
        </w:rPr>
        <w:t xml:space="preserve">. </w:t>
      </w:r>
      <w:r w:rsidR="00CE2C1C" w:rsidRPr="00B908AD">
        <w:rPr>
          <w:i/>
          <w:iCs/>
          <w:color w:val="000000" w:themeColor="text1"/>
        </w:rPr>
        <w:t xml:space="preserve"> </w:t>
      </w:r>
      <w:proofErr w:type="gramEnd"/>
      <w:r w:rsidR="000B38B8" w:rsidRPr="00B908AD">
        <w:rPr>
          <w:color w:val="000000" w:themeColor="text1"/>
        </w:rPr>
        <w:t>T</w:t>
      </w:r>
      <w:r w:rsidR="00EF273A" w:rsidRPr="00B908AD">
        <w:rPr>
          <w:color w:val="000000" w:themeColor="text1"/>
        </w:rPr>
        <w:t xml:space="preserve">o provide further checks of the hypothesis linking headers to </w:t>
      </w:r>
      <w:r w:rsidR="00C43900" w:rsidRPr="00B908AD">
        <w:rPr>
          <w:color w:val="000000" w:themeColor="text1"/>
        </w:rPr>
        <w:t xml:space="preserve">a decline in </w:t>
      </w:r>
      <w:r w:rsidR="0097628C" w:rsidRPr="00B908AD">
        <w:rPr>
          <w:color w:val="000000" w:themeColor="text1"/>
        </w:rPr>
        <w:t>TYM score, a linear regression analysis with</w:t>
      </w:r>
      <w:r w:rsidR="00670D3F" w:rsidRPr="00B908AD">
        <w:rPr>
          <w:color w:val="000000" w:themeColor="text1"/>
        </w:rPr>
        <w:t xml:space="preserve"> headers as </w:t>
      </w:r>
      <w:r w:rsidR="000D3661" w:rsidRPr="00B908AD">
        <w:rPr>
          <w:color w:val="000000" w:themeColor="text1"/>
        </w:rPr>
        <w:t xml:space="preserve">a </w:t>
      </w:r>
      <w:r w:rsidR="00670D3F" w:rsidRPr="00B908AD">
        <w:rPr>
          <w:color w:val="000000" w:themeColor="text1"/>
        </w:rPr>
        <w:t>predictor</w:t>
      </w:r>
      <w:r w:rsidR="000D3661" w:rsidRPr="00B908AD">
        <w:rPr>
          <w:color w:val="000000" w:themeColor="text1"/>
        </w:rPr>
        <w:t xml:space="preserve"> was applied</w:t>
      </w:r>
      <w:proofErr w:type="gramStart"/>
      <w:r w:rsidR="00670D3F" w:rsidRPr="00B908AD">
        <w:rPr>
          <w:color w:val="000000" w:themeColor="text1"/>
        </w:rPr>
        <w:t xml:space="preserve">. </w:t>
      </w:r>
      <w:r w:rsidR="00CE2C1C" w:rsidRPr="00B908AD">
        <w:rPr>
          <w:color w:val="000000" w:themeColor="text1"/>
        </w:rPr>
        <w:t xml:space="preserve"> </w:t>
      </w:r>
      <w:proofErr w:type="gramEnd"/>
      <w:r w:rsidR="006E72BC" w:rsidRPr="00B908AD">
        <w:rPr>
          <w:color w:val="000000" w:themeColor="text1"/>
        </w:rPr>
        <w:t>T</w:t>
      </w:r>
      <w:r w:rsidR="000B38B8" w:rsidRPr="00B908AD">
        <w:rPr>
          <w:color w:val="000000" w:themeColor="text1"/>
        </w:rPr>
        <w:t xml:space="preserve">he </w:t>
      </w:r>
      <w:r w:rsidR="001C04DF" w:rsidRPr="00B908AD">
        <w:rPr>
          <w:color w:val="000000" w:themeColor="text1"/>
        </w:rPr>
        <w:t xml:space="preserve">model </w:t>
      </w:r>
      <w:r w:rsidR="00B33FAD" w:rsidRPr="00B908AD">
        <w:rPr>
          <w:color w:val="000000" w:themeColor="text1"/>
        </w:rPr>
        <w:t xml:space="preserve">fit </w:t>
      </w:r>
      <w:r w:rsidR="001C04DF" w:rsidRPr="00B908AD">
        <w:rPr>
          <w:color w:val="000000" w:themeColor="text1"/>
        </w:rPr>
        <w:t xml:space="preserve">with </w:t>
      </w:r>
      <w:r w:rsidR="006E72BC" w:rsidRPr="00B908AD">
        <w:rPr>
          <w:color w:val="000000" w:themeColor="text1"/>
        </w:rPr>
        <w:t xml:space="preserve">headers </w:t>
      </w:r>
      <w:r w:rsidR="001C04DF" w:rsidRPr="00B908AD">
        <w:rPr>
          <w:color w:val="000000" w:themeColor="text1"/>
        </w:rPr>
        <w:t>was significant, F(</w:t>
      </w:r>
      <w:r w:rsidR="008342D3" w:rsidRPr="00B908AD">
        <w:rPr>
          <w:color w:val="000000" w:themeColor="text1"/>
        </w:rPr>
        <w:t>3</w:t>
      </w:r>
      <w:r w:rsidR="001C04DF" w:rsidRPr="00B908AD">
        <w:rPr>
          <w:color w:val="000000" w:themeColor="text1"/>
        </w:rPr>
        <w:t>,5</w:t>
      </w:r>
      <w:r w:rsidR="008342D3" w:rsidRPr="00B908AD">
        <w:rPr>
          <w:color w:val="000000" w:themeColor="text1"/>
        </w:rPr>
        <w:t>6</w:t>
      </w:r>
      <w:r w:rsidR="001C04DF" w:rsidRPr="00B908AD">
        <w:rPr>
          <w:color w:val="000000" w:themeColor="text1"/>
        </w:rPr>
        <w:t xml:space="preserve">) = </w:t>
      </w:r>
      <w:r w:rsidR="008342D3" w:rsidRPr="00B908AD">
        <w:rPr>
          <w:color w:val="000000" w:themeColor="text1"/>
        </w:rPr>
        <w:t>5</w:t>
      </w:r>
      <w:r w:rsidR="00F53A4D" w:rsidRPr="00B908AD">
        <w:rPr>
          <w:color w:val="000000" w:themeColor="text1"/>
        </w:rPr>
        <w:t>.</w:t>
      </w:r>
      <w:r w:rsidR="008342D3" w:rsidRPr="00B908AD">
        <w:rPr>
          <w:color w:val="000000" w:themeColor="text1"/>
        </w:rPr>
        <w:t>332</w:t>
      </w:r>
      <w:r w:rsidR="00F53A4D" w:rsidRPr="00B908AD">
        <w:rPr>
          <w:color w:val="000000" w:themeColor="text1"/>
        </w:rPr>
        <w:t xml:space="preserve">, </w:t>
      </w:r>
      <w:r w:rsidR="00F53A4D" w:rsidRPr="00D41247">
        <w:rPr>
          <w:i/>
          <w:iCs/>
          <w:color w:val="000000" w:themeColor="text1"/>
        </w:rPr>
        <w:t>p</w:t>
      </w:r>
      <w:r w:rsidR="00F53A4D" w:rsidRPr="00B908AD">
        <w:rPr>
          <w:color w:val="000000" w:themeColor="text1"/>
        </w:rPr>
        <w:t xml:space="preserve"> = 0.0</w:t>
      </w:r>
      <w:r w:rsidR="008342D3" w:rsidRPr="00B908AD">
        <w:rPr>
          <w:color w:val="000000" w:themeColor="text1"/>
        </w:rPr>
        <w:t xml:space="preserve">03, </w:t>
      </w:r>
      <w:r w:rsidR="00B33FAD" w:rsidRPr="00B908AD">
        <w:rPr>
          <w:color w:val="000000" w:themeColor="text1"/>
        </w:rPr>
        <w:t xml:space="preserve">as was </w:t>
      </w:r>
      <w:r w:rsidR="00B33FAD" w:rsidRPr="00B908AD">
        <w:rPr>
          <w:color w:val="000000" w:themeColor="text1"/>
        </w:rPr>
        <w:lastRenderedPageBreak/>
        <w:t xml:space="preserve">the </w:t>
      </w:r>
      <w:r w:rsidR="00676A07">
        <w:rPr>
          <w:color w:val="000000" w:themeColor="text1"/>
        </w:rPr>
        <w:t>standardized re</w:t>
      </w:r>
      <w:r w:rsidR="000801BB">
        <w:rPr>
          <w:color w:val="000000" w:themeColor="text1"/>
        </w:rPr>
        <w:t>g</w:t>
      </w:r>
      <w:r w:rsidR="00676A07">
        <w:rPr>
          <w:color w:val="000000" w:themeColor="text1"/>
        </w:rPr>
        <w:t xml:space="preserve">ression </w:t>
      </w:r>
      <w:r w:rsidR="00B33FAD" w:rsidRPr="00B908AD">
        <w:rPr>
          <w:color w:val="000000" w:themeColor="text1"/>
        </w:rPr>
        <w:t>coefficient</w:t>
      </w:r>
      <w:r w:rsidR="008A7140" w:rsidRPr="00B908AD">
        <w:rPr>
          <w:color w:val="000000" w:themeColor="text1"/>
        </w:rPr>
        <w:t xml:space="preserve">, </w:t>
      </w:r>
      <w:r w:rsidR="00E859F8" w:rsidRPr="00B908AD">
        <w:rPr>
          <w:color w:val="000000" w:themeColor="text1"/>
        </w:rPr>
        <w:sym w:font="Symbol" w:char="F062"/>
      </w:r>
      <w:r w:rsidR="00E859F8" w:rsidRPr="00B908AD">
        <w:rPr>
          <w:color w:val="000000" w:themeColor="text1"/>
        </w:rPr>
        <w:t xml:space="preserve"> = -0.</w:t>
      </w:r>
      <w:r w:rsidR="00E63639" w:rsidRPr="00B908AD">
        <w:rPr>
          <w:color w:val="000000" w:themeColor="text1"/>
        </w:rPr>
        <w:t>469</w:t>
      </w:r>
      <w:r w:rsidR="00136D82" w:rsidRPr="00B908AD">
        <w:rPr>
          <w:color w:val="000000" w:themeColor="text1"/>
        </w:rPr>
        <w:t xml:space="preserve">, </w:t>
      </w:r>
      <w:r w:rsidR="00136D82" w:rsidRPr="00E81932">
        <w:rPr>
          <w:i/>
          <w:iCs/>
          <w:color w:val="000000" w:themeColor="text1"/>
        </w:rPr>
        <w:t>p</w:t>
      </w:r>
      <w:r w:rsidR="00E63639" w:rsidRPr="00B908AD">
        <w:rPr>
          <w:color w:val="000000" w:themeColor="text1"/>
        </w:rPr>
        <w:t>&lt;</w:t>
      </w:r>
      <w:r w:rsidR="00136D82" w:rsidRPr="00B908AD">
        <w:rPr>
          <w:color w:val="000000" w:themeColor="text1"/>
        </w:rPr>
        <w:t>0.00</w:t>
      </w:r>
      <w:r w:rsidR="00E63639" w:rsidRPr="00B908AD">
        <w:rPr>
          <w:color w:val="000000" w:themeColor="text1"/>
        </w:rPr>
        <w:t>1</w:t>
      </w:r>
      <w:r w:rsidR="00136D82" w:rsidRPr="00B908AD">
        <w:rPr>
          <w:color w:val="000000" w:themeColor="text1"/>
        </w:rPr>
        <w:t xml:space="preserve">. </w:t>
      </w:r>
      <w:r w:rsidR="00CE2C1C" w:rsidRPr="00B908AD">
        <w:rPr>
          <w:color w:val="000000" w:themeColor="text1"/>
        </w:rPr>
        <w:t xml:space="preserve"> </w:t>
      </w:r>
      <w:r w:rsidR="00A37071" w:rsidRPr="00B908AD">
        <w:rPr>
          <w:color w:val="000000" w:themeColor="text1"/>
        </w:rPr>
        <w:t xml:space="preserve">Figure 1 depicts the </w:t>
      </w:r>
      <w:r w:rsidR="00981DF7" w:rsidRPr="00B908AD">
        <w:rPr>
          <w:color w:val="000000" w:themeColor="text1"/>
        </w:rPr>
        <w:t>negative relationship between headers and the TYM score</w:t>
      </w:r>
      <w:r w:rsidR="00780FB3">
        <w:rPr>
          <w:color w:val="000000" w:themeColor="text1"/>
        </w:rPr>
        <w:t xml:space="preserve">. </w:t>
      </w:r>
    </w:p>
    <w:p w14:paraId="10C5A93D" w14:textId="2087DA95" w:rsidR="00981DF7" w:rsidRPr="00B908AD" w:rsidRDefault="00981DF7" w:rsidP="00B90BB7">
      <w:pPr>
        <w:spacing w:line="480" w:lineRule="auto"/>
        <w:rPr>
          <w:color w:val="000000" w:themeColor="text1"/>
        </w:rPr>
      </w:pPr>
      <w:r w:rsidRPr="00B908AD">
        <w:rPr>
          <w:i/>
          <w:iCs/>
          <w:color w:val="000000" w:themeColor="text1"/>
        </w:rPr>
        <w:t>Traditional logistic regression analysis</w:t>
      </w:r>
      <w:proofErr w:type="gramStart"/>
      <w:r w:rsidRPr="00B908AD">
        <w:rPr>
          <w:i/>
          <w:iCs/>
          <w:color w:val="000000" w:themeColor="text1"/>
        </w:rPr>
        <w:t xml:space="preserve">. </w:t>
      </w:r>
      <w:r w:rsidR="00B44CDA" w:rsidRPr="00B908AD">
        <w:rPr>
          <w:i/>
          <w:iCs/>
          <w:color w:val="000000" w:themeColor="text1"/>
        </w:rPr>
        <w:t xml:space="preserve"> </w:t>
      </w:r>
      <w:proofErr w:type="gramEnd"/>
      <w:r w:rsidR="002F1BE1">
        <w:rPr>
          <w:color w:val="000000" w:themeColor="text1"/>
        </w:rPr>
        <w:t>A</w:t>
      </w:r>
      <w:r w:rsidR="002F1BE1" w:rsidRPr="00B908AD">
        <w:rPr>
          <w:color w:val="000000" w:themeColor="text1"/>
        </w:rPr>
        <w:t xml:space="preserve"> </w:t>
      </w:r>
      <w:r w:rsidR="00171056" w:rsidRPr="00B908AD">
        <w:rPr>
          <w:color w:val="000000" w:themeColor="text1"/>
        </w:rPr>
        <w:t>logistic</w:t>
      </w:r>
      <w:r w:rsidRPr="00B908AD">
        <w:rPr>
          <w:color w:val="000000" w:themeColor="text1"/>
        </w:rPr>
        <w:t xml:space="preserve"> regression analysis with headers as</w:t>
      </w:r>
      <w:r w:rsidR="00B44CDA" w:rsidRPr="00B908AD">
        <w:rPr>
          <w:color w:val="000000" w:themeColor="text1"/>
        </w:rPr>
        <w:t xml:space="preserve"> the</w:t>
      </w:r>
      <w:r w:rsidRPr="00B908AD">
        <w:rPr>
          <w:color w:val="000000" w:themeColor="text1"/>
        </w:rPr>
        <w:t xml:space="preserve"> predictor</w:t>
      </w:r>
      <w:r w:rsidR="001E0150" w:rsidRPr="00B908AD">
        <w:rPr>
          <w:color w:val="000000" w:themeColor="text1"/>
        </w:rPr>
        <w:t>, and a binary TYM classification (1: absence of cognitive problems; 0: presence of cognitive problems)</w:t>
      </w:r>
      <w:r w:rsidR="002F1BE1" w:rsidRPr="002F1BE1">
        <w:t xml:space="preserve"> </w:t>
      </w:r>
      <w:r w:rsidR="002F1BE1" w:rsidRPr="002F1BE1">
        <w:rPr>
          <w:color w:val="000000" w:themeColor="text1"/>
        </w:rPr>
        <w:t>was carried out</w:t>
      </w:r>
      <w:r w:rsidR="002F1BE1">
        <w:rPr>
          <w:color w:val="000000" w:themeColor="text1"/>
        </w:rPr>
        <w:t xml:space="preserve"> too</w:t>
      </w:r>
      <w:proofErr w:type="gramStart"/>
      <w:r w:rsidRPr="00B908AD">
        <w:rPr>
          <w:color w:val="000000" w:themeColor="text1"/>
        </w:rPr>
        <w:t xml:space="preserve">. </w:t>
      </w:r>
      <w:r w:rsidR="00CE2C1C" w:rsidRPr="00B908AD">
        <w:rPr>
          <w:color w:val="000000" w:themeColor="text1"/>
        </w:rPr>
        <w:t xml:space="preserve"> </w:t>
      </w:r>
      <w:proofErr w:type="gramEnd"/>
      <w:r w:rsidRPr="00B908AD">
        <w:rPr>
          <w:color w:val="000000" w:themeColor="text1"/>
        </w:rPr>
        <w:t xml:space="preserve">The model fit with headers was significant, </w:t>
      </w:r>
      <w:r w:rsidRPr="00B908AD">
        <w:rPr>
          <w:i/>
          <w:iCs/>
          <w:color w:val="000000" w:themeColor="text1"/>
        </w:rPr>
        <w:t>p</w:t>
      </w:r>
      <w:r w:rsidRPr="00B908AD">
        <w:rPr>
          <w:color w:val="000000" w:themeColor="text1"/>
        </w:rPr>
        <w:t xml:space="preserve"> = 0.0</w:t>
      </w:r>
      <w:r w:rsidR="009C15E3" w:rsidRPr="00B908AD">
        <w:rPr>
          <w:color w:val="000000" w:themeColor="text1"/>
        </w:rPr>
        <w:t>21</w:t>
      </w:r>
      <w:r w:rsidR="00B90BB7" w:rsidRPr="00B908AD">
        <w:rPr>
          <w:color w:val="000000" w:themeColor="text1"/>
        </w:rPr>
        <w:t>.</w:t>
      </w:r>
      <w:r w:rsidR="006B651A" w:rsidRPr="00B908AD">
        <w:rPr>
          <w:color w:val="000000" w:themeColor="text1"/>
        </w:rPr>
        <w:t xml:space="preserve"> </w:t>
      </w:r>
      <w:r w:rsidR="00B90BB7" w:rsidRPr="00B908AD">
        <w:rPr>
          <w:color w:val="000000" w:themeColor="text1"/>
        </w:rPr>
        <w:t>The Akaike information criterion (</w:t>
      </w:r>
      <w:r w:rsidR="001F43F1" w:rsidRPr="00B908AD">
        <w:rPr>
          <w:color w:val="000000" w:themeColor="text1"/>
        </w:rPr>
        <w:t>AIC</w:t>
      </w:r>
      <w:r w:rsidR="00B90BB7" w:rsidRPr="00B908AD">
        <w:rPr>
          <w:color w:val="000000" w:themeColor="text1"/>
        </w:rPr>
        <w:t>)</w:t>
      </w:r>
      <w:r w:rsidR="001F43F1" w:rsidRPr="00B908AD">
        <w:rPr>
          <w:color w:val="000000" w:themeColor="text1"/>
        </w:rPr>
        <w:t xml:space="preserve"> and </w:t>
      </w:r>
      <w:r w:rsidR="00B90BB7" w:rsidRPr="00B908AD">
        <w:rPr>
          <w:color w:val="000000" w:themeColor="text1"/>
        </w:rPr>
        <w:t>the Bayesian information criterion (</w:t>
      </w:r>
      <w:r w:rsidR="001F43F1" w:rsidRPr="00B908AD">
        <w:rPr>
          <w:color w:val="000000" w:themeColor="text1"/>
        </w:rPr>
        <w:t>BIC</w:t>
      </w:r>
      <w:r w:rsidR="00B90BB7" w:rsidRPr="00B908AD">
        <w:rPr>
          <w:color w:val="000000" w:themeColor="text1"/>
        </w:rPr>
        <w:t>)</w:t>
      </w:r>
      <w:r w:rsidR="001F43F1" w:rsidRPr="00B908AD">
        <w:rPr>
          <w:color w:val="000000" w:themeColor="text1"/>
        </w:rPr>
        <w:t xml:space="preserve"> scores</w:t>
      </w:r>
      <w:r w:rsidR="00B90BB7" w:rsidRPr="00B908AD">
        <w:rPr>
          <w:color w:val="000000" w:themeColor="text1"/>
        </w:rPr>
        <w:t>, reflecting model fit,</w:t>
      </w:r>
      <w:r w:rsidR="001F43F1" w:rsidRPr="00B908AD">
        <w:rPr>
          <w:color w:val="000000" w:themeColor="text1"/>
        </w:rPr>
        <w:t xml:space="preserve"> were reduced from </w:t>
      </w:r>
      <w:r w:rsidR="003C2E3A" w:rsidRPr="00B908AD">
        <w:rPr>
          <w:color w:val="000000" w:themeColor="text1"/>
        </w:rPr>
        <w:t>73.9 to 70.6, and 80.2 to 79.0, respectively</w:t>
      </w:r>
      <w:r w:rsidR="00AB6BBE" w:rsidRPr="00B908AD">
        <w:rPr>
          <w:color w:val="000000" w:themeColor="text1"/>
        </w:rPr>
        <w:t xml:space="preserve">, </w:t>
      </w:r>
      <w:r w:rsidR="00B90BB7" w:rsidRPr="00B908AD">
        <w:rPr>
          <w:color w:val="000000" w:themeColor="text1"/>
        </w:rPr>
        <w:t>indicating better fit when headers</w:t>
      </w:r>
      <w:r w:rsidR="002F1BE1">
        <w:rPr>
          <w:color w:val="000000" w:themeColor="text1"/>
        </w:rPr>
        <w:t xml:space="preserve"> were included in the model</w:t>
      </w:r>
      <w:r w:rsidR="00B90BB7" w:rsidRPr="00B908AD">
        <w:rPr>
          <w:color w:val="000000" w:themeColor="text1"/>
        </w:rPr>
        <w:t>. T</w:t>
      </w:r>
      <w:r w:rsidR="00AB6BBE" w:rsidRPr="00B908AD">
        <w:rPr>
          <w:color w:val="000000" w:themeColor="text1"/>
        </w:rPr>
        <w:t xml:space="preserve">he </w:t>
      </w:r>
      <w:proofErr w:type="spellStart"/>
      <w:r w:rsidR="009C15E3" w:rsidRPr="00B908AD">
        <w:rPr>
          <w:color w:val="000000" w:themeColor="text1"/>
        </w:rPr>
        <w:t>Nagelk</w:t>
      </w:r>
      <w:r w:rsidR="000E3DD1" w:rsidRPr="00B908AD">
        <w:rPr>
          <w:color w:val="000000" w:themeColor="text1"/>
        </w:rPr>
        <w:t>e</w:t>
      </w:r>
      <w:r w:rsidR="009C15E3" w:rsidRPr="00B908AD">
        <w:rPr>
          <w:color w:val="000000" w:themeColor="text1"/>
        </w:rPr>
        <w:t>rke</w:t>
      </w:r>
      <w:proofErr w:type="spellEnd"/>
      <w:r w:rsidR="009C15E3" w:rsidRPr="00B908AD">
        <w:rPr>
          <w:color w:val="000000" w:themeColor="text1"/>
        </w:rPr>
        <w:t xml:space="preserve"> </w:t>
      </w:r>
      <w:r w:rsidR="00090F37" w:rsidRPr="00B908AD">
        <w:rPr>
          <w:color w:val="000000" w:themeColor="text1"/>
        </w:rPr>
        <w:t xml:space="preserve">pseudo </w:t>
      </w:r>
      <w:r w:rsidR="009C15E3" w:rsidRPr="00B908AD">
        <w:rPr>
          <w:color w:val="000000" w:themeColor="text1"/>
        </w:rPr>
        <w:t>R</w:t>
      </w:r>
      <w:r w:rsidR="009C15E3" w:rsidRPr="00B908AD">
        <w:rPr>
          <w:color w:val="000000" w:themeColor="text1"/>
          <w:vertAlign w:val="superscript"/>
        </w:rPr>
        <w:t>2</w:t>
      </w:r>
      <w:r w:rsidR="009C15E3" w:rsidRPr="00B908AD">
        <w:rPr>
          <w:color w:val="000000" w:themeColor="text1"/>
        </w:rPr>
        <w:t xml:space="preserve"> </w:t>
      </w:r>
      <w:r w:rsidR="008A1981" w:rsidRPr="00B908AD">
        <w:rPr>
          <w:color w:val="000000" w:themeColor="text1"/>
        </w:rPr>
        <w:t>was</w:t>
      </w:r>
      <w:r w:rsidR="009C15E3" w:rsidRPr="00B908AD">
        <w:rPr>
          <w:color w:val="000000" w:themeColor="text1"/>
        </w:rPr>
        <w:t xml:space="preserve"> </w:t>
      </w:r>
      <w:r w:rsidR="00577D2B" w:rsidRPr="00B908AD">
        <w:rPr>
          <w:color w:val="000000" w:themeColor="text1"/>
        </w:rPr>
        <w:t>0.125</w:t>
      </w:r>
      <w:r w:rsidR="000452B2" w:rsidRPr="00B908AD">
        <w:rPr>
          <w:color w:val="000000" w:themeColor="text1"/>
        </w:rPr>
        <w:t xml:space="preserve"> for the null model and the headers model combined, and 0.116 when the null model</w:t>
      </w:r>
      <w:r w:rsidR="002F1BE1">
        <w:rPr>
          <w:color w:val="000000" w:themeColor="text1"/>
        </w:rPr>
        <w:t xml:space="preserve"> was </w:t>
      </w:r>
      <w:r w:rsidR="002F1BE1" w:rsidRPr="00B908AD">
        <w:rPr>
          <w:color w:val="000000" w:themeColor="text1"/>
        </w:rPr>
        <w:t>remov</w:t>
      </w:r>
      <w:r w:rsidR="002F1BE1">
        <w:rPr>
          <w:color w:val="000000" w:themeColor="text1"/>
        </w:rPr>
        <w:t>ed</w:t>
      </w:r>
      <w:r w:rsidR="000452B2" w:rsidRPr="00B908AD">
        <w:rPr>
          <w:color w:val="000000" w:themeColor="text1"/>
        </w:rPr>
        <w:t xml:space="preserve">; these results </w:t>
      </w:r>
      <w:r w:rsidR="00B90BB7" w:rsidRPr="00B908AD">
        <w:rPr>
          <w:color w:val="000000" w:themeColor="text1"/>
        </w:rPr>
        <w:t>tentatively mean that about 1</w:t>
      </w:r>
      <w:r w:rsidR="000452B2" w:rsidRPr="00B908AD">
        <w:rPr>
          <w:color w:val="000000" w:themeColor="text1"/>
        </w:rPr>
        <w:t>2</w:t>
      </w:r>
      <w:r w:rsidR="00B90BB7" w:rsidRPr="00B908AD">
        <w:rPr>
          <w:color w:val="000000" w:themeColor="text1"/>
        </w:rPr>
        <w:t xml:space="preserve">% of variance in the TYM </w:t>
      </w:r>
      <w:r w:rsidR="000452B2" w:rsidRPr="00B908AD">
        <w:rPr>
          <w:color w:val="000000" w:themeColor="text1"/>
        </w:rPr>
        <w:t>binary classification</w:t>
      </w:r>
      <w:r w:rsidR="00B90BB7" w:rsidRPr="00B908AD">
        <w:rPr>
          <w:color w:val="000000" w:themeColor="text1"/>
        </w:rPr>
        <w:t xml:space="preserve"> was explained by headers</w:t>
      </w:r>
      <w:r w:rsidR="00577D2B" w:rsidRPr="00B908AD">
        <w:rPr>
          <w:color w:val="000000" w:themeColor="text1"/>
        </w:rPr>
        <w:t xml:space="preserve">. </w:t>
      </w:r>
      <w:r w:rsidR="00AE3D3C" w:rsidRPr="00B908AD">
        <w:rPr>
          <w:color w:val="000000" w:themeColor="text1"/>
        </w:rPr>
        <w:t>The standardized coefficient for headers was -0.</w:t>
      </w:r>
      <w:r w:rsidR="002B0849" w:rsidRPr="00B908AD">
        <w:rPr>
          <w:color w:val="000000" w:themeColor="text1"/>
        </w:rPr>
        <w:t xml:space="preserve">697, </w:t>
      </w:r>
      <w:r w:rsidR="00724E3A" w:rsidRPr="00B908AD">
        <w:rPr>
          <w:color w:val="000000" w:themeColor="text1"/>
        </w:rPr>
        <w:t xml:space="preserve">with a </w:t>
      </w:r>
      <w:r w:rsidR="00724E3A" w:rsidRPr="00B908AD">
        <w:rPr>
          <w:i/>
          <w:iCs/>
          <w:color w:val="000000" w:themeColor="text1"/>
        </w:rPr>
        <w:t>p</w:t>
      </w:r>
      <w:r w:rsidR="00724E3A" w:rsidRPr="00B908AD">
        <w:rPr>
          <w:color w:val="000000" w:themeColor="text1"/>
        </w:rPr>
        <w:t xml:space="preserve"> value of 0.035.</w:t>
      </w:r>
    </w:p>
    <w:p w14:paraId="7E174185" w14:textId="7CC7F450" w:rsidR="00586485" w:rsidRPr="00B908AD" w:rsidRDefault="00AF67BA" w:rsidP="00BC4969">
      <w:pPr>
        <w:spacing w:line="480" w:lineRule="auto"/>
        <w:jc w:val="center"/>
        <w:rPr>
          <w:color w:val="000000" w:themeColor="text1"/>
        </w:rPr>
      </w:pPr>
      <w:r w:rsidRPr="00B908AD">
        <w:rPr>
          <w:color w:val="000000" w:themeColor="text1"/>
        </w:rPr>
        <w:t>(Insert Figure 1 around here)</w:t>
      </w:r>
    </w:p>
    <w:p w14:paraId="18144F61" w14:textId="576CA588" w:rsidR="00DF5D22" w:rsidRPr="00B908AD" w:rsidRDefault="00DF5D22" w:rsidP="00DF5D22">
      <w:pPr>
        <w:spacing w:line="480" w:lineRule="auto"/>
        <w:jc w:val="center"/>
        <w:rPr>
          <w:color w:val="000000" w:themeColor="text1"/>
        </w:rPr>
      </w:pPr>
      <w:r w:rsidRPr="00B908AD">
        <w:rPr>
          <w:color w:val="000000" w:themeColor="text1"/>
        </w:rPr>
        <w:t>Discussion</w:t>
      </w:r>
    </w:p>
    <w:p w14:paraId="6B2C1715" w14:textId="0428B08C" w:rsidR="00ED4599" w:rsidRPr="00B908AD" w:rsidRDefault="003420FB" w:rsidP="00C24833">
      <w:pPr>
        <w:spacing w:line="480" w:lineRule="auto"/>
        <w:ind w:firstLine="567"/>
        <w:rPr>
          <w:color w:val="000000" w:themeColor="text1"/>
        </w:rPr>
      </w:pPr>
      <w:r w:rsidRPr="00B908AD">
        <w:rPr>
          <w:color w:val="000000" w:themeColor="text1"/>
        </w:rPr>
        <w:t xml:space="preserve">In this study, we </w:t>
      </w:r>
      <w:r w:rsidR="00070813" w:rsidRPr="00B908AD">
        <w:rPr>
          <w:color w:val="000000" w:themeColor="text1"/>
        </w:rPr>
        <w:t xml:space="preserve">set out to establish </w:t>
      </w:r>
      <w:r w:rsidR="0033657D" w:rsidRPr="00B908AD">
        <w:rPr>
          <w:color w:val="000000" w:themeColor="text1"/>
        </w:rPr>
        <w:t xml:space="preserve">whether cognitive ability in </w:t>
      </w:r>
      <w:r w:rsidR="004661CF">
        <w:rPr>
          <w:color w:val="000000" w:themeColor="text1"/>
        </w:rPr>
        <w:t>FPFs</w:t>
      </w:r>
      <w:r w:rsidR="0033657D" w:rsidRPr="00B908AD">
        <w:rPr>
          <w:color w:val="000000" w:themeColor="text1"/>
        </w:rPr>
        <w:t xml:space="preserve">, as measured by TYM score, was affected by </w:t>
      </w:r>
      <w:r w:rsidR="00D87889" w:rsidRPr="00B908AD">
        <w:rPr>
          <w:color w:val="000000" w:themeColor="text1"/>
        </w:rPr>
        <w:t>estimate</w:t>
      </w:r>
      <w:r w:rsidR="00DB72EB" w:rsidRPr="00B908AD">
        <w:rPr>
          <w:color w:val="000000" w:themeColor="text1"/>
        </w:rPr>
        <w:t>s</w:t>
      </w:r>
      <w:r w:rsidR="00D87889" w:rsidRPr="00B908AD">
        <w:rPr>
          <w:color w:val="000000" w:themeColor="text1"/>
        </w:rPr>
        <w:t xml:space="preserve"> of heading frequency and head injuries.</w:t>
      </w:r>
      <w:r w:rsidR="00075ED3" w:rsidRPr="00B908AD">
        <w:rPr>
          <w:color w:val="000000" w:themeColor="text1"/>
        </w:rPr>
        <w:t xml:space="preserve"> </w:t>
      </w:r>
      <w:r w:rsidR="00EB468E" w:rsidRPr="001F1BAC">
        <w:rPr>
          <w:color w:val="000000" w:themeColor="text1"/>
          <w:highlight w:val="yellow"/>
        </w:rPr>
        <w:t xml:space="preserve">This approach </w:t>
      </w:r>
      <w:r w:rsidR="00DF2BEE" w:rsidRPr="001F1BAC">
        <w:rPr>
          <w:color w:val="000000" w:themeColor="text1"/>
          <w:highlight w:val="yellow"/>
        </w:rPr>
        <w:t xml:space="preserve">is original in that </w:t>
      </w:r>
      <w:r w:rsidR="00717A52" w:rsidRPr="001F1BAC">
        <w:rPr>
          <w:color w:val="000000" w:themeColor="text1"/>
          <w:highlight w:val="yellow"/>
        </w:rPr>
        <w:t>we obtained a</w:t>
      </w:r>
      <w:r w:rsidR="00962733">
        <w:rPr>
          <w:color w:val="000000" w:themeColor="text1"/>
          <w:highlight w:val="yellow"/>
        </w:rPr>
        <w:t xml:space="preserve">n </w:t>
      </w:r>
      <w:r w:rsidR="00717A52" w:rsidRPr="001F1BAC">
        <w:rPr>
          <w:color w:val="000000" w:themeColor="text1"/>
          <w:highlight w:val="yellow"/>
        </w:rPr>
        <w:t xml:space="preserve">estimate of heading frequency and then </w:t>
      </w:r>
      <w:r w:rsidR="00182081" w:rsidRPr="001F1BAC">
        <w:rPr>
          <w:color w:val="000000" w:themeColor="text1"/>
          <w:highlight w:val="yellow"/>
        </w:rPr>
        <w:t xml:space="preserve">examined </w:t>
      </w:r>
      <w:r w:rsidR="00CD6B06">
        <w:rPr>
          <w:color w:val="000000" w:themeColor="text1"/>
          <w:highlight w:val="yellow"/>
        </w:rPr>
        <w:t>its association with</w:t>
      </w:r>
      <w:r w:rsidR="007907F4">
        <w:rPr>
          <w:color w:val="000000" w:themeColor="text1"/>
          <w:highlight w:val="yellow"/>
        </w:rPr>
        <w:t xml:space="preserve"> </w:t>
      </w:r>
      <w:r w:rsidR="00182081" w:rsidRPr="001F1BAC">
        <w:rPr>
          <w:color w:val="000000" w:themeColor="text1"/>
          <w:highlight w:val="yellow"/>
        </w:rPr>
        <w:t>cognitive status</w:t>
      </w:r>
      <w:r w:rsidR="000A17FC">
        <w:rPr>
          <w:color w:val="000000" w:themeColor="text1"/>
          <w:highlight w:val="yellow"/>
        </w:rPr>
        <w:t xml:space="preserve"> </w:t>
      </w:r>
      <w:r w:rsidR="000A17FC" w:rsidRPr="00314BE0">
        <w:rPr>
          <w:color w:val="000000" w:themeColor="text1"/>
          <w:highlight w:val="yellow"/>
        </w:rPr>
        <w:t>in FPFs</w:t>
      </w:r>
      <w:r w:rsidR="00182081" w:rsidRPr="001F1BAC">
        <w:rPr>
          <w:color w:val="000000" w:themeColor="text1"/>
          <w:highlight w:val="yellow"/>
        </w:rPr>
        <w:t>, rather than evaluating th</w:t>
      </w:r>
      <w:r w:rsidR="000A17FC">
        <w:rPr>
          <w:color w:val="000000" w:themeColor="text1"/>
          <w:highlight w:val="yellow"/>
        </w:rPr>
        <w:t>is</w:t>
      </w:r>
      <w:r w:rsidR="00182081" w:rsidRPr="001F1BAC">
        <w:rPr>
          <w:color w:val="000000" w:themeColor="text1"/>
          <w:highlight w:val="yellow"/>
        </w:rPr>
        <w:t xml:space="preserve"> association </w:t>
      </w:r>
      <w:r w:rsidR="000A17FC">
        <w:rPr>
          <w:color w:val="000000" w:themeColor="text1"/>
          <w:highlight w:val="yellow"/>
        </w:rPr>
        <w:t xml:space="preserve">in younger, </w:t>
      </w:r>
      <w:r w:rsidR="00182081" w:rsidRPr="001F1BAC">
        <w:rPr>
          <w:color w:val="000000" w:themeColor="text1"/>
          <w:highlight w:val="yellow"/>
        </w:rPr>
        <w:t xml:space="preserve">current </w:t>
      </w:r>
      <w:r w:rsidR="001F1BAC" w:rsidRPr="001F1BAC">
        <w:rPr>
          <w:color w:val="000000" w:themeColor="text1"/>
          <w:highlight w:val="yellow"/>
        </w:rPr>
        <w:t>players</w:t>
      </w:r>
      <w:r w:rsidR="000A35B2">
        <w:rPr>
          <w:color w:val="000000" w:themeColor="text1"/>
          <w:highlight w:val="yellow"/>
        </w:rPr>
        <w:t xml:space="preserve">, who are far less likely to </w:t>
      </w:r>
      <w:r w:rsidR="006A4610">
        <w:rPr>
          <w:color w:val="000000" w:themeColor="text1"/>
          <w:highlight w:val="yellow"/>
        </w:rPr>
        <w:t>present with</w:t>
      </w:r>
      <w:r w:rsidR="000A35B2">
        <w:rPr>
          <w:color w:val="000000" w:themeColor="text1"/>
          <w:highlight w:val="yellow"/>
        </w:rPr>
        <w:t xml:space="preserve"> signs of neurodegeneration</w:t>
      </w:r>
      <w:r w:rsidR="009F28F4">
        <w:rPr>
          <w:color w:val="000000" w:themeColor="text1"/>
          <w:highlight w:val="yellow"/>
        </w:rPr>
        <w:t xml:space="preserve"> [10]</w:t>
      </w:r>
      <w:r w:rsidR="001F1BAC" w:rsidRPr="001F1BAC">
        <w:rPr>
          <w:color w:val="000000" w:themeColor="text1"/>
          <w:highlight w:val="yellow"/>
        </w:rPr>
        <w:t>.</w:t>
      </w:r>
      <w:r w:rsidR="001F1BAC">
        <w:rPr>
          <w:color w:val="000000" w:themeColor="text1"/>
        </w:rPr>
        <w:t xml:space="preserve"> </w:t>
      </w:r>
      <w:r w:rsidR="00AE16DB" w:rsidRPr="00C24833">
        <w:rPr>
          <w:color w:val="000000" w:themeColor="text1"/>
          <w:highlight w:val="yellow"/>
        </w:rPr>
        <w:t>Moreover, to our knowledge, we are the first also</w:t>
      </w:r>
      <w:r w:rsidR="00C24833" w:rsidRPr="00C24833">
        <w:rPr>
          <w:color w:val="000000" w:themeColor="text1"/>
          <w:highlight w:val="yellow"/>
        </w:rPr>
        <w:t xml:space="preserve"> to include training data.</w:t>
      </w:r>
      <w:r w:rsidR="00C24833">
        <w:rPr>
          <w:color w:val="000000" w:themeColor="text1"/>
        </w:rPr>
        <w:t xml:space="preserve"> </w:t>
      </w:r>
      <w:r w:rsidR="00DF4508" w:rsidRPr="00B908AD">
        <w:rPr>
          <w:color w:val="000000" w:themeColor="text1"/>
        </w:rPr>
        <w:t>Our findings</w:t>
      </w:r>
      <w:r w:rsidR="00150BEC" w:rsidRPr="00B908AD">
        <w:rPr>
          <w:color w:val="000000" w:themeColor="text1"/>
        </w:rPr>
        <w:t>, consistent when tested with both Bayesian and traditional statistic</w:t>
      </w:r>
      <w:r w:rsidR="00ED4599" w:rsidRPr="00B908AD">
        <w:rPr>
          <w:color w:val="000000" w:themeColor="text1"/>
        </w:rPr>
        <w:t>al analyses</w:t>
      </w:r>
      <w:r w:rsidR="00150BEC" w:rsidRPr="00B908AD">
        <w:rPr>
          <w:color w:val="000000" w:themeColor="text1"/>
        </w:rPr>
        <w:t xml:space="preserve">, </w:t>
      </w:r>
      <w:r w:rsidR="00DF4508" w:rsidRPr="00B908AD">
        <w:rPr>
          <w:color w:val="000000" w:themeColor="text1"/>
        </w:rPr>
        <w:t>support a</w:t>
      </w:r>
      <w:r w:rsidR="0052231D" w:rsidRPr="00B908AD">
        <w:rPr>
          <w:color w:val="000000" w:themeColor="text1"/>
        </w:rPr>
        <w:t xml:space="preserve"> </w:t>
      </w:r>
      <w:r w:rsidR="00536A23" w:rsidRPr="00B908AD">
        <w:rPr>
          <w:color w:val="000000" w:themeColor="text1"/>
        </w:rPr>
        <w:t xml:space="preserve">link between </w:t>
      </w:r>
      <w:r w:rsidR="00DF4508" w:rsidRPr="00B908AD">
        <w:rPr>
          <w:color w:val="000000" w:themeColor="text1"/>
        </w:rPr>
        <w:t xml:space="preserve">estimated heading </w:t>
      </w:r>
      <w:r w:rsidR="0052231D" w:rsidRPr="00B908AD">
        <w:rPr>
          <w:color w:val="000000" w:themeColor="text1"/>
        </w:rPr>
        <w:t>frequency and overall cognitive ability in this cohort</w:t>
      </w:r>
      <w:r w:rsidR="00AE7AD1" w:rsidRPr="00B908AD">
        <w:rPr>
          <w:color w:val="000000" w:themeColor="text1"/>
        </w:rPr>
        <w:t>: more headers corresponded to a lower point score on the TYM test</w:t>
      </w:r>
      <w:r w:rsidR="00F9546B" w:rsidRPr="00B908AD">
        <w:rPr>
          <w:color w:val="000000" w:themeColor="text1"/>
        </w:rPr>
        <w:t xml:space="preserve">, and to increased likelihood of being classified as </w:t>
      </w:r>
      <w:r w:rsidR="00FB2717" w:rsidRPr="00B908AD">
        <w:rPr>
          <w:color w:val="000000" w:themeColor="text1"/>
        </w:rPr>
        <w:t>having cognitive problems</w:t>
      </w:r>
      <w:proofErr w:type="gramStart"/>
      <w:r w:rsidR="0052231D" w:rsidRPr="00B908AD">
        <w:rPr>
          <w:color w:val="000000" w:themeColor="text1"/>
        </w:rPr>
        <w:t>.</w:t>
      </w:r>
      <w:r w:rsidR="0055325D" w:rsidRPr="00B908AD">
        <w:rPr>
          <w:color w:val="000000" w:themeColor="text1"/>
        </w:rPr>
        <w:t xml:space="preserve"> </w:t>
      </w:r>
      <w:r w:rsidR="00ED4599" w:rsidRPr="00B908AD">
        <w:rPr>
          <w:color w:val="000000" w:themeColor="text1"/>
        </w:rPr>
        <w:t xml:space="preserve"> </w:t>
      </w:r>
      <w:proofErr w:type="gramEnd"/>
      <w:r w:rsidR="00381B14" w:rsidRPr="00B908AD">
        <w:rPr>
          <w:color w:val="000000" w:themeColor="text1"/>
        </w:rPr>
        <w:t xml:space="preserve">In contrast, our findings do not support associations between the TYM score and </w:t>
      </w:r>
      <w:r w:rsidR="00A66EFD">
        <w:rPr>
          <w:color w:val="000000" w:themeColor="text1"/>
        </w:rPr>
        <w:t xml:space="preserve">reported </w:t>
      </w:r>
      <w:r w:rsidR="00492712" w:rsidRPr="00B908AD">
        <w:rPr>
          <w:color w:val="000000" w:themeColor="text1"/>
        </w:rPr>
        <w:t>football-related head injuries.</w:t>
      </w:r>
      <w:r w:rsidR="00A60DA6" w:rsidRPr="00B908AD">
        <w:rPr>
          <w:color w:val="000000" w:themeColor="text1"/>
        </w:rPr>
        <w:t xml:space="preserve"> </w:t>
      </w:r>
      <w:r w:rsidR="00375526" w:rsidRPr="00B908AD">
        <w:rPr>
          <w:color w:val="000000" w:themeColor="text1"/>
        </w:rPr>
        <w:t xml:space="preserve">As far as we </w:t>
      </w:r>
      <w:r w:rsidR="00375526" w:rsidRPr="00B908AD">
        <w:rPr>
          <w:color w:val="000000" w:themeColor="text1"/>
        </w:rPr>
        <w:lastRenderedPageBreak/>
        <w:t>are aware, this is</w:t>
      </w:r>
      <w:r w:rsidR="009C5EE1" w:rsidRPr="00B908AD">
        <w:rPr>
          <w:color w:val="000000" w:themeColor="text1"/>
        </w:rPr>
        <w:t xml:space="preserve"> the first </w:t>
      </w:r>
      <w:r w:rsidR="002F1BE1" w:rsidRPr="002F1BE1">
        <w:rPr>
          <w:color w:val="000000" w:themeColor="text1"/>
        </w:rPr>
        <w:t xml:space="preserve">study </w:t>
      </w:r>
      <w:r w:rsidR="009C5EE1" w:rsidRPr="00B908AD">
        <w:rPr>
          <w:color w:val="000000" w:themeColor="text1"/>
        </w:rPr>
        <w:t xml:space="preserve">to demonstrate a </w:t>
      </w:r>
      <w:r w:rsidR="00375526" w:rsidRPr="00B908AD">
        <w:rPr>
          <w:color w:val="000000" w:themeColor="text1"/>
        </w:rPr>
        <w:t xml:space="preserve">direct </w:t>
      </w:r>
      <w:r w:rsidR="009C5EE1" w:rsidRPr="00B908AD">
        <w:rPr>
          <w:color w:val="000000" w:themeColor="text1"/>
        </w:rPr>
        <w:t xml:space="preserve">link between </w:t>
      </w:r>
      <w:r w:rsidR="007F5BAD" w:rsidRPr="00B908AD">
        <w:rPr>
          <w:color w:val="000000" w:themeColor="text1"/>
        </w:rPr>
        <w:t>heading frequency and cognitive impairment in</w:t>
      </w:r>
      <w:r w:rsidR="0074373C" w:rsidRPr="00B908AD">
        <w:rPr>
          <w:color w:val="000000" w:themeColor="text1"/>
        </w:rPr>
        <w:t xml:space="preserve"> </w:t>
      </w:r>
      <w:r w:rsidR="00A729BC" w:rsidRPr="00B908AD">
        <w:rPr>
          <w:color w:val="000000" w:themeColor="text1"/>
        </w:rPr>
        <w:t>retired</w:t>
      </w:r>
      <w:r w:rsidR="007F5BAD" w:rsidRPr="00B908AD">
        <w:rPr>
          <w:color w:val="000000" w:themeColor="text1"/>
        </w:rPr>
        <w:t xml:space="preserve"> professional football players.</w:t>
      </w:r>
    </w:p>
    <w:p w14:paraId="44124124" w14:textId="024518F1" w:rsidR="00ED4599" w:rsidRPr="00B908AD" w:rsidRDefault="00ED4599" w:rsidP="00D728D2">
      <w:pPr>
        <w:spacing w:line="480" w:lineRule="auto"/>
        <w:ind w:firstLine="567"/>
        <w:rPr>
          <w:color w:val="000000" w:themeColor="text1"/>
        </w:rPr>
      </w:pPr>
      <w:r w:rsidRPr="00B908AD">
        <w:rPr>
          <w:color w:val="000000" w:themeColor="text1"/>
        </w:rPr>
        <w:t>T</w:t>
      </w:r>
      <w:r w:rsidR="00793844" w:rsidRPr="00B908AD">
        <w:rPr>
          <w:color w:val="000000" w:themeColor="text1"/>
        </w:rPr>
        <w:t xml:space="preserve">he Bayesian analysis estimated that </w:t>
      </w:r>
      <w:r w:rsidR="00B73146" w:rsidRPr="00B908AD">
        <w:rPr>
          <w:color w:val="000000" w:themeColor="text1"/>
        </w:rPr>
        <w:t xml:space="preserve">100,000 career headers would correspond to a mean reduction in TYM score of </w:t>
      </w:r>
      <w:r w:rsidR="00550C8E" w:rsidRPr="00B908AD">
        <w:rPr>
          <w:color w:val="000000" w:themeColor="text1"/>
        </w:rPr>
        <w:t>3</w:t>
      </w:r>
      <w:r w:rsidR="006D6902" w:rsidRPr="00B908AD">
        <w:rPr>
          <w:color w:val="000000" w:themeColor="text1"/>
        </w:rPr>
        <w:t>.2</w:t>
      </w:r>
      <w:r w:rsidR="00550C8E" w:rsidRPr="00B908AD">
        <w:rPr>
          <w:color w:val="000000" w:themeColor="text1"/>
        </w:rPr>
        <w:t xml:space="preserve"> points</w:t>
      </w:r>
      <w:r w:rsidR="006D6902" w:rsidRPr="00B908AD">
        <w:rPr>
          <w:color w:val="000000" w:themeColor="text1"/>
        </w:rPr>
        <w:t xml:space="preserve"> on average</w:t>
      </w:r>
      <w:r w:rsidR="00550C8E" w:rsidRPr="00B908AD">
        <w:rPr>
          <w:color w:val="000000" w:themeColor="text1"/>
        </w:rPr>
        <w:t>, with 95% credible intervals between 1</w:t>
      </w:r>
      <w:r w:rsidR="00635643" w:rsidRPr="00B908AD">
        <w:rPr>
          <w:color w:val="000000" w:themeColor="text1"/>
        </w:rPr>
        <w:t>.6</w:t>
      </w:r>
      <w:r w:rsidR="00550C8E" w:rsidRPr="00B908AD">
        <w:rPr>
          <w:color w:val="000000" w:themeColor="text1"/>
        </w:rPr>
        <w:t xml:space="preserve"> and 5</w:t>
      </w:r>
      <w:r w:rsidR="00635643" w:rsidRPr="00B908AD">
        <w:rPr>
          <w:color w:val="000000" w:themeColor="text1"/>
        </w:rPr>
        <w:t>.3</w:t>
      </w:r>
      <w:r w:rsidR="00550C8E" w:rsidRPr="00B908AD">
        <w:rPr>
          <w:color w:val="000000" w:themeColor="text1"/>
        </w:rPr>
        <w:t xml:space="preserve"> points</w:t>
      </w:r>
      <w:proofErr w:type="gramStart"/>
      <w:r w:rsidR="00550C8E" w:rsidRPr="00B908AD">
        <w:rPr>
          <w:color w:val="000000" w:themeColor="text1"/>
        </w:rPr>
        <w:t>.</w:t>
      </w:r>
      <w:r w:rsidR="00861FA9" w:rsidRPr="00B908AD">
        <w:rPr>
          <w:color w:val="000000" w:themeColor="text1"/>
        </w:rPr>
        <w:t xml:space="preserve"> </w:t>
      </w:r>
      <w:r w:rsidRPr="00B908AD">
        <w:rPr>
          <w:color w:val="000000" w:themeColor="text1"/>
        </w:rPr>
        <w:t xml:space="preserve"> </w:t>
      </w:r>
      <w:proofErr w:type="gramEnd"/>
      <w:r w:rsidR="00B073BC" w:rsidRPr="00B908AD">
        <w:rPr>
          <w:color w:val="000000" w:themeColor="text1"/>
        </w:rPr>
        <w:t xml:space="preserve">As per Table 1, the average number of estimated career headers of the sample was </w:t>
      </w:r>
      <w:r w:rsidR="00ED29FB" w:rsidRPr="00B908AD">
        <w:rPr>
          <w:i/>
          <w:iCs/>
          <w:color w:val="000000" w:themeColor="text1"/>
        </w:rPr>
        <w:t>circa</w:t>
      </w:r>
      <w:r w:rsidR="00ED29FB" w:rsidRPr="00B908AD">
        <w:rPr>
          <w:color w:val="000000" w:themeColor="text1"/>
        </w:rPr>
        <w:t xml:space="preserve"> 5</w:t>
      </w:r>
      <w:r w:rsidR="000F205E" w:rsidRPr="00B908AD">
        <w:rPr>
          <w:color w:val="000000" w:themeColor="text1"/>
        </w:rPr>
        <w:t>2</w:t>
      </w:r>
      <w:r w:rsidR="00ED29FB" w:rsidRPr="00B908AD">
        <w:rPr>
          <w:color w:val="000000" w:themeColor="text1"/>
        </w:rPr>
        <w:t xml:space="preserve">,000, but there was high variability (SD = </w:t>
      </w:r>
      <w:r w:rsidR="000F205E" w:rsidRPr="00B908AD">
        <w:rPr>
          <w:color w:val="000000" w:themeColor="text1"/>
        </w:rPr>
        <w:t>61</w:t>
      </w:r>
      <w:r w:rsidR="00ED29FB" w:rsidRPr="00B908AD">
        <w:rPr>
          <w:color w:val="000000" w:themeColor="text1"/>
        </w:rPr>
        <w:t>,</w:t>
      </w:r>
      <w:r w:rsidR="00EB08B7" w:rsidRPr="00B908AD">
        <w:rPr>
          <w:color w:val="000000" w:themeColor="text1"/>
        </w:rPr>
        <w:t>290</w:t>
      </w:r>
      <w:r w:rsidR="00ED29FB" w:rsidRPr="00B908AD">
        <w:rPr>
          <w:color w:val="000000" w:themeColor="text1"/>
        </w:rPr>
        <w:t xml:space="preserve">), presumably due to </w:t>
      </w:r>
      <w:r w:rsidR="004554A2" w:rsidRPr="00B908AD">
        <w:rPr>
          <w:color w:val="000000" w:themeColor="text1"/>
        </w:rPr>
        <w:t xml:space="preserve">the varying demands of </w:t>
      </w:r>
      <w:r w:rsidR="00A66EFD">
        <w:rPr>
          <w:color w:val="000000" w:themeColor="text1"/>
        </w:rPr>
        <w:t xml:space="preserve">playing </w:t>
      </w:r>
      <w:r w:rsidR="004554A2" w:rsidRPr="00B908AD">
        <w:rPr>
          <w:color w:val="000000" w:themeColor="text1"/>
        </w:rPr>
        <w:t>position</w:t>
      </w:r>
      <w:r w:rsidR="008D61ED">
        <w:rPr>
          <w:color w:val="000000" w:themeColor="text1"/>
        </w:rPr>
        <w:t>s</w:t>
      </w:r>
      <w:r w:rsidR="004554A2" w:rsidRPr="00B908AD">
        <w:rPr>
          <w:color w:val="000000" w:themeColor="text1"/>
        </w:rPr>
        <w:t xml:space="preserve">, </w:t>
      </w:r>
      <w:r w:rsidR="00A66EFD">
        <w:rPr>
          <w:color w:val="000000" w:themeColor="text1"/>
        </w:rPr>
        <w:t>e.g.</w:t>
      </w:r>
      <w:r w:rsidR="004554A2" w:rsidRPr="00B908AD">
        <w:rPr>
          <w:color w:val="000000" w:themeColor="text1"/>
        </w:rPr>
        <w:t xml:space="preserve">, goalkeepers </w:t>
      </w:r>
      <w:r w:rsidRPr="00B908AD">
        <w:rPr>
          <w:color w:val="000000" w:themeColor="text1"/>
        </w:rPr>
        <w:t xml:space="preserve">will </w:t>
      </w:r>
      <w:r w:rsidR="008C7D2B" w:rsidRPr="00B908AD">
        <w:rPr>
          <w:color w:val="000000" w:themeColor="text1"/>
        </w:rPr>
        <w:t>head the ball</w:t>
      </w:r>
      <w:r w:rsidRPr="00B908AD">
        <w:rPr>
          <w:color w:val="000000" w:themeColor="text1"/>
        </w:rPr>
        <w:t xml:space="preserve"> </w:t>
      </w:r>
      <w:r w:rsidR="00FD3DEB">
        <w:rPr>
          <w:color w:val="000000" w:themeColor="text1"/>
        </w:rPr>
        <w:t>exceptionally</w:t>
      </w:r>
      <w:r w:rsidR="00FD3DEB" w:rsidRPr="00B908AD">
        <w:rPr>
          <w:color w:val="000000" w:themeColor="text1"/>
        </w:rPr>
        <w:t xml:space="preserve"> </w:t>
      </w:r>
      <w:r w:rsidRPr="00B908AD">
        <w:rPr>
          <w:color w:val="000000" w:themeColor="text1"/>
        </w:rPr>
        <w:t>rarely</w:t>
      </w:r>
      <w:r w:rsidR="008C7D2B" w:rsidRPr="00B908AD">
        <w:rPr>
          <w:color w:val="000000" w:themeColor="text1"/>
        </w:rPr>
        <w:t>, whereas centre-forwards and centre-back</w:t>
      </w:r>
      <w:r w:rsidRPr="00B908AD">
        <w:rPr>
          <w:color w:val="000000" w:themeColor="text1"/>
        </w:rPr>
        <w:t>s</w:t>
      </w:r>
      <w:r w:rsidR="008C7D2B" w:rsidRPr="00B908AD">
        <w:rPr>
          <w:color w:val="000000" w:themeColor="text1"/>
        </w:rPr>
        <w:t xml:space="preserve"> </w:t>
      </w:r>
      <w:r w:rsidRPr="00B908AD">
        <w:rPr>
          <w:color w:val="000000" w:themeColor="text1"/>
        </w:rPr>
        <w:t>will</w:t>
      </w:r>
      <w:r w:rsidR="008C7D2B" w:rsidRPr="00B908AD">
        <w:rPr>
          <w:color w:val="000000" w:themeColor="text1"/>
        </w:rPr>
        <w:t xml:space="preserve"> head the ball </w:t>
      </w:r>
      <w:r w:rsidRPr="00B908AD">
        <w:rPr>
          <w:color w:val="000000" w:themeColor="text1"/>
        </w:rPr>
        <w:t xml:space="preserve">much </w:t>
      </w:r>
      <w:r w:rsidR="008C7D2B" w:rsidRPr="00B908AD">
        <w:rPr>
          <w:color w:val="000000" w:themeColor="text1"/>
        </w:rPr>
        <w:t>more often</w:t>
      </w:r>
      <w:proofErr w:type="gramStart"/>
      <w:r w:rsidR="008C7D2B" w:rsidRPr="00B908AD">
        <w:rPr>
          <w:color w:val="000000" w:themeColor="text1"/>
        </w:rPr>
        <w:t>.</w:t>
      </w:r>
      <w:r w:rsidR="007729BA" w:rsidRPr="00B908AD">
        <w:rPr>
          <w:color w:val="000000" w:themeColor="text1"/>
        </w:rPr>
        <w:t xml:space="preserve"> </w:t>
      </w:r>
      <w:r w:rsidRPr="00B908AD">
        <w:rPr>
          <w:color w:val="000000" w:themeColor="text1"/>
        </w:rPr>
        <w:t xml:space="preserve"> </w:t>
      </w:r>
      <w:proofErr w:type="gramEnd"/>
      <w:r w:rsidR="002B40D1" w:rsidRPr="00B908AD">
        <w:rPr>
          <w:color w:val="000000" w:themeColor="text1"/>
        </w:rPr>
        <w:t>T</w:t>
      </w:r>
      <w:r w:rsidR="00B37F65" w:rsidRPr="00B908AD">
        <w:rPr>
          <w:color w:val="000000" w:themeColor="text1"/>
        </w:rPr>
        <w:t xml:space="preserve">hese data </w:t>
      </w:r>
      <w:r w:rsidR="000C7702" w:rsidRPr="00B908AD">
        <w:rPr>
          <w:color w:val="000000" w:themeColor="text1"/>
        </w:rPr>
        <w:t xml:space="preserve">help in quantifying the impact that frequent </w:t>
      </w:r>
      <w:r w:rsidRPr="00B908AD">
        <w:rPr>
          <w:color w:val="000000" w:themeColor="text1"/>
        </w:rPr>
        <w:t xml:space="preserve">ball </w:t>
      </w:r>
      <w:r w:rsidR="000C7702" w:rsidRPr="00B908AD">
        <w:rPr>
          <w:color w:val="000000" w:themeColor="text1"/>
        </w:rPr>
        <w:t>heading in football play might have on overall cogniti</w:t>
      </w:r>
      <w:r w:rsidR="002B40D1" w:rsidRPr="00B908AD">
        <w:rPr>
          <w:color w:val="000000" w:themeColor="text1"/>
        </w:rPr>
        <w:t>ve health</w:t>
      </w:r>
      <w:r w:rsidR="002C3A8B" w:rsidRPr="00B908AD">
        <w:rPr>
          <w:color w:val="000000" w:themeColor="text1"/>
        </w:rPr>
        <w:t>, but further estimates</w:t>
      </w:r>
      <w:r w:rsidR="006E3ACE" w:rsidRPr="00B908AD">
        <w:rPr>
          <w:color w:val="000000" w:themeColor="text1"/>
        </w:rPr>
        <w:t xml:space="preserve">, especially taken in countries where heading rates might be different due to </w:t>
      </w:r>
      <w:r w:rsidRPr="00B908AD">
        <w:rPr>
          <w:color w:val="000000" w:themeColor="text1"/>
        </w:rPr>
        <w:t xml:space="preserve">the predominance of </w:t>
      </w:r>
      <w:r w:rsidR="006E3ACE" w:rsidRPr="00B908AD">
        <w:rPr>
          <w:color w:val="000000" w:themeColor="text1"/>
        </w:rPr>
        <w:t>different styles of play,</w:t>
      </w:r>
      <w:r w:rsidR="002C3A8B" w:rsidRPr="00B908AD">
        <w:rPr>
          <w:color w:val="000000" w:themeColor="text1"/>
        </w:rPr>
        <w:t xml:space="preserve"> </w:t>
      </w:r>
      <w:r w:rsidR="008D61ED">
        <w:rPr>
          <w:color w:val="000000" w:themeColor="text1"/>
        </w:rPr>
        <w:t xml:space="preserve">as well as weather, which would have affected weight of the ball due to water absorption, </w:t>
      </w:r>
      <w:r w:rsidR="002C3A8B" w:rsidRPr="00B908AD">
        <w:rPr>
          <w:color w:val="000000" w:themeColor="text1"/>
        </w:rPr>
        <w:t xml:space="preserve">are </w:t>
      </w:r>
      <w:r w:rsidR="006E3ACE" w:rsidRPr="00B908AD">
        <w:rPr>
          <w:color w:val="000000" w:themeColor="text1"/>
        </w:rPr>
        <w:t>needed</w:t>
      </w:r>
      <w:r w:rsidR="000C7702" w:rsidRPr="00B908AD">
        <w:rPr>
          <w:color w:val="000000" w:themeColor="text1"/>
        </w:rPr>
        <w:t>.</w:t>
      </w:r>
    </w:p>
    <w:p w14:paraId="71233BED" w14:textId="35C3CE29" w:rsidR="00D4266F" w:rsidRPr="00B908AD" w:rsidRDefault="00704EFD" w:rsidP="00CE0D4E">
      <w:pPr>
        <w:spacing w:line="480" w:lineRule="auto"/>
        <w:rPr>
          <w:color w:val="000000" w:themeColor="text1"/>
        </w:rPr>
      </w:pPr>
      <w:r w:rsidRPr="00B908AD">
        <w:rPr>
          <w:color w:val="000000" w:themeColor="text1"/>
        </w:rPr>
        <w:t>In our sample, 1</w:t>
      </w:r>
      <w:r w:rsidR="001B57B2" w:rsidRPr="00B908AD">
        <w:rPr>
          <w:color w:val="000000" w:themeColor="text1"/>
        </w:rPr>
        <w:t>6</w:t>
      </w:r>
      <w:r w:rsidRPr="00B908AD">
        <w:rPr>
          <w:color w:val="000000" w:themeColor="text1"/>
        </w:rPr>
        <w:t xml:space="preserve"> of 60 participants </w:t>
      </w:r>
      <w:r w:rsidR="000362D9" w:rsidRPr="005E752B">
        <w:rPr>
          <w:color w:val="C00000"/>
        </w:rPr>
        <w:t>(2</w:t>
      </w:r>
      <w:r w:rsidR="00457CF6" w:rsidRPr="005E752B">
        <w:rPr>
          <w:color w:val="C00000"/>
        </w:rPr>
        <w:t>7</w:t>
      </w:r>
      <w:r w:rsidR="000362D9" w:rsidRPr="005E752B">
        <w:rPr>
          <w:color w:val="C00000"/>
        </w:rPr>
        <w:t>%</w:t>
      </w:r>
      <w:r w:rsidR="00A96A79" w:rsidRPr="005E752B">
        <w:rPr>
          <w:color w:val="C00000"/>
        </w:rPr>
        <w:t>; 10</w:t>
      </w:r>
      <w:r w:rsidR="00B04D5C" w:rsidRPr="005E752B">
        <w:rPr>
          <w:color w:val="C00000"/>
        </w:rPr>
        <w:t xml:space="preserve"> of 33 in the 18-69 age range: </w:t>
      </w:r>
      <w:r w:rsidR="001C564A" w:rsidRPr="005E752B">
        <w:rPr>
          <w:color w:val="C00000"/>
        </w:rPr>
        <w:t xml:space="preserve">30%; 3 of 21 in the 70-79 age range: </w:t>
      </w:r>
      <w:r w:rsidR="00D716E9" w:rsidRPr="005E752B">
        <w:rPr>
          <w:color w:val="C00000"/>
        </w:rPr>
        <w:t>14%; and 3/6 in the 70+ age range: 50%</w:t>
      </w:r>
      <w:r w:rsidR="00CE0D4E" w:rsidRPr="005E752B">
        <w:rPr>
          <w:color w:val="C00000"/>
        </w:rPr>
        <w:t>)</w:t>
      </w:r>
      <w:r w:rsidR="00CE0D4E">
        <w:rPr>
          <w:color w:val="000000" w:themeColor="text1"/>
        </w:rPr>
        <w:t xml:space="preserve"> </w:t>
      </w:r>
      <w:r w:rsidRPr="00B908AD">
        <w:rPr>
          <w:color w:val="000000" w:themeColor="text1"/>
        </w:rPr>
        <w:t xml:space="preserve">scored below the </w:t>
      </w:r>
      <w:r w:rsidR="006E466D" w:rsidRPr="00B908AD">
        <w:rPr>
          <w:color w:val="000000" w:themeColor="text1"/>
        </w:rPr>
        <w:t>age-adjusted TYM cut-off scores</w:t>
      </w:r>
      <w:r w:rsidR="000362D9" w:rsidRPr="00B908AD">
        <w:rPr>
          <w:color w:val="000000" w:themeColor="text1"/>
        </w:rPr>
        <w:t>, suggesting possible mild cognitive impairment</w:t>
      </w:r>
      <w:r w:rsidR="00FA2D57" w:rsidRPr="00B908AD">
        <w:rPr>
          <w:color w:val="000000" w:themeColor="text1"/>
        </w:rPr>
        <w:t xml:space="preserve"> </w:t>
      </w:r>
      <w:r w:rsidR="00206140" w:rsidRPr="00B908AD">
        <w:rPr>
          <w:color w:val="000000" w:themeColor="text1"/>
        </w:rPr>
        <w:t xml:space="preserve">(MCI) </w:t>
      </w:r>
      <w:r w:rsidR="00FA2D57" w:rsidRPr="00B908AD">
        <w:rPr>
          <w:color w:val="000000" w:themeColor="text1"/>
        </w:rPr>
        <w:t>in these individuals</w:t>
      </w:r>
      <w:r w:rsidR="000362D9" w:rsidRPr="00B908AD">
        <w:rPr>
          <w:color w:val="000000" w:themeColor="text1"/>
        </w:rPr>
        <w:t xml:space="preserve">. </w:t>
      </w:r>
      <w:r w:rsidR="007A2248" w:rsidRPr="00B908AD">
        <w:rPr>
          <w:color w:val="000000" w:themeColor="text1"/>
        </w:rPr>
        <w:t xml:space="preserve">This percentage is </w:t>
      </w:r>
      <w:r w:rsidR="008C43B8" w:rsidRPr="00B908AD">
        <w:rPr>
          <w:color w:val="000000" w:themeColor="text1"/>
        </w:rPr>
        <w:t xml:space="preserve">roughly 2.5 </w:t>
      </w:r>
      <w:r w:rsidR="007A2248" w:rsidRPr="00B908AD">
        <w:rPr>
          <w:color w:val="000000" w:themeColor="text1"/>
        </w:rPr>
        <w:t xml:space="preserve">times as high as that reported by </w:t>
      </w:r>
      <w:r w:rsidR="00A34C84" w:rsidRPr="00B908AD">
        <w:rPr>
          <w:color w:val="000000" w:themeColor="text1"/>
        </w:rPr>
        <w:t xml:space="preserve">Vann-Jones et al. </w:t>
      </w:r>
      <w:r w:rsidR="00AA1B95" w:rsidRPr="00B908AD">
        <w:rPr>
          <w:color w:val="000000" w:themeColor="text1"/>
        </w:rPr>
        <w:t>(</w:t>
      </w:r>
      <w:r w:rsidR="00A34C84" w:rsidRPr="00B908AD">
        <w:rPr>
          <w:color w:val="000000" w:themeColor="text1"/>
        </w:rPr>
        <w:t>11%)</w:t>
      </w:r>
      <w:r w:rsidR="006E0AC8" w:rsidRPr="00B908AD">
        <w:rPr>
          <w:color w:val="000000" w:themeColor="text1"/>
        </w:rPr>
        <w:t xml:space="preserve">, who concluded their cohort of </w:t>
      </w:r>
      <w:r w:rsidR="004661CF">
        <w:rPr>
          <w:color w:val="000000" w:themeColor="text1"/>
        </w:rPr>
        <w:t>FPFs</w:t>
      </w:r>
      <w:r w:rsidR="006E0AC8" w:rsidRPr="00B908AD">
        <w:rPr>
          <w:color w:val="000000" w:themeColor="text1"/>
        </w:rPr>
        <w:t xml:space="preserve"> did not significantly differ from the general population</w:t>
      </w:r>
      <w:r w:rsidR="00DE6EED">
        <w:rPr>
          <w:color w:val="000000" w:themeColor="text1"/>
        </w:rPr>
        <w:t xml:space="preserve"> </w:t>
      </w:r>
      <w:r w:rsidR="00DE6EED" w:rsidRPr="00DE6EED">
        <w:rPr>
          <w:color w:val="000000" w:themeColor="text1"/>
        </w:rPr>
        <w:t>[13]</w:t>
      </w:r>
      <w:proofErr w:type="gramStart"/>
      <w:r w:rsidR="006E0AC8" w:rsidRPr="00B908AD">
        <w:rPr>
          <w:color w:val="000000" w:themeColor="text1"/>
        </w:rPr>
        <w:t xml:space="preserve">. </w:t>
      </w:r>
      <w:r w:rsidR="00ED4599" w:rsidRPr="00B908AD">
        <w:rPr>
          <w:color w:val="000000" w:themeColor="text1"/>
        </w:rPr>
        <w:t xml:space="preserve"> </w:t>
      </w:r>
      <w:proofErr w:type="gramEnd"/>
      <w:r w:rsidR="00ED4599" w:rsidRPr="00B908AD">
        <w:rPr>
          <w:color w:val="000000" w:themeColor="text1"/>
        </w:rPr>
        <w:t>It is worth noting that</w:t>
      </w:r>
      <w:r w:rsidR="00CD7982" w:rsidRPr="00B908AD">
        <w:rPr>
          <w:color w:val="000000" w:themeColor="text1"/>
        </w:rPr>
        <w:t xml:space="preserve"> </w:t>
      </w:r>
      <w:r w:rsidR="00B57769" w:rsidRPr="00B908AD">
        <w:rPr>
          <w:color w:val="000000" w:themeColor="text1"/>
        </w:rPr>
        <w:t xml:space="preserve">the mean age in our study was the same as reported by </w:t>
      </w:r>
      <w:r w:rsidR="00CD6AA5" w:rsidRPr="00B908AD">
        <w:rPr>
          <w:color w:val="000000" w:themeColor="text1"/>
        </w:rPr>
        <w:t xml:space="preserve">Vann-Jones et al. </w:t>
      </w:r>
      <w:r w:rsidR="00E2174A" w:rsidRPr="00B908AD">
        <w:rPr>
          <w:color w:val="000000" w:themeColor="text1"/>
        </w:rPr>
        <w:t>[</w:t>
      </w:r>
      <w:r w:rsidR="006C74F8" w:rsidRPr="00B908AD">
        <w:rPr>
          <w:color w:val="000000" w:themeColor="text1"/>
        </w:rPr>
        <w:t>1</w:t>
      </w:r>
      <w:r w:rsidR="007A6086">
        <w:rPr>
          <w:color w:val="000000" w:themeColor="text1"/>
        </w:rPr>
        <w:t>3</w:t>
      </w:r>
      <w:r w:rsidR="00E2174A" w:rsidRPr="00B908AD">
        <w:rPr>
          <w:color w:val="000000" w:themeColor="text1"/>
        </w:rPr>
        <w:t>]</w:t>
      </w:r>
      <w:r w:rsidR="00B57769" w:rsidRPr="00B908AD">
        <w:rPr>
          <w:color w:val="000000" w:themeColor="text1"/>
        </w:rPr>
        <w:t xml:space="preserve"> </w:t>
      </w:r>
      <w:r w:rsidR="00E2174A" w:rsidRPr="00B908AD">
        <w:rPr>
          <w:color w:val="000000" w:themeColor="text1"/>
        </w:rPr>
        <w:t>(</w:t>
      </w:r>
      <w:r w:rsidR="00B57769" w:rsidRPr="00B908AD">
        <w:rPr>
          <w:color w:val="000000" w:themeColor="text1"/>
        </w:rPr>
        <w:t>67.5)</w:t>
      </w:r>
      <w:r w:rsidR="00C53DD7" w:rsidRPr="00B908AD">
        <w:rPr>
          <w:color w:val="000000" w:themeColor="text1"/>
        </w:rPr>
        <w:t xml:space="preserve">, although we had more </w:t>
      </w:r>
      <w:r w:rsidR="00BD4C0A" w:rsidRPr="00B908AD">
        <w:rPr>
          <w:color w:val="000000" w:themeColor="text1"/>
        </w:rPr>
        <w:t xml:space="preserve">age </w:t>
      </w:r>
      <w:r w:rsidR="00C53DD7" w:rsidRPr="00B908AD">
        <w:rPr>
          <w:color w:val="000000" w:themeColor="text1"/>
        </w:rPr>
        <w:t xml:space="preserve">variability (SD: 9.5 &gt; </w:t>
      </w:r>
      <w:r w:rsidR="00404D68" w:rsidRPr="00B908AD">
        <w:rPr>
          <w:color w:val="000000" w:themeColor="text1"/>
        </w:rPr>
        <w:t>7.0)</w:t>
      </w:r>
      <w:r w:rsidR="004966DF" w:rsidRPr="00B908AD">
        <w:rPr>
          <w:color w:val="000000" w:themeColor="text1"/>
        </w:rPr>
        <w:t xml:space="preserve">, and </w:t>
      </w:r>
      <w:r w:rsidR="00DE6EED" w:rsidRPr="00DE6EED">
        <w:rPr>
          <w:color w:val="000000" w:themeColor="text1"/>
        </w:rPr>
        <w:t xml:space="preserve">on average </w:t>
      </w:r>
      <w:r w:rsidR="004966DF" w:rsidRPr="00B908AD">
        <w:rPr>
          <w:color w:val="000000" w:themeColor="text1"/>
        </w:rPr>
        <w:t>o</w:t>
      </w:r>
      <w:r w:rsidR="00404D68" w:rsidRPr="00B908AD">
        <w:rPr>
          <w:color w:val="000000" w:themeColor="text1"/>
        </w:rPr>
        <w:t>ur players had longer careers (16.8 &gt; 13.8)</w:t>
      </w:r>
      <w:proofErr w:type="gramStart"/>
      <w:r w:rsidR="00AF043B" w:rsidRPr="00B908AD">
        <w:rPr>
          <w:color w:val="000000" w:themeColor="text1"/>
        </w:rPr>
        <w:t>.</w:t>
      </w:r>
      <w:r w:rsidR="009023FB" w:rsidRPr="00B908AD">
        <w:rPr>
          <w:color w:val="000000" w:themeColor="text1"/>
        </w:rPr>
        <w:t xml:space="preserve"> </w:t>
      </w:r>
      <w:r w:rsidR="00ED4599" w:rsidRPr="00B908AD">
        <w:rPr>
          <w:color w:val="000000" w:themeColor="text1"/>
        </w:rPr>
        <w:t xml:space="preserve"> </w:t>
      </w:r>
      <w:proofErr w:type="gramEnd"/>
      <w:r w:rsidR="00E73711" w:rsidRPr="00B908AD">
        <w:rPr>
          <w:color w:val="000000" w:themeColor="text1"/>
        </w:rPr>
        <w:t xml:space="preserve">It </w:t>
      </w:r>
      <w:r w:rsidR="006A085B" w:rsidRPr="00B908AD">
        <w:rPr>
          <w:color w:val="000000" w:themeColor="text1"/>
        </w:rPr>
        <w:t>may be that</w:t>
      </w:r>
      <w:r w:rsidR="00E73711" w:rsidRPr="00B908AD">
        <w:rPr>
          <w:color w:val="000000" w:themeColor="text1"/>
        </w:rPr>
        <w:t xml:space="preserve"> </w:t>
      </w:r>
      <w:r w:rsidR="00ED4599" w:rsidRPr="00B908AD">
        <w:rPr>
          <w:color w:val="000000" w:themeColor="text1"/>
        </w:rPr>
        <w:t>the</w:t>
      </w:r>
      <w:r w:rsidR="00E73711" w:rsidRPr="00B908AD">
        <w:rPr>
          <w:color w:val="000000" w:themeColor="text1"/>
        </w:rPr>
        <w:t xml:space="preserve"> reported association between </w:t>
      </w:r>
      <w:r w:rsidR="00D14674" w:rsidRPr="00B908AD">
        <w:rPr>
          <w:color w:val="000000" w:themeColor="text1"/>
        </w:rPr>
        <w:t xml:space="preserve">estimated career heading frequency and overall cognition </w:t>
      </w:r>
      <w:r w:rsidR="00ED4599" w:rsidRPr="00B908AD">
        <w:rPr>
          <w:color w:val="000000" w:themeColor="text1"/>
        </w:rPr>
        <w:t xml:space="preserve">observed here </w:t>
      </w:r>
      <w:r w:rsidR="006A085B" w:rsidRPr="00B908AD">
        <w:rPr>
          <w:color w:val="000000" w:themeColor="text1"/>
        </w:rPr>
        <w:t>would</w:t>
      </w:r>
      <w:r w:rsidR="00206140" w:rsidRPr="00B908AD">
        <w:rPr>
          <w:color w:val="000000" w:themeColor="text1"/>
        </w:rPr>
        <w:t xml:space="preserve"> be less pronounced in a cohort </w:t>
      </w:r>
      <w:r w:rsidR="00ED4599" w:rsidRPr="00B908AD">
        <w:rPr>
          <w:color w:val="000000" w:themeColor="text1"/>
        </w:rPr>
        <w:t>with</w:t>
      </w:r>
      <w:r w:rsidR="00206140" w:rsidRPr="00B908AD">
        <w:rPr>
          <w:color w:val="000000" w:themeColor="text1"/>
        </w:rPr>
        <w:t xml:space="preserve"> fewer </w:t>
      </w:r>
      <w:r w:rsidR="00CA2BA3" w:rsidRPr="00B908AD">
        <w:rPr>
          <w:color w:val="000000" w:themeColor="text1"/>
        </w:rPr>
        <w:t xml:space="preserve">possible </w:t>
      </w:r>
      <w:r w:rsidR="00206140" w:rsidRPr="00B908AD">
        <w:rPr>
          <w:color w:val="000000" w:themeColor="text1"/>
        </w:rPr>
        <w:t>MCI cases</w:t>
      </w:r>
      <w:proofErr w:type="gramStart"/>
      <w:r w:rsidR="00022EC0" w:rsidRPr="00B908AD">
        <w:rPr>
          <w:color w:val="000000" w:themeColor="text1"/>
        </w:rPr>
        <w:t xml:space="preserve">. </w:t>
      </w:r>
      <w:r w:rsidR="009944FC" w:rsidRPr="00B908AD">
        <w:rPr>
          <w:color w:val="000000" w:themeColor="text1"/>
        </w:rPr>
        <w:t xml:space="preserve"> </w:t>
      </w:r>
      <w:proofErr w:type="gramEnd"/>
      <w:r w:rsidR="0048547F" w:rsidRPr="00B908AD">
        <w:rPr>
          <w:color w:val="000000" w:themeColor="text1"/>
        </w:rPr>
        <w:t xml:space="preserve">As a counterpoint, our study also provides circumstantial evidence that </w:t>
      </w:r>
      <w:r w:rsidR="004661CF">
        <w:rPr>
          <w:color w:val="000000" w:themeColor="text1"/>
        </w:rPr>
        <w:t>FPFs</w:t>
      </w:r>
      <w:r w:rsidR="0048547F" w:rsidRPr="00B908AD">
        <w:rPr>
          <w:color w:val="000000" w:themeColor="text1"/>
        </w:rPr>
        <w:t xml:space="preserve"> may be at higher overall risk</w:t>
      </w:r>
      <w:r w:rsidR="00E4006A" w:rsidRPr="00B908AD">
        <w:rPr>
          <w:color w:val="000000" w:themeColor="text1"/>
        </w:rPr>
        <w:t xml:space="preserve"> of MCI</w:t>
      </w:r>
      <w:r w:rsidR="0048547F" w:rsidRPr="00B908AD">
        <w:rPr>
          <w:color w:val="000000" w:themeColor="text1"/>
        </w:rPr>
        <w:t xml:space="preserve"> </w:t>
      </w:r>
      <w:r w:rsidR="00E4006A" w:rsidRPr="00B908AD">
        <w:rPr>
          <w:color w:val="000000" w:themeColor="text1"/>
        </w:rPr>
        <w:t xml:space="preserve">compared </w:t>
      </w:r>
      <w:r w:rsidR="006B2840" w:rsidRPr="00B908AD">
        <w:rPr>
          <w:color w:val="000000" w:themeColor="text1"/>
        </w:rPr>
        <w:t>with</w:t>
      </w:r>
      <w:r w:rsidR="00E4006A" w:rsidRPr="00B908AD">
        <w:rPr>
          <w:color w:val="000000" w:themeColor="text1"/>
        </w:rPr>
        <w:t xml:space="preserve"> the general population</w:t>
      </w:r>
      <w:proofErr w:type="gramStart"/>
      <w:r w:rsidR="00E4006A" w:rsidRPr="00B908AD">
        <w:rPr>
          <w:color w:val="000000" w:themeColor="text1"/>
        </w:rPr>
        <w:t>.</w:t>
      </w:r>
      <w:r w:rsidR="0048547F" w:rsidRPr="00B908AD">
        <w:rPr>
          <w:color w:val="000000" w:themeColor="text1"/>
        </w:rPr>
        <w:t xml:space="preserve"> </w:t>
      </w:r>
      <w:r w:rsidR="009944FC" w:rsidRPr="00B908AD">
        <w:rPr>
          <w:color w:val="000000" w:themeColor="text1"/>
        </w:rPr>
        <w:t xml:space="preserve"> </w:t>
      </w:r>
      <w:proofErr w:type="gramEnd"/>
      <w:r w:rsidR="00E4006A" w:rsidRPr="00B908AD">
        <w:rPr>
          <w:color w:val="000000" w:themeColor="text1"/>
        </w:rPr>
        <w:t>Both of t</w:t>
      </w:r>
      <w:r w:rsidR="00022EC0" w:rsidRPr="00B908AD">
        <w:rPr>
          <w:color w:val="000000" w:themeColor="text1"/>
        </w:rPr>
        <w:t>h</w:t>
      </w:r>
      <w:r w:rsidR="0057233E" w:rsidRPr="00B908AD">
        <w:rPr>
          <w:color w:val="000000" w:themeColor="text1"/>
        </w:rPr>
        <w:t>e</w:t>
      </w:r>
      <w:r w:rsidR="00022EC0" w:rsidRPr="00B908AD">
        <w:rPr>
          <w:color w:val="000000" w:themeColor="text1"/>
        </w:rPr>
        <w:t>s</w:t>
      </w:r>
      <w:r w:rsidR="0057233E" w:rsidRPr="00B908AD">
        <w:rPr>
          <w:color w:val="000000" w:themeColor="text1"/>
        </w:rPr>
        <w:t>e</w:t>
      </w:r>
      <w:r w:rsidR="00022EC0" w:rsidRPr="00B908AD">
        <w:rPr>
          <w:color w:val="000000" w:themeColor="text1"/>
        </w:rPr>
        <w:t xml:space="preserve"> point</w:t>
      </w:r>
      <w:r w:rsidR="00E4006A" w:rsidRPr="00B908AD">
        <w:rPr>
          <w:color w:val="000000" w:themeColor="text1"/>
        </w:rPr>
        <w:t>s</w:t>
      </w:r>
      <w:r w:rsidR="00022EC0" w:rsidRPr="00B908AD">
        <w:rPr>
          <w:color w:val="000000" w:themeColor="text1"/>
        </w:rPr>
        <w:t xml:space="preserve"> require further investigation.</w:t>
      </w:r>
    </w:p>
    <w:p w14:paraId="52157E26" w14:textId="35F4CE8F" w:rsidR="009944FC" w:rsidRPr="00423BC6" w:rsidRDefault="009944FC" w:rsidP="00BF79ED">
      <w:pPr>
        <w:spacing w:line="480" w:lineRule="auto"/>
        <w:ind w:firstLine="567"/>
        <w:rPr>
          <w:color w:val="ED7D31" w:themeColor="accent2"/>
        </w:rPr>
      </w:pPr>
      <w:r w:rsidRPr="00B908AD">
        <w:rPr>
          <w:color w:val="000000" w:themeColor="text1"/>
        </w:rPr>
        <w:lastRenderedPageBreak/>
        <w:t>Rather than</w:t>
      </w:r>
      <w:r w:rsidR="00D07B95" w:rsidRPr="00B908AD">
        <w:rPr>
          <w:color w:val="000000" w:themeColor="text1"/>
        </w:rPr>
        <w:t xml:space="preserve"> </w:t>
      </w:r>
      <w:r w:rsidR="00514116" w:rsidRPr="00B908AD">
        <w:rPr>
          <w:color w:val="000000" w:themeColor="text1"/>
        </w:rPr>
        <w:t xml:space="preserve">interpreting </w:t>
      </w:r>
      <w:r w:rsidR="00C630F7" w:rsidRPr="00B908AD">
        <w:rPr>
          <w:color w:val="000000" w:themeColor="text1"/>
        </w:rPr>
        <w:t xml:space="preserve">our findings </w:t>
      </w:r>
      <w:r w:rsidRPr="00B908AD">
        <w:rPr>
          <w:color w:val="000000" w:themeColor="text1"/>
        </w:rPr>
        <w:t>as evidence</w:t>
      </w:r>
      <w:r w:rsidR="00514116" w:rsidRPr="00B908AD">
        <w:rPr>
          <w:color w:val="000000" w:themeColor="text1"/>
        </w:rPr>
        <w:t xml:space="preserve"> of a link between heading the ball and cognitive impairment</w:t>
      </w:r>
      <w:r w:rsidR="00D07B95" w:rsidRPr="00B908AD">
        <w:rPr>
          <w:color w:val="000000" w:themeColor="text1"/>
        </w:rPr>
        <w:t>, it is possible to imagine</w:t>
      </w:r>
      <w:r w:rsidR="00514116" w:rsidRPr="00B908AD">
        <w:rPr>
          <w:color w:val="000000" w:themeColor="text1"/>
        </w:rPr>
        <w:t xml:space="preserve"> </w:t>
      </w:r>
      <w:r w:rsidR="00B34C6D" w:rsidRPr="00B908AD">
        <w:rPr>
          <w:color w:val="000000" w:themeColor="text1"/>
        </w:rPr>
        <w:t xml:space="preserve">that </w:t>
      </w:r>
      <w:r w:rsidR="00C630F7" w:rsidRPr="00B908AD">
        <w:rPr>
          <w:color w:val="000000" w:themeColor="text1"/>
        </w:rPr>
        <w:t>heading frequency correlate</w:t>
      </w:r>
      <w:r w:rsidRPr="00B908AD">
        <w:rPr>
          <w:color w:val="000000" w:themeColor="text1"/>
        </w:rPr>
        <w:t>s</w:t>
      </w:r>
      <w:r w:rsidR="00C630F7" w:rsidRPr="00B908AD">
        <w:rPr>
          <w:color w:val="000000" w:themeColor="text1"/>
        </w:rPr>
        <w:t xml:space="preserve"> with TYM score</w:t>
      </w:r>
      <w:r w:rsidR="00B34C6D" w:rsidRPr="00B908AD">
        <w:rPr>
          <w:color w:val="000000" w:themeColor="text1"/>
        </w:rPr>
        <w:t xml:space="preserve"> because </w:t>
      </w:r>
      <w:r w:rsidR="00C630F7" w:rsidRPr="00B908AD">
        <w:rPr>
          <w:color w:val="000000" w:themeColor="text1"/>
        </w:rPr>
        <w:t>people with cognitive problems overestimat</w:t>
      </w:r>
      <w:r w:rsidR="00D34985" w:rsidRPr="00B908AD">
        <w:rPr>
          <w:color w:val="000000" w:themeColor="text1"/>
        </w:rPr>
        <w:t>e</w:t>
      </w:r>
      <w:r w:rsidR="00C630F7" w:rsidRPr="00B908AD">
        <w:rPr>
          <w:color w:val="000000" w:themeColor="text1"/>
        </w:rPr>
        <w:t xml:space="preserve"> </w:t>
      </w:r>
      <w:r w:rsidRPr="00B908AD">
        <w:rPr>
          <w:color w:val="000000" w:themeColor="text1"/>
        </w:rPr>
        <w:t xml:space="preserve">their </w:t>
      </w:r>
      <w:r w:rsidR="00C630F7" w:rsidRPr="00B908AD">
        <w:rPr>
          <w:color w:val="000000" w:themeColor="text1"/>
        </w:rPr>
        <w:t>head</w:t>
      </w:r>
      <w:r w:rsidRPr="00B908AD">
        <w:rPr>
          <w:color w:val="000000" w:themeColor="text1"/>
        </w:rPr>
        <w:t>ing</w:t>
      </w:r>
      <w:r w:rsidR="00C630F7" w:rsidRPr="00B908AD">
        <w:rPr>
          <w:color w:val="000000" w:themeColor="text1"/>
        </w:rPr>
        <w:t xml:space="preserve"> frequency.</w:t>
      </w:r>
      <w:r w:rsidRPr="00B908AD">
        <w:rPr>
          <w:color w:val="000000" w:themeColor="text1"/>
        </w:rPr>
        <w:t xml:space="preserve"> </w:t>
      </w:r>
      <w:r w:rsidR="00B34C6D" w:rsidRPr="00B908AD">
        <w:rPr>
          <w:color w:val="000000" w:themeColor="text1"/>
        </w:rPr>
        <w:t xml:space="preserve">While this is a possibility, </w:t>
      </w:r>
      <w:r w:rsidR="00B34C50">
        <w:rPr>
          <w:color w:val="000000" w:themeColor="text1"/>
        </w:rPr>
        <w:t xml:space="preserve">we also examined </w:t>
      </w:r>
      <w:r w:rsidR="00CB1BF3">
        <w:rPr>
          <w:color w:val="000000" w:themeColor="text1"/>
        </w:rPr>
        <w:t xml:space="preserve">whether main career playing position </w:t>
      </w:r>
      <w:r w:rsidR="007370D8">
        <w:rPr>
          <w:color w:val="000000" w:themeColor="text1"/>
        </w:rPr>
        <w:t xml:space="preserve">was </w:t>
      </w:r>
      <w:r w:rsidR="00EA5E05">
        <w:rPr>
          <w:color w:val="000000" w:themeColor="text1"/>
        </w:rPr>
        <w:t xml:space="preserve">associated with </w:t>
      </w:r>
      <w:r w:rsidR="00EA5E05" w:rsidRPr="00B908AD">
        <w:rPr>
          <w:color w:val="000000" w:themeColor="text1"/>
        </w:rPr>
        <w:t>estimated career total in headers</w:t>
      </w:r>
      <w:r w:rsidR="00C51BD3">
        <w:rPr>
          <w:color w:val="000000" w:themeColor="text1"/>
        </w:rPr>
        <w:t>.</w:t>
      </w:r>
      <w:r w:rsidR="00EA5E05">
        <w:rPr>
          <w:color w:val="000000" w:themeColor="text1"/>
        </w:rPr>
        <w:t xml:space="preserve"> </w:t>
      </w:r>
      <w:r w:rsidR="00EA5E05" w:rsidRPr="00423BC6">
        <w:rPr>
          <w:color w:val="ED7D31" w:themeColor="accent2"/>
        </w:rPr>
        <w:t xml:space="preserve">We subdivided </w:t>
      </w:r>
      <w:r w:rsidR="002F34A4" w:rsidRPr="00423BC6">
        <w:rPr>
          <w:color w:val="ED7D31" w:themeColor="accent2"/>
        </w:rPr>
        <w:t>participants in goalkeepers (n=7</w:t>
      </w:r>
      <w:r w:rsidR="00186588" w:rsidRPr="00423BC6">
        <w:rPr>
          <w:color w:val="ED7D31" w:themeColor="accent2"/>
        </w:rPr>
        <w:t>; i.e., least likely to head the ball</w:t>
      </w:r>
      <w:r w:rsidR="002F34A4" w:rsidRPr="00423BC6">
        <w:rPr>
          <w:color w:val="ED7D31" w:themeColor="accent2"/>
        </w:rPr>
        <w:t xml:space="preserve">), </w:t>
      </w:r>
      <w:r w:rsidR="00186588" w:rsidRPr="00423BC6">
        <w:rPr>
          <w:color w:val="ED7D31" w:themeColor="accent2"/>
        </w:rPr>
        <w:t>wide players (</w:t>
      </w:r>
      <w:r w:rsidR="00EC2915" w:rsidRPr="00423BC6">
        <w:rPr>
          <w:color w:val="ED7D31" w:themeColor="accent2"/>
        </w:rPr>
        <w:t xml:space="preserve">e.g., wide midfielders; </w:t>
      </w:r>
      <w:r w:rsidR="00186588" w:rsidRPr="00423BC6">
        <w:rPr>
          <w:color w:val="ED7D31" w:themeColor="accent2"/>
        </w:rPr>
        <w:t>n=19</w:t>
      </w:r>
      <w:r w:rsidR="003007B3" w:rsidRPr="00423BC6">
        <w:rPr>
          <w:color w:val="ED7D31" w:themeColor="accent2"/>
        </w:rPr>
        <w:t>; medium likelihood to head the ball</w:t>
      </w:r>
      <w:r w:rsidR="000F091A" w:rsidRPr="00423BC6">
        <w:rPr>
          <w:color w:val="ED7D31" w:themeColor="accent2"/>
        </w:rPr>
        <w:t>), and central players (</w:t>
      </w:r>
      <w:r w:rsidR="008D3600" w:rsidRPr="00423BC6">
        <w:rPr>
          <w:color w:val="ED7D31" w:themeColor="accent2"/>
        </w:rPr>
        <w:t>e.g., centre-forwards</w:t>
      </w:r>
      <w:r w:rsidR="00C76A0B" w:rsidRPr="00423BC6">
        <w:rPr>
          <w:color w:val="ED7D31" w:themeColor="accent2"/>
        </w:rPr>
        <w:t>, centre-midfielders</w:t>
      </w:r>
      <w:r w:rsidR="008D3600" w:rsidRPr="00423BC6">
        <w:rPr>
          <w:color w:val="ED7D31" w:themeColor="accent2"/>
        </w:rPr>
        <w:t xml:space="preserve">; </w:t>
      </w:r>
      <w:r w:rsidR="000F091A" w:rsidRPr="00423BC6">
        <w:rPr>
          <w:color w:val="ED7D31" w:themeColor="accent2"/>
        </w:rPr>
        <w:t xml:space="preserve">n=34; </w:t>
      </w:r>
      <w:r w:rsidR="00186588" w:rsidRPr="00423BC6">
        <w:rPr>
          <w:color w:val="ED7D31" w:themeColor="accent2"/>
        </w:rPr>
        <w:t xml:space="preserve">i.e., </w:t>
      </w:r>
      <w:r w:rsidR="000F091A" w:rsidRPr="00423BC6">
        <w:rPr>
          <w:color w:val="ED7D31" w:themeColor="accent2"/>
        </w:rPr>
        <w:t>most likely to head the ball)</w:t>
      </w:r>
      <w:r w:rsidR="008D3600" w:rsidRPr="00423BC6">
        <w:rPr>
          <w:color w:val="ED7D31" w:themeColor="accent2"/>
        </w:rPr>
        <w:t xml:space="preserve">, and calculated mean </w:t>
      </w:r>
      <w:r w:rsidR="00C51BD3" w:rsidRPr="00423BC6">
        <w:rPr>
          <w:color w:val="ED7D31" w:themeColor="accent2"/>
        </w:rPr>
        <w:t xml:space="preserve">career headers frequencies. </w:t>
      </w:r>
      <w:r w:rsidR="009D4B2C" w:rsidRPr="00423BC6">
        <w:rPr>
          <w:color w:val="ED7D31" w:themeColor="accent2"/>
        </w:rPr>
        <w:t xml:space="preserve">Indeed, </w:t>
      </w:r>
      <w:r w:rsidR="00E87DF6" w:rsidRPr="00423BC6">
        <w:rPr>
          <w:color w:val="ED7D31" w:themeColor="accent2"/>
        </w:rPr>
        <w:t>goalkeepers reported the least career headers of all (4935.6, SD=</w:t>
      </w:r>
      <w:r w:rsidR="00D13488" w:rsidRPr="00423BC6">
        <w:rPr>
          <w:color w:val="ED7D31" w:themeColor="accent2"/>
        </w:rPr>
        <w:t>8430.9</w:t>
      </w:r>
      <w:r w:rsidR="00DE6EED">
        <w:rPr>
          <w:color w:val="ED7D31" w:themeColor="accent2"/>
        </w:rPr>
        <w:t xml:space="preserve"> – N.B. some goalkeepers reported heading in training</w:t>
      </w:r>
      <w:r w:rsidR="00D13488" w:rsidRPr="00423BC6">
        <w:rPr>
          <w:color w:val="ED7D31" w:themeColor="accent2"/>
        </w:rPr>
        <w:t>), wide players reported the second highest value for career headers (</w:t>
      </w:r>
      <w:r w:rsidR="007E249E" w:rsidRPr="00423BC6">
        <w:rPr>
          <w:color w:val="ED7D31" w:themeColor="accent2"/>
        </w:rPr>
        <w:t>45201.3, SD=50914.2), and central players reported the highest value</w:t>
      </w:r>
      <w:r w:rsidR="0083754B" w:rsidRPr="00423BC6">
        <w:rPr>
          <w:color w:val="ED7D31" w:themeColor="accent2"/>
        </w:rPr>
        <w:t xml:space="preserve"> overall</w:t>
      </w:r>
      <w:r w:rsidR="007E249E" w:rsidRPr="00423BC6">
        <w:rPr>
          <w:color w:val="ED7D31" w:themeColor="accent2"/>
        </w:rPr>
        <w:t xml:space="preserve"> (65076.5, SD=</w:t>
      </w:r>
      <w:r w:rsidR="00BF79ED" w:rsidRPr="00423BC6">
        <w:rPr>
          <w:color w:val="ED7D31" w:themeColor="accent2"/>
        </w:rPr>
        <w:t xml:space="preserve">67946.6). </w:t>
      </w:r>
      <w:r w:rsidR="00645AAB" w:rsidRPr="00423BC6">
        <w:rPr>
          <w:color w:val="ED7D31" w:themeColor="accent2"/>
        </w:rPr>
        <w:t>As main career playing position is less likely to be misre</w:t>
      </w:r>
      <w:r w:rsidR="004263D9" w:rsidRPr="00423BC6">
        <w:rPr>
          <w:color w:val="ED7D31" w:themeColor="accent2"/>
        </w:rPr>
        <w:t xml:space="preserve">membered than heading frequency, </w:t>
      </w:r>
      <w:r w:rsidR="00BF79ED" w:rsidRPr="00423BC6">
        <w:rPr>
          <w:color w:val="ED7D31" w:themeColor="accent2"/>
        </w:rPr>
        <w:t xml:space="preserve">these results provide some </w:t>
      </w:r>
      <w:r w:rsidR="00D07B95" w:rsidRPr="00423BC6">
        <w:rPr>
          <w:color w:val="ED7D31" w:themeColor="accent2"/>
        </w:rPr>
        <w:t>corroborat</w:t>
      </w:r>
      <w:r w:rsidR="00BF79ED" w:rsidRPr="00423BC6">
        <w:rPr>
          <w:color w:val="ED7D31" w:themeColor="accent2"/>
        </w:rPr>
        <w:t>ion</w:t>
      </w:r>
      <w:r w:rsidR="00D07B95" w:rsidRPr="00423BC6">
        <w:rPr>
          <w:color w:val="ED7D31" w:themeColor="accent2"/>
        </w:rPr>
        <w:t xml:space="preserve"> </w:t>
      </w:r>
      <w:r w:rsidR="00BF79ED" w:rsidRPr="00423BC6">
        <w:rPr>
          <w:color w:val="ED7D31" w:themeColor="accent2"/>
        </w:rPr>
        <w:t xml:space="preserve">to </w:t>
      </w:r>
      <w:r w:rsidR="00D07B95" w:rsidRPr="00423BC6">
        <w:rPr>
          <w:color w:val="ED7D31" w:themeColor="accent2"/>
        </w:rPr>
        <w:t xml:space="preserve">the idea that </w:t>
      </w:r>
      <w:r w:rsidR="008437FB" w:rsidRPr="00423BC6">
        <w:rPr>
          <w:color w:val="ED7D31" w:themeColor="accent2"/>
        </w:rPr>
        <w:t xml:space="preserve">the estimates of heading frequency </w:t>
      </w:r>
      <w:r w:rsidR="00D22ECE" w:rsidRPr="00423BC6">
        <w:rPr>
          <w:color w:val="ED7D31" w:themeColor="accent2"/>
        </w:rPr>
        <w:t>obtained from</w:t>
      </w:r>
      <w:r w:rsidR="008437FB" w:rsidRPr="00423BC6">
        <w:rPr>
          <w:color w:val="ED7D31" w:themeColor="accent2"/>
        </w:rPr>
        <w:t xml:space="preserve"> the players were</w:t>
      </w:r>
      <w:r w:rsidR="002D41CA" w:rsidRPr="00423BC6">
        <w:rPr>
          <w:color w:val="ED7D31" w:themeColor="accent2"/>
        </w:rPr>
        <w:t xml:space="preserve">, at least in part, </w:t>
      </w:r>
      <w:r w:rsidR="00742FBE" w:rsidRPr="00423BC6">
        <w:rPr>
          <w:color w:val="ED7D31" w:themeColor="accent2"/>
        </w:rPr>
        <w:t xml:space="preserve">an adequate </w:t>
      </w:r>
      <w:r w:rsidR="002D41CA" w:rsidRPr="00423BC6">
        <w:rPr>
          <w:color w:val="ED7D31" w:themeColor="accent2"/>
        </w:rPr>
        <w:t>reflecti</w:t>
      </w:r>
      <w:r w:rsidR="00892447" w:rsidRPr="00423BC6">
        <w:rPr>
          <w:color w:val="ED7D31" w:themeColor="accent2"/>
        </w:rPr>
        <w:t>on</w:t>
      </w:r>
      <w:r w:rsidR="002D41CA" w:rsidRPr="00423BC6">
        <w:rPr>
          <w:color w:val="ED7D31" w:themeColor="accent2"/>
        </w:rPr>
        <w:t xml:space="preserve"> of actual </w:t>
      </w:r>
      <w:r w:rsidR="00742FBE" w:rsidRPr="00423BC6">
        <w:rPr>
          <w:color w:val="ED7D31" w:themeColor="accent2"/>
        </w:rPr>
        <w:t>heading rates</w:t>
      </w:r>
      <w:r w:rsidR="002D41CA" w:rsidRPr="00423BC6">
        <w:rPr>
          <w:color w:val="ED7D31" w:themeColor="accent2"/>
        </w:rPr>
        <w:t>.</w:t>
      </w:r>
    </w:p>
    <w:p w14:paraId="4E53B3D2" w14:textId="1F4C5FED" w:rsidR="009944FC" w:rsidRPr="00B908AD" w:rsidRDefault="00070813" w:rsidP="00D728D2">
      <w:pPr>
        <w:spacing w:line="480" w:lineRule="auto"/>
        <w:ind w:firstLine="567"/>
        <w:rPr>
          <w:color w:val="000000" w:themeColor="text1"/>
        </w:rPr>
      </w:pPr>
      <w:r w:rsidRPr="00B908AD">
        <w:rPr>
          <w:i/>
          <w:iCs/>
          <w:color w:val="000000" w:themeColor="text1"/>
        </w:rPr>
        <w:t>Limitations</w:t>
      </w:r>
      <w:r w:rsidRPr="00B908AD">
        <w:rPr>
          <w:color w:val="000000" w:themeColor="text1"/>
        </w:rPr>
        <w:t>.</w:t>
      </w:r>
      <w:r w:rsidR="0047775D" w:rsidRPr="00B908AD">
        <w:rPr>
          <w:color w:val="000000" w:themeColor="text1"/>
        </w:rPr>
        <w:t xml:space="preserve"> An obvious limitation of our study </w:t>
      </w:r>
      <w:r w:rsidR="00750ACC" w:rsidRPr="00B908AD">
        <w:rPr>
          <w:color w:val="000000" w:themeColor="text1"/>
        </w:rPr>
        <w:t>i</w:t>
      </w:r>
      <w:r w:rsidR="0047775D" w:rsidRPr="00B908AD">
        <w:rPr>
          <w:color w:val="000000" w:themeColor="text1"/>
        </w:rPr>
        <w:t>s that all measures</w:t>
      </w:r>
      <w:r w:rsidR="0012564B" w:rsidRPr="00B908AD">
        <w:rPr>
          <w:color w:val="000000" w:themeColor="text1"/>
        </w:rPr>
        <w:t>, particularly head</w:t>
      </w:r>
      <w:r w:rsidR="009944FC" w:rsidRPr="00B908AD">
        <w:rPr>
          <w:color w:val="000000" w:themeColor="text1"/>
        </w:rPr>
        <w:t>ing</w:t>
      </w:r>
      <w:r w:rsidR="0012564B" w:rsidRPr="00B908AD">
        <w:rPr>
          <w:color w:val="000000" w:themeColor="text1"/>
        </w:rPr>
        <w:t xml:space="preserve"> </w:t>
      </w:r>
      <w:r w:rsidR="009944FC" w:rsidRPr="00B908AD">
        <w:rPr>
          <w:color w:val="000000" w:themeColor="text1"/>
        </w:rPr>
        <w:t>frequencies</w:t>
      </w:r>
      <w:r w:rsidR="0012564B" w:rsidRPr="00B908AD">
        <w:rPr>
          <w:color w:val="000000" w:themeColor="text1"/>
        </w:rPr>
        <w:t>,</w:t>
      </w:r>
      <w:r w:rsidR="0047775D" w:rsidRPr="00B908AD">
        <w:rPr>
          <w:color w:val="000000" w:themeColor="text1"/>
        </w:rPr>
        <w:t xml:space="preserve"> were </w:t>
      </w:r>
      <w:r w:rsidR="003D6449" w:rsidRPr="00B908AD">
        <w:rPr>
          <w:color w:val="000000" w:themeColor="text1"/>
        </w:rPr>
        <w:t>self-reported</w:t>
      </w:r>
      <w:proofErr w:type="gramStart"/>
      <w:r w:rsidR="003D6449" w:rsidRPr="00B908AD">
        <w:rPr>
          <w:color w:val="000000" w:themeColor="text1"/>
        </w:rPr>
        <w:t>.</w:t>
      </w:r>
      <w:r w:rsidR="009944FC" w:rsidRPr="00B908AD">
        <w:rPr>
          <w:color w:val="000000" w:themeColor="text1"/>
        </w:rPr>
        <w:t xml:space="preserve"> </w:t>
      </w:r>
      <w:r w:rsidR="003D6449" w:rsidRPr="00B908AD">
        <w:rPr>
          <w:color w:val="000000" w:themeColor="text1"/>
        </w:rPr>
        <w:t xml:space="preserve"> </w:t>
      </w:r>
      <w:proofErr w:type="gramEnd"/>
      <w:r w:rsidR="0012564B" w:rsidRPr="00B908AD">
        <w:rPr>
          <w:color w:val="000000" w:themeColor="text1"/>
        </w:rPr>
        <w:t>Subjective measures are susceptible to bias</w:t>
      </w:r>
      <w:r w:rsidR="00E022DC" w:rsidRPr="00B908AD">
        <w:rPr>
          <w:color w:val="000000" w:themeColor="text1"/>
        </w:rPr>
        <w:t xml:space="preserve"> and distortions</w:t>
      </w:r>
      <w:r w:rsidR="0012564B" w:rsidRPr="00B908AD">
        <w:rPr>
          <w:color w:val="000000" w:themeColor="text1"/>
        </w:rPr>
        <w:t xml:space="preserve">, </w:t>
      </w:r>
      <w:r w:rsidR="00E022DC" w:rsidRPr="00B908AD">
        <w:rPr>
          <w:color w:val="000000" w:themeColor="text1"/>
        </w:rPr>
        <w:t xml:space="preserve">which may become more pronounced in </w:t>
      </w:r>
      <w:r w:rsidR="00210FF1" w:rsidRPr="00B908AD">
        <w:rPr>
          <w:color w:val="000000" w:themeColor="text1"/>
        </w:rPr>
        <w:t xml:space="preserve">the </w:t>
      </w:r>
      <w:r w:rsidR="00E022DC" w:rsidRPr="00B908AD">
        <w:rPr>
          <w:color w:val="000000" w:themeColor="text1"/>
        </w:rPr>
        <w:t>case of reduced intellectual capacity</w:t>
      </w:r>
      <w:proofErr w:type="gramStart"/>
      <w:r w:rsidR="00E022DC" w:rsidRPr="00B908AD">
        <w:rPr>
          <w:color w:val="000000" w:themeColor="text1"/>
        </w:rPr>
        <w:t xml:space="preserve">. </w:t>
      </w:r>
      <w:r w:rsidR="009944FC" w:rsidRPr="00B908AD">
        <w:rPr>
          <w:color w:val="000000" w:themeColor="text1"/>
        </w:rPr>
        <w:t xml:space="preserve"> </w:t>
      </w:r>
      <w:proofErr w:type="gramEnd"/>
      <w:r w:rsidR="0039315B" w:rsidRPr="00B908AD">
        <w:rPr>
          <w:color w:val="000000" w:themeColor="text1"/>
        </w:rPr>
        <w:t>However,</w:t>
      </w:r>
      <w:r w:rsidR="000764A2" w:rsidRPr="00B908AD">
        <w:rPr>
          <w:color w:val="000000" w:themeColor="text1"/>
        </w:rPr>
        <w:t xml:space="preserve"> </w:t>
      </w:r>
      <w:r w:rsidR="00E55B59" w:rsidRPr="00B908AD">
        <w:rPr>
          <w:color w:val="000000" w:themeColor="text1"/>
        </w:rPr>
        <w:t>two points ought to be made here. First, it has been reported [</w:t>
      </w:r>
      <w:r w:rsidR="007A6086">
        <w:rPr>
          <w:color w:val="000000" w:themeColor="text1"/>
        </w:rPr>
        <w:t>22</w:t>
      </w:r>
      <w:r w:rsidR="00E55B59" w:rsidRPr="00B908AD">
        <w:rPr>
          <w:color w:val="000000" w:themeColor="text1"/>
        </w:rPr>
        <w:t xml:space="preserve">] that, while self-reported headers </w:t>
      </w:r>
      <w:r w:rsidR="00725BAA" w:rsidRPr="00B908AD">
        <w:rPr>
          <w:color w:val="000000" w:themeColor="text1"/>
        </w:rPr>
        <w:t xml:space="preserve">(in younger, active players) </w:t>
      </w:r>
      <w:r w:rsidR="00E55B59" w:rsidRPr="00B908AD">
        <w:rPr>
          <w:color w:val="000000" w:themeColor="text1"/>
        </w:rPr>
        <w:t>tend to be overestimated, there is a linear relationship between estimates and actual observ</w:t>
      </w:r>
      <w:r w:rsidR="00725BAA" w:rsidRPr="00B908AD">
        <w:rPr>
          <w:color w:val="000000" w:themeColor="text1"/>
        </w:rPr>
        <w:t>ations</w:t>
      </w:r>
      <w:r w:rsidR="00E55B59" w:rsidRPr="00B908AD">
        <w:rPr>
          <w:color w:val="000000" w:themeColor="text1"/>
        </w:rPr>
        <w:t xml:space="preserve">. Second, </w:t>
      </w:r>
      <w:r w:rsidR="00EA1DBA" w:rsidRPr="00B908AD">
        <w:rPr>
          <w:color w:val="000000" w:themeColor="text1"/>
        </w:rPr>
        <w:t xml:space="preserve">and most importantly, </w:t>
      </w:r>
      <w:r w:rsidR="003F40E5" w:rsidRPr="00B908AD">
        <w:rPr>
          <w:color w:val="000000" w:themeColor="text1"/>
        </w:rPr>
        <w:t xml:space="preserve">obtaining career-long objective measurements of heading frequency is </w:t>
      </w:r>
      <w:r w:rsidR="00E022DC" w:rsidRPr="00B908AD">
        <w:rPr>
          <w:color w:val="000000" w:themeColor="text1"/>
        </w:rPr>
        <w:t xml:space="preserve">practically </w:t>
      </w:r>
      <w:r w:rsidR="003F40E5" w:rsidRPr="00B908AD">
        <w:rPr>
          <w:color w:val="000000" w:themeColor="text1"/>
        </w:rPr>
        <w:t>impossible</w:t>
      </w:r>
      <w:r w:rsidR="00A2073A" w:rsidRPr="00B908AD">
        <w:rPr>
          <w:color w:val="000000" w:themeColor="text1"/>
        </w:rPr>
        <w:t xml:space="preserve">, as it would require each header </w:t>
      </w:r>
      <w:r w:rsidR="001D259E" w:rsidRPr="00B908AD">
        <w:rPr>
          <w:color w:val="000000" w:themeColor="text1"/>
        </w:rPr>
        <w:t xml:space="preserve">performed by </w:t>
      </w:r>
      <w:r w:rsidR="009944FC" w:rsidRPr="00B908AD">
        <w:rPr>
          <w:color w:val="000000" w:themeColor="text1"/>
        </w:rPr>
        <w:t>each</w:t>
      </w:r>
      <w:r w:rsidR="001D259E" w:rsidRPr="00B908AD">
        <w:rPr>
          <w:color w:val="000000" w:themeColor="text1"/>
        </w:rPr>
        <w:t xml:space="preserve"> player during</w:t>
      </w:r>
      <w:r w:rsidR="00A2073A" w:rsidRPr="00B908AD">
        <w:rPr>
          <w:color w:val="000000" w:themeColor="text1"/>
        </w:rPr>
        <w:t xml:space="preserve"> each match and training session</w:t>
      </w:r>
      <w:r w:rsidR="009944FC" w:rsidRPr="00B908AD">
        <w:rPr>
          <w:color w:val="000000" w:themeColor="text1"/>
        </w:rPr>
        <w:t xml:space="preserve"> to be recorded</w:t>
      </w:r>
      <w:r w:rsidR="001D259E" w:rsidRPr="00B908AD">
        <w:rPr>
          <w:color w:val="000000" w:themeColor="text1"/>
        </w:rPr>
        <w:t xml:space="preserve"> </w:t>
      </w:r>
      <w:r w:rsidR="00A2073A" w:rsidRPr="00B908AD">
        <w:rPr>
          <w:color w:val="000000" w:themeColor="text1"/>
        </w:rPr>
        <w:t xml:space="preserve">for the duration of </w:t>
      </w:r>
      <w:r w:rsidR="001D259E" w:rsidRPr="00B908AD">
        <w:rPr>
          <w:color w:val="000000" w:themeColor="text1"/>
        </w:rPr>
        <w:t>the</w:t>
      </w:r>
      <w:r w:rsidR="00A2073A" w:rsidRPr="00B908AD">
        <w:rPr>
          <w:color w:val="000000" w:themeColor="text1"/>
        </w:rPr>
        <w:t xml:space="preserve"> </w:t>
      </w:r>
      <w:r w:rsidR="001D259E" w:rsidRPr="00B908AD">
        <w:rPr>
          <w:color w:val="000000" w:themeColor="text1"/>
        </w:rPr>
        <w:t xml:space="preserve">player’s </w:t>
      </w:r>
      <w:r w:rsidR="009944FC" w:rsidRPr="00B908AD">
        <w:rPr>
          <w:color w:val="000000" w:themeColor="text1"/>
        </w:rPr>
        <w:t xml:space="preserve">entire football </w:t>
      </w:r>
      <w:r w:rsidR="00A2073A" w:rsidRPr="00B908AD">
        <w:rPr>
          <w:color w:val="000000" w:themeColor="text1"/>
        </w:rPr>
        <w:t>career</w:t>
      </w:r>
      <w:proofErr w:type="gramStart"/>
      <w:r w:rsidR="001D259E" w:rsidRPr="00B908AD">
        <w:rPr>
          <w:color w:val="000000" w:themeColor="text1"/>
        </w:rPr>
        <w:t xml:space="preserve">. </w:t>
      </w:r>
      <w:r w:rsidR="009944FC" w:rsidRPr="00B908AD">
        <w:rPr>
          <w:color w:val="000000" w:themeColor="text1"/>
        </w:rPr>
        <w:t xml:space="preserve"> </w:t>
      </w:r>
      <w:proofErr w:type="gramEnd"/>
      <w:r w:rsidR="001D259E" w:rsidRPr="00B908AD">
        <w:rPr>
          <w:color w:val="000000" w:themeColor="text1"/>
        </w:rPr>
        <w:t xml:space="preserve">In addition, these </w:t>
      </w:r>
      <w:r w:rsidR="001D259E" w:rsidRPr="00B908AD">
        <w:rPr>
          <w:color w:val="000000" w:themeColor="text1"/>
        </w:rPr>
        <w:lastRenderedPageBreak/>
        <w:t xml:space="preserve">measurements </w:t>
      </w:r>
      <w:r w:rsidR="009944FC" w:rsidRPr="00B908AD">
        <w:rPr>
          <w:color w:val="000000" w:themeColor="text1"/>
        </w:rPr>
        <w:t>w</w:t>
      </w:r>
      <w:r w:rsidR="001D259E" w:rsidRPr="00B908AD">
        <w:rPr>
          <w:color w:val="000000" w:themeColor="text1"/>
        </w:rPr>
        <w:t xml:space="preserve">ould </w:t>
      </w:r>
      <w:r w:rsidR="009944FC" w:rsidRPr="00B908AD">
        <w:rPr>
          <w:color w:val="000000" w:themeColor="text1"/>
        </w:rPr>
        <w:t xml:space="preserve">need to </w:t>
      </w:r>
      <w:r w:rsidR="001D259E" w:rsidRPr="00B908AD">
        <w:rPr>
          <w:color w:val="000000" w:themeColor="text1"/>
        </w:rPr>
        <w:t xml:space="preserve">be </w:t>
      </w:r>
      <w:r w:rsidR="000466EC" w:rsidRPr="00B908AD">
        <w:rPr>
          <w:color w:val="000000" w:themeColor="text1"/>
        </w:rPr>
        <w:t xml:space="preserve">obtained </w:t>
      </w:r>
      <w:r w:rsidR="009944FC" w:rsidRPr="00B908AD">
        <w:rPr>
          <w:color w:val="000000" w:themeColor="text1"/>
        </w:rPr>
        <w:t>across many</w:t>
      </w:r>
      <w:r w:rsidR="000466EC" w:rsidRPr="00B908AD">
        <w:rPr>
          <w:color w:val="000000" w:themeColor="text1"/>
        </w:rPr>
        <w:t xml:space="preserve"> players</w:t>
      </w:r>
      <w:proofErr w:type="gramStart"/>
      <w:r w:rsidR="000466EC" w:rsidRPr="00B908AD">
        <w:rPr>
          <w:color w:val="000000" w:themeColor="text1"/>
        </w:rPr>
        <w:t>.</w:t>
      </w:r>
      <w:r w:rsidR="00665D26" w:rsidRPr="00B908AD">
        <w:rPr>
          <w:color w:val="000000" w:themeColor="text1"/>
        </w:rPr>
        <w:t xml:space="preserve"> </w:t>
      </w:r>
      <w:r w:rsidR="009944FC" w:rsidRPr="00B908AD">
        <w:rPr>
          <w:color w:val="000000" w:themeColor="text1"/>
        </w:rPr>
        <w:t xml:space="preserve"> </w:t>
      </w:r>
      <w:proofErr w:type="gramEnd"/>
      <w:r w:rsidR="00665D26" w:rsidRPr="00B908AD">
        <w:rPr>
          <w:color w:val="000000" w:themeColor="text1"/>
        </w:rPr>
        <w:t xml:space="preserve">Therefore, while we acknowledge this limitation, we believe that our approach </w:t>
      </w:r>
      <w:r w:rsidR="00721670" w:rsidRPr="00B908AD">
        <w:rPr>
          <w:color w:val="000000" w:themeColor="text1"/>
        </w:rPr>
        <w:t>maintains validity.</w:t>
      </w:r>
    </w:p>
    <w:p w14:paraId="1669C5EB" w14:textId="65DA8D95" w:rsidR="009944FC" w:rsidRDefault="00C26B26" w:rsidP="00D728D2">
      <w:pPr>
        <w:spacing w:line="480" w:lineRule="auto"/>
        <w:ind w:firstLine="567"/>
        <w:rPr>
          <w:color w:val="000000" w:themeColor="text1"/>
        </w:rPr>
      </w:pPr>
      <w:r w:rsidRPr="00B908AD">
        <w:rPr>
          <w:color w:val="000000" w:themeColor="text1"/>
        </w:rPr>
        <w:t xml:space="preserve">Another </w:t>
      </w:r>
      <w:r w:rsidR="00826231" w:rsidRPr="00B908AD">
        <w:rPr>
          <w:color w:val="000000" w:themeColor="text1"/>
        </w:rPr>
        <w:t xml:space="preserve">limitation to note is that we did not capture </w:t>
      </w:r>
      <w:r w:rsidR="00033719">
        <w:rPr>
          <w:color w:val="000000" w:themeColor="text1"/>
        </w:rPr>
        <w:t xml:space="preserve">good </w:t>
      </w:r>
      <w:r w:rsidR="00826231" w:rsidRPr="00B908AD">
        <w:rPr>
          <w:color w:val="000000" w:themeColor="text1"/>
        </w:rPr>
        <w:t xml:space="preserve">estimates of </w:t>
      </w:r>
      <w:r w:rsidR="00033719">
        <w:rPr>
          <w:color w:val="000000" w:themeColor="text1"/>
        </w:rPr>
        <w:t xml:space="preserve">the number of </w:t>
      </w:r>
      <w:r w:rsidR="00826231" w:rsidRPr="00B908AD">
        <w:rPr>
          <w:color w:val="000000" w:themeColor="text1"/>
        </w:rPr>
        <w:t>headers performed during pre-season training and matches</w:t>
      </w:r>
      <w:r w:rsidR="00033719">
        <w:rPr>
          <w:color w:val="000000" w:themeColor="text1"/>
        </w:rPr>
        <w:t xml:space="preserve"> (due to </w:t>
      </w:r>
      <w:r w:rsidR="00922D74">
        <w:rPr>
          <w:color w:val="000000" w:themeColor="text1"/>
        </w:rPr>
        <w:t>the</w:t>
      </w:r>
      <w:r w:rsidR="00033719">
        <w:rPr>
          <w:color w:val="000000" w:themeColor="text1"/>
        </w:rPr>
        <w:t xml:space="preserve"> inconsistent variety of response types and measures provided)</w:t>
      </w:r>
      <w:r w:rsidR="00826231" w:rsidRPr="00B908AD">
        <w:rPr>
          <w:color w:val="000000" w:themeColor="text1"/>
        </w:rPr>
        <w:t xml:space="preserve">, but </w:t>
      </w:r>
      <w:r w:rsidR="00886EFE" w:rsidRPr="00B908AD">
        <w:rPr>
          <w:color w:val="000000" w:themeColor="text1"/>
        </w:rPr>
        <w:t xml:space="preserve">obtained </w:t>
      </w:r>
      <w:r w:rsidR="00826231" w:rsidRPr="00B908AD">
        <w:rPr>
          <w:color w:val="000000" w:themeColor="text1"/>
        </w:rPr>
        <w:t>only</w:t>
      </w:r>
      <w:r w:rsidR="00886EFE" w:rsidRPr="00B908AD">
        <w:rPr>
          <w:color w:val="000000" w:themeColor="text1"/>
        </w:rPr>
        <w:t xml:space="preserve"> </w:t>
      </w:r>
      <w:r w:rsidR="00033719">
        <w:rPr>
          <w:color w:val="000000" w:themeColor="text1"/>
        </w:rPr>
        <w:t xml:space="preserve">reliable </w:t>
      </w:r>
      <w:r w:rsidR="00886EFE" w:rsidRPr="00B908AD">
        <w:rPr>
          <w:color w:val="000000" w:themeColor="text1"/>
        </w:rPr>
        <w:t xml:space="preserve">in-season estimates. While we presume there may be a </w:t>
      </w:r>
      <w:r w:rsidR="00BB172E" w:rsidRPr="00B908AD">
        <w:rPr>
          <w:color w:val="000000" w:themeColor="text1"/>
        </w:rPr>
        <w:t xml:space="preserve">positive </w:t>
      </w:r>
      <w:r w:rsidR="00886EFE" w:rsidRPr="00B908AD">
        <w:rPr>
          <w:color w:val="000000" w:themeColor="text1"/>
        </w:rPr>
        <w:t xml:space="preserve">correlation between these, </w:t>
      </w:r>
      <w:r w:rsidR="00BB172E" w:rsidRPr="00B908AD">
        <w:rPr>
          <w:color w:val="000000" w:themeColor="text1"/>
        </w:rPr>
        <w:t>future research should add this further dimension.</w:t>
      </w:r>
    </w:p>
    <w:p w14:paraId="407CD379" w14:textId="325930D6" w:rsidR="00304592" w:rsidRDefault="00CB1467" w:rsidP="001D724C">
      <w:pPr>
        <w:spacing w:line="480" w:lineRule="auto"/>
        <w:ind w:firstLine="567"/>
        <w:rPr>
          <w:color w:val="0070C0"/>
        </w:rPr>
      </w:pPr>
      <w:r w:rsidRPr="008D6126">
        <w:rPr>
          <w:color w:val="0070C0"/>
        </w:rPr>
        <w:t xml:space="preserve">Finally, it is possible that </w:t>
      </w:r>
      <w:r w:rsidR="007F3AC1" w:rsidRPr="008D6126">
        <w:rPr>
          <w:color w:val="0070C0"/>
        </w:rPr>
        <w:t xml:space="preserve">there was a </w:t>
      </w:r>
      <w:bookmarkStart w:id="3" w:name="_Hlk82616361"/>
      <w:r w:rsidR="007F3AC1" w:rsidRPr="008D6126">
        <w:rPr>
          <w:color w:val="0070C0"/>
        </w:rPr>
        <w:t xml:space="preserve">self-selection bias </w:t>
      </w:r>
      <w:bookmarkEnd w:id="3"/>
      <w:r w:rsidR="007F3AC1" w:rsidRPr="008D6126">
        <w:rPr>
          <w:color w:val="0070C0"/>
        </w:rPr>
        <w:t xml:space="preserve">according to which </w:t>
      </w:r>
      <w:r w:rsidR="000E113C" w:rsidRPr="008D6126">
        <w:rPr>
          <w:color w:val="0070C0"/>
        </w:rPr>
        <w:t>mainly</w:t>
      </w:r>
      <w:r w:rsidR="00A84646">
        <w:rPr>
          <w:color w:val="0070C0"/>
        </w:rPr>
        <w:t>/</w:t>
      </w:r>
      <w:r w:rsidR="007F3AC1" w:rsidRPr="008D6126">
        <w:rPr>
          <w:color w:val="0070C0"/>
        </w:rPr>
        <w:t xml:space="preserve">only </w:t>
      </w:r>
      <w:r w:rsidR="004661CF" w:rsidRPr="0059566F">
        <w:rPr>
          <w:color w:val="2E74B5" w:themeColor="accent1" w:themeShade="BF"/>
        </w:rPr>
        <w:t>FPFs</w:t>
      </w:r>
      <w:r w:rsidR="007F3AC1" w:rsidRPr="0059566F">
        <w:rPr>
          <w:color w:val="2E74B5" w:themeColor="accent1" w:themeShade="BF"/>
        </w:rPr>
        <w:t xml:space="preserve"> </w:t>
      </w:r>
      <w:r w:rsidR="007F3AC1" w:rsidRPr="008D6126">
        <w:rPr>
          <w:color w:val="0070C0"/>
        </w:rPr>
        <w:t xml:space="preserve">with perceived cognitive problems took part in the study </w:t>
      </w:r>
      <w:r w:rsidR="00027F8B" w:rsidRPr="008D6126">
        <w:rPr>
          <w:color w:val="0070C0"/>
        </w:rPr>
        <w:t>out of concern for their own ability. While this is possible,</w:t>
      </w:r>
      <w:r w:rsidR="00A82E7D">
        <w:rPr>
          <w:color w:val="0070C0"/>
        </w:rPr>
        <w:t xml:space="preserve"> </w:t>
      </w:r>
      <w:r w:rsidR="00144CDC">
        <w:rPr>
          <w:color w:val="0070C0"/>
        </w:rPr>
        <w:t>two</w:t>
      </w:r>
      <w:r w:rsidR="00A82E7D">
        <w:rPr>
          <w:color w:val="0070C0"/>
        </w:rPr>
        <w:t xml:space="preserve"> points ought to be made: 1) </w:t>
      </w:r>
      <w:r w:rsidR="00304592" w:rsidRPr="008D6126">
        <w:rPr>
          <w:color w:val="0070C0"/>
        </w:rPr>
        <w:t xml:space="preserve">In our recruitment drive, we emphasised the survey on football heading </w:t>
      </w:r>
      <w:r w:rsidR="00304592">
        <w:rPr>
          <w:color w:val="0070C0"/>
        </w:rPr>
        <w:t xml:space="preserve">and not </w:t>
      </w:r>
      <w:r w:rsidR="00304592" w:rsidRPr="008D6126">
        <w:rPr>
          <w:color w:val="0070C0"/>
        </w:rPr>
        <w:t>the cognitive screening</w:t>
      </w:r>
      <w:r w:rsidR="00304592">
        <w:rPr>
          <w:color w:val="0070C0"/>
        </w:rPr>
        <w:t>; this choice was motivated</w:t>
      </w:r>
      <w:r w:rsidR="00304592" w:rsidRPr="008D6126">
        <w:rPr>
          <w:color w:val="0070C0"/>
        </w:rPr>
        <w:t xml:space="preserve">, </w:t>
      </w:r>
      <w:r w:rsidR="00304592">
        <w:rPr>
          <w:color w:val="0070C0"/>
        </w:rPr>
        <w:t>among</w:t>
      </w:r>
      <w:r w:rsidR="00922D74">
        <w:rPr>
          <w:color w:val="0070C0"/>
        </w:rPr>
        <w:t>st</w:t>
      </w:r>
      <w:r w:rsidR="00304592">
        <w:rPr>
          <w:color w:val="0070C0"/>
        </w:rPr>
        <w:t xml:space="preserve"> other things, by </w:t>
      </w:r>
      <w:r w:rsidR="003718FC">
        <w:rPr>
          <w:color w:val="0070C0"/>
        </w:rPr>
        <w:t xml:space="preserve">observing a certain reluctance in the </w:t>
      </w:r>
      <w:r w:rsidR="004661CF" w:rsidRPr="0059566F">
        <w:rPr>
          <w:color w:val="2E74B5" w:themeColor="accent1" w:themeShade="BF"/>
        </w:rPr>
        <w:t>FPFs</w:t>
      </w:r>
      <w:r w:rsidR="003718FC" w:rsidRPr="0059566F">
        <w:rPr>
          <w:color w:val="2E74B5" w:themeColor="accent1" w:themeShade="BF"/>
        </w:rPr>
        <w:t xml:space="preserve"> </w:t>
      </w:r>
      <w:r w:rsidR="003B26A2">
        <w:rPr>
          <w:color w:val="0070C0"/>
        </w:rPr>
        <w:t xml:space="preserve">we had </w:t>
      </w:r>
      <w:r w:rsidR="00F46C42">
        <w:rPr>
          <w:color w:val="0070C0"/>
        </w:rPr>
        <w:t xml:space="preserve">contacted initially </w:t>
      </w:r>
      <w:r w:rsidR="003B26A2">
        <w:rPr>
          <w:color w:val="0070C0"/>
        </w:rPr>
        <w:t xml:space="preserve">in </w:t>
      </w:r>
      <w:r w:rsidR="0080456D">
        <w:rPr>
          <w:color w:val="0070C0"/>
        </w:rPr>
        <w:t>engaging in research that was overtly about dementia</w:t>
      </w:r>
      <w:r w:rsidR="00F46C42">
        <w:rPr>
          <w:color w:val="0070C0"/>
        </w:rPr>
        <w:t xml:space="preserve"> </w:t>
      </w:r>
      <w:r w:rsidR="00F73CF9">
        <w:rPr>
          <w:color w:val="0070C0"/>
        </w:rPr>
        <w:t xml:space="preserve">and </w:t>
      </w:r>
      <w:r w:rsidR="00F46C42">
        <w:rPr>
          <w:color w:val="0070C0"/>
        </w:rPr>
        <w:t>football</w:t>
      </w:r>
      <w:r w:rsidR="00C24471">
        <w:rPr>
          <w:color w:val="0070C0"/>
        </w:rPr>
        <w:t xml:space="preserve"> (anecdotally, one FPF chose not to participate in our study, but received a dementia diagnosis around the same time</w:t>
      </w:r>
      <w:r w:rsidR="006750E5">
        <w:rPr>
          <w:color w:val="0070C0"/>
        </w:rPr>
        <w:t>)</w:t>
      </w:r>
      <w:r w:rsidR="00304592" w:rsidRPr="008D6126">
        <w:rPr>
          <w:color w:val="0070C0"/>
        </w:rPr>
        <w:t xml:space="preserve">; 2) </w:t>
      </w:r>
      <w:r w:rsidR="00702C42">
        <w:rPr>
          <w:color w:val="0070C0"/>
        </w:rPr>
        <w:t xml:space="preserve">and second, even if </w:t>
      </w:r>
      <w:r w:rsidR="00F73CF9">
        <w:rPr>
          <w:color w:val="0070C0"/>
        </w:rPr>
        <w:t>some</w:t>
      </w:r>
      <w:r w:rsidR="00F73CF9" w:rsidRPr="008D6126">
        <w:rPr>
          <w:color w:val="0070C0"/>
        </w:rPr>
        <w:t xml:space="preserve"> </w:t>
      </w:r>
      <w:r w:rsidR="00304592" w:rsidRPr="008D6126">
        <w:rPr>
          <w:color w:val="0070C0"/>
        </w:rPr>
        <w:t xml:space="preserve">self-selection bias had occurred, </w:t>
      </w:r>
      <w:r w:rsidR="00702C42">
        <w:rPr>
          <w:color w:val="0070C0"/>
        </w:rPr>
        <w:t xml:space="preserve">we hold that </w:t>
      </w:r>
      <w:r w:rsidR="00304592" w:rsidRPr="008D6126">
        <w:rPr>
          <w:color w:val="0070C0"/>
        </w:rPr>
        <w:t xml:space="preserve">our data </w:t>
      </w:r>
      <w:r w:rsidR="00F73CF9" w:rsidRPr="00F73CF9">
        <w:rPr>
          <w:color w:val="0070C0"/>
        </w:rPr>
        <w:t xml:space="preserve">still </w:t>
      </w:r>
      <w:r w:rsidR="00702C42">
        <w:rPr>
          <w:color w:val="0070C0"/>
        </w:rPr>
        <w:t xml:space="preserve">are </w:t>
      </w:r>
      <w:r w:rsidR="00304592" w:rsidRPr="008D6126">
        <w:rPr>
          <w:color w:val="0070C0"/>
        </w:rPr>
        <w:t xml:space="preserve">valuable </w:t>
      </w:r>
      <w:r w:rsidR="000B1F9B">
        <w:rPr>
          <w:color w:val="0070C0"/>
        </w:rPr>
        <w:t xml:space="preserve">as they </w:t>
      </w:r>
      <w:r w:rsidR="00304592" w:rsidRPr="008D6126">
        <w:rPr>
          <w:color w:val="0070C0"/>
        </w:rPr>
        <w:t>track the relationship between football heading and cognitive impairment</w:t>
      </w:r>
      <w:r w:rsidR="000B1F9B">
        <w:rPr>
          <w:color w:val="0070C0"/>
        </w:rPr>
        <w:t xml:space="preserve"> across a range of cognitive abilities</w:t>
      </w:r>
      <w:r w:rsidR="00304592" w:rsidRPr="008D6126">
        <w:rPr>
          <w:color w:val="0070C0"/>
        </w:rPr>
        <w:t>.</w:t>
      </w:r>
    </w:p>
    <w:p w14:paraId="15CDACEB" w14:textId="4D3D6CEC" w:rsidR="00736F1E" w:rsidRPr="007C128F" w:rsidRDefault="00571984" w:rsidP="007C128F">
      <w:pPr>
        <w:spacing w:line="480" w:lineRule="auto"/>
        <w:ind w:firstLine="567"/>
        <w:rPr>
          <w:color w:val="000000" w:themeColor="text1"/>
        </w:rPr>
      </w:pPr>
      <w:r w:rsidRPr="00B908AD">
        <w:rPr>
          <w:i/>
          <w:iCs/>
          <w:color w:val="000000" w:themeColor="text1"/>
        </w:rPr>
        <w:t>Conclusions</w:t>
      </w:r>
      <w:proofErr w:type="gramStart"/>
      <w:r w:rsidRPr="00B908AD">
        <w:rPr>
          <w:color w:val="000000" w:themeColor="text1"/>
        </w:rPr>
        <w:t>.</w:t>
      </w:r>
      <w:r w:rsidR="00E8518D" w:rsidRPr="00B908AD">
        <w:rPr>
          <w:color w:val="000000" w:themeColor="text1"/>
        </w:rPr>
        <w:t xml:space="preserve"> </w:t>
      </w:r>
      <w:r w:rsidR="00DF26D9">
        <w:rPr>
          <w:color w:val="000000" w:themeColor="text1"/>
        </w:rPr>
        <w:t xml:space="preserve"> </w:t>
      </w:r>
      <w:proofErr w:type="gramEnd"/>
      <w:r w:rsidR="00736F1E" w:rsidRPr="00B908AD">
        <w:rPr>
          <w:color w:val="000000" w:themeColor="text1"/>
        </w:rPr>
        <w:t>With</w:t>
      </w:r>
      <w:r w:rsidR="00E8518D" w:rsidRPr="00B908AD">
        <w:rPr>
          <w:color w:val="000000" w:themeColor="text1"/>
        </w:rPr>
        <w:t xml:space="preserve"> a postal survey </w:t>
      </w:r>
      <w:r w:rsidR="009944FC" w:rsidRPr="00B908AD">
        <w:rPr>
          <w:color w:val="000000" w:themeColor="text1"/>
        </w:rPr>
        <w:t>and analysis of</w:t>
      </w:r>
      <w:r w:rsidR="00E8518D" w:rsidRPr="00B908AD">
        <w:rPr>
          <w:color w:val="000000" w:themeColor="text1"/>
        </w:rPr>
        <w:t xml:space="preserve"> </w:t>
      </w:r>
      <w:r w:rsidR="009971AA" w:rsidRPr="00B908AD">
        <w:rPr>
          <w:color w:val="000000" w:themeColor="text1"/>
        </w:rPr>
        <w:t xml:space="preserve">data from </w:t>
      </w:r>
      <w:r w:rsidR="00E8518D" w:rsidRPr="00B908AD">
        <w:rPr>
          <w:color w:val="000000" w:themeColor="text1"/>
        </w:rPr>
        <w:t xml:space="preserve">sixty </w:t>
      </w:r>
      <w:r w:rsidR="005F16A2">
        <w:rPr>
          <w:color w:val="000000" w:themeColor="text1"/>
        </w:rPr>
        <w:t>FPFs</w:t>
      </w:r>
      <w:r w:rsidR="009944FC" w:rsidRPr="00B908AD">
        <w:rPr>
          <w:color w:val="000000" w:themeColor="text1"/>
        </w:rPr>
        <w:t xml:space="preserve"> who </w:t>
      </w:r>
      <w:r w:rsidR="00E8518D" w:rsidRPr="00B908AD">
        <w:rPr>
          <w:color w:val="000000" w:themeColor="text1"/>
        </w:rPr>
        <w:t>playe</w:t>
      </w:r>
      <w:r w:rsidR="00CA6BF8" w:rsidRPr="00B908AD">
        <w:rPr>
          <w:color w:val="000000" w:themeColor="text1"/>
        </w:rPr>
        <w:t>d</w:t>
      </w:r>
      <w:r w:rsidR="00E8518D" w:rsidRPr="00B908AD">
        <w:rPr>
          <w:color w:val="000000" w:themeColor="text1"/>
        </w:rPr>
        <w:t xml:space="preserve"> in England</w:t>
      </w:r>
      <w:r w:rsidR="00CA6BF8" w:rsidRPr="00B908AD">
        <w:rPr>
          <w:color w:val="000000" w:themeColor="text1"/>
        </w:rPr>
        <w:t xml:space="preserve"> over their careers</w:t>
      </w:r>
      <w:r w:rsidR="00E8518D" w:rsidRPr="00B908AD">
        <w:rPr>
          <w:color w:val="000000" w:themeColor="text1"/>
        </w:rPr>
        <w:t xml:space="preserve">, we </w:t>
      </w:r>
      <w:r w:rsidR="00736F1E" w:rsidRPr="00B908AD">
        <w:rPr>
          <w:color w:val="000000" w:themeColor="text1"/>
        </w:rPr>
        <w:t>have provide</w:t>
      </w:r>
      <w:r w:rsidR="005319CC" w:rsidRPr="00B908AD">
        <w:rPr>
          <w:color w:val="000000" w:themeColor="text1"/>
        </w:rPr>
        <w:t>d</w:t>
      </w:r>
      <w:r w:rsidR="00736F1E" w:rsidRPr="00B908AD">
        <w:rPr>
          <w:color w:val="000000" w:themeColor="text1"/>
        </w:rPr>
        <w:t xml:space="preserve"> evidence, to our </w:t>
      </w:r>
      <w:r w:rsidR="00DF26D9">
        <w:rPr>
          <w:color w:val="000000" w:themeColor="text1"/>
        </w:rPr>
        <w:t xml:space="preserve">best </w:t>
      </w:r>
      <w:r w:rsidR="00736F1E" w:rsidRPr="00B908AD">
        <w:rPr>
          <w:color w:val="000000" w:themeColor="text1"/>
        </w:rPr>
        <w:t>knowledge for the first time</w:t>
      </w:r>
      <w:r w:rsidR="00342DE4">
        <w:rPr>
          <w:color w:val="000000" w:themeColor="text1"/>
        </w:rPr>
        <w:t>,</w:t>
      </w:r>
      <w:r w:rsidR="00857F48" w:rsidRPr="00B908AD">
        <w:rPr>
          <w:color w:val="000000" w:themeColor="text1"/>
        </w:rPr>
        <w:t xml:space="preserve"> with retired professional players</w:t>
      </w:r>
      <w:r w:rsidR="00736F1E" w:rsidRPr="00B908AD">
        <w:rPr>
          <w:color w:val="000000" w:themeColor="text1"/>
        </w:rPr>
        <w:t xml:space="preserve">, of a link between heading the ball and </w:t>
      </w:r>
      <w:r w:rsidR="0088664F" w:rsidRPr="00B908AD">
        <w:rPr>
          <w:color w:val="000000" w:themeColor="text1"/>
        </w:rPr>
        <w:t>cogniti</w:t>
      </w:r>
      <w:r w:rsidR="005319CC" w:rsidRPr="00B908AD">
        <w:rPr>
          <w:color w:val="000000" w:themeColor="text1"/>
        </w:rPr>
        <w:t>on</w:t>
      </w:r>
      <w:proofErr w:type="gramStart"/>
      <w:r w:rsidR="0088664F" w:rsidRPr="00B908AD">
        <w:rPr>
          <w:color w:val="000000" w:themeColor="text1"/>
        </w:rPr>
        <w:t xml:space="preserve">. </w:t>
      </w:r>
      <w:r w:rsidR="00342DE4">
        <w:rPr>
          <w:color w:val="000000" w:themeColor="text1"/>
        </w:rPr>
        <w:t xml:space="preserve"> </w:t>
      </w:r>
      <w:proofErr w:type="gramEnd"/>
      <w:r w:rsidR="005F16A2">
        <w:rPr>
          <w:color w:val="000000" w:themeColor="text1"/>
        </w:rPr>
        <w:t>FPFs</w:t>
      </w:r>
      <w:r w:rsidR="0088664F" w:rsidRPr="00B908AD">
        <w:rPr>
          <w:color w:val="000000" w:themeColor="text1"/>
        </w:rPr>
        <w:t xml:space="preserve"> who report</w:t>
      </w:r>
      <w:r w:rsidR="005319CC" w:rsidRPr="00B908AD">
        <w:rPr>
          <w:color w:val="000000" w:themeColor="text1"/>
        </w:rPr>
        <w:t>ed</w:t>
      </w:r>
      <w:r w:rsidR="0088664F" w:rsidRPr="00B908AD">
        <w:rPr>
          <w:color w:val="000000" w:themeColor="text1"/>
        </w:rPr>
        <w:t xml:space="preserve"> more headers tend</w:t>
      </w:r>
      <w:r w:rsidR="005319CC" w:rsidRPr="00B908AD">
        <w:rPr>
          <w:color w:val="000000" w:themeColor="text1"/>
        </w:rPr>
        <w:t>ed</w:t>
      </w:r>
      <w:r w:rsidR="0088664F" w:rsidRPr="00B908AD">
        <w:rPr>
          <w:color w:val="000000" w:themeColor="text1"/>
        </w:rPr>
        <w:t xml:space="preserve"> to score more poorly in the TYM test, which measures overall cognitive ability.</w:t>
      </w:r>
      <w:r w:rsidR="00342DE4">
        <w:rPr>
          <w:color w:val="000000" w:themeColor="text1"/>
        </w:rPr>
        <w:t xml:space="preserve"> </w:t>
      </w:r>
      <w:r w:rsidR="00A0116B" w:rsidRPr="00BF599D">
        <w:rPr>
          <w:color w:val="ED7D31" w:themeColor="accent2"/>
        </w:rPr>
        <w:t xml:space="preserve">These results </w:t>
      </w:r>
      <w:r w:rsidR="00286BC4" w:rsidRPr="00BF599D">
        <w:rPr>
          <w:color w:val="ED7D31" w:themeColor="accent2"/>
        </w:rPr>
        <w:t xml:space="preserve">add to a growing literature </w:t>
      </w:r>
      <w:r w:rsidR="0076459C" w:rsidRPr="00BF599D">
        <w:rPr>
          <w:color w:val="ED7D31" w:themeColor="accent2"/>
        </w:rPr>
        <w:t xml:space="preserve">[11, 12] suggesting headers may </w:t>
      </w:r>
      <w:r w:rsidR="007C128F" w:rsidRPr="00BF599D">
        <w:rPr>
          <w:color w:val="ED7D31" w:themeColor="accent2"/>
        </w:rPr>
        <w:t xml:space="preserve">lead to long term consequences for cognitive health, and thus </w:t>
      </w:r>
      <w:r w:rsidR="00A0116B" w:rsidRPr="00BF599D">
        <w:rPr>
          <w:color w:val="ED7D31" w:themeColor="accent2"/>
        </w:rPr>
        <w:t xml:space="preserve">may </w:t>
      </w:r>
      <w:r w:rsidR="007C128F" w:rsidRPr="00BF599D">
        <w:rPr>
          <w:color w:val="ED7D31" w:themeColor="accent2"/>
        </w:rPr>
        <w:t>contribute to influencing</w:t>
      </w:r>
      <w:r w:rsidR="00A0116B" w:rsidRPr="00BF599D">
        <w:rPr>
          <w:color w:val="ED7D31" w:themeColor="accent2"/>
        </w:rPr>
        <w:t xml:space="preserve"> </w:t>
      </w:r>
      <w:r w:rsidR="006F3632" w:rsidRPr="00BF599D">
        <w:rPr>
          <w:color w:val="ED7D31" w:themeColor="accent2"/>
        </w:rPr>
        <w:t>future policies</w:t>
      </w:r>
      <w:r w:rsidR="007C128F" w:rsidRPr="00BF599D">
        <w:rPr>
          <w:color w:val="ED7D31" w:themeColor="accent2"/>
        </w:rPr>
        <w:t xml:space="preserve"> restricting headers in training </w:t>
      </w:r>
      <w:r w:rsidR="00C34518">
        <w:rPr>
          <w:color w:val="ED7D31" w:themeColor="accent2"/>
        </w:rPr>
        <w:t xml:space="preserve">beyond </w:t>
      </w:r>
      <w:r w:rsidR="00BF599D" w:rsidRPr="00BF599D">
        <w:rPr>
          <w:color w:val="ED7D31" w:themeColor="accent2"/>
        </w:rPr>
        <w:t>the U</w:t>
      </w:r>
      <w:r w:rsidR="00C34518">
        <w:rPr>
          <w:color w:val="ED7D31" w:themeColor="accent2"/>
        </w:rPr>
        <w:t xml:space="preserve">nited </w:t>
      </w:r>
      <w:r w:rsidR="00BF599D" w:rsidRPr="00BF599D">
        <w:rPr>
          <w:color w:val="ED7D31" w:themeColor="accent2"/>
        </w:rPr>
        <w:t>K</w:t>
      </w:r>
      <w:r w:rsidR="00C34518">
        <w:rPr>
          <w:color w:val="ED7D31" w:themeColor="accent2"/>
        </w:rPr>
        <w:t>ingdom</w:t>
      </w:r>
      <w:r w:rsidR="009701A4" w:rsidRPr="00BF599D">
        <w:rPr>
          <w:color w:val="ED7D31" w:themeColor="accent2"/>
        </w:rPr>
        <w:t>.</w:t>
      </w:r>
      <w:r w:rsidR="009701A4" w:rsidRPr="00B908AD">
        <w:rPr>
          <w:color w:val="000000" w:themeColor="text1"/>
        </w:rPr>
        <w:t xml:space="preserve"> </w:t>
      </w:r>
      <w:r w:rsidR="00B76C2A">
        <w:rPr>
          <w:color w:val="C00000"/>
        </w:rPr>
        <w:t>F</w:t>
      </w:r>
      <w:r w:rsidR="009701A4" w:rsidRPr="00B908AD">
        <w:rPr>
          <w:color w:val="C00000"/>
        </w:rPr>
        <w:t xml:space="preserve">uture research </w:t>
      </w:r>
      <w:r w:rsidR="00A771E9" w:rsidRPr="00B908AD">
        <w:rPr>
          <w:color w:val="C00000"/>
        </w:rPr>
        <w:t>should</w:t>
      </w:r>
      <w:r w:rsidR="00E22D97" w:rsidRPr="00B908AD">
        <w:rPr>
          <w:color w:val="C00000"/>
        </w:rPr>
        <w:t xml:space="preserve"> </w:t>
      </w:r>
      <w:r w:rsidR="00B76C2A">
        <w:rPr>
          <w:color w:val="C00000"/>
        </w:rPr>
        <w:t xml:space="preserve">also </w:t>
      </w:r>
      <w:r w:rsidR="00E22D97" w:rsidRPr="00B908AD">
        <w:rPr>
          <w:color w:val="C00000"/>
        </w:rPr>
        <w:t xml:space="preserve">confirm </w:t>
      </w:r>
      <w:r w:rsidR="009701A4" w:rsidRPr="00B908AD">
        <w:rPr>
          <w:color w:val="C00000"/>
        </w:rPr>
        <w:t xml:space="preserve">these findings </w:t>
      </w:r>
      <w:r w:rsidR="00D65DBD" w:rsidRPr="00B908AD">
        <w:rPr>
          <w:color w:val="C00000"/>
        </w:rPr>
        <w:t xml:space="preserve">with </w:t>
      </w:r>
      <w:r w:rsidR="009701A4" w:rsidRPr="00B908AD">
        <w:rPr>
          <w:color w:val="C00000"/>
        </w:rPr>
        <w:t xml:space="preserve">a case-control </w:t>
      </w:r>
      <w:r w:rsidR="009D0FE7" w:rsidRPr="00B908AD">
        <w:rPr>
          <w:color w:val="C00000"/>
        </w:rPr>
        <w:t xml:space="preserve">study of </w:t>
      </w:r>
      <w:r w:rsidR="009D0FE7" w:rsidRPr="00B908AD">
        <w:rPr>
          <w:color w:val="C00000"/>
        </w:rPr>
        <w:lastRenderedPageBreak/>
        <w:t xml:space="preserve">older, </w:t>
      </w:r>
      <w:r w:rsidR="005F16A2">
        <w:rPr>
          <w:color w:val="000000" w:themeColor="text1"/>
        </w:rPr>
        <w:t>FPFs</w:t>
      </w:r>
      <w:r w:rsidR="005D4D13" w:rsidRPr="00B908AD">
        <w:rPr>
          <w:color w:val="C00000"/>
        </w:rPr>
        <w:t>, which, in addition to heading estimates, also</w:t>
      </w:r>
      <w:r w:rsidR="00A771E9" w:rsidRPr="00B908AD">
        <w:rPr>
          <w:color w:val="C00000"/>
        </w:rPr>
        <w:t xml:space="preserve"> obtained </w:t>
      </w:r>
      <w:r w:rsidR="00D65DBD" w:rsidRPr="00B908AD">
        <w:rPr>
          <w:color w:val="C00000"/>
        </w:rPr>
        <w:t>complete neuropsychological assessment</w:t>
      </w:r>
      <w:r w:rsidR="002B1352" w:rsidRPr="00B908AD">
        <w:rPr>
          <w:color w:val="C00000"/>
        </w:rPr>
        <w:t>s</w:t>
      </w:r>
      <w:r w:rsidR="00A771E9" w:rsidRPr="00B908AD">
        <w:rPr>
          <w:color w:val="C00000"/>
        </w:rPr>
        <w:t xml:space="preserve"> alongside </w:t>
      </w:r>
      <w:r w:rsidR="001C1E95" w:rsidRPr="00B908AD">
        <w:rPr>
          <w:color w:val="C00000"/>
        </w:rPr>
        <w:t>biomarker data</w:t>
      </w:r>
      <w:r w:rsidR="006F3632" w:rsidRPr="00B908AD">
        <w:rPr>
          <w:color w:val="C00000"/>
        </w:rPr>
        <w:t>.</w:t>
      </w:r>
    </w:p>
    <w:p w14:paraId="619ABB2D" w14:textId="77777777" w:rsidR="0019573B" w:rsidRPr="00B908AD" w:rsidRDefault="0019573B">
      <w:pPr>
        <w:spacing w:after="160" w:line="259" w:lineRule="auto"/>
        <w:rPr>
          <w:color w:val="000000" w:themeColor="text1"/>
        </w:rPr>
      </w:pPr>
      <w:r w:rsidRPr="00B908AD">
        <w:rPr>
          <w:color w:val="000000" w:themeColor="text1"/>
        </w:rPr>
        <w:br w:type="page"/>
      </w:r>
    </w:p>
    <w:p w14:paraId="67BD4A77" w14:textId="77777777" w:rsidR="00360744" w:rsidRDefault="00360744" w:rsidP="00360744">
      <w:pPr>
        <w:spacing w:line="480" w:lineRule="auto"/>
        <w:jc w:val="center"/>
        <w:rPr>
          <w:color w:val="000000" w:themeColor="text1"/>
        </w:rPr>
      </w:pPr>
      <w:r w:rsidRPr="00B908AD">
        <w:rPr>
          <w:color w:val="000000" w:themeColor="text1"/>
        </w:rPr>
        <w:lastRenderedPageBreak/>
        <w:t>References</w:t>
      </w:r>
    </w:p>
    <w:p w14:paraId="63DE9869" w14:textId="77777777" w:rsidR="00360744" w:rsidRDefault="00360744" w:rsidP="00360744">
      <w:pPr>
        <w:pStyle w:val="ListParagraph"/>
        <w:numPr>
          <w:ilvl w:val="0"/>
          <w:numId w:val="3"/>
        </w:numPr>
        <w:autoSpaceDE w:val="0"/>
        <w:autoSpaceDN w:val="0"/>
        <w:adjustRightInd w:val="0"/>
        <w:spacing w:line="480" w:lineRule="auto"/>
        <w:ind w:left="567" w:hanging="567"/>
        <w:rPr>
          <w:color w:val="000000" w:themeColor="text1"/>
        </w:rPr>
      </w:pPr>
      <w:r w:rsidRPr="007D45A9">
        <w:rPr>
          <w:color w:val="000000" w:themeColor="text1"/>
        </w:rPr>
        <w:t>Professional Football Heading in Training Guidance - July 2021</w:t>
      </w:r>
      <w:proofErr w:type="gramStart"/>
      <w:r w:rsidRPr="007D45A9">
        <w:rPr>
          <w:color w:val="000000" w:themeColor="text1"/>
        </w:rPr>
        <w:t xml:space="preserve">.  </w:t>
      </w:r>
      <w:proofErr w:type="gramEnd"/>
      <w:r w:rsidRPr="007D45A9">
        <w:rPr>
          <w:color w:val="000000" w:themeColor="text1"/>
        </w:rPr>
        <w:t>https://www. thefa.com/-/media/thefacom-new/files/rules-and-regulations/2021-22/heading-guidance/professional-football-heading-in-training-guidance---july-2021.ashx.</w:t>
      </w:r>
    </w:p>
    <w:p w14:paraId="6D89F000" w14:textId="77777777" w:rsidR="00360744" w:rsidRDefault="00360744" w:rsidP="00360744">
      <w:pPr>
        <w:pStyle w:val="ListParagraph"/>
        <w:numPr>
          <w:ilvl w:val="0"/>
          <w:numId w:val="3"/>
        </w:numPr>
        <w:autoSpaceDE w:val="0"/>
        <w:autoSpaceDN w:val="0"/>
        <w:adjustRightInd w:val="0"/>
        <w:spacing w:line="480" w:lineRule="auto"/>
        <w:ind w:left="567" w:hanging="567"/>
        <w:rPr>
          <w:color w:val="000000" w:themeColor="text1"/>
        </w:rPr>
      </w:pPr>
      <w:r w:rsidRPr="007D45A9">
        <w:rPr>
          <w:color w:val="000000" w:themeColor="text1"/>
        </w:rPr>
        <w:t>Heading in football: Professional players in England limited to 10 'higher force headers' a week in training</w:t>
      </w:r>
      <w:proofErr w:type="gramStart"/>
      <w:r w:rsidRPr="007D45A9">
        <w:rPr>
          <w:color w:val="000000" w:themeColor="text1"/>
        </w:rPr>
        <w:t xml:space="preserve">.  </w:t>
      </w:r>
      <w:proofErr w:type="gramEnd"/>
      <w:r w:rsidRPr="007D45A9">
        <w:rPr>
          <w:color w:val="000000" w:themeColor="text1"/>
        </w:rPr>
        <w:t>https:// www.bbc.co.uk/sport/football/57996593.</w:t>
      </w:r>
    </w:p>
    <w:p w14:paraId="5FC91381" w14:textId="77777777" w:rsidR="00360744" w:rsidRPr="00B908AD" w:rsidRDefault="00360744" w:rsidP="00360744">
      <w:pPr>
        <w:pStyle w:val="ListParagraph"/>
        <w:numPr>
          <w:ilvl w:val="0"/>
          <w:numId w:val="3"/>
        </w:numPr>
        <w:autoSpaceDE w:val="0"/>
        <w:autoSpaceDN w:val="0"/>
        <w:adjustRightInd w:val="0"/>
        <w:spacing w:line="480" w:lineRule="auto"/>
        <w:ind w:left="567" w:hanging="567"/>
        <w:rPr>
          <w:color w:val="000000" w:themeColor="text1"/>
        </w:rPr>
      </w:pPr>
      <w:r w:rsidRPr="00B908AD">
        <w:rPr>
          <w:color w:val="000000" w:themeColor="text1"/>
        </w:rPr>
        <w:t>Scottish Football Association</w:t>
      </w:r>
      <w:proofErr w:type="gramStart"/>
      <w:r w:rsidRPr="00B908AD">
        <w:rPr>
          <w:color w:val="000000" w:themeColor="text1"/>
        </w:rPr>
        <w:t xml:space="preserve">.  </w:t>
      </w:r>
      <w:proofErr w:type="gramEnd"/>
      <w:r w:rsidRPr="00B908AD">
        <w:rPr>
          <w:i/>
          <w:iCs/>
          <w:color w:val="000000" w:themeColor="text1"/>
        </w:rPr>
        <w:t>Updated heading guidelines for all age groups from six to 17 years old</w:t>
      </w:r>
      <w:proofErr w:type="gramStart"/>
      <w:r w:rsidRPr="00B908AD">
        <w:rPr>
          <w:i/>
          <w:iCs/>
          <w:color w:val="000000" w:themeColor="text1"/>
        </w:rPr>
        <w:t>.</w:t>
      </w:r>
      <w:r w:rsidRPr="00B908AD">
        <w:rPr>
          <w:color w:val="000000" w:themeColor="text1"/>
        </w:rPr>
        <w:t xml:space="preserve">  </w:t>
      </w:r>
      <w:bookmarkStart w:id="4" w:name="_Hlk71536307"/>
      <w:proofErr w:type="gramEnd"/>
      <w:r w:rsidRPr="00B908AD">
        <w:rPr>
          <w:color w:val="000000" w:themeColor="text1"/>
        </w:rPr>
        <w:t>February 2020</w:t>
      </w:r>
      <w:proofErr w:type="gramStart"/>
      <w:r w:rsidRPr="00B908AD">
        <w:rPr>
          <w:color w:val="000000" w:themeColor="text1"/>
        </w:rPr>
        <w:t xml:space="preserve">.  </w:t>
      </w:r>
      <w:bookmarkEnd w:id="4"/>
      <w:proofErr w:type="gramEnd"/>
      <w:r w:rsidRPr="00B908AD">
        <w:rPr>
          <w:color w:val="000000" w:themeColor="text1"/>
        </w:rPr>
        <w:t>https://www.scottishfa.co.uk/news/scottish-fa-announces-new-heading-guidelines.</w:t>
      </w:r>
    </w:p>
    <w:p w14:paraId="3FFE1E18" w14:textId="77777777" w:rsidR="00360744" w:rsidRPr="00B908AD" w:rsidRDefault="00360744" w:rsidP="00360744">
      <w:pPr>
        <w:pStyle w:val="ListParagraph"/>
        <w:numPr>
          <w:ilvl w:val="0"/>
          <w:numId w:val="3"/>
        </w:numPr>
        <w:autoSpaceDE w:val="0"/>
        <w:autoSpaceDN w:val="0"/>
        <w:adjustRightInd w:val="0"/>
        <w:spacing w:line="480" w:lineRule="auto"/>
        <w:ind w:left="567" w:hanging="567"/>
        <w:rPr>
          <w:color w:val="000000" w:themeColor="text1"/>
        </w:rPr>
      </w:pPr>
      <w:r w:rsidRPr="00B908AD">
        <w:rPr>
          <w:color w:val="000000" w:themeColor="text1"/>
        </w:rPr>
        <w:t>Football Association</w:t>
      </w:r>
      <w:proofErr w:type="gramStart"/>
      <w:r w:rsidRPr="00B908AD">
        <w:rPr>
          <w:color w:val="000000" w:themeColor="text1"/>
        </w:rPr>
        <w:t xml:space="preserve">. </w:t>
      </w:r>
      <w:r>
        <w:rPr>
          <w:color w:val="000000" w:themeColor="text1"/>
        </w:rPr>
        <w:t xml:space="preserve"> </w:t>
      </w:r>
      <w:proofErr w:type="gramEnd"/>
      <w:r w:rsidRPr="00B908AD">
        <w:rPr>
          <w:i/>
          <w:iCs/>
          <w:color w:val="000000" w:themeColor="text1"/>
        </w:rPr>
        <w:t>Updated heading guidance announced for youth training sessions</w:t>
      </w:r>
      <w:proofErr w:type="gramStart"/>
      <w:r w:rsidRPr="00B908AD">
        <w:rPr>
          <w:i/>
          <w:iCs/>
          <w:color w:val="000000" w:themeColor="text1"/>
        </w:rPr>
        <w:t>.</w:t>
      </w:r>
      <w:r w:rsidRPr="00B908AD">
        <w:rPr>
          <w:color w:val="000000" w:themeColor="text1"/>
        </w:rPr>
        <w:t xml:space="preserve">  </w:t>
      </w:r>
      <w:proofErr w:type="gramEnd"/>
      <w:r w:rsidRPr="00B908AD">
        <w:rPr>
          <w:color w:val="000000" w:themeColor="text1"/>
        </w:rPr>
        <w:t>February 2020</w:t>
      </w:r>
      <w:proofErr w:type="gramStart"/>
      <w:r w:rsidRPr="00B908AD">
        <w:rPr>
          <w:color w:val="000000" w:themeColor="text1"/>
        </w:rPr>
        <w:t xml:space="preserve">.  </w:t>
      </w:r>
      <w:proofErr w:type="gramEnd"/>
      <w:r w:rsidRPr="00B908AD">
        <w:rPr>
          <w:color w:val="000000" w:themeColor="text1"/>
        </w:rPr>
        <w:t>http://www.thefa.com/news/2020/feb/24/updated-heading-guidance-announcement-240220.</w:t>
      </w:r>
    </w:p>
    <w:p w14:paraId="12D55D95" w14:textId="77777777" w:rsidR="00360744" w:rsidRPr="00B908AD" w:rsidRDefault="00360744" w:rsidP="00360744">
      <w:pPr>
        <w:pStyle w:val="ListParagraph"/>
        <w:numPr>
          <w:ilvl w:val="0"/>
          <w:numId w:val="3"/>
        </w:numPr>
        <w:autoSpaceDE w:val="0"/>
        <w:autoSpaceDN w:val="0"/>
        <w:adjustRightInd w:val="0"/>
        <w:spacing w:line="480" w:lineRule="auto"/>
        <w:ind w:left="567" w:hanging="567"/>
        <w:rPr>
          <w:color w:val="000000" w:themeColor="text1"/>
        </w:rPr>
      </w:pPr>
      <w:r w:rsidRPr="00B908AD">
        <w:rPr>
          <w:color w:val="000000" w:themeColor="text1"/>
        </w:rPr>
        <w:t>(Northern) Irish Football Association</w:t>
      </w:r>
      <w:proofErr w:type="gramStart"/>
      <w:r w:rsidRPr="00B908AD">
        <w:rPr>
          <w:color w:val="000000" w:themeColor="text1"/>
        </w:rPr>
        <w:t xml:space="preserve">.  </w:t>
      </w:r>
      <w:proofErr w:type="gramEnd"/>
      <w:r w:rsidRPr="00B908AD">
        <w:rPr>
          <w:i/>
          <w:iCs/>
          <w:color w:val="000000" w:themeColor="text1"/>
        </w:rPr>
        <w:t>Football associations team up to introduce new heading guidance</w:t>
      </w:r>
      <w:proofErr w:type="gramStart"/>
      <w:r w:rsidRPr="00B908AD">
        <w:rPr>
          <w:i/>
          <w:iCs/>
          <w:color w:val="000000" w:themeColor="text1"/>
        </w:rPr>
        <w:t>.</w:t>
      </w:r>
      <w:r w:rsidRPr="00B908AD">
        <w:rPr>
          <w:color w:val="000000" w:themeColor="text1"/>
        </w:rPr>
        <w:t xml:space="preserve">  </w:t>
      </w:r>
      <w:proofErr w:type="gramEnd"/>
      <w:r w:rsidRPr="00B908AD">
        <w:rPr>
          <w:color w:val="000000" w:themeColor="text1"/>
        </w:rPr>
        <w:t>February 2020</w:t>
      </w:r>
      <w:proofErr w:type="gramStart"/>
      <w:r w:rsidRPr="00B908AD">
        <w:rPr>
          <w:color w:val="000000" w:themeColor="text1"/>
        </w:rPr>
        <w:t xml:space="preserve">.  </w:t>
      </w:r>
      <w:proofErr w:type="gramEnd"/>
      <w:r w:rsidRPr="00B908AD">
        <w:rPr>
          <w:color w:val="000000" w:themeColor="text1"/>
        </w:rPr>
        <w:t>https://www.irishfa.com/news/2020/ February/irish-fa-believes-updated-guidelines-on-heading-will-be-good-for-the-game.</w:t>
      </w:r>
    </w:p>
    <w:p w14:paraId="1E73CEF5" w14:textId="77777777" w:rsidR="00360744" w:rsidRPr="00B908AD" w:rsidRDefault="00360744" w:rsidP="00360744">
      <w:pPr>
        <w:pStyle w:val="ListParagraph"/>
        <w:numPr>
          <w:ilvl w:val="0"/>
          <w:numId w:val="3"/>
        </w:numPr>
        <w:spacing w:line="480" w:lineRule="auto"/>
        <w:ind w:left="567" w:hanging="567"/>
        <w:rPr>
          <w:color w:val="000000" w:themeColor="text1"/>
        </w:rPr>
      </w:pPr>
      <w:r w:rsidRPr="00B908AD">
        <w:rPr>
          <w:color w:val="000000" w:themeColor="text1"/>
        </w:rPr>
        <w:t xml:space="preserve">Maher, M.E., Hutchison, M., </w:t>
      </w:r>
      <w:proofErr w:type="spellStart"/>
      <w:r w:rsidRPr="00B908AD">
        <w:rPr>
          <w:color w:val="000000" w:themeColor="text1"/>
        </w:rPr>
        <w:t>Cusimano</w:t>
      </w:r>
      <w:proofErr w:type="spellEnd"/>
      <w:r w:rsidRPr="00B908AD">
        <w:rPr>
          <w:color w:val="000000" w:themeColor="text1"/>
        </w:rPr>
        <w:t xml:space="preserve">, M. </w:t>
      </w:r>
      <w:proofErr w:type="spellStart"/>
      <w:r w:rsidRPr="00B908AD">
        <w:rPr>
          <w:color w:val="000000" w:themeColor="text1"/>
        </w:rPr>
        <w:t>Comper</w:t>
      </w:r>
      <w:proofErr w:type="spellEnd"/>
      <w:r w:rsidRPr="00B908AD">
        <w:rPr>
          <w:color w:val="000000" w:themeColor="text1"/>
        </w:rPr>
        <w:t xml:space="preserve">, P. &amp; Schweizer, </w:t>
      </w:r>
      <w:proofErr w:type="gramStart"/>
      <w:r w:rsidRPr="00B908AD">
        <w:rPr>
          <w:color w:val="000000" w:themeColor="text1"/>
        </w:rPr>
        <w:t xml:space="preserve">T.A.  </w:t>
      </w:r>
      <w:proofErr w:type="gramEnd"/>
      <w:r w:rsidRPr="00B908AD">
        <w:rPr>
          <w:color w:val="000000" w:themeColor="text1"/>
        </w:rPr>
        <w:t>(2014)</w:t>
      </w:r>
      <w:proofErr w:type="gramStart"/>
      <w:r w:rsidRPr="00B908AD">
        <w:rPr>
          <w:color w:val="000000" w:themeColor="text1"/>
        </w:rPr>
        <w:t xml:space="preserve">.  </w:t>
      </w:r>
      <w:proofErr w:type="gramEnd"/>
      <w:r w:rsidRPr="00B908AD">
        <w:rPr>
          <w:color w:val="000000" w:themeColor="text1"/>
        </w:rPr>
        <w:t>Concussions and heading in soccer: A review of the evidence of incidence, mechanisms, biomarkers and neurocognitive outcomes</w:t>
      </w:r>
      <w:proofErr w:type="gramStart"/>
      <w:r w:rsidRPr="00B908AD">
        <w:rPr>
          <w:color w:val="000000" w:themeColor="text1"/>
        </w:rPr>
        <w:t xml:space="preserve">.  </w:t>
      </w:r>
      <w:proofErr w:type="gramEnd"/>
      <w:r w:rsidRPr="00B908AD">
        <w:rPr>
          <w:i/>
          <w:iCs/>
          <w:color w:val="000000" w:themeColor="text1"/>
        </w:rPr>
        <w:t>Brain Injury</w:t>
      </w:r>
      <w:r w:rsidRPr="00B908AD">
        <w:rPr>
          <w:color w:val="000000" w:themeColor="text1"/>
        </w:rPr>
        <w:t xml:space="preserve">, </w:t>
      </w:r>
      <w:r w:rsidRPr="00B908AD">
        <w:rPr>
          <w:i/>
          <w:iCs/>
          <w:color w:val="000000" w:themeColor="text1"/>
        </w:rPr>
        <w:t>28</w:t>
      </w:r>
      <w:r w:rsidRPr="00B908AD">
        <w:rPr>
          <w:color w:val="000000" w:themeColor="text1"/>
        </w:rPr>
        <w:t>(3), 271–285.</w:t>
      </w:r>
    </w:p>
    <w:p w14:paraId="5BD75ED3" w14:textId="77777777" w:rsidR="00360744" w:rsidRPr="00B908AD" w:rsidRDefault="00360744" w:rsidP="00360744">
      <w:pPr>
        <w:pStyle w:val="ListParagraph"/>
        <w:numPr>
          <w:ilvl w:val="0"/>
          <w:numId w:val="3"/>
        </w:numPr>
        <w:spacing w:line="480" w:lineRule="auto"/>
        <w:ind w:left="567" w:hanging="567"/>
        <w:rPr>
          <w:color w:val="000000" w:themeColor="text1"/>
        </w:rPr>
      </w:pPr>
      <w:r w:rsidRPr="00B908AD">
        <w:rPr>
          <w:color w:val="000000" w:themeColor="text1"/>
        </w:rPr>
        <w:t xml:space="preserve">Rutherford, A., Stephens, R., Potter, </w:t>
      </w:r>
      <w:proofErr w:type="gramStart"/>
      <w:r w:rsidRPr="00B908AD">
        <w:rPr>
          <w:color w:val="000000" w:themeColor="text1"/>
        </w:rPr>
        <w:t xml:space="preserve">D.  </w:t>
      </w:r>
      <w:proofErr w:type="gramEnd"/>
      <w:r w:rsidRPr="00B908AD">
        <w:rPr>
          <w:color w:val="000000" w:themeColor="text1"/>
        </w:rPr>
        <w:t>(2003)</w:t>
      </w:r>
      <w:proofErr w:type="gramStart"/>
      <w:r w:rsidRPr="00B908AD">
        <w:rPr>
          <w:color w:val="000000" w:themeColor="text1"/>
        </w:rPr>
        <w:t xml:space="preserve">.  </w:t>
      </w:r>
      <w:proofErr w:type="gramEnd"/>
      <w:r w:rsidRPr="00B908AD">
        <w:rPr>
          <w:color w:val="000000" w:themeColor="text1"/>
        </w:rPr>
        <w:t>The neuropsychology of heading and head trauma in Association Football (soccer): a review. Neuropsychology Review, 13, 153–179.</w:t>
      </w:r>
    </w:p>
    <w:p w14:paraId="705DABFA" w14:textId="77777777" w:rsidR="00360744" w:rsidRPr="00B908AD" w:rsidRDefault="00360744" w:rsidP="00360744">
      <w:pPr>
        <w:pStyle w:val="ListParagraph"/>
        <w:numPr>
          <w:ilvl w:val="0"/>
          <w:numId w:val="3"/>
        </w:numPr>
        <w:spacing w:line="480" w:lineRule="auto"/>
        <w:ind w:left="567" w:hanging="567"/>
        <w:rPr>
          <w:color w:val="000000" w:themeColor="text1"/>
        </w:rPr>
      </w:pPr>
      <w:proofErr w:type="spellStart"/>
      <w:r w:rsidRPr="00B908AD">
        <w:rPr>
          <w:color w:val="000000" w:themeColor="text1"/>
        </w:rPr>
        <w:t>Tarnutzer</w:t>
      </w:r>
      <w:proofErr w:type="spellEnd"/>
      <w:r w:rsidRPr="00B908AD">
        <w:rPr>
          <w:color w:val="000000" w:themeColor="text1"/>
        </w:rPr>
        <w:t xml:space="preserve">, A.A., Straumann, D., Brugger, P. &amp; </w:t>
      </w:r>
      <w:proofErr w:type="spellStart"/>
      <w:r w:rsidRPr="00B908AD">
        <w:rPr>
          <w:color w:val="000000" w:themeColor="text1"/>
        </w:rPr>
        <w:t>Feddermann-Demont</w:t>
      </w:r>
      <w:proofErr w:type="spellEnd"/>
      <w:r w:rsidRPr="00B908AD">
        <w:rPr>
          <w:color w:val="000000" w:themeColor="text1"/>
        </w:rPr>
        <w:t>, N. (2016)</w:t>
      </w:r>
      <w:proofErr w:type="gramStart"/>
      <w:r w:rsidRPr="00B908AD">
        <w:rPr>
          <w:color w:val="000000" w:themeColor="text1"/>
        </w:rPr>
        <w:t xml:space="preserve">.  </w:t>
      </w:r>
      <w:proofErr w:type="gramEnd"/>
      <w:r w:rsidRPr="00B908AD">
        <w:rPr>
          <w:color w:val="000000" w:themeColor="text1"/>
        </w:rPr>
        <w:t>Persistent effects of playing football and associated (</w:t>
      </w:r>
      <w:proofErr w:type="spellStart"/>
      <w:r w:rsidRPr="00B908AD">
        <w:rPr>
          <w:color w:val="000000" w:themeColor="text1"/>
        </w:rPr>
        <w:t>subconcussive</w:t>
      </w:r>
      <w:proofErr w:type="spellEnd"/>
      <w:r w:rsidRPr="00B908AD">
        <w:rPr>
          <w:color w:val="000000" w:themeColor="text1"/>
        </w:rPr>
        <w:t>) head trauma on brain structure and function: a systematic review of the literature</w:t>
      </w:r>
      <w:proofErr w:type="gramStart"/>
      <w:r w:rsidRPr="00B908AD">
        <w:rPr>
          <w:color w:val="000000" w:themeColor="text1"/>
        </w:rPr>
        <w:t xml:space="preserve">.  </w:t>
      </w:r>
      <w:proofErr w:type="gramEnd"/>
      <w:r w:rsidRPr="00B908AD">
        <w:rPr>
          <w:i/>
          <w:iCs/>
          <w:color w:val="000000" w:themeColor="text1"/>
        </w:rPr>
        <w:t>British Journal of Sports Medicine,</w:t>
      </w:r>
      <w:r w:rsidRPr="00B908AD">
        <w:rPr>
          <w:color w:val="000000" w:themeColor="text1"/>
        </w:rPr>
        <w:t xml:space="preserve"> DOI: 10.1136/bjsports-2016-096593.</w:t>
      </w:r>
    </w:p>
    <w:p w14:paraId="549B822A" w14:textId="77777777" w:rsidR="00360744" w:rsidRPr="00B908AD" w:rsidRDefault="00360744" w:rsidP="00360744">
      <w:pPr>
        <w:pStyle w:val="ListParagraph"/>
        <w:numPr>
          <w:ilvl w:val="0"/>
          <w:numId w:val="3"/>
        </w:numPr>
        <w:spacing w:line="480" w:lineRule="auto"/>
        <w:ind w:left="567" w:hanging="567"/>
        <w:rPr>
          <w:color w:val="000000" w:themeColor="text1"/>
        </w:rPr>
      </w:pPr>
      <w:proofErr w:type="spellStart"/>
      <w:r w:rsidRPr="00B908AD">
        <w:rPr>
          <w:color w:val="000000" w:themeColor="text1"/>
        </w:rPr>
        <w:lastRenderedPageBreak/>
        <w:t>Kontos</w:t>
      </w:r>
      <w:proofErr w:type="spellEnd"/>
      <w:r w:rsidRPr="00B908AD">
        <w:rPr>
          <w:color w:val="000000" w:themeColor="text1"/>
        </w:rPr>
        <w:t>, A.P., Braithwaite, R., Chrisman, S.P.D., McAllister-Deitrick, J., Symington, L., Reeves, V.L. &amp; Collins, M.W. (2017). Systematic review and meta-analysis of the effects of football heading</w:t>
      </w:r>
      <w:proofErr w:type="gramStart"/>
      <w:r w:rsidRPr="00B908AD">
        <w:rPr>
          <w:color w:val="000000" w:themeColor="text1"/>
        </w:rPr>
        <w:t>.  </w:t>
      </w:r>
      <w:proofErr w:type="gramEnd"/>
      <w:r w:rsidRPr="00B908AD">
        <w:rPr>
          <w:i/>
          <w:iCs/>
          <w:color w:val="000000" w:themeColor="text1"/>
        </w:rPr>
        <w:t>British Journal of Sports Medicine</w:t>
      </w:r>
      <w:r w:rsidRPr="00B908AD">
        <w:rPr>
          <w:color w:val="000000" w:themeColor="text1"/>
        </w:rPr>
        <w:t>, </w:t>
      </w:r>
      <w:r w:rsidRPr="00B908AD">
        <w:rPr>
          <w:i/>
          <w:iCs/>
          <w:color w:val="000000" w:themeColor="text1"/>
        </w:rPr>
        <w:t>51</w:t>
      </w:r>
      <w:r w:rsidRPr="00B908AD">
        <w:rPr>
          <w:color w:val="000000" w:themeColor="text1"/>
        </w:rPr>
        <w:t>, 1118-1124. DOI: 10.1136/bjsports-2016-096276.</w:t>
      </w:r>
    </w:p>
    <w:p w14:paraId="6CDD7845" w14:textId="77777777" w:rsidR="00360744" w:rsidRPr="00B908AD" w:rsidRDefault="00360744" w:rsidP="00360744">
      <w:pPr>
        <w:pStyle w:val="ListParagraph"/>
        <w:numPr>
          <w:ilvl w:val="0"/>
          <w:numId w:val="3"/>
        </w:numPr>
        <w:spacing w:line="480" w:lineRule="auto"/>
        <w:ind w:left="567" w:hanging="567"/>
        <w:rPr>
          <w:color w:val="000000" w:themeColor="text1"/>
        </w:rPr>
      </w:pPr>
      <w:r w:rsidRPr="00B908AD">
        <w:rPr>
          <w:color w:val="000000" w:themeColor="text1"/>
        </w:rPr>
        <w:t xml:space="preserve">Rutherford, A., Stewart, W. &amp; Bruno, </w:t>
      </w:r>
      <w:proofErr w:type="gramStart"/>
      <w:r w:rsidRPr="00B908AD">
        <w:rPr>
          <w:color w:val="000000" w:themeColor="text1"/>
        </w:rPr>
        <w:t xml:space="preserve">D.  </w:t>
      </w:r>
      <w:proofErr w:type="gramEnd"/>
      <w:r w:rsidRPr="00B908AD">
        <w:rPr>
          <w:color w:val="000000" w:themeColor="text1"/>
        </w:rPr>
        <w:t>(2017). Heading for trouble: is dementia a game changer for football</w:t>
      </w:r>
      <w:proofErr w:type="gramStart"/>
      <w:r w:rsidRPr="00B908AD">
        <w:rPr>
          <w:color w:val="000000" w:themeColor="text1"/>
        </w:rPr>
        <w:t xml:space="preserve">?  </w:t>
      </w:r>
      <w:proofErr w:type="gramEnd"/>
      <w:r w:rsidRPr="00B908AD">
        <w:rPr>
          <w:i/>
          <w:iCs/>
          <w:color w:val="000000" w:themeColor="text1"/>
        </w:rPr>
        <w:t>British Journal of Sports Medicine</w:t>
      </w:r>
      <w:r w:rsidRPr="00B908AD">
        <w:rPr>
          <w:color w:val="000000" w:themeColor="text1"/>
        </w:rPr>
        <w:t>, 0, 1. doi:10.1136/bjsports-2017-097627.</w:t>
      </w:r>
    </w:p>
    <w:p w14:paraId="075BE84E" w14:textId="77777777" w:rsidR="00360744" w:rsidRDefault="00360744" w:rsidP="00360744">
      <w:pPr>
        <w:pStyle w:val="ListParagraph"/>
        <w:numPr>
          <w:ilvl w:val="0"/>
          <w:numId w:val="3"/>
        </w:numPr>
        <w:spacing w:line="480" w:lineRule="auto"/>
        <w:ind w:left="567" w:hanging="567"/>
        <w:rPr>
          <w:color w:val="000000" w:themeColor="text1"/>
        </w:rPr>
      </w:pPr>
      <w:r w:rsidRPr="00B908AD">
        <w:rPr>
          <w:color w:val="000000" w:themeColor="text1"/>
        </w:rPr>
        <w:t xml:space="preserve">Mackay, D.F., Russell, E.R., Stewart, K., MacLean, J.A., Pell, J.P. &amp; Stewart, </w:t>
      </w:r>
      <w:proofErr w:type="gramStart"/>
      <w:r w:rsidRPr="00B908AD">
        <w:rPr>
          <w:color w:val="000000" w:themeColor="text1"/>
        </w:rPr>
        <w:t xml:space="preserve">W.  </w:t>
      </w:r>
      <w:proofErr w:type="gramEnd"/>
      <w:r w:rsidRPr="00B908AD">
        <w:rPr>
          <w:color w:val="000000" w:themeColor="text1"/>
        </w:rPr>
        <w:t>(2019)</w:t>
      </w:r>
      <w:proofErr w:type="gramStart"/>
      <w:r w:rsidRPr="00B908AD">
        <w:rPr>
          <w:color w:val="000000" w:themeColor="text1"/>
        </w:rPr>
        <w:t xml:space="preserve">.  </w:t>
      </w:r>
      <w:proofErr w:type="gramEnd"/>
      <w:r w:rsidRPr="00B908AD">
        <w:rPr>
          <w:color w:val="000000" w:themeColor="text1"/>
        </w:rPr>
        <w:t>Neurodegenerative disease mortality among former professional soccer players</w:t>
      </w:r>
      <w:proofErr w:type="gramStart"/>
      <w:r w:rsidRPr="00B908AD">
        <w:rPr>
          <w:color w:val="000000" w:themeColor="text1"/>
        </w:rPr>
        <w:t xml:space="preserve">.  </w:t>
      </w:r>
      <w:proofErr w:type="gramEnd"/>
      <w:r w:rsidRPr="00B908AD">
        <w:rPr>
          <w:i/>
          <w:iCs/>
          <w:color w:val="000000" w:themeColor="text1"/>
        </w:rPr>
        <w:t>The New England Journal of Medicine, 381,</w:t>
      </w:r>
      <w:r w:rsidRPr="00B908AD">
        <w:rPr>
          <w:color w:val="000000" w:themeColor="text1"/>
        </w:rPr>
        <w:t xml:space="preserve"> 1862-1863</w:t>
      </w:r>
      <w:proofErr w:type="gramStart"/>
      <w:r w:rsidRPr="00B908AD">
        <w:rPr>
          <w:color w:val="000000" w:themeColor="text1"/>
        </w:rPr>
        <w:t xml:space="preserve">.  </w:t>
      </w:r>
      <w:proofErr w:type="gramEnd"/>
      <w:r w:rsidRPr="00B908AD">
        <w:rPr>
          <w:color w:val="000000" w:themeColor="text1"/>
        </w:rPr>
        <w:t>DOI: 10.1056/NEJMe1912071</w:t>
      </w:r>
      <w:r>
        <w:rPr>
          <w:color w:val="000000" w:themeColor="text1"/>
        </w:rPr>
        <w:t>.</w:t>
      </w:r>
    </w:p>
    <w:p w14:paraId="43FD98E2" w14:textId="2AD7EE0D" w:rsidR="00021E42" w:rsidRPr="00E50EEF" w:rsidRDefault="00360744" w:rsidP="00021E42">
      <w:pPr>
        <w:pStyle w:val="ListParagraph"/>
        <w:numPr>
          <w:ilvl w:val="0"/>
          <w:numId w:val="3"/>
        </w:numPr>
        <w:spacing w:line="480" w:lineRule="auto"/>
        <w:ind w:left="567" w:hanging="567"/>
        <w:rPr>
          <w:color w:val="0070C0"/>
        </w:rPr>
      </w:pPr>
      <w:r w:rsidRPr="00F65525">
        <w:rPr>
          <w:color w:val="222222"/>
          <w:shd w:val="clear" w:color="auto" w:fill="FFFFFF"/>
        </w:rPr>
        <w:t>Russell, E. R., Mackay, D. F., Stewart, K., MacLean, J. A., Pell, J. P., &amp; Stewart, W. (2021). Association of field position and career length with risk of neurodegenerative disease in male former professional soccer players. </w:t>
      </w:r>
      <w:r w:rsidRPr="00F65525">
        <w:rPr>
          <w:i/>
          <w:iCs/>
          <w:color w:val="222222"/>
          <w:shd w:val="clear" w:color="auto" w:fill="FFFFFF"/>
        </w:rPr>
        <w:t>JAMA neurology</w:t>
      </w:r>
      <w:r w:rsidR="00766B5C">
        <w:rPr>
          <w:color w:val="222222"/>
          <w:shd w:val="clear" w:color="auto" w:fill="FFFFFF"/>
        </w:rPr>
        <w:t>,</w:t>
      </w:r>
      <w:r w:rsidR="00021E42">
        <w:rPr>
          <w:color w:val="222222"/>
          <w:shd w:val="clear" w:color="auto" w:fill="FFFFFF"/>
        </w:rPr>
        <w:t xml:space="preserve"> </w:t>
      </w:r>
      <w:r w:rsidR="00021E42" w:rsidRPr="00E50EEF">
        <w:rPr>
          <w:color w:val="0070C0"/>
        </w:rPr>
        <w:t>78(9), 1057-1063</w:t>
      </w:r>
      <w:proofErr w:type="gramStart"/>
      <w:r w:rsidR="00021E42" w:rsidRPr="00E50EEF">
        <w:rPr>
          <w:color w:val="0070C0"/>
        </w:rPr>
        <w:t xml:space="preserve">.  </w:t>
      </w:r>
      <w:proofErr w:type="gramEnd"/>
      <w:r w:rsidR="00021E42" w:rsidRPr="00E50EEF">
        <w:rPr>
          <w:color w:val="0070C0"/>
        </w:rPr>
        <w:t>doi:10.1001/jamaneurol.2021.2403.</w:t>
      </w:r>
    </w:p>
    <w:p w14:paraId="4A95A2F5" w14:textId="77777777" w:rsidR="00360744" w:rsidRPr="00B908AD" w:rsidRDefault="00360744" w:rsidP="00360744">
      <w:pPr>
        <w:pStyle w:val="ListParagraph"/>
        <w:numPr>
          <w:ilvl w:val="0"/>
          <w:numId w:val="3"/>
        </w:numPr>
        <w:spacing w:line="480" w:lineRule="auto"/>
        <w:ind w:left="567" w:hanging="567"/>
        <w:rPr>
          <w:color w:val="000000" w:themeColor="text1"/>
        </w:rPr>
      </w:pPr>
      <w:bookmarkStart w:id="5" w:name="_Hlk65749634"/>
      <w:r w:rsidRPr="00B908AD">
        <w:rPr>
          <w:color w:val="000000" w:themeColor="text1"/>
        </w:rPr>
        <w:t xml:space="preserve">Vann-Jones, S.A., </w:t>
      </w:r>
      <w:proofErr w:type="spellStart"/>
      <w:r w:rsidRPr="00B908AD">
        <w:rPr>
          <w:color w:val="000000" w:themeColor="text1"/>
        </w:rPr>
        <w:t>Breakey</w:t>
      </w:r>
      <w:proofErr w:type="spellEnd"/>
      <w:r w:rsidRPr="00B908AD">
        <w:rPr>
          <w:color w:val="000000" w:themeColor="text1"/>
        </w:rPr>
        <w:t xml:space="preserve">, R.W. &amp; Evans, </w:t>
      </w:r>
      <w:proofErr w:type="gramStart"/>
      <w:r w:rsidRPr="00B908AD">
        <w:rPr>
          <w:color w:val="000000" w:themeColor="text1"/>
        </w:rPr>
        <w:t xml:space="preserve">P.J.  </w:t>
      </w:r>
      <w:proofErr w:type="gramEnd"/>
      <w:r w:rsidRPr="00B908AD">
        <w:rPr>
          <w:color w:val="000000" w:themeColor="text1"/>
        </w:rPr>
        <w:t>(2014)</w:t>
      </w:r>
      <w:bookmarkEnd w:id="5"/>
      <w:proofErr w:type="gramStart"/>
      <w:r w:rsidRPr="00B908AD">
        <w:rPr>
          <w:color w:val="000000" w:themeColor="text1"/>
        </w:rPr>
        <w:t xml:space="preserve">.  </w:t>
      </w:r>
      <w:proofErr w:type="gramEnd"/>
      <w:r w:rsidRPr="00B908AD">
        <w:rPr>
          <w:color w:val="000000" w:themeColor="text1"/>
        </w:rPr>
        <w:t>Heading in football, long-term cognitive decline and dementia: evidence from screening retired professional footballers</w:t>
      </w:r>
      <w:proofErr w:type="gramStart"/>
      <w:r w:rsidRPr="00B908AD">
        <w:rPr>
          <w:color w:val="000000" w:themeColor="text1"/>
        </w:rPr>
        <w:t xml:space="preserve">.  </w:t>
      </w:r>
      <w:proofErr w:type="gramEnd"/>
      <w:r w:rsidRPr="00B908AD">
        <w:rPr>
          <w:i/>
          <w:iCs/>
          <w:color w:val="000000" w:themeColor="text1"/>
        </w:rPr>
        <w:t>British Journal of Sports Medicine, 48</w:t>
      </w:r>
      <w:r w:rsidRPr="00B908AD">
        <w:rPr>
          <w:color w:val="000000" w:themeColor="text1"/>
        </w:rPr>
        <w:t>, 159–61.</w:t>
      </w:r>
    </w:p>
    <w:p w14:paraId="69998105" w14:textId="77777777" w:rsidR="00360744" w:rsidRPr="00F65525" w:rsidRDefault="00360744" w:rsidP="00360744">
      <w:pPr>
        <w:pStyle w:val="ListParagraph"/>
        <w:numPr>
          <w:ilvl w:val="0"/>
          <w:numId w:val="3"/>
        </w:numPr>
        <w:spacing w:line="480" w:lineRule="auto"/>
        <w:ind w:left="567" w:hanging="567"/>
        <w:rPr>
          <w:color w:val="000000" w:themeColor="text1"/>
        </w:rPr>
      </w:pPr>
      <w:r w:rsidRPr="00B908AD">
        <w:rPr>
          <w:rFonts w:eastAsiaTheme="minorHAnsi"/>
          <w:color w:val="000000" w:themeColor="text1"/>
          <w:lang w:eastAsia="en-US"/>
        </w:rPr>
        <w:t xml:space="preserve">Koekkoek PS, Rutten GEHM, van den Berg E, et al. The “Test Your Memory” test performs better than the MMSE in a population without known cognitive dysfunction. J </w:t>
      </w:r>
      <w:proofErr w:type="spellStart"/>
      <w:r w:rsidRPr="00B908AD">
        <w:rPr>
          <w:rFonts w:eastAsiaTheme="minorHAnsi"/>
          <w:color w:val="000000" w:themeColor="text1"/>
          <w:lang w:eastAsia="en-US"/>
        </w:rPr>
        <w:t>Neurol</w:t>
      </w:r>
      <w:proofErr w:type="spellEnd"/>
      <w:r w:rsidRPr="00B908AD">
        <w:rPr>
          <w:rFonts w:eastAsiaTheme="minorHAnsi"/>
          <w:color w:val="000000" w:themeColor="text1"/>
          <w:lang w:eastAsia="en-US"/>
        </w:rPr>
        <w:t xml:space="preserve"> Sci 2013;328:92–7.</w:t>
      </w:r>
      <w:r>
        <w:rPr>
          <w:rFonts w:eastAsiaTheme="minorHAnsi"/>
          <w:color w:val="000000" w:themeColor="text1"/>
          <w:lang w:eastAsia="en-US"/>
        </w:rPr>
        <w:t xml:space="preserve"> </w:t>
      </w:r>
    </w:p>
    <w:p w14:paraId="40F78BDC" w14:textId="684256CB" w:rsidR="00360744" w:rsidRPr="00F65525" w:rsidRDefault="00360744" w:rsidP="00360744">
      <w:pPr>
        <w:pStyle w:val="ListParagraph"/>
        <w:numPr>
          <w:ilvl w:val="0"/>
          <w:numId w:val="3"/>
        </w:numPr>
        <w:spacing w:line="480" w:lineRule="auto"/>
        <w:ind w:left="567" w:hanging="567"/>
        <w:rPr>
          <w:color w:val="000000" w:themeColor="text1"/>
        </w:rPr>
      </w:pPr>
      <w:r w:rsidRPr="00F65525">
        <w:rPr>
          <w:color w:val="222222"/>
          <w:shd w:val="clear" w:color="auto" w:fill="FFFFFF"/>
        </w:rPr>
        <w:t>Brown, J. M., Wiggins, J., Dawson, K., Rittman, T., &amp; Rowe, J. B. (2019). Test your memory (TYM) and test your memory for mild cognitive impairment (TYM-MCI): a review and update including results of using the TYM test in a general neurology clinic and using a telephone version of the TYM test.</w:t>
      </w:r>
      <w:r w:rsidR="00860BEB">
        <w:rPr>
          <w:color w:val="222222"/>
          <w:shd w:val="clear" w:color="auto" w:fill="FFFFFF"/>
        </w:rPr>
        <w:t xml:space="preserve"> </w:t>
      </w:r>
      <w:r w:rsidRPr="00F65525">
        <w:rPr>
          <w:i/>
          <w:iCs/>
          <w:color w:val="222222"/>
          <w:shd w:val="clear" w:color="auto" w:fill="FFFFFF"/>
        </w:rPr>
        <w:t>Diagnostics</w:t>
      </w:r>
      <w:r w:rsidRPr="00F65525">
        <w:rPr>
          <w:color w:val="222222"/>
          <w:shd w:val="clear" w:color="auto" w:fill="FFFFFF"/>
        </w:rPr>
        <w:t>,</w:t>
      </w:r>
      <w:r w:rsidR="00860BEB">
        <w:rPr>
          <w:color w:val="222222"/>
          <w:shd w:val="clear" w:color="auto" w:fill="FFFFFF"/>
        </w:rPr>
        <w:t xml:space="preserve"> </w:t>
      </w:r>
      <w:r w:rsidRPr="00F65525">
        <w:rPr>
          <w:i/>
          <w:iCs/>
          <w:color w:val="222222"/>
          <w:shd w:val="clear" w:color="auto" w:fill="FFFFFF"/>
        </w:rPr>
        <w:t>9</w:t>
      </w:r>
      <w:r w:rsidRPr="00F65525">
        <w:rPr>
          <w:color w:val="222222"/>
          <w:shd w:val="clear" w:color="auto" w:fill="FFFFFF"/>
        </w:rPr>
        <w:t>(3), 116.</w:t>
      </w:r>
    </w:p>
    <w:p w14:paraId="73BD581A" w14:textId="100C4BA0" w:rsidR="00360744" w:rsidRPr="00F65525" w:rsidRDefault="00360744" w:rsidP="00360744">
      <w:pPr>
        <w:pStyle w:val="ListParagraph"/>
        <w:numPr>
          <w:ilvl w:val="0"/>
          <w:numId w:val="3"/>
        </w:numPr>
        <w:spacing w:line="480" w:lineRule="auto"/>
        <w:ind w:left="567" w:hanging="567"/>
        <w:rPr>
          <w:color w:val="000000" w:themeColor="text1"/>
        </w:rPr>
      </w:pPr>
      <w:r w:rsidRPr="00F65525">
        <w:rPr>
          <w:color w:val="000000" w:themeColor="text1"/>
          <w:shd w:val="clear" w:color="auto" w:fill="FFFFFF"/>
        </w:rPr>
        <w:lastRenderedPageBreak/>
        <w:t xml:space="preserve">Brown J.M., </w:t>
      </w:r>
      <w:proofErr w:type="spellStart"/>
      <w:r w:rsidRPr="00F65525">
        <w:rPr>
          <w:color w:val="000000" w:themeColor="text1"/>
          <w:shd w:val="clear" w:color="auto" w:fill="FFFFFF"/>
        </w:rPr>
        <w:t>Pengas</w:t>
      </w:r>
      <w:proofErr w:type="spellEnd"/>
      <w:r w:rsidRPr="00F65525">
        <w:rPr>
          <w:color w:val="000000" w:themeColor="text1"/>
          <w:shd w:val="clear" w:color="auto" w:fill="FFFFFF"/>
        </w:rPr>
        <w:t xml:space="preserve"> G.; Dawson K.; Brown L.A.;</w:t>
      </w:r>
      <w:proofErr w:type="spellStart"/>
      <w:r w:rsidRPr="00F65525">
        <w:rPr>
          <w:color w:val="000000" w:themeColor="text1"/>
          <w:shd w:val="clear" w:color="auto" w:fill="FFFFFF"/>
        </w:rPr>
        <w:t>Clatworthy</w:t>
      </w:r>
      <w:proofErr w:type="spellEnd"/>
      <w:r w:rsidRPr="00F65525">
        <w:rPr>
          <w:color w:val="000000" w:themeColor="text1"/>
          <w:shd w:val="clear" w:color="auto" w:fill="FFFFFF"/>
        </w:rPr>
        <w:t xml:space="preserve"> P. </w:t>
      </w:r>
      <w:proofErr w:type="spellStart"/>
      <w:r w:rsidRPr="00F65525">
        <w:rPr>
          <w:color w:val="000000" w:themeColor="text1"/>
          <w:shd w:val="clear" w:color="auto" w:fill="FFFFFF"/>
        </w:rPr>
        <w:t>Self administered</w:t>
      </w:r>
      <w:proofErr w:type="spellEnd"/>
      <w:r w:rsidRPr="00F65525">
        <w:rPr>
          <w:color w:val="000000" w:themeColor="text1"/>
          <w:shd w:val="clear" w:color="auto" w:fill="FFFFFF"/>
        </w:rPr>
        <w:t xml:space="preserve"> cognitive screening test (TYM) for detection of Alzheimer's disease: cross sectional study. BMJ2009,</w:t>
      </w:r>
      <w:r w:rsidR="00E11637">
        <w:rPr>
          <w:color w:val="000000" w:themeColor="text1"/>
          <w:shd w:val="clear" w:color="auto" w:fill="FFFFFF"/>
        </w:rPr>
        <w:t xml:space="preserve"> </w:t>
      </w:r>
      <w:r w:rsidRPr="00F65525">
        <w:rPr>
          <w:color w:val="000000" w:themeColor="text1"/>
          <w:shd w:val="clear" w:color="auto" w:fill="FFFFFF"/>
        </w:rPr>
        <w:t>338,</w:t>
      </w:r>
      <w:r w:rsidR="00E11637">
        <w:rPr>
          <w:color w:val="000000" w:themeColor="text1"/>
          <w:shd w:val="clear" w:color="auto" w:fill="FFFFFF"/>
        </w:rPr>
        <w:t xml:space="preserve"> </w:t>
      </w:r>
      <w:r w:rsidRPr="00F65525">
        <w:rPr>
          <w:color w:val="000000" w:themeColor="text1"/>
          <w:shd w:val="clear" w:color="auto" w:fill="FFFFFF"/>
        </w:rPr>
        <w:t>b2030.</w:t>
      </w:r>
    </w:p>
    <w:p w14:paraId="41E9CDD7" w14:textId="77777777" w:rsidR="00360744" w:rsidRPr="00F65525" w:rsidRDefault="00360744" w:rsidP="00360744">
      <w:pPr>
        <w:pStyle w:val="ListParagraph"/>
        <w:numPr>
          <w:ilvl w:val="0"/>
          <w:numId w:val="3"/>
        </w:numPr>
        <w:spacing w:line="480" w:lineRule="auto"/>
        <w:ind w:left="567" w:hanging="567"/>
        <w:rPr>
          <w:color w:val="000000" w:themeColor="text1"/>
        </w:rPr>
      </w:pPr>
      <w:r w:rsidRPr="00B908AD">
        <w:rPr>
          <w:color w:val="000000" w:themeColor="text1"/>
          <w:shd w:val="clear" w:color="auto" w:fill="FFFFFF"/>
        </w:rPr>
        <w:t xml:space="preserve">Brown J.; Wiggins J.; </w:t>
      </w:r>
      <w:proofErr w:type="spellStart"/>
      <w:r w:rsidRPr="00B908AD">
        <w:rPr>
          <w:color w:val="000000" w:themeColor="text1"/>
          <w:shd w:val="clear" w:color="auto" w:fill="FFFFFF"/>
        </w:rPr>
        <w:t>Lansdall</w:t>
      </w:r>
      <w:proofErr w:type="spellEnd"/>
      <w:r w:rsidRPr="00B908AD">
        <w:rPr>
          <w:color w:val="000000" w:themeColor="text1"/>
          <w:shd w:val="clear" w:color="auto" w:fill="FFFFFF"/>
        </w:rPr>
        <w:t xml:space="preserve"> C.J. et al. Test Your Memory: diagnostic evaluation of patients with non-Alzheimer dementias. J </w:t>
      </w:r>
      <w:proofErr w:type="spellStart"/>
      <w:r w:rsidRPr="00B908AD">
        <w:rPr>
          <w:color w:val="000000" w:themeColor="text1"/>
          <w:shd w:val="clear" w:color="auto" w:fill="FFFFFF"/>
        </w:rPr>
        <w:t>Neurol</w:t>
      </w:r>
      <w:proofErr w:type="spellEnd"/>
      <w:r w:rsidRPr="00B908AD">
        <w:rPr>
          <w:color w:val="000000" w:themeColor="text1"/>
          <w:shd w:val="clear" w:color="auto" w:fill="FFFFFF"/>
        </w:rPr>
        <w:t xml:space="preserve"> 2019.</w:t>
      </w:r>
    </w:p>
    <w:p w14:paraId="418A7644" w14:textId="77777777" w:rsidR="00360744" w:rsidRPr="00F65525" w:rsidRDefault="00360744" w:rsidP="00360744">
      <w:pPr>
        <w:pStyle w:val="ListParagraph"/>
        <w:numPr>
          <w:ilvl w:val="0"/>
          <w:numId w:val="3"/>
        </w:numPr>
        <w:spacing w:line="480" w:lineRule="auto"/>
        <w:ind w:left="567" w:hanging="567"/>
        <w:rPr>
          <w:color w:val="000000" w:themeColor="text1"/>
        </w:rPr>
      </w:pPr>
      <w:proofErr w:type="spellStart"/>
      <w:r w:rsidRPr="00F65525">
        <w:t>Matser</w:t>
      </w:r>
      <w:proofErr w:type="spellEnd"/>
      <w:r w:rsidRPr="00F65525">
        <w:t xml:space="preserve">, J., </w:t>
      </w:r>
      <w:proofErr w:type="spellStart"/>
      <w:r w:rsidRPr="00F65525">
        <w:t>Kessels</w:t>
      </w:r>
      <w:proofErr w:type="spellEnd"/>
      <w:r w:rsidRPr="00F65525">
        <w:t xml:space="preserve">, A., Jordan, B., </w:t>
      </w:r>
      <w:proofErr w:type="spellStart"/>
      <w:r w:rsidRPr="00F65525">
        <w:t>Lezak</w:t>
      </w:r>
      <w:proofErr w:type="spellEnd"/>
      <w:r w:rsidRPr="00F65525">
        <w:t xml:space="preserve">, M., and Troost, </w:t>
      </w:r>
      <w:proofErr w:type="gramStart"/>
      <w:r w:rsidRPr="00F65525">
        <w:t xml:space="preserve">J.  </w:t>
      </w:r>
      <w:proofErr w:type="gramEnd"/>
      <w:r w:rsidRPr="00F65525">
        <w:t>(1998)</w:t>
      </w:r>
      <w:proofErr w:type="gramStart"/>
      <w:r w:rsidRPr="00F65525">
        <w:t xml:space="preserve">.  </w:t>
      </w:r>
      <w:proofErr w:type="gramEnd"/>
      <w:r w:rsidRPr="00F65525">
        <w:t>Chronic traumatic brain injury in professional football players</w:t>
      </w:r>
      <w:proofErr w:type="gramStart"/>
      <w:r w:rsidRPr="00F65525">
        <w:t xml:space="preserve">.  </w:t>
      </w:r>
      <w:proofErr w:type="gramEnd"/>
      <w:r w:rsidRPr="00F65525">
        <w:rPr>
          <w:i/>
          <w:iCs/>
        </w:rPr>
        <w:t>Neurology</w:t>
      </w:r>
      <w:r w:rsidRPr="00F65525">
        <w:t xml:space="preserve">, </w:t>
      </w:r>
      <w:r w:rsidRPr="00F65525">
        <w:rPr>
          <w:i/>
          <w:iCs/>
        </w:rPr>
        <w:t>51</w:t>
      </w:r>
      <w:r w:rsidRPr="00F65525">
        <w:t>, 791–796.</w:t>
      </w:r>
    </w:p>
    <w:p w14:paraId="77E7DB47" w14:textId="77777777" w:rsidR="00360744" w:rsidRPr="00F65525" w:rsidRDefault="00360744" w:rsidP="00360744">
      <w:pPr>
        <w:pStyle w:val="ListParagraph"/>
        <w:numPr>
          <w:ilvl w:val="0"/>
          <w:numId w:val="3"/>
        </w:numPr>
        <w:spacing w:line="480" w:lineRule="auto"/>
        <w:ind w:left="567" w:hanging="567"/>
        <w:rPr>
          <w:color w:val="000000" w:themeColor="text1"/>
        </w:rPr>
      </w:pPr>
      <w:proofErr w:type="spellStart"/>
      <w:r w:rsidRPr="00F65525">
        <w:t>Matser</w:t>
      </w:r>
      <w:proofErr w:type="spellEnd"/>
      <w:r w:rsidRPr="00F65525">
        <w:t xml:space="preserve">, J., </w:t>
      </w:r>
      <w:proofErr w:type="spellStart"/>
      <w:r w:rsidRPr="00F65525">
        <w:t>Kessels</w:t>
      </w:r>
      <w:proofErr w:type="spellEnd"/>
      <w:r w:rsidRPr="00F65525">
        <w:t xml:space="preserve">, A., Jordan, B., </w:t>
      </w:r>
      <w:proofErr w:type="spellStart"/>
      <w:r w:rsidRPr="00F65525">
        <w:t>Lezak</w:t>
      </w:r>
      <w:proofErr w:type="spellEnd"/>
      <w:r w:rsidRPr="00F65525">
        <w:t xml:space="preserve">, M., &amp; Troost, </w:t>
      </w:r>
      <w:proofErr w:type="gramStart"/>
      <w:r w:rsidRPr="00F65525">
        <w:t xml:space="preserve">J.  </w:t>
      </w:r>
      <w:proofErr w:type="gramEnd"/>
      <w:r w:rsidRPr="00F65525">
        <w:t>(1999)</w:t>
      </w:r>
      <w:proofErr w:type="gramStart"/>
      <w:r w:rsidRPr="00F65525">
        <w:t xml:space="preserve">.  </w:t>
      </w:r>
      <w:proofErr w:type="gramEnd"/>
      <w:r w:rsidRPr="00F65525">
        <w:t>Neuropsychological impairment in amateur football players</w:t>
      </w:r>
      <w:proofErr w:type="gramStart"/>
      <w:r w:rsidRPr="00F65525">
        <w:t xml:space="preserve">.  </w:t>
      </w:r>
      <w:proofErr w:type="gramEnd"/>
      <w:r w:rsidRPr="00F65525">
        <w:rPr>
          <w:i/>
          <w:iCs/>
        </w:rPr>
        <w:t>JAMA</w:t>
      </w:r>
      <w:r w:rsidRPr="00F65525">
        <w:t xml:space="preserve">, </w:t>
      </w:r>
      <w:r w:rsidRPr="00F65525">
        <w:rPr>
          <w:i/>
          <w:iCs/>
        </w:rPr>
        <w:t>282</w:t>
      </w:r>
      <w:r w:rsidRPr="00F65525">
        <w:t>, 971–973.</w:t>
      </w:r>
    </w:p>
    <w:p w14:paraId="14D42510" w14:textId="77777777" w:rsidR="00360744" w:rsidRPr="00F65525" w:rsidRDefault="00360744" w:rsidP="00360744">
      <w:pPr>
        <w:pStyle w:val="ListParagraph"/>
        <w:numPr>
          <w:ilvl w:val="0"/>
          <w:numId w:val="3"/>
        </w:numPr>
        <w:spacing w:line="480" w:lineRule="auto"/>
        <w:ind w:left="567" w:hanging="567"/>
        <w:rPr>
          <w:color w:val="000000" w:themeColor="text1"/>
        </w:rPr>
      </w:pPr>
      <w:proofErr w:type="spellStart"/>
      <w:r w:rsidRPr="00F65525">
        <w:t>Matser</w:t>
      </w:r>
      <w:proofErr w:type="spellEnd"/>
      <w:r w:rsidRPr="00F65525">
        <w:t>, J.,</w:t>
      </w:r>
      <w:proofErr w:type="spellStart"/>
      <w:r w:rsidRPr="00F65525">
        <w:t>Kessels</w:t>
      </w:r>
      <w:proofErr w:type="spellEnd"/>
      <w:r w:rsidRPr="00F65525">
        <w:t xml:space="preserve">, A., </w:t>
      </w:r>
      <w:proofErr w:type="spellStart"/>
      <w:r w:rsidRPr="00F65525">
        <w:t>Lezak</w:t>
      </w:r>
      <w:proofErr w:type="spellEnd"/>
      <w:r w:rsidRPr="00F65525">
        <w:t>, M., and Troost, J. (2001)</w:t>
      </w:r>
      <w:proofErr w:type="gramStart"/>
      <w:r w:rsidRPr="00F65525">
        <w:t xml:space="preserve">.  </w:t>
      </w:r>
      <w:proofErr w:type="spellStart"/>
      <w:proofErr w:type="gramEnd"/>
      <w:r w:rsidRPr="00F65525">
        <w:t>Adose</w:t>
      </w:r>
      <w:proofErr w:type="spellEnd"/>
      <w:r w:rsidRPr="00F65525">
        <w:t>–response relation of headers and concussions with cognitive impairment in professional soccer players</w:t>
      </w:r>
      <w:proofErr w:type="gramStart"/>
      <w:r w:rsidRPr="00F65525">
        <w:t xml:space="preserve">.  </w:t>
      </w:r>
      <w:proofErr w:type="gramEnd"/>
      <w:r w:rsidRPr="00F65525">
        <w:rPr>
          <w:i/>
          <w:iCs/>
        </w:rPr>
        <w:t>Journal of Clinical &amp; Experimental Neuropsychology, 23</w:t>
      </w:r>
      <w:r w:rsidRPr="00F65525">
        <w:t>, 770–774.</w:t>
      </w:r>
    </w:p>
    <w:p w14:paraId="299E8A71" w14:textId="77777777" w:rsidR="00360744" w:rsidRPr="00F65525" w:rsidRDefault="00360744" w:rsidP="00360744">
      <w:pPr>
        <w:pStyle w:val="ListParagraph"/>
        <w:numPr>
          <w:ilvl w:val="0"/>
          <w:numId w:val="3"/>
        </w:numPr>
        <w:spacing w:line="480" w:lineRule="auto"/>
        <w:ind w:left="567" w:hanging="567"/>
        <w:rPr>
          <w:color w:val="000000" w:themeColor="text1"/>
        </w:rPr>
      </w:pPr>
      <w:proofErr w:type="spellStart"/>
      <w:r w:rsidRPr="00F65525">
        <w:rPr>
          <w:color w:val="222222"/>
          <w:shd w:val="clear" w:color="auto" w:fill="FFFFFF"/>
        </w:rPr>
        <w:t>Witol</w:t>
      </w:r>
      <w:proofErr w:type="spellEnd"/>
      <w:r w:rsidRPr="00F65525">
        <w:rPr>
          <w:color w:val="222222"/>
          <w:shd w:val="clear" w:color="auto" w:fill="FFFFFF"/>
        </w:rPr>
        <w:t xml:space="preserve">, A. D., &amp; </w:t>
      </w:r>
      <w:proofErr w:type="spellStart"/>
      <w:r w:rsidRPr="00F65525">
        <w:rPr>
          <w:color w:val="222222"/>
          <w:shd w:val="clear" w:color="auto" w:fill="FFFFFF"/>
        </w:rPr>
        <w:t>Webbe</w:t>
      </w:r>
      <w:proofErr w:type="spellEnd"/>
      <w:r w:rsidRPr="00F65525">
        <w:rPr>
          <w:color w:val="222222"/>
          <w:shd w:val="clear" w:color="auto" w:fill="FFFFFF"/>
        </w:rPr>
        <w:t>, F. M. (2003). Soccer heading frequency predicts neuropsychological deficits. </w:t>
      </w:r>
      <w:r w:rsidRPr="00F65525">
        <w:rPr>
          <w:i/>
          <w:iCs/>
          <w:color w:val="222222"/>
          <w:shd w:val="clear" w:color="auto" w:fill="FFFFFF"/>
        </w:rPr>
        <w:t>Archives of Clinical Neuropsychology</w:t>
      </w:r>
      <w:r w:rsidRPr="00F65525">
        <w:rPr>
          <w:color w:val="222222"/>
          <w:shd w:val="clear" w:color="auto" w:fill="FFFFFF"/>
        </w:rPr>
        <w:t>, </w:t>
      </w:r>
      <w:r w:rsidRPr="00F65525">
        <w:rPr>
          <w:i/>
          <w:iCs/>
          <w:color w:val="222222"/>
          <w:shd w:val="clear" w:color="auto" w:fill="FFFFFF"/>
        </w:rPr>
        <w:t>18</w:t>
      </w:r>
      <w:r w:rsidRPr="00F65525">
        <w:rPr>
          <w:color w:val="222222"/>
          <w:shd w:val="clear" w:color="auto" w:fill="FFFFFF"/>
        </w:rPr>
        <w:t>(4), 397-417.</w:t>
      </w:r>
    </w:p>
    <w:p w14:paraId="3027A422" w14:textId="043C4FF9" w:rsidR="000C1C4E" w:rsidRPr="00360744" w:rsidRDefault="00360744" w:rsidP="00BB4344">
      <w:pPr>
        <w:pStyle w:val="ListParagraph"/>
        <w:numPr>
          <w:ilvl w:val="0"/>
          <w:numId w:val="3"/>
        </w:numPr>
        <w:spacing w:line="480" w:lineRule="auto"/>
        <w:ind w:left="567" w:hanging="567"/>
        <w:rPr>
          <w:color w:val="000000" w:themeColor="text1"/>
        </w:rPr>
      </w:pPr>
      <w:r w:rsidRPr="00F65525">
        <w:rPr>
          <w:color w:val="000000" w:themeColor="text1"/>
        </w:rPr>
        <w:t xml:space="preserve">Rutherford, </w:t>
      </w:r>
      <w:proofErr w:type="gramStart"/>
      <w:r w:rsidRPr="00F65525">
        <w:rPr>
          <w:color w:val="000000" w:themeColor="text1"/>
        </w:rPr>
        <w:t xml:space="preserve">A.  </w:t>
      </w:r>
      <w:proofErr w:type="gramEnd"/>
      <w:r w:rsidRPr="00F65525">
        <w:rPr>
          <w:color w:val="000000" w:themeColor="text1"/>
        </w:rPr>
        <w:t xml:space="preserve">&amp; </w:t>
      </w:r>
      <w:proofErr w:type="spellStart"/>
      <w:r w:rsidRPr="00F65525">
        <w:rPr>
          <w:color w:val="000000" w:themeColor="text1"/>
        </w:rPr>
        <w:t>Fernie</w:t>
      </w:r>
      <w:proofErr w:type="spellEnd"/>
      <w:r w:rsidRPr="00F65525">
        <w:rPr>
          <w:color w:val="000000" w:themeColor="text1"/>
        </w:rPr>
        <w:t xml:space="preserve">, </w:t>
      </w:r>
      <w:proofErr w:type="gramStart"/>
      <w:r w:rsidRPr="00F65525">
        <w:rPr>
          <w:color w:val="000000" w:themeColor="text1"/>
        </w:rPr>
        <w:t xml:space="preserve">G.  </w:t>
      </w:r>
      <w:proofErr w:type="gramEnd"/>
      <w:r w:rsidRPr="00F65525">
        <w:rPr>
          <w:color w:val="000000" w:themeColor="text1"/>
        </w:rPr>
        <w:t>(2005)</w:t>
      </w:r>
      <w:proofErr w:type="gramStart"/>
      <w:r w:rsidRPr="00F65525">
        <w:rPr>
          <w:color w:val="000000" w:themeColor="text1"/>
        </w:rPr>
        <w:t xml:space="preserve">.  </w:t>
      </w:r>
      <w:proofErr w:type="gramEnd"/>
      <w:r w:rsidRPr="00F65525">
        <w:rPr>
          <w:color w:val="000000" w:themeColor="text1"/>
        </w:rPr>
        <w:t>The accuracy of footballers' estimations of their own heading frequency</w:t>
      </w:r>
      <w:proofErr w:type="gramStart"/>
      <w:r w:rsidRPr="00F65525">
        <w:rPr>
          <w:color w:val="000000" w:themeColor="text1"/>
        </w:rPr>
        <w:t xml:space="preserve">.  </w:t>
      </w:r>
      <w:proofErr w:type="gramEnd"/>
      <w:r w:rsidRPr="00F65525">
        <w:rPr>
          <w:i/>
          <w:iCs/>
          <w:color w:val="000000" w:themeColor="text1"/>
        </w:rPr>
        <w:t>Applied Cognitive Psychology,</w:t>
      </w:r>
      <w:r w:rsidRPr="00F65525">
        <w:rPr>
          <w:color w:val="000000" w:themeColor="text1"/>
        </w:rPr>
        <w:t xml:space="preserve"> 19(4), 477-487</w:t>
      </w:r>
      <w:proofErr w:type="gramStart"/>
      <w:r w:rsidRPr="00F65525">
        <w:rPr>
          <w:color w:val="000000" w:themeColor="text1"/>
        </w:rPr>
        <w:t xml:space="preserve">.  </w:t>
      </w:r>
      <w:proofErr w:type="gramEnd"/>
      <w:r w:rsidRPr="00F65525">
        <w:rPr>
          <w:color w:val="000000" w:themeColor="text1"/>
        </w:rPr>
        <w:t>DOI: 10.1002/acp.1091.</w:t>
      </w:r>
      <w:r w:rsidR="00CA6F56" w:rsidRPr="00360744">
        <w:rPr>
          <w:color w:val="000000" w:themeColor="text1"/>
        </w:rPr>
        <w:br w:type="page"/>
      </w:r>
    </w:p>
    <w:p w14:paraId="0C952E1E" w14:textId="1DAFFD61" w:rsidR="00F4481A" w:rsidRPr="00B908AD" w:rsidRDefault="000C1C4E" w:rsidP="00F4481A">
      <w:pPr>
        <w:spacing w:line="480" w:lineRule="auto"/>
        <w:rPr>
          <w:b/>
          <w:bCs/>
          <w:color w:val="000000" w:themeColor="text1"/>
        </w:rPr>
      </w:pPr>
      <w:r w:rsidRPr="00B908AD">
        <w:rPr>
          <w:b/>
          <w:bCs/>
          <w:color w:val="000000" w:themeColor="text1"/>
        </w:rPr>
        <w:lastRenderedPageBreak/>
        <w:t>Figure 1</w:t>
      </w:r>
    </w:p>
    <w:p w14:paraId="43A5EFB0" w14:textId="4FE8FE77" w:rsidR="00964B4A" w:rsidRDefault="00DE1E73" w:rsidP="001619E7">
      <w:pPr>
        <w:spacing w:line="480" w:lineRule="auto"/>
        <w:rPr>
          <w:color w:val="000000" w:themeColor="text1"/>
        </w:rPr>
      </w:pPr>
      <w:r w:rsidRPr="00B908AD">
        <w:rPr>
          <w:color w:val="000000" w:themeColor="text1"/>
        </w:rPr>
        <w:t xml:space="preserve">Plot of </w:t>
      </w:r>
      <w:r w:rsidR="00511B66">
        <w:rPr>
          <w:color w:val="000000" w:themeColor="text1"/>
        </w:rPr>
        <w:t xml:space="preserve">the </w:t>
      </w:r>
      <w:r w:rsidRPr="00B908AD">
        <w:rPr>
          <w:color w:val="000000" w:themeColor="text1"/>
        </w:rPr>
        <w:t xml:space="preserve">TYM score (Y-axis) and </w:t>
      </w:r>
      <w:r w:rsidR="00511B66">
        <w:rPr>
          <w:color w:val="000000" w:themeColor="text1"/>
        </w:rPr>
        <w:t xml:space="preserve">the </w:t>
      </w:r>
      <w:r w:rsidR="000534BA" w:rsidRPr="00B908AD">
        <w:rPr>
          <w:color w:val="000000" w:themeColor="text1"/>
        </w:rPr>
        <w:t xml:space="preserve">estimated </w:t>
      </w:r>
      <w:r w:rsidRPr="00B908AD">
        <w:rPr>
          <w:color w:val="000000" w:themeColor="text1"/>
        </w:rPr>
        <w:t>total career headers (X-axis).</w:t>
      </w:r>
    </w:p>
    <w:p w14:paraId="3876F8AB" w14:textId="77777777" w:rsidR="00964B4A" w:rsidRDefault="00964B4A" w:rsidP="001619E7">
      <w:pPr>
        <w:spacing w:line="480" w:lineRule="auto"/>
        <w:rPr>
          <w:color w:val="000000" w:themeColor="text1"/>
        </w:rPr>
      </w:pPr>
    </w:p>
    <w:p w14:paraId="20091A7D" w14:textId="4DA81121" w:rsidR="009D2132" w:rsidRPr="001619E7" w:rsidRDefault="00373B8F" w:rsidP="001619E7">
      <w:pPr>
        <w:spacing w:line="480" w:lineRule="auto"/>
        <w:rPr>
          <w:color w:val="000000" w:themeColor="text1"/>
        </w:rPr>
      </w:pPr>
      <w:r>
        <w:rPr>
          <w:noProof/>
          <w:color w:val="000000" w:themeColor="text1"/>
        </w:rPr>
        <w:drawing>
          <wp:inline distT="0" distB="0" distL="0" distR="0" wp14:anchorId="3E4EE162" wp14:editId="6888CFC5">
            <wp:extent cx="5731510" cy="3614420"/>
            <wp:effectExtent l="0" t="0" r="0" b="5080"/>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614420"/>
                    </a:xfrm>
                    <a:prstGeom prst="rect">
                      <a:avLst/>
                    </a:prstGeom>
                  </pic:spPr>
                </pic:pic>
              </a:graphicData>
            </a:graphic>
          </wp:inline>
        </w:drawing>
      </w:r>
    </w:p>
    <w:sectPr w:rsidR="009D2132" w:rsidRPr="001619E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69A9" w14:textId="77777777" w:rsidR="00D511FD" w:rsidRDefault="00D511FD" w:rsidP="00A85878">
      <w:r>
        <w:separator/>
      </w:r>
    </w:p>
  </w:endnote>
  <w:endnote w:type="continuationSeparator" w:id="0">
    <w:p w14:paraId="4A3713D6" w14:textId="77777777" w:rsidR="00D511FD" w:rsidRDefault="00D511FD" w:rsidP="00A85878">
      <w:r>
        <w:continuationSeparator/>
      </w:r>
    </w:p>
  </w:endnote>
  <w:endnote w:type="continuationNotice" w:id="1">
    <w:p w14:paraId="3F0BE1C7" w14:textId="77777777" w:rsidR="00D511FD" w:rsidRDefault="00D51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5412" w14:textId="77777777" w:rsidR="00D511FD" w:rsidRDefault="00D511FD" w:rsidP="00A85878">
      <w:r>
        <w:separator/>
      </w:r>
    </w:p>
  </w:footnote>
  <w:footnote w:type="continuationSeparator" w:id="0">
    <w:p w14:paraId="64D0D2CC" w14:textId="77777777" w:rsidR="00D511FD" w:rsidRDefault="00D511FD" w:rsidP="00A85878">
      <w:r>
        <w:continuationSeparator/>
      </w:r>
    </w:p>
  </w:footnote>
  <w:footnote w:type="continuationNotice" w:id="1">
    <w:p w14:paraId="6FF43920" w14:textId="77777777" w:rsidR="00D511FD" w:rsidRDefault="00D51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1E56" w14:textId="32D502E5" w:rsidR="00A85878" w:rsidRDefault="00C12C73">
    <w:pPr>
      <w:pStyle w:val="Header"/>
    </w:pPr>
    <w:r>
      <w:t>Cognition and Heading Frequency</w:t>
    </w:r>
  </w:p>
  <w:p w14:paraId="62714C5F" w14:textId="77777777" w:rsidR="00A85878" w:rsidRDefault="00A85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F0E"/>
    <w:multiLevelType w:val="hybridMultilevel"/>
    <w:tmpl w:val="DABE6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525168"/>
    <w:multiLevelType w:val="hybridMultilevel"/>
    <w:tmpl w:val="6D1C39D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500B0C76"/>
    <w:multiLevelType w:val="hybridMultilevel"/>
    <w:tmpl w:val="88FCC91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B7C55"/>
    <w:multiLevelType w:val="hybridMultilevel"/>
    <w:tmpl w:val="3A3A0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FD79CA"/>
    <w:multiLevelType w:val="hybridMultilevel"/>
    <w:tmpl w:val="88FC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FF"/>
    <w:rsid w:val="000004C4"/>
    <w:rsid w:val="00003CCC"/>
    <w:rsid w:val="00005098"/>
    <w:rsid w:val="00007083"/>
    <w:rsid w:val="000128F7"/>
    <w:rsid w:val="000129FF"/>
    <w:rsid w:val="00014F3D"/>
    <w:rsid w:val="00017869"/>
    <w:rsid w:val="00021475"/>
    <w:rsid w:val="00021E42"/>
    <w:rsid w:val="00022EC0"/>
    <w:rsid w:val="000233A6"/>
    <w:rsid w:val="00023E43"/>
    <w:rsid w:val="00024070"/>
    <w:rsid w:val="00025B2C"/>
    <w:rsid w:val="00027524"/>
    <w:rsid w:val="00027F8B"/>
    <w:rsid w:val="0003133D"/>
    <w:rsid w:val="00033719"/>
    <w:rsid w:val="00033CA2"/>
    <w:rsid w:val="00033F21"/>
    <w:rsid w:val="000362D9"/>
    <w:rsid w:val="000371D2"/>
    <w:rsid w:val="00040C83"/>
    <w:rsid w:val="00042359"/>
    <w:rsid w:val="000452B2"/>
    <w:rsid w:val="000466EC"/>
    <w:rsid w:val="0004752D"/>
    <w:rsid w:val="00047548"/>
    <w:rsid w:val="0005158D"/>
    <w:rsid w:val="0005190B"/>
    <w:rsid w:val="00051B21"/>
    <w:rsid w:val="000534BA"/>
    <w:rsid w:val="00053F4D"/>
    <w:rsid w:val="00061A0B"/>
    <w:rsid w:val="00063A4C"/>
    <w:rsid w:val="000663CA"/>
    <w:rsid w:val="00070813"/>
    <w:rsid w:val="0007585D"/>
    <w:rsid w:val="00075ED3"/>
    <w:rsid w:val="000764A2"/>
    <w:rsid w:val="000801BB"/>
    <w:rsid w:val="00083B9C"/>
    <w:rsid w:val="00087FCF"/>
    <w:rsid w:val="00090F37"/>
    <w:rsid w:val="00097336"/>
    <w:rsid w:val="000A07EC"/>
    <w:rsid w:val="000A17FC"/>
    <w:rsid w:val="000A35B2"/>
    <w:rsid w:val="000A5200"/>
    <w:rsid w:val="000A58B8"/>
    <w:rsid w:val="000A5ECE"/>
    <w:rsid w:val="000A7208"/>
    <w:rsid w:val="000A7246"/>
    <w:rsid w:val="000A7559"/>
    <w:rsid w:val="000A77DB"/>
    <w:rsid w:val="000B1862"/>
    <w:rsid w:val="000B1F9B"/>
    <w:rsid w:val="000B2A53"/>
    <w:rsid w:val="000B38B8"/>
    <w:rsid w:val="000B469C"/>
    <w:rsid w:val="000C1C4E"/>
    <w:rsid w:val="000C3C64"/>
    <w:rsid w:val="000C6769"/>
    <w:rsid w:val="000C7223"/>
    <w:rsid w:val="000C7702"/>
    <w:rsid w:val="000D0217"/>
    <w:rsid w:val="000D0D4F"/>
    <w:rsid w:val="000D1FC4"/>
    <w:rsid w:val="000D3661"/>
    <w:rsid w:val="000E113C"/>
    <w:rsid w:val="000E3DD1"/>
    <w:rsid w:val="000E3FBC"/>
    <w:rsid w:val="000E4D66"/>
    <w:rsid w:val="000E66E0"/>
    <w:rsid w:val="000E6FA2"/>
    <w:rsid w:val="000F091A"/>
    <w:rsid w:val="000F148A"/>
    <w:rsid w:val="000F205E"/>
    <w:rsid w:val="000F3DE7"/>
    <w:rsid w:val="000F7008"/>
    <w:rsid w:val="001056FB"/>
    <w:rsid w:val="001079BA"/>
    <w:rsid w:val="00112685"/>
    <w:rsid w:val="00114E6D"/>
    <w:rsid w:val="00117D1A"/>
    <w:rsid w:val="00124E3F"/>
    <w:rsid w:val="0012564B"/>
    <w:rsid w:val="00130942"/>
    <w:rsid w:val="00132981"/>
    <w:rsid w:val="00133793"/>
    <w:rsid w:val="00134B0B"/>
    <w:rsid w:val="001356AC"/>
    <w:rsid w:val="00136D82"/>
    <w:rsid w:val="00136E29"/>
    <w:rsid w:val="00140CA4"/>
    <w:rsid w:val="00140D63"/>
    <w:rsid w:val="0014125F"/>
    <w:rsid w:val="00143630"/>
    <w:rsid w:val="00144CDC"/>
    <w:rsid w:val="001467AF"/>
    <w:rsid w:val="001475F4"/>
    <w:rsid w:val="0015019C"/>
    <w:rsid w:val="00150BEC"/>
    <w:rsid w:val="0015121B"/>
    <w:rsid w:val="00152297"/>
    <w:rsid w:val="00153C52"/>
    <w:rsid w:val="00153D97"/>
    <w:rsid w:val="00154DC4"/>
    <w:rsid w:val="001569E8"/>
    <w:rsid w:val="0015719E"/>
    <w:rsid w:val="00160103"/>
    <w:rsid w:val="00160B98"/>
    <w:rsid w:val="00160C13"/>
    <w:rsid w:val="001619E7"/>
    <w:rsid w:val="00164029"/>
    <w:rsid w:val="0016676E"/>
    <w:rsid w:val="00171056"/>
    <w:rsid w:val="00171C48"/>
    <w:rsid w:val="00172825"/>
    <w:rsid w:val="00182081"/>
    <w:rsid w:val="0018406C"/>
    <w:rsid w:val="00186588"/>
    <w:rsid w:val="0018747B"/>
    <w:rsid w:val="001876A6"/>
    <w:rsid w:val="00191D72"/>
    <w:rsid w:val="00191E5B"/>
    <w:rsid w:val="00194CDF"/>
    <w:rsid w:val="0019573B"/>
    <w:rsid w:val="001A065D"/>
    <w:rsid w:val="001A2332"/>
    <w:rsid w:val="001B02C5"/>
    <w:rsid w:val="001B53C2"/>
    <w:rsid w:val="001B57B2"/>
    <w:rsid w:val="001B5980"/>
    <w:rsid w:val="001B5F58"/>
    <w:rsid w:val="001B733A"/>
    <w:rsid w:val="001C04DF"/>
    <w:rsid w:val="001C0624"/>
    <w:rsid w:val="001C1E95"/>
    <w:rsid w:val="001C50E9"/>
    <w:rsid w:val="001C564A"/>
    <w:rsid w:val="001C6651"/>
    <w:rsid w:val="001C6898"/>
    <w:rsid w:val="001C7224"/>
    <w:rsid w:val="001C7537"/>
    <w:rsid w:val="001D0816"/>
    <w:rsid w:val="001D08E8"/>
    <w:rsid w:val="001D259E"/>
    <w:rsid w:val="001D264B"/>
    <w:rsid w:val="001D724C"/>
    <w:rsid w:val="001E0150"/>
    <w:rsid w:val="001E69F5"/>
    <w:rsid w:val="001F06C1"/>
    <w:rsid w:val="001F1BAC"/>
    <w:rsid w:val="001F2E15"/>
    <w:rsid w:val="001F43F1"/>
    <w:rsid w:val="0020049F"/>
    <w:rsid w:val="0020431D"/>
    <w:rsid w:val="00204367"/>
    <w:rsid w:val="00205D66"/>
    <w:rsid w:val="00206140"/>
    <w:rsid w:val="00210FF1"/>
    <w:rsid w:val="00212DD4"/>
    <w:rsid w:val="00214E5B"/>
    <w:rsid w:val="00215A13"/>
    <w:rsid w:val="00221476"/>
    <w:rsid w:val="00224607"/>
    <w:rsid w:val="00231960"/>
    <w:rsid w:val="00233321"/>
    <w:rsid w:val="00234061"/>
    <w:rsid w:val="002354DD"/>
    <w:rsid w:val="0023634C"/>
    <w:rsid w:val="002367E6"/>
    <w:rsid w:val="0024447A"/>
    <w:rsid w:val="00245987"/>
    <w:rsid w:val="0026447B"/>
    <w:rsid w:val="00267A65"/>
    <w:rsid w:val="00275327"/>
    <w:rsid w:val="00275328"/>
    <w:rsid w:val="00275351"/>
    <w:rsid w:val="00275EB5"/>
    <w:rsid w:val="00282061"/>
    <w:rsid w:val="00283E1E"/>
    <w:rsid w:val="00285C31"/>
    <w:rsid w:val="00286BC4"/>
    <w:rsid w:val="00290A2E"/>
    <w:rsid w:val="00290A52"/>
    <w:rsid w:val="00292025"/>
    <w:rsid w:val="00292195"/>
    <w:rsid w:val="002A35A1"/>
    <w:rsid w:val="002A4F02"/>
    <w:rsid w:val="002A7604"/>
    <w:rsid w:val="002B0849"/>
    <w:rsid w:val="002B1352"/>
    <w:rsid w:val="002B37BF"/>
    <w:rsid w:val="002B40D1"/>
    <w:rsid w:val="002B43BB"/>
    <w:rsid w:val="002B5FCB"/>
    <w:rsid w:val="002B77E8"/>
    <w:rsid w:val="002B7C03"/>
    <w:rsid w:val="002C0EB7"/>
    <w:rsid w:val="002C3A8B"/>
    <w:rsid w:val="002C417C"/>
    <w:rsid w:val="002C6380"/>
    <w:rsid w:val="002C7D54"/>
    <w:rsid w:val="002C7E91"/>
    <w:rsid w:val="002D2526"/>
    <w:rsid w:val="002D41CA"/>
    <w:rsid w:val="002D57B6"/>
    <w:rsid w:val="002E4D87"/>
    <w:rsid w:val="002E5386"/>
    <w:rsid w:val="002E6AE4"/>
    <w:rsid w:val="002F1BE1"/>
    <w:rsid w:val="002F2CBE"/>
    <w:rsid w:val="002F34A4"/>
    <w:rsid w:val="002F441D"/>
    <w:rsid w:val="002F510D"/>
    <w:rsid w:val="002F51AA"/>
    <w:rsid w:val="002F51E8"/>
    <w:rsid w:val="002F6B18"/>
    <w:rsid w:val="003007B3"/>
    <w:rsid w:val="00300CAD"/>
    <w:rsid w:val="0030426F"/>
    <w:rsid w:val="00304592"/>
    <w:rsid w:val="00304885"/>
    <w:rsid w:val="003054A0"/>
    <w:rsid w:val="00306CF8"/>
    <w:rsid w:val="00310388"/>
    <w:rsid w:val="00312090"/>
    <w:rsid w:val="00313B51"/>
    <w:rsid w:val="00314BE0"/>
    <w:rsid w:val="00315F35"/>
    <w:rsid w:val="0031630A"/>
    <w:rsid w:val="00321D91"/>
    <w:rsid w:val="003222DE"/>
    <w:rsid w:val="00322B77"/>
    <w:rsid w:val="003241EF"/>
    <w:rsid w:val="00324A3D"/>
    <w:rsid w:val="00325FD0"/>
    <w:rsid w:val="00326B12"/>
    <w:rsid w:val="003276BB"/>
    <w:rsid w:val="003300FF"/>
    <w:rsid w:val="0033657D"/>
    <w:rsid w:val="00337FB3"/>
    <w:rsid w:val="003420FB"/>
    <w:rsid w:val="00342DE4"/>
    <w:rsid w:val="00343147"/>
    <w:rsid w:val="00343533"/>
    <w:rsid w:val="003463D3"/>
    <w:rsid w:val="00346D70"/>
    <w:rsid w:val="00350991"/>
    <w:rsid w:val="00350D6D"/>
    <w:rsid w:val="003514BE"/>
    <w:rsid w:val="00353A1B"/>
    <w:rsid w:val="003542B3"/>
    <w:rsid w:val="00360744"/>
    <w:rsid w:val="00360B67"/>
    <w:rsid w:val="003644CD"/>
    <w:rsid w:val="00364E40"/>
    <w:rsid w:val="00367C13"/>
    <w:rsid w:val="00367D84"/>
    <w:rsid w:val="00370CBE"/>
    <w:rsid w:val="003718FC"/>
    <w:rsid w:val="00371A24"/>
    <w:rsid w:val="00371F43"/>
    <w:rsid w:val="00373B8F"/>
    <w:rsid w:val="003743B3"/>
    <w:rsid w:val="00375526"/>
    <w:rsid w:val="00375836"/>
    <w:rsid w:val="0038069F"/>
    <w:rsid w:val="00381B14"/>
    <w:rsid w:val="00382229"/>
    <w:rsid w:val="003834DF"/>
    <w:rsid w:val="00390C03"/>
    <w:rsid w:val="0039315B"/>
    <w:rsid w:val="00393FB1"/>
    <w:rsid w:val="003940A9"/>
    <w:rsid w:val="00394763"/>
    <w:rsid w:val="00396B43"/>
    <w:rsid w:val="00396B68"/>
    <w:rsid w:val="00397F93"/>
    <w:rsid w:val="003A42AD"/>
    <w:rsid w:val="003A490F"/>
    <w:rsid w:val="003A49F3"/>
    <w:rsid w:val="003A6168"/>
    <w:rsid w:val="003A6513"/>
    <w:rsid w:val="003A6D43"/>
    <w:rsid w:val="003B0C3D"/>
    <w:rsid w:val="003B1AA4"/>
    <w:rsid w:val="003B26A2"/>
    <w:rsid w:val="003B3F6F"/>
    <w:rsid w:val="003B5878"/>
    <w:rsid w:val="003C0210"/>
    <w:rsid w:val="003C2E3A"/>
    <w:rsid w:val="003C2E4C"/>
    <w:rsid w:val="003C2EAD"/>
    <w:rsid w:val="003C5732"/>
    <w:rsid w:val="003C72EF"/>
    <w:rsid w:val="003D003B"/>
    <w:rsid w:val="003D0DE1"/>
    <w:rsid w:val="003D2DF5"/>
    <w:rsid w:val="003D3797"/>
    <w:rsid w:val="003D3CC6"/>
    <w:rsid w:val="003D60C1"/>
    <w:rsid w:val="003D6449"/>
    <w:rsid w:val="003E2D25"/>
    <w:rsid w:val="003E3519"/>
    <w:rsid w:val="003F0BED"/>
    <w:rsid w:val="003F1A33"/>
    <w:rsid w:val="003F1F77"/>
    <w:rsid w:val="003F40E5"/>
    <w:rsid w:val="003F68B9"/>
    <w:rsid w:val="003F6918"/>
    <w:rsid w:val="00400172"/>
    <w:rsid w:val="0040292D"/>
    <w:rsid w:val="00404D68"/>
    <w:rsid w:val="00404E5E"/>
    <w:rsid w:val="00406306"/>
    <w:rsid w:val="00406B53"/>
    <w:rsid w:val="004107A2"/>
    <w:rsid w:val="0041228D"/>
    <w:rsid w:val="00414BC6"/>
    <w:rsid w:val="00423BC6"/>
    <w:rsid w:val="00423E45"/>
    <w:rsid w:val="004263D9"/>
    <w:rsid w:val="00426A8C"/>
    <w:rsid w:val="004338E6"/>
    <w:rsid w:val="004348DE"/>
    <w:rsid w:val="0043638E"/>
    <w:rsid w:val="00440D4A"/>
    <w:rsid w:val="00441739"/>
    <w:rsid w:val="00447DA2"/>
    <w:rsid w:val="00450972"/>
    <w:rsid w:val="004554A2"/>
    <w:rsid w:val="00457CD3"/>
    <w:rsid w:val="00457CF6"/>
    <w:rsid w:val="00460C93"/>
    <w:rsid w:val="004628A8"/>
    <w:rsid w:val="004661CF"/>
    <w:rsid w:val="00466701"/>
    <w:rsid w:val="0046680D"/>
    <w:rsid w:val="0047511A"/>
    <w:rsid w:val="00475226"/>
    <w:rsid w:val="0047775D"/>
    <w:rsid w:val="00482585"/>
    <w:rsid w:val="004851F9"/>
    <w:rsid w:val="0048547F"/>
    <w:rsid w:val="00486156"/>
    <w:rsid w:val="00486855"/>
    <w:rsid w:val="00490D68"/>
    <w:rsid w:val="00492712"/>
    <w:rsid w:val="004927CB"/>
    <w:rsid w:val="0049347F"/>
    <w:rsid w:val="00495BFC"/>
    <w:rsid w:val="004966DF"/>
    <w:rsid w:val="004A1368"/>
    <w:rsid w:val="004A1698"/>
    <w:rsid w:val="004A3663"/>
    <w:rsid w:val="004A4489"/>
    <w:rsid w:val="004B2E73"/>
    <w:rsid w:val="004B30BC"/>
    <w:rsid w:val="004B5080"/>
    <w:rsid w:val="004B6884"/>
    <w:rsid w:val="004B6C9C"/>
    <w:rsid w:val="004C28DB"/>
    <w:rsid w:val="004C401A"/>
    <w:rsid w:val="004C43A0"/>
    <w:rsid w:val="004D0E50"/>
    <w:rsid w:val="004D3A62"/>
    <w:rsid w:val="004D3F22"/>
    <w:rsid w:val="004D7392"/>
    <w:rsid w:val="004E09CB"/>
    <w:rsid w:val="004E0C0F"/>
    <w:rsid w:val="004E43A5"/>
    <w:rsid w:val="004E5152"/>
    <w:rsid w:val="004E5D46"/>
    <w:rsid w:val="004E68E5"/>
    <w:rsid w:val="004E756F"/>
    <w:rsid w:val="004F1331"/>
    <w:rsid w:val="0050188A"/>
    <w:rsid w:val="00503BA0"/>
    <w:rsid w:val="00504F91"/>
    <w:rsid w:val="005068CC"/>
    <w:rsid w:val="0051015E"/>
    <w:rsid w:val="00511B66"/>
    <w:rsid w:val="005120BA"/>
    <w:rsid w:val="00514116"/>
    <w:rsid w:val="00517811"/>
    <w:rsid w:val="00520DED"/>
    <w:rsid w:val="00521084"/>
    <w:rsid w:val="005216FD"/>
    <w:rsid w:val="0052231D"/>
    <w:rsid w:val="005237FB"/>
    <w:rsid w:val="005248E9"/>
    <w:rsid w:val="0052668A"/>
    <w:rsid w:val="005275BC"/>
    <w:rsid w:val="00530986"/>
    <w:rsid w:val="005319CC"/>
    <w:rsid w:val="005321C3"/>
    <w:rsid w:val="00532264"/>
    <w:rsid w:val="0053588B"/>
    <w:rsid w:val="00536A23"/>
    <w:rsid w:val="00540FD8"/>
    <w:rsid w:val="00542C59"/>
    <w:rsid w:val="00542EA1"/>
    <w:rsid w:val="0054409F"/>
    <w:rsid w:val="005453D9"/>
    <w:rsid w:val="00545CC9"/>
    <w:rsid w:val="00550C8E"/>
    <w:rsid w:val="0055325D"/>
    <w:rsid w:val="00553424"/>
    <w:rsid w:val="00557FD6"/>
    <w:rsid w:val="00560B98"/>
    <w:rsid w:val="00560C44"/>
    <w:rsid w:val="00563731"/>
    <w:rsid w:val="005648AC"/>
    <w:rsid w:val="00564A56"/>
    <w:rsid w:val="00566545"/>
    <w:rsid w:val="00566A6A"/>
    <w:rsid w:val="00566EFD"/>
    <w:rsid w:val="00571984"/>
    <w:rsid w:val="0057233E"/>
    <w:rsid w:val="00574456"/>
    <w:rsid w:val="00575338"/>
    <w:rsid w:val="005763C6"/>
    <w:rsid w:val="005773AE"/>
    <w:rsid w:val="00577D2B"/>
    <w:rsid w:val="00580B72"/>
    <w:rsid w:val="0058642E"/>
    <w:rsid w:val="00586485"/>
    <w:rsid w:val="00590C44"/>
    <w:rsid w:val="0059301B"/>
    <w:rsid w:val="00595055"/>
    <w:rsid w:val="0059566F"/>
    <w:rsid w:val="00595AA8"/>
    <w:rsid w:val="005A245A"/>
    <w:rsid w:val="005A3B90"/>
    <w:rsid w:val="005A5D3C"/>
    <w:rsid w:val="005B1E73"/>
    <w:rsid w:val="005C4219"/>
    <w:rsid w:val="005C7C61"/>
    <w:rsid w:val="005D1409"/>
    <w:rsid w:val="005D203C"/>
    <w:rsid w:val="005D25FD"/>
    <w:rsid w:val="005D4544"/>
    <w:rsid w:val="005D4D13"/>
    <w:rsid w:val="005D5926"/>
    <w:rsid w:val="005D5C2F"/>
    <w:rsid w:val="005D6E07"/>
    <w:rsid w:val="005E3993"/>
    <w:rsid w:val="005E5A87"/>
    <w:rsid w:val="005E752B"/>
    <w:rsid w:val="005F16A2"/>
    <w:rsid w:val="005F3621"/>
    <w:rsid w:val="005F700B"/>
    <w:rsid w:val="005F72D5"/>
    <w:rsid w:val="0060018B"/>
    <w:rsid w:val="006012FD"/>
    <w:rsid w:val="00606A5A"/>
    <w:rsid w:val="00610BB2"/>
    <w:rsid w:val="006115C0"/>
    <w:rsid w:val="00611B3C"/>
    <w:rsid w:val="00611E37"/>
    <w:rsid w:val="006134A1"/>
    <w:rsid w:val="00614677"/>
    <w:rsid w:val="00616F7E"/>
    <w:rsid w:val="00630611"/>
    <w:rsid w:val="00632080"/>
    <w:rsid w:val="006330A4"/>
    <w:rsid w:val="00634EE9"/>
    <w:rsid w:val="00635351"/>
    <w:rsid w:val="00635643"/>
    <w:rsid w:val="00640E70"/>
    <w:rsid w:val="00642490"/>
    <w:rsid w:val="00645AAB"/>
    <w:rsid w:val="00646AB9"/>
    <w:rsid w:val="00650634"/>
    <w:rsid w:val="00650D7C"/>
    <w:rsid w:val="00652AEF"/>
    <w:rsid w:val="00654763"/>
    <w:rsid w:val="00656D34"/>
    <w:rsid w:val="00661943"/>
    <w:rsid w:val="00665334"/>
    <w:rsid w:val="00665D26"/>
    <w:rsid w:val="00670D3F"/>
    <w:rsid w:val="00671223"/>
    <w:rsid w:val="0067334D"/>
    <w:rsid w:val="006750E5"/>
    <w:rsid w:val="00675ADB"/>
    <w:rsid w:val="006761FC"/>
    <w:rsid w:val="00676A07"/>
    <w:rsid w:val="00677FB8"/>
    <w:rsid w:val="00680BE0"/>
    <w:rsid w:val="006846E0"/>
    <w:rsid w:val="00684F4A"/>
    <w:rsid w:val="00685DEB"/>
    <w:rsid w:val="00687391"/>
    <w:rsid w:val="006935E3"/>
    <w:rsid w:val="006A085B"/>
    <w:rsid w:val="006A3F70"/>
    <w:rsid w:val="006A4610"/>
    <w:rsid w:val="006A46D0"/>
    <w:rsid w:val="006B0678"/>
    <w:rsid w:val="006B2840"/>
    <w:rsid w:val="006B45FC"/>
    <w:rsid w:val="006B651A"/>
    <w:rsid w:val="006C0880"/>
    <w:rsid w:val="006C74F8"/>
    <w:rsid w:val="006C76BD"/>
    <w:rsid w:val="006C7715"/>
    <w:rsid w:val="006D1780"/>
    <w:rsid w:val="006D1C60"/>
    <w:rsid w:val="006D23B1"/>
    <w:rsid w:val="006D5831"/>
    <w:rsid w:val="006D6902"/>
    <w:rsid w:val="006E08C6"/>
    <w:rsid w:val="006E0AC8"/>
    <w:rsid w:val="006E1B7F"/>
    <w:rsid w:val="006E3ACE"/>
    <w:rsid w:val="006E466D"/>
    <w:rsid w:val="006E4E18"/>
    <w:rsid w:val="006E565C"/>
    <w:rsid w:val="006E5A57"/>
    <w:rsid w:val="006E72BC"/>
    <w:rsid w:val="006F0531"/>
    <w:rsid w:val="006F3583"/>
    <w:rsid w:val="006F3632"/>
    <w:rsid w:val="006F3E5A"/>
    <w:rsid w:val="006F6510"/>
    <w:rsid w:val="006F6A07"/>
    <w:rsid w:val="006F6B63"/>
    <w:rsid w:val="0070084A"/>
    <w:rsid w:val="00702C42"/>
    <w:rsid w:val="00704EFD"/>
    <w:rsid w:val="00705AD4"/>
    <w:rsid w:val="00707FBE"/>
    <w:rsid w:val="00710CBD"/>
    <w:rsid w:val="0071294E"/>
    <w:rsid w:val="00713D3E"/>
    <w:rsid w:val="007172F4"/>
    <w:rsid w:val="00717A52"/>
    <w:rsid w:val="00721670"/>
    <w:rsid w:val="0072395E"/>
    <w:rsid w:val="007243EF"/>
    <w:rsid w:val="00724E3A"/>
    <w:rsid w:val="00725BAA"/>
    <w:rsid w:val="00727788"/>
    <w:rsid w:val="00732B88"/>
    <w:rsid w:val="00733AAE"/>
    <w:rsid w:val="007341DB"/>
    <w:rsid w:val="007349E3"/>
    <w:rsid w:val="00736543"/>
    <w:rsid w:val="00736F1E"/>
    <w:rsid w:val="007370D8"/>
    <w:rsid w:val="007376D4"/>
    <w:rsid w:val="00737C54"/>
    <w:rsid w:val="007401C8"/>
    <w:rsid w:val="00741856"/>
    <w:rsid w:val="00742FBE"/>
    <w:rsid w:val="0074373C"/>
    <w:rsid w:val="00747066"/>
    <w:rsid w:val="00750ACC"/>
    <w:rsid w:val="00753175"/>
    <w:rsid w:val="00757642"/>
    <w:rsid w:val="00763F53"/>
    <w:rsid w:val="007640BB"/>
    <w:rsid w:val="0076459C"/>
    <w:rsid w:val="007651E5"/>
    <w:rsid w:val="00766B5C"/>
    <w:rsid w:val="007729BA"/>
    <w:rsid w:val="00772E88"/>
    <w:rsid w:val="00775103"/>
    <w:rsid w:val="00776CF5"/>
    <w:rsid w:val="00780D35"/>
    <w:rsid w:val="00780FB3"/>
    <w:rsid w:val="00781F04"/>
    <w:rsid w:val="00782111"/>
    <w:rsid w:val="00783EF0"/>
    <w:rsid w:val="00785947"/>
    <w:rsid w:val="0078616A"/>
    <w:rsid w:val="007907A4"/>
    <w:rsid w:val="007907F4"/>
    <w:rsid w:val="00790A9C"/>
    <w:rsid w:val="0079236B"/>
    <w:rsid w:val="00793844"/>
    <w:rsid w:val="0079389C"/>
    <w:rsid w:val="00794226"/>
    <w:rsid w:val="00797AD9"/>
    <w:rsid w:val="007A1338"/>
    <w:rsid w:val="007A2248"/>
    <w:rsid w:val="007A5A20"/>
    <w:rsid w:val="007A6011"/>
    <w:rsid w:val="007A6086"/>
    <w:rsid w:val="007B0BA9"/>
    <w:rsid w:val="007B42CF"/>
    <w:rsid w:val="007B4822"/>
    <w:rsid w:val="007B6B10"/>
    <w:rsid w:val="007C128F"/>
    <w:rsid w:val="007C1CE0"/>
    <w:rsid w:val="007C2E5D"/>
    <w:rsid w:val="007C468E"/>
    <w:rsid w:val="007C7CAF"/>
    <w:rsid w:val="007C7CD0"/>
    <w:rsid w:val="007D2271"/>
    <w:rsid w:val="007D3E64"/>
    <w:rsid w:val="007D45A9"/>
    <w:rsid w:val="007D5234"/>
    <w:rsid w:val="007D76F8"/>
    <w:rsid w:val="007E0597"/>
    <w:rsid w:val="007E249E"/>
    <w:rsid w:val="007E3CC9"/>
    <w:rsid w:val="007F1B7D"/>
    <w:rsid w:val="007F1E41"/>
    <w:rsid w:val="007F3AC1"/>
    <w:rsid w:val="007F4640"/>
    <w:rsid w:val="007F5BAD"/>
    <w:rsid w:val="007F6349"/>
    <w:rsid w:val="007F6865"/>
    <w:rsid w:val="007F7CE3"/>
    <w:rsid w:val="00801AA9"/>
    <w:rsid w:val="0080456D"/>
    <w:rsid w:val="00805ABB"/>
    <w:rsid w:val="00806AA3"/>
    <w:rsid w:val="008110E1"/>
    <w:rsid w:val="0081458B"/>
    <w:rsid w:val="00814AB8"/>
    <w:rsid w:val="008152DB"/>
    <w:rsid w:val="00820B74"/>
    <w:rsid w:val="0082213E"/>
    <w:rsid w:val="0082352F"/>
    <w:rsid w:val="00824714"/>
    <w:rsid w:val="00826231"/>
    <w:rsid w:val="0083109A"/>
    <w:rsid w:val="00831426"/>
    <w:rsid w:val="008342D3"/>
    <w:rsid w:val="0083754B"/>
    <w:rsid w:val="00843575"/>
    <w:rsid w:val="008437FB"/>
    <w:rsid w:val="00843EBB"/>
    <w:rsid w:val="00843FF7"/>
    <w:rsid w:val="0084501B"/>
    <w:rsid w:val="008477DE"/>
    <w:rsid w:val="00850152"/>
    <w:rsid w:val="0085365A"/>
    <w:rsid w:val="00857F48"/>
    <w:rsid w:val="00860BEB"/>
    <w:rsid w:val="008614FB"/>
    <w:rsid w:val="00861FA9"/>
    <w:rsid w:val="008631DD"/>
    <w:rsid w:val="00863713"/>
    <w:rsid w:val="00865263"/>
    <w:rsid w:val="00866A0A"/>
    <w:rsid w:val="00867F87"/>
    <w:rsid w:val="00872C28"/>
    <w:rsid w:val="00876A33"/>
    <w:rsid w:val="00876C35"/>
    <w:rsid w:val="00880DB1"/>
    <w:rsid w:val="008814EB"/>
    <w:rsid w:val="0088416C"/>
    <w:rsid w:val="0088581A"/>
    <w:rsid w:val="00885CBA"/>
    <w:rsid w:val="008860EC"/>
    <w:rsid w:val="008864D5"/>
    <w:rsid w:val="0088664F"/>
    <w:rsid w:val="00886EFE"/>
    <w:rsid w:val="00886F5B"/>
    <w:rsid w:val="00891351"/>
    <w:rsid w:val="00892447"/>
    <w:rsid w:val="008926E8"/>
    <w:rsid w:val="00892EA9"/>
    <w:rsid w:val="00893712"/>
    <w:rsid w:val="0089494F"/>
    <w:rsid w:val="008964DB"/>
    <w:rsid w:val="008966A8"/>
    <w:rsid w:val="00896949"/>
    <w:rsid w:val="00896D1A"/>
    <w:rsid w:val="008A1981"/>
    <w:rsid w:val="008A2765"/>
    <w:rsid w:val="008A3578"/>
    <w:rsid w:val="008A7140"/>
    <w:rsid w:val="008A78DB"/>
    <w:rsid w:val="008B2A04"/>
    <w:rsid w:val="008B3124"/>
    <w:rsid w:val="008B504F"/>
    <w:rsid w:val="008B5F28"/>
    <w:rsid w:val="008B730B"/>
    <w:rsid w:val="008B7E16"/>
    <w:rsid w:val="008C18BE"/>
    <w:rsid w:val="008C43B8"/>
    <w:rsid w:val="008C7D2B"/>
    <w:rsid w:val="008D3600"/>
    <w:rsid w:val="008D6126"/>
    <w:rsid w:val="008D61ED"/>
    <w:rsid w:val="008D6560"/>
    <w:rsid w:val="008E05AD"/>
    <w:rsid w:val="008E14EF"/>
    <w:rsid w:val="008E6334"/>
    <w:rsid w:val="008E6949"/>
    <w:rsid w:val="008F156F"/>
    <w:rsid w:val="008F2F60"/>
    <w:rsid w:val="008F51C2"/>
    <w:rsid w:val="008F6D93"/>
    <w:rsid w:val="00900502"/>
    <w:rsid w:val="009023FB"/>
    <w:rsid w:val="00903643"/>
    <w:rsid w:val="009045CE"/>
    <w:rsid w:val="009050BC"/>
    <w:rsid w:val="009069B6"/>
    <w:rsid w:val="00912D05"/>
    <w:rsid w:val="00921580"/>
    <w:rsid w:val="00922D74"/>
    <w:rsid w:val="00923CD3"/>
    <w:rsid w:val="0092792F"/>
    <w:rsid w:val="0093045D"/>
    <w:rsid w:val="00940E64"/>
    <w:rsid w:val="00942914"/>
    <w:rsid w:val="00942C81"/>
    <w:rsid w:val="0094426E"/>
    <w:rsid w:val="009461A2"/>
    <w:rsid w:val="009509D8"/>
    <w:rsid w:val="00953E16"/>
    <w:rsid w:val="0095418B"/>
    <w:rsid w:val="009551B4"/>
    <w:rsid w:val="00955BCC"/>
    <w:rsid w:val="0096037C"/>
    <w:rsid w:val="00961E20"/>
    <w:rsid w:val="00962733"/>
    <w:rsid w:val="009635CE"/>
    <w:rsid w:val="00964B4A"/>
    <w:rsid w:val="00964BDF"/>
    <w:rsid w:val="009701A4"/>
    <w:rsid w:val="0097465A"/>
    <w:rsid w:val="00974C63"/>
    <w:rsid w:val="00975EFB"/>
    <w:rsid w:val="0097628C"/>
    <w:rsid w:val="00977E84"/>
    <w:rsid w:val="009816F4"/>
    <w:rsid w:val="00981DF7"/>
    <w:rsid w:val="00983CBD"/>
    <w:rsid w:val="009849C4"/>
    <w:rsid w:val="00986923"/>
    <w:rsid w:val="0099149D"/>
    <w:rsid w:val="00991A6B"/>
    <w:rsid w:val="00992C3F"/>
    <w:rsid w:val="009944FC"/>
    <w:rsid w:val="009971AA"/>
    <w:rsid w:val="009A3F4A"/>
    <w:rsid w:val="009A4C18"/>
    <w:rsid w:val="009A4C76"/>
    <w:rsid w:val="009A53D6"/>
    <w:rsid w:val="009A62B5"/>
    <w:rsid w:val="009A71CD"/>
    <w:rsid w:val="009B0A54"/>
    <w:rsid w:val="009B173A"/>
    <w:rsid w:val="009B2600"/>
    <w:rsid w:val="009B40DC"/>
    <w:rsid w:val="009B511A"/>
    <w:rsid w:val="009B62D2"/>
    <w:rsid w:val="009B648D"/>
    <w:rsid w:val="009B78D5"/>
    <w:rsid w:val="009C15E3"/>
    <w:rsid w:val="009C1A30"/>
    <w:rsid w:val="009C5EE1"/>
    <w:rsid w:val="009C6365"/>
    <w:rsid w:val="009D0FA6"/>
    <w:rsid w:val="009D0FE7"/>
    <w:rsid w:val="009D2132"/>
    <w:rsid w:val="009D455E"/>
    <w:rsid w:val="009D4B2C"/>
    <w:rsid w:val="009E77A1"/>
    <w:rsid w:val="009F026D"/>
    <w:rsid w:val="009F119E"/>
    <w:rsid w:val="009F28F4"/>
    <w:rsid w:val="009F6192"/>
    <w:rsid w:val="00A0116B"/>
    <w:rsid w:val="00A01868"/>
    <w:rsid w:val="00A10657"/>
    <w:rsid w:val="00A151F7"/>
    <w:rsid w:val="00A2073A"/>
    <w:rsid w:val="00A2085B"/>
    <w:rsid w:val="00A20C47"/>
    <w:rsid w:val="00A21D8C"/>
    <w:rsid w:val="00A23C89"/>
    <w:rsid w:val="00A24001"/>
    <w:rsid w:val="00A25E4B"/>
    <w:rsid w:val="00A31BF6"/>
    <w:rsid w:val="00A3246E"/>
    <w:rsid w:val="00A34C84"/>
    <w:rsid w:val="00A351B4"/>
    <w:rsid w:val="00A37071"/>
    <w:rsid w:val="00A41112"/>
    <w:rsid w:val="00A417F5"/>
    <w:rsid w:val="00A41A8B"/>
    <w:rsid w:val="00A420EA"/>
    <w:rsid w:val="00A43DF0"/>
    <w:rsid w:val="00A444DF"/>
    <w:rsid w:val="00A466F0"/>
    <w:rsid w:val="00A53F9E"/>
    <w:rsid w:val="00A546B0"/>
    <w:rsid w:val="00A551A4"/>
    <w:rsid w:val="00A56F4B"/>
    <w:rsid w:val="00A60DA6"/>
    <w:rsid w:val="00A61202"/>
    <w:rsid w:val="00A6362B"/>
    <w:rsid w:val="00A66EFD"/>
    <w:rsid w:val="00A6749B"/>
    <w:rsid w:val="00A67FB9"/>
    <w:rsid w:val="00A729BC"/>
    <w:rsid w:val="00A7357D"/>
    <w:rsid w:val="00A76BEE"/>
    <w:rsid w:val="00A771E9"/>
    <w:rsid w:val="00A808FA"/>
    <w:rsid w:val="00A82E7D"/>
    <w:rsid w:val="00A84646"/>
    <w:rsid w:val="00A85878"/>
    <w:rsid w:val="00A936D5"/>
    <w:rsid w:val="00A93747"/>
    <w:rsid w:val="00A94CB3"/>
    <w:rsid w:val="00A952DC"/>
    <w:rsid w:val="00A95700"/>
    <w:rsid w:val="00A95E84"/>
    <w:rsid w:val="00A96A79"/>
    <w:rsid w:val="00A96B0C"/>
    <w:rsid w:val="00A96E00"/>
    <w:rsid w:val="00A97DE3"/>
    <w:rsid w:val="00AA0BFB"/>
    <w:rsid w:val="00AA10CD"/>
    <w:rsid w:val="00AA1B95"/>
    <w:rsid w:val="00AA2EF4"/>
    <w:rsid w:val="00AA3561"/>
    <w:rsid w:val="00AA5B59"/>
    <w:rsid w:val="00AA6734"/>
    <w:rsid w:val="00AA6821"/>
    <w:rsid w:val="00AB54C5"/>
    <w:rsid w:val="00AB6BBE"/>
    <w:rsid w:val="00AB6F8D"/>
    <w:rsid w:val="00AC0D6E"/>
    <w:rsid w:val="00AC1A96"/>
    <w:rsid w:val="00AC719C"/>
    <w:rsid w:val="00AD14DD"/>
    <w:rsid w:val="00AD1F47"/>
    <w:rsid w:val="00AD404C"/>
    <w:rsid w:val="00AD4795"/>
    <w:rsid w:val="00AE16DB"/>
    <w:rsid w:val="00AE3D3C"/>
    <w:rsid w:val="00AE5120"/>
    <w:rsid w:val="00AE69DB"/>
    <w:rsid w:val="00AE7121"/>
    <w:rsid w:val="00AE7AD1"/>
    <w:rsid w:val="00AF043B"/>
    <w:rsid w:val="00AF112D"/>
    <w:rsid w:val="00AF15D8"/>
    <w:rsid w:val="00AF3470"/>
    <w:rsid w:val="00AF41B4"/>
    <w:rsid w:val="00AF67BA"/>
    <w:rsid w:val="00AF775C"/>
    <w:rsid w:val="00B01733"/>
    <w:rsid w:val="00B0405E"/>
    <w:rsid w:val="00B0435F"/>
    <w:rsid w:val="00B04D5C"/>
    <w:rsid w:val="00B059A6"/>
    <w:rsid w:val="00B073BC"/>
    <w:rsid w:val="00B1259B"/>
    <w:rsid w:val="00B128DC"/>
    <w:rsid w:val="00B12FDC"/>
    <w:rsid w:val="00B13622"/>
    <w:rsid w:val="00B13A19"/>
    <w:rsid w:val="00B13BCD"/>
    <w:rsid w:val="00B1506F"/>
    <w:rsid w:val="00B20B40"/>
    <w:rsid w:val="00B20C76"/>
    <w:rsid w:val="00B246BA"/>
    <w:rsid w:val="00B26161"/>
    <w:rsid w:val="00B26378"/>
    <w:rsid w:val="00B27D67"/>
    <w:rsid w:val="00B30A23"/>
    <w:rsid w:val="00B31166"/>
    <w:rsid w:val="00B31B4F"/>
    <w:rsid w:val="00B32F25"/>
    <w:rsid w:val="00B33B47"/>
    <w:rsid w:val="00B33FAD"/>
    <w:rsid w:val="00B34C50"/>
    <w:rsid w:val="00B34C6D"/>
    <w:rsid w:val="00B37F65"/>
    <w:rsid w:val="00B414D7"/>
    <w:rsid w:val="00B424F4"/>
    <w:rsid w:val="00B42A46"/>
    <w:rsid w:val="00B435D3"/>
    <w:rsid w:val="00B44C9B"/>
    <w:rsid w:val="00B44CDA"/>
    <w:rsid w:val="00B44F30"/>
    <w:rsid w:val="00B458D9"/>
    <w:rsid w:val="00B47FB8"/>
    <w:rsid w:val="00B50C46"/>
    <w:rsid w:val="00B560BD"/>
    <w:rsid w:val="00B57769"/>
    <w:rsid w:val="00B6111C"/>
    <w:rsid w:val="00B61B25"/>
    <w:rsid w:val="00B64EA9"/>
    <w:rsid w:val="00B65AA9"/>
    <w:rsid w:val="00B65B6B"/>
    <w:rsid w:val="00B674A6"/>
    <w:rsid w:val="00B7033F"/>
    <w:rsid w:val="00B70D38"/>
    <w:rsid w:val="00B71EC4"/>
    <w:rsid w:val="00B72778"/>
    <w:rsid w:val="00B73146"/>
    <w:rsid w:val="00B76C2A"/>
    <w:rsid w:val="00B76C55"/>
    <w:rsid w:val="00B82788"/>
    <w:rsid w:val="00B8358A"/>
    <w:rsid w:val="00B908AD"/>
    <w:rsid w:val="00B90BB7"/>
    <w:rsid w:val="00B927CA"/>
    <w:rsid w:val="00B93164"/>
    <w:rsid w:val="00B9674E"/>
    <w:rsid w:val="00B97C6D"/>
    <w:rsid w:val="00BA2B81"/>
    <w:rsid w:val="00BA3C19"/>
    <w:rsid w:val="00BA4706"/>
    <w:rsid w:val="00BB172E"/>
    <w:rsid w:val="00BB23BD"/>
    <w:rsid w:val="00BB28B4"/>
    <w:rsid w:val="00BB3AFB"/>
    <w:rsid w:val="00BB3C20"/>
    <w:rsid w:val="00BB4344"/>
    <w:rsid w:val="00BB606D"/>
    <w:rsid w:val="00BB70B2"/>
    <w:rsid w:val="00BB7D68"/>
    <w:rsid w:val="00BC2B6D"/>
    <w:rsid w:val="00BC4969"/>
    <w:rsid w:val="00BC62D9"/>
    <w:rsid w:val="00BD4BFD"/>
    <w:rsid w:val="00BD4C0A"/>
    <w:rsid w:val="00BD5791"/>
    <w:rsid w:val="00BD615A"/>
    <w:rsid w:val="00BD64C2"/>
    <w:rsid w:val="00BD701F"/>
    <w:rsid w:val="00BE3503"/>
    <w:rsid w:val="00BF599D"/>
    <w:rsid w:val="00BF6467"/>
    <w:rsid w:val="00BF6703"/>
    <w:rsid w:val="00BF79ED"/>
    <w:rsid w:val="00C00A7D"/>
    <w:rsid w:val="00C029B0"/>
    <w:rsid w:val="00C04A43"/>
    <w:rsid w:val="00C05231"/>
    <w:rsid w:val="00C07AEF"/>
    <w:rsid w:val="00C12C73"/>
    <w:rsid w:val="00C15812"/>
    <w:rsid w:val="00C1642F"/>
    <w:rsid w:val="00C207D6"/>
    <w:rsid w:val="00C215CD"/>
    <w:rsid w:val="00C2295E"/>
    <w:rsid w:val="00C22A76"/>
    <w:rsid w:val="00C23649"/>
    <w:rsid w:val="00C24264"/>
    <w:rsid w:val="00C24471"/>
    <w:rsid w:val="00C24605"/>
    <w:rsid w:val="00C24833"/>
    <w:rsid w:val="00C24B85"/>
    <w:rsid w:val="00C25645"/>
    <w:rsid w:val="00C26B26"/>
    <w:rsid w:val="00C27B07"/>
    <w:rsid w:val="00C34518"/>
    <w:rsid w:val="00C359B1"/>
    <w:rsid w:val="00C40889"/>
    <w:rsid w:val="00C40F56"/>
    <w:rsid w:val="00C41620"/>
    <w:rsid w:val="00C41691"/>
    <w:rsid w:val="00C43900"/>
    <w:rsid w:val="00C44A61"/>
    <w:rsid w:val="00C45215"/>
    <w:rsid w:val="00C471E8"/>
    <w:rsid w:val="00C51BD3"/>
    <w:rsid w:val="00C51C1F"/>
    <w:rsid w:val="00C51F30"/>
    <w:rsid w:val="00C53274"/>
    <w:rsid w:val="00C53DD7"/>
    <w:rsid w:val="00C5551F"/>
    <w:rsid w:val="00C5626C"/>
    <w:rsid w:val="00C5765D"/>
    <w:rsid w:val="00C630F7"/>
    <w:rsid w:val="00C66168"/>
    <w:rsid w:val="00C66F90"/>
    <w:rsid w:val="00C7436B"/>
    <w:rsid w:val="00C76A0B"/>
    <w:rsid w:val="00C77D66"/>
    <w:rsid w:val="00C81DF2"/>
    <w:rsid w:val="00C8647E"/>
    <w:rsid w:val="00C86A2C"/>
    <w:rsid w:val="00C86E05"/>
    <w:rsid w:val="00C873AE"/>
    <w:rsid w:val="00C95511"/>
    <w:rsid w:val="00C967F2"/>
    <w:rsid w:val="00CA009E"/>
    <w:rsid w:val="00CA02DC"/>
    <w:rsid w:val="00CA03CD"/>
    <w:rsid w:val="00CA28DD"/>
    <w:rsid w:val="00CA2BA3"/>
    <w:rsid w:val="00CA4099"/>
    <w:rsid w:val="00CA416E"/>
    <w:rsid w:val="00CA41F1"/>
    <w:rsid w:val="00CA4E16"/>
    <w:rsid w:val="00CA627A"/>
    <w:rsid w:val="00CA6BF8"/>
    <w:rsid w:val="00CA6F56"/>
    <w:rsid w:val="00CA6FE7"/>
    <w:rsid w:val="00CA791C"/>
    <w:rsid w:val="00CB00FA"/>
    <w:rsid w:val="00CB1467"/>
    <w:rsid w:val="00CB1BF3"/>
    <w:rsid w:val="00CB66A4"/>
    <w:rsid w:val="00CB70A7"/>
    <w:rsid w:val="00CD070E"/>
    <w:rsid w:val="00CD1A31"/>
    <w:rsid w:val="00CD1C66"/>
    <w:rsid w:val="00CD2A68"/>
    <w:rsid w:val="00CD6AA5"/>
    <w:rsid w:val="00CD6B06"/>
    <w:rsid w:val="00CD7982"/>
    <w:rsid w:val="00CE09AF"/>
    <w:rsid w:val="00CE0D4E"/>
    <w:rsid w:val="00CE20FD"/>
    <w:rsid w:val="00CE2C1C"/>
    <w:rsid w:val="00CE5119"/>
    <w:rsid w:val="00CE634B"/>
    <w:rsid w:val="00D00C1F"/>
    <w:rsid w:val="00D01643"/>
    <w:rsid w:val="00D01EEF"/>
    <w:rsid w:val="00D05353"/>
    <w:rsid w:val="00D07972"/>
    <w:rsid w:val="00D07B95"/>
    <w:rsid w:val="00D12145"/>
    <w:rsid w:val="00D13488"/>
    <w:rsid w:val="00D14231"/>
    <w:rsid w:val="00D14674"/>
    <w:rsid w:val="00D14843"/>
    <w:rsid w:val="00D16608"/>
    <w:rsid w:val="00D20734"/>
    <w:rsid w:val="00D20C04"/>
    <w:rsid w:val="00D22A25"/>
    <w:rsid w:val="00D22ECE"/>
    <w:rsid w:val="00D24F36"/>
    <w:rsid w:val="00D277B0"/>
    <w:rsid w:val="00D3227C"/>
    <w:rsid w:val="00D33DB0"/>
    <w:rsid w:val="00D34985"/>
    <w:rsid w:val="00D41247"/>
    <w:rsid w:val="00D4266F"/>
    <w:rsid w:val="00D462CD"/>
    <w:rsid w:val="00D511FD"/>
    <w:rsid w:val="00D512D6"/>
    <w:rsid w:val="00D554FF"/>
    <w:rsid w:val="00D555F5"/>
    <w:rsid w:val="00D55944"/>
    <w:rsid w:val="00D57979"/>
    <w:rsid w:val="00D57C30"/>
    <w:rsid w:val="00D602F1"/>
    <w:rsid w:val="00D61EFF"/>
    <w:rsid w:val="00D6542D"/>
    <w:rsid w:val="00D65DBD"/>
    <w:rsid w:val="00D70244"/>
    <w:rsid w:val="00D716E9"/>
    <w:rsid w:val="00D71A91"/>
    <w:rsid w:val="00D728D2"/>
    <w:rsid w:val="00D73226"/>
    <w:rsid w:val="00D74CCF"/>
    <w:rsid w:val="00D75C86"/>
    <w:rsid w:val="00D76091"/>
    <w:rsid w:val="00D768A5"/>
    <w:rsid w:val="00D8268F"/>
    <w:rsid w:val="00D87889"/>
    <w:rsid w:val="00D90731"/>
    <w:rsid w:val="00D908EB"/>
    <w:rsid w:val="00D90D17"/>
    <w:rsid w:val="00D93099"/>
    <w:rsid w:val="00D93597"/>
    <w:rsid w:val="00D970A9"/>
    <w:rsid w:val="00D97D0F"/>
    <w:rsid w:val="00DA03D1"/>
    <w:rsid w:val="00DA2061"/>
    <w:rsid w:val="00DA229F"/>
    <w:rsid w:val="00DA40D9"/>
    <w:rsid w:val="00DA4319"/>
    <w:rsid w:val="00DB52F4"/>
    <w:rsid w:val="00DB5A6E"/>
    <w:rsid w:val="00DB72EB"/>
    <w:rsid w:val="00DB72FA"/>
    <w:rsid w:val="00DC04A4"/>
    <w:rsid w:val="00DC0916"/>
    <w:rsid w:val="00DC092F"/>
    <w:rsid w:val="00DC345D"/>
    <w:rsid w:val="00DC3F6D"/>
    <w:rsid w:val="00DC7C8B"/>
    <w:rsid w:val="00DC7DE3"/>
    <w:rsid w:val="00DD3D23"/>
    <w:rsid w:val="00DD4DA7"/>
    <w:rsid w:val="00DD732C"/>
    <w:rsid w:val="00DE099F"/>
    <w:rsid w:val="00DE1E73"/>
    <w:rsid w:val="00DE3DAF"/>
    <w:rsid w:val="00DE4C72"/>
    <w:rsid w:val="00DE6EED"/>
    <w:rsid w:val="00DF13CE"/>
    <w:rsid w:val="00DF218D"/>
    <w:rsid w:val="00DF26D9"/>
    <w:rsid w:val="00DF2BEE"/>
    <w:rsid w:val="00DF43E5"/>
    <w:rsid w:val="00DF4508"/>
    <w:rsid w:val="00DF5D22"/>
    <w:rsid w:val="00DF757B"/>
    <w:rsid w:val="00E018F9"/>
    <w:rsid w:val="00E022DC"/>
    <w:rsid w:val="00E03333"/>
    <w:rsid w:val="00E051E3"/>
    <w:rsid w:val="00E060E8"/>
    <w:rsid w:val="00E10B03"/>
    <w:rsid w:val="00E11637"/>
    <w:rsid w:val="00E1455D"/>
    <w:rsid w:val="00E158E6"/>
    <w:rsid w:val="00E2133D"/>
    <w:rsid w:val="00E2174A"/>
    <w:rsid w:val="00E22D97"/>
    <w:rsid w:val="00E30F74"/>
    <w:rsid w:val="00E312AF"/>
    <w:rsid w:val="00E32482"/>
    <w:rsid w:val="00E331B0"/>
    <w:rsid w:val="00E34F7A"/>
    <w:rsid w:val="00E37F8E"/>
    <w:rsid w:val="00E4006A"/>
    <w:rsid w:val="00E40F5D"/>
    <w:rsid w:val="00E421D2"/>
    <w:rsid w:val="00E42276"/>
    <w:rsid w:val="00E44009"/>
    <w:rsid w:val="00E467E3"/>
    <w:rsid w:val="00E46E41"/>
    <w:rsid w:val="00E5097F"/>
    <w:rsid w:val="00E50EEF"/>
    <w:rsid w:val="00E55B59"/>
    <w:rsid w:val="00E55FF6"/>
    <w:rsid w:val="00E60361"/>
    <w:rsid w:val="00E60EE7"/>
    <w:rsid w:val="00E60FB2"/>
    <w:rsid w:val="00E63639"/>
    <w:rsid w:val="00E63A0A"/>
    <w:rsid w:val="00E64975"/>
    <w:rsid w:val="00E664D9"/>
    <w:rsid w:val="00E70FDA"/>
    <w:rsid w:val="00E73711"/>
    <w:rsid w:val="00E76344"/>
    <w:rsid w:val="00E81932"/>
    <w:rsid w:val="00E8518D"/>
    <w:rsid w:val="00E859F8"/>
    <w:rsid w:val="00E863F1"/>
    <w:rsid w:val="00E866FD"/>
    <w:rsid w:val="00E87DF6"/>
    <w:rsid w:val="00E92F9B"/>
    <w:rsid w:val="00E93734"/>
    <w:rsid w:val="00E952F0"/>
    <w:rsid w:val="00EA1DBA"/>
    <w:rsid w:val="00EA2270"/>
    <w:rsid w:val="00EA56FF"/>
    <w:rsid w:val="00EA5E05"/>
    <w:rsid w:val="00EB08B7"/>
    <w:rsid w:val="00EB0D12"/>
    <w:rsid w:val="00EB3C9E"/>
    <w:rsid w:val="00EB468E"/>
    <w:rsid w:val="00EB5F2C"/>
    <w:rsid w:val="00EC23EB"/>
    <w:rsid w:val="00EC2915"/>
    <w:rsid w:val="00EC348F"/>
    <w:rsid w:val="00EC67A7"/>
    <w:rsid w:val="00ED0F73"/>
    <w:rsid w:val="00ED2000"/>
    <w:rsid w:val="00ED29FB"/>
    <w:rsid w:val="00ED3ECE"/>
    <w:rsid w:val="00ED4599"/>
    <w:rsid w:val="00ED5F7C"/>
    <w:rsid w:val="00EE4D97"/>
    <w:rsid w:val="00EF273A"/>
    <w:rsid w:val="00F007E5"/>
    <w:rsid w:val="00F00D83"/>
    <w:rsid w:val="00F00F04"/>
    <w:rsid w:val="00F025F0"/>
    <w:rsid w:val="00F04E05"/>
    <w:rsid w:val="00F052E8"/>
    <w:rsid w:val="00F104AB"/>
    <w:rsid w:val="00F11A6C"/>
    <w:rsid w:val="00F1363C"/>
    <w:rsid w:val="00F15C71"/>
    <w:rsid w:val="00F22D91"/>
    <w:rsid w:val="00F240C6"/>
    <w:rsid w:val="00F25A4D"/>
    <w:rsid w:val="00F25E56"/>
    <w:rsid w:val="00F3005A"/>
    <w:rsid w:val="00F34CCB"/>
    <w:rsid w:val="00F40BDB"/>
    <w:rsid w:val="00F4481A"/>
    <w:rsid w:val="00F46860"/>
    <w:rsid w:val="00F46C42"/>
    <w:rsid w:val="00F46FE0"/>
    <w:rsid w:val="00F5159C"/>
    <w:rsid w:val="00F519F3"/>
    <w:rsid w:val="00F5397C"/>
    <w:rsid w:val="00F53A4D"/>
    <w:rsid w:val="00F53DD5"/>
    <w:rsid w:val="00F55983"/>
    <w:rsid w:val="00F56303"/>
    <w:rsid w:val="00F60CC6"/>
    <w:rsid w:val="00F62F3F"/>
    <w:rsid w:val="00F63CA4"/>
    <w:rsid w:val="00F6513F"/>
    <w:rsid w:val="00F65205"/>
    <w:rsid w:val="00F66E86"/>
    <w:rsid w:val="00F73CF9"/>
    <w:rsid w:val="00F75250"/>
    <w:rsid w:val="00F764FA"/>
    <w:rsid w:val="00F8179C"/>
    <w:rsid w:val="00F86361"/>
    <w:rsid w:val="00F87F48"/>
    <w:rsid w:val="00F945AE"/>
    <w:rsid w:val="00F9546B"/>
    <w:rsid w:val="00FA2D57"/>
    <w:rsid w:val="00FA417C"/>
    <w:rsid w:val="00FA48AD"/>
    <w:rsid w:val="00FA7934"/>
    <w:rsid w:val="00FA7DD7"/>
    <w:rsid w:val="00FB2717"/>
    <w:rsid w:val="00FB27FD"/>
    <w:rsid w:val="00FC15CD"/>
    <w:rsid w:val="00FC6F29"/>
    <w:rsid w:val="00FC78FD"/>
    <w:rsid w:val="00FD00D5"/>
    <w:rsid w:val="00FD28F5"/>
    <w:rsid w:val="00FD2D19"/>
    <w:rsid w:val="00FD3DEB"/>
    <w:rsid w:val="00FD57EF"/>
    <w:rsid w:val="00FE0561"/>
    <w:rsid w:val="00FE0852"/>
    <w:rsid w:val="00FE160F"/>
    <w:rsid w:val="00FE2FC0"/>
    <w:rsid w:val="00FE5FE8"/>
    <w:rsid w:val="00FF16D4"/>
    <w:rsid w:val="00FF55F0"/>
    <w:rsid w:val="00FF6B3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4BD4"/>
  <w15:chartTrackingRefBased/>
  <w15:docId w15:val="{36CF2975-A533-4A20-861F-1D8A2F09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1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2D6"/>
    <w:rPr>
      <w:rFonts w:ascii="Segoe UI" w:eastAsia="MS Mincho" w:hAnsi="Segoe UI" w:cs="Segoe UI"/>
      <w:sz w:val="18"/>
      <w:szCs w:val="18"/>
      <w:lang w:eastAsia="en-US"/>
    </w:rPr>
  </w:style>
  <w:style w:type="character" w:customStyle="1" w:styleId="BalloonTextChar">
    <w:name w:val="Balloon Text Char"/>
    <w:basedOn w:val="DefaultParagraphFont"/>
    <w:link w:val="BalloonText"/>
    <w:uiPriority w:val="99"/>
    <w:semiHidden/>
    <w:rsid w:val="00D512D6"/>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D512D6"/>
    <w:rPr>
      <w:sz w:val="16"/>
      <w:szCs w:val="16"/>
    </w:rPr>
  </w:style>
  <w:style w:type="paragraph" w:styleId="CommentText">
    <w:name w:val="annotation text"/>
    <w:basedOn w:val="Normal"/>
    <w:link w:val="CommentTextChar"/>
    <w:uiPriority w:val="99"/>
    <w:unhideWhenUsed/>
    <w:rsid w:val="00D512D6"/>
    <w:pPr>
      <w:spacing w:after="200"/>
    </w:pPr>
    <w:rPr>
      <w:rFonts w:ascii="Calibri" w:eastAsia="MS Mincho" w:hAnsi="Calibri"/>
      <w:sz w:val="20"/>
      <w:szCs w:val="20"/>
      <w:lang w:eastAsia="en-US"/>
    </w:rPr>
  </w:style>
  <w:style w:type="character" w:customStyle="1" w:styleId="CommentTextChar">
    <w:name w:val="Comment Text Char"/>
    <w:basedOn w:val="DefaultParagraphFont"/>
    <w:link w:val="CommentText"/>
    <w:uiPriority w:val="99"/>
    <w:rsid w:val="00D512D6"/>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12D6"/>
    <w:rPr>
      <w:b/>
      <w:bCs/>
    </w:rPr>
  </w:style>
  <w:style w:type="character" w:customStyle="1" w:styleId="CommentSubjectChar">
    <w:name w:val="Comment Subject Char"/>
    <w:basedOn w:val="CommentTextChar"/>
    <w:link w:val="CommentSubject"/>
    <w:uiPriority w:val="99"/>
    <w:semiHidden/>
    <w:rsid w:val="00D512D6"/>
    <w:rPr>
      <w:rFonts w:ascii="Calibri" w:eastAsia="MS Mincho" w:hAnsi="Calibri" w:cs="Times New Roman"/>
      <w:b/>
      <w:bCs/>
      <w:sz w:val="20"/>
      <w:szCs w:val="20"/>
    </w:rPr>
  </w:style>
  <w:style w:type="character" w:styleId="Emphasis">
    <w:name w:val="Emphasis"/>
    <w:basedOn w:val="DefaultParagraphFont"/>
    <w:uiPriority w:val="20"/>
    <w:qFormat/>
    <w:rsid w:val="00614677"/>
    <w:rPr>
      <w:i/>
      <w:iCs/>
    </w:rPr>
  </w:style>
  <w:style w:type="character" w:styleId="Strong">
    <w:name w:val="Strong"/>
    <w:basedOn w:val="DefaultParagraphFont"/>
    <w:uiPriority w:val="22"/>
    <w:qFormat/>
    <w:rsid w:val="00ED5F7C"/>
    <w:rPr>
      <w:b/>
      <w:bCs/>
    </w:rPr>
  </w:style>
  <w:style w:type="character" w:styleId="Hyperlink">
    <w:name w:val="Hyperlink"/>
    <w:basedOn w:val="DefaultParagraphFont"/>
    <w:uiPriority w:val="99"/>
    <w:unhideWhenUsed/>
    <w:rsid w:val="00ED5F7C"/>
    <w:rPr>
      <w:color w:val="0000FF"/>
      <w:u w:val="single"/>
    </w:rPr>
  </w:style>
  <w:style w:type="paragraph" w:styleId="Header">
    <w:name w:val="header"/>
    <w:basedOn w:val="Normal"/>
    <w:link w:val="HeaderChar"/>
    <w:uiPriority w:val="99"/>
    <w:unhideWhenUsed/>
    <w:rsid w:val="00A85878"/>
    <w:pPr>
      <w:tabs>
        <w:tab w:val="center" w:pos="4513"/>
        <w:tab w:val="right" w:pos="9026"/>
      </w:tabs>
    </w:pPr>
  </w:style>
  <w:style w:type="character" w:customStyle="1" w:styleId="HeaderChar">
    <w:name w:val="Header Char"/>
    <w:basedOn w:val="DefaultParagraphFont"/>
    <w:link w:val="Header"/>
    <w:uiPriority w:val="99"/>
    <w:rsid w:val="00A858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85878"/>
    <w:pPr>
      <w:tabs>
        <w:tab w:val="center" w:pos="4513"/>
        <w:tab w:val="right" w:pos="9026"/>
      </w:tabs>
    </w:pPr>
  </w:style>
  <w:style w:type="character" w:customStyle="1" w:styleId="FooterChar">
    <w:name w:val="Footer Char"/>
    <w:basedOn w:val="DefaultParagraphFont"/>
    <w:link w:val="Footer"/>
    <w:uiPriority w:val="99"/>
    <w:rsid w:val="00A8587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8406C"/>
    <w:pPr>
      <w:ind w:left="720"/>
      <w:contextualSpacing/>
    </w:pPr>
  </w:style>
  <w:style w:type="character" w:styleId="UnresolvedMention">
    <w:name w:val="Unresolved Mention"/>
    <w:basedOn w:val="DefaultParagraphFont"/>
    <w:uiPriority w:val="99"/>
    <w:semiHidden/>
    <w:unhideWhenUsed/>
    <w:rsid w:val="003C5732"/>
    <w:rPr>
      <w:color w:val="605E5C"/>
      <w:shd w:val="clear" w:color="auto" w:fill="E1DFDD"/>
    </w:rPr>
  </w:style>
  <w:style w:type="character" w:customStyle="1" w:styleId="apple-converted-space">
    <w:name w:val="apple-converted-space"/>
    <w:basedOn w:val="DefaultParagraphFont"/>
    <w:rsid w:val="00E158E6"/>
  </w:style>
  <w:style w:type="character" w:customStyle="1" w:styleId="highwire-citation-authors">
    <w:name w:val="highwire-citation-authors"/>
    <w:basedOn w:val="DefaultParagraphFont"/>
    <w:rsid w:val="005763C6"/>
  </w:style>
  <w:style w:type="character" w:customStyle="1" w:styleId="highwire-citation-author">
    <w:name w:val="highwire-citation-author"/>
    <w:basedOn w:val="DefaultParagraphFont"/>
    <w:rsid w:val="005763C6"/>
  </w:style>
  <w:style w:type="character" w:customStyle="1" w:styleId="nlm-surname">
    <w:name w:val="nlm-surname"/>
    <w:basedOn w:val="DefaultParagraphFont"/>
    <w:rsid w:val="005763C6"/>
  </w:style>
  <w:style w:type="character" w:customStyle="1" w:styleId="highwire-cite-metadata-journal">
    <w:name w:val="highwire-cite-metadata-journal"/>
    <w:basedOn w:val="DefaultParagraphFont"/>
    <w:rsid w:val="005763C6"/>
  </w:style>
  <w:style w:type="character" w:customStyle="1" w:styleId="highwire-cite-metadata-volume">
    <w:name w:val="highwire-cite-metadata-volume"/>
    <w:basedOn w:val="DefaultParagraphFont"/>
    <w:rsid w:val="005763C6"/>
  </w:style>
  <w:style w:type="character" w:customStyle="1" w:styleId="highwire-cite-metadata-pages">
    <w:name w:val="highwire-cite-metadata-pages"/>
    <w:basedOn w:val="DefaultParagraphFont"/>
    <w:rsid w:val="005763C6"/>
  </w:style>
  <w:style w:type="character" w:styleId="FollowedHyperlink">
    <w:name w:val="FollowedHyperlink"/>
    <w:basedOn w:val="DefaultParagraphFont"/>
    <w:uiPriority w:val="99"/>
    <w:semiHidden/>
    <w:unhideWhenUsed/>
    <w:rsid w:val="0099149D"/>
    <w:rPr>
      <w:color w:val="954F72" w:themeColor="followedHyperlink"/>
      <w:u w:val="single"/>
    </w:rPr>
  </w:style>
  <w:style w:type="paragraph" w:styleId="Revision">
    <w:name w:val="Revision"/>
    <w:hidden/>
    <w:uiPriority w:val="99"/>
    <w:semiHidden/>
    <w:rsid w:val="009F026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412">
      <w:bodyDiv w:val="1"/>
      <w:marLeft w:val="0"/>
      <w:marRight w:val="0"/>
      <w:marTop w:val="0"/>
      <w:marBottom w:val="0"/>
      <w:divBdr>
        <w:top w:val="none" w:sz="0" w:space="0" w:color="auto"/>
        <w:left w:val="none" w:sz="0" w:space="0" w:color="auto"/>
        <w:bottom w:val="none" w:sz="0" w:space="0" w:color="auto"/>
        <w:right w:val="none" w:sz="0" w:space="0" w:color="auto"/>
      </w:divBdr>
    </w:div>
    <w:div w:id="11033506">
      <w:bodyDiv w:val="1"/>
      <w:marLeft w:val="0"/>
      <w:marRight w:val="0"/>
      <w:marTop w:val="0"/>
      <w:marBottom w:val="0"/>
      <w:divBdr>
        <w:top w:val="none" w:sz="0" w:space="0" w:color="auto"/>
        <w:left w:val="none" w:sz="0" w:space="0" w:color="auto"/>
        <w:bottom w:val="none" w:sz="0" w:space="0" w:color="auto"/>
        <w:right w:val="none" w:sz="0" w:space="0" w:color="auto"/>
      </w:divBdr>
      <w:divsChild>
        <w:div w:id="789513506">
          <w:marLeft w:val="0"/>
          <w:marRight w:val="108"/>
          <w:marTop w:val="108"/>
          <w:marBottom w:val="108"/>
          <w:divBdr>
            <w:top w:val="none" w:sz="0" w:space="0" w:color="auto"/>
            <w:left w:val="none" w:sz="0" w:space="0" w:color="auto"/>
            <w:bottom w:val="none" w:sz="0" w:space="0" w:color="auto"/>
            <w:right w:val="none" w:sz="0" w:space="0" w:color="auto"/>
          </w:divBdr>
          <w:divsChild>
            <w:div w:id="507254380">
              <w:marLeft w:val="0"/>
              <w:marRight w:val="0"/>
              <w:marTop w:val="0"/>
              <w:marBottom w:val="0"/>
              <w:divBdr>
                <w:top w:val="none" w:sz="0" w:space="0" w:color="auto"/>
                <w:left w:val="none" w:sz="0" w:space="0" w:color="auto"/>
                <w:bottom w:val="none" w:sz="0" w:space="0" w:color="auto"/>
                <w:right w:val="none" w:sz="0" w:space="0" w:color="auto"/>
              </w:divBdr>
              <w:divsChild>
                <w:div w:id="15538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686">
      <w:bodyDiv w:val="1"/>
      <w:marLeft w:val="0"/>
      <w:marRight w:val="0"/>
      <w:marTop w:val="0"/>
      <w:marBottom w:val="0"/>
      <w:divBdr>
        <w:top w:val="none" w:sz="0" w:space="0" w:color="auto"/>
        <w:left w:val="none" w:sz="0" w:space="0" w:color="auto"/>
        <w:bottom w:val="none" w:sz="0" w:space="0" w:color="auto"/>
        <w:right w:val="none" w:sz="0" w:space="0" w:color="auto"/>
      </w:divBdr>
    </w:div>
    <w:div w:id="490753192">
      <w:bodyDiv w:val="1"/>
      <w:marLeft w:val="0"/>
      <w:marRight w:val="0"/>
      <w:marTop w:val="0"/>
      <w:marBottom w:val="0"/>
      <w:divBdr>
        <w:top w:val="none" w:sz="0" w:space="0" w:color="auto"/>
        <w:left w:val="none" w:sz="0" w:space="0" w:color="auto"/>
        <w:bottom w:val="none" w:sz="0" w:space="0" w:color="auto"/>
        <w:right w:val="none" w:sz="0" w:space="0" w:color="auto"/>
      </w:divBdr>
    </w:div>
    <w:div w:id="785664111">
      <w:bodyDiv w:val="1"/>
      <w:marLeft w:val="0"/>
      <w:marRight w:val="0"/>
      <w:marTop w:val="0"/>
      <w:marBottom w:val="0"/>
      <w:divBdr>
        <w:top w:val="none" w:sz="0" w:space="0" w:color="auto"/>
        <w:left w:val="none" w:sz="0" w:space="0" w:color="auto"/>
        <w:bottom w:val="none" w:sz="0" w:space="0" w:color="auto"/>
        <w:right w:val="none" w:sz="0" w:space="0" w:color="auto"/>
      </w:divBdr>
    </w:div>
    <w:div w:id="874386473">
      <w:bodyDiv w:val="1"/>
      <w:marLeft w:val="0"/>
      <w:marRight w:val="0"/>
      <w:marTop w:val="0"/>
      <w:marBottom w:val="0"/>
      <w:divBdr>
        <w:top w:val="none" w:sz="0" w:space="0" w:color="auto"/>
        <w:left w:val="none" w:sz="0" w:space="0" w:color="auto"/>
        <w:bottom w:val="none" w:sz="0" w:space="0" w:color="auto"/>
        <w:right w:val="none" w:sz="0" w:space="0" w:color="auto"/>
      </w:divBdr>
    </w:div>
    <w:div w:id="931011187">
      <w:bodyDiv w:val="1"/>
      <w:marLeft w:val="0"/>
      <w:marRight w:val="0"/>
      <w:marTop w:val="0"/>
      <w:marBottom w:val="0"/>
      <w:divBdr>
        <w:top w:val="none" w:sz="0" w:space="0" w:color="auto"/>
        <w:left w:val="none" w:sz="0" w:space="0" w:color="auto"/>
        <w:bottom w:val="none" w:sz="0" w:space="0" w:color="auto"/>
        <w:right w:val="none" w:sz="0" w:space="0" w:color="auto"/>
      </w:divBdr>
    </w:div>
    <w:div w:id="931011535">
      <w:bodyDiv w:val="1"/>
      <w:marLeft w:val="0"/>
      <w:marRight w:val="0"/>
      <w:marTop w:val="0"/>
      <w:marBottom w:val="0"/>
      <w:divBdr>
        <w:top w:val="none" w:sz="0" w:space="0" w:color="auto"/>
        <w:left w:val="none" w:sz="0" w:space="0" w:color="auto"/>
        <w:bottom w:val="none" w:sz="0" w:space="0" w:color="auto"/>
        <w:right w:val="none" w:sz="0" w:space="0" w:color="auto"/>
      </w:divBdr>
    </w:div>
    <w:div w:id="1016463620">
      <w:bodyDiv w:val="1"/>
      <w:marLeft w:val="0"/>
      <w:marRight w:val="0"/>
      <w:marTop w:val="0"/>
      <w:marBottom w:val="0"/>
      <w:divBdr>
        <w:top w:val="none" w:sz="0" w:space="0" w:color="auto"/>
        <w:left w:val="none" w:sz="0" w:space="0" w:color="auto"/>
        <w:bottom w:val="none" w:sz="0" w:space="0" w:color="auto"/>
        <w:right w:val="none" w:sz="0" w:space="0" w:color="auto"/>
      </w:divBdr>
      <w:divsChild>
        <w:div w:id="1621961342">
          <w:marLeft w:val="0"/>
          <w:marRight w:val="108"/>
          <w:marTop w:val="108"/>
          <w:marBottom w:val="108"/>
          <w:divBdr>
            <w:top w:val="none" w:sz="0" w:space="0" w:color="auto"/>
            <w:left w:val="none" w:sz="0" w:space="0" w:color="auto"/>
            <w:bottom w:val="none" w:sz="0" w:space="0" w:color="auto"/>
            <w:right w:val="none" w:sz="0" w:space="0" w:color="auto"/>
          </w:divBdr>
          <w:divsChild>
            <w:div w:id="1857763835">
              <w:marLeft w:val="0"/>
              <w:marRight w:val="0"/>
              <w:marTop w:val="0"/>
              <w:marBottom w:val="0"/>
              <w:divBdr>
                <w:top w:val="none" w:sz="0" w:space="0" w:color="auto"/>
                <w:left w:val="none" w:sz="0" w:space="0" w:color="auto"/>
                <w:bottom w:val="none" w:sz="0" w:space="0" w:color="auto"/>
                <w:right w:val="none" w:sz="0" w:space="0" w:color="auto"/>
              </w:divBdr>
              <w:divsChild>
                <w:div w:id="909773264">
                  <w:marLeft w:val="0"/>
                  <w:marRight w:val="0"/>
                  <w:marTop w:val="0"/>
                  <w:marBottom w:val="0"/>
                  <w:divBdr>
                    <w:top w:val="none" w:sz="0" w:space="0" w:color="auto"/>
                    <w:left w:val="none" w:sz="0" w:space="0" w:color="auto"/>
                    <w:bottom w:val="none" w:sz="0" w:space="0" w:color="auto"/>
                    <w:right w:val="none" w:sz="0" w:space="0" w:color="auto"/>
                  </w:divBdr>
                  <w:divsChild>
                    <w:div w:id="2040010023">
                      <w:marLeft w:val="0"/>
                      <w:marRight w:val="0"/>
                      <w:marTop w:val="0"/>
                      <w:marBottom w:val="0"/>
                      <w:divBdr>
                        <w:top w:val="none" w:sz="0" w:space="0" w:color="auto"/>
                        <w:left w:val="none" w:sz="0" w:space="0" w:color="auto"/>
                        <w:bottom w:val="none" w:sz="0" w:space="0" w:color="auto"/>
                        <w:right w:val="none" w:sz="0" w:space="0" w:color="auto"/>
                      </w:divBdr>
                      <w:divsChild>
                        <w:div w:id="9982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003090">
      <w:bodyDiv w:val="1"/>
      <w:marLeft w:val="0"/>
      <w:marRight w:val="0"/>
      <w:marTop w:val="0"/>
      <w:marBottom w:val="0"/>
      <w:divBdr>
        <w:top w:val="none" w:sz="0" w:space="0" w:color="auto"/>
        <w:left w:val="none" w:sz="0" w:space="0" w:color="auto"/>
        <w:bottom w:val="none" w:sz="0" w:space="0" w:color="auto"/>
        <w:right w:val="none" w:sz="0" w:space="0" w:color="auto"/>
      </w:divBdr>
    </w:div>
    <w:div w:id="1174540322">
      <w:bodyDiv w:val="1"/>
      <w:marLeft w:val="0"/>
      <w:marRight w:val="0"/>
      <w:marTop w:val="0"/>
      <w:marBottom w:val="0"/>
      <w:divBdr>
        <w:top w:val="none" w:sz="0" w:space="0" w:color="auto"/>
        <w:left w:val="none" w:sz="0" w:space="0" w:color="auto"/>
        <w:bottom w:val="none" w:sz="0" w:space="0" w:color="auto"/>
        <w:right w:val="none" w:sz="0" w:space="0" w:color="auto"/>
      </w:divBdr>
    </w:div>
    <w:div w:id="1241675657">
      <w:bodyDiv w:val="1"/>
      <w:marLeft w:val="0"/>
      <w:marRight w:val="0"/>
      <w:marTop w:val="0"/>
      <w:marBottom w:val="0"/>
      <w:divBdr>
        <w:top w:val="none" w:sz="0" w:space="0" w:color="auto"/>
        <w:left w:val="none" w:sz="0" w:space="0" w:color="auto"/>
        <w:bottom w:val="none" w:sz="0" w:space="0" w:color="auto"/>
        <w:right w:val="none" w:sz="0" w:space="0" w:color="auto"/>
      </w:divBdr>
    </w:div>
    <w:div w:id="1314675122">
      <w:bodyDiv w:val="1"/>
      <w:marLeft w:val="0"/>
      <w:marRight w:val="0"/>
      <w:marTop w:val="0"/>
      <w:marBottom w:val="0"/>
      <w:divBdr>
        <w:top w:val="none" w:sz="0" w:space="0" w:color="auto"/>
        <w:left w:val="none" w:sz="0" w:space="0" w:color="auto"/>
        <w:bottom w:val="none" w:sz="0" w:space="0" w:color="auto"/>
        <w:right w:val="none" w:sz="0" w:space="0" w:color="auto"/>
      </w:divBdr>
    </w:div>
    <w:div w:id="1347633238">
      <w:bodyDiv w:val="1"/>
      <w:marLeft w:val="0"/>
      <w:marRight w:val="0"/>
      <w:marTop w:val="0"/>
      <w:marBottom w:val="0"/>
      <w:divBdr>
        <w:top w:val="none" w:sz="0" w:space="0" w:color="auto"/>
        <w:left w:val="none" w:sz="0" w:space="0" w:color="auto"/>
        <w:bottom w:val="none" w:sz="0" w:space="0" w:color="auto"/>
        <w:right w:val="none" w:sz="0" w:space="0" w:color="auto"/>
      </w:divBdr>
    </w:div>
    <w:div w:id="1407797315">
      <w:bodyDiv w:val="1"/>
      <w:marLeft w:val="0"/>
      <w:marRight w:val="0"/>
      <w:marTop w:val="0"/>
      <w:marBottom w:val="0"/>
      <w:divBdr>
        <w:top w:val="none" w:sz="0" w:space="0" w:color="auto"/>
        <w:left w:val="none" w:sz="0" w:space="0" w:color="auto"/>
        <w:bottom w:val="none" w:sz="0" w:space="0" w:color="auto"/>
        <w:right w:val="none" w:sz="0" w:space="0" w:color="auto"/>
      </w:divBdr>
    </w:div>
    <w:div w:id="1450322539">
      <w:bodyDiv w:val="1"/>
      <w:marLeft w:val="0"/>
      <w:marRight w:val="0"/>
      <w:marTop w:val="0"/>
      <w:marBottom w:val="0"/>
      <w:divBdr>
        <w:top w:val="none" w:sz="0" w:space="0" w:color="auto"/>
        <w:left w:val="none" w:sz="0" w:space="0" w:color="auto"/>
        <w:bottom w:val="none" w:sz="0" w:space="0" w:color="auto"/>
        <w:right w:val="none" w:sz="0" w:space="0" w:color="auto"/>
      </w:divBdr>
    </w:div>
    <w:div w:id="1563635179">
      <w:bodyDiv w:val="1"/>
      <w:marLeft w:val="0"/>
      <w:marRight w:val="0"/>
      <w:marTop w:val="0"/>
      <w:marBottom w:val="0"/>
      <w:divBdr>
        <w:top w:val="none" w:sz="0" w:space="0" w:color="auto"/>
        <w:left w:val="none" w:sz="0" w:space="0" w:color="auto"/>
        <w:bottom w:val="none" w:sz="0" w:space="0" w:color="auto"/>
        <w:right w:val="none" w:sz="0" w:space="0" w:color="auto"/>
      </w:divBdr>
    </w:div>
    <w:div w:id="1588925559">
      <w:bodyDiv w:val="1"/>
      <w:marLeft w:val="0"/>
      <w:marRight w:val="0"/>
      <w:marTop w:val="0"/>
      <w:marBottom w:val="0"/>
      <w:divBdr>
        <w:top w:val="none" w:sz="0" w:space="0" w:color="auto"/>
        <w:left w:val="none" w:sz="0" w:space="0" w:color="auto"/>
        <w:bottom w:val="none" w:sz="0" w:space="0" w:color="auto"/>
        <w:right w:val="none" w:sz="0" w:space="0" w:color="auto"/>
      </w:divBdr>
    </w:div>
    <w:div w:id="1598170405">
      <w:bodyDiv w:val="1"/>
      <w:marLeft w:val="0"/>
      <w:marRight w:val="0"/>
      <w:marTop w:val="0"/>
      <w:marBottom w:val="0"/>
      <w:divBdr>
        <w:top w:val="none" w:sz="0" w:space="0" w:color="auto"/>
        <w:left w:val="none" w:sz="0" w:space="0" w:color="auto"/>
        <w:bottom w:val="none" w:sz="0" w:space="0" w:color="auto"/>
        <w:right w:val="none" w:sz="0" w:space="0" w:color="auto"/>
      </w:divBdr>
      <w:divsChild>
        <w:div w:id="1298560214">
          <w:marLeft w:val="0"/>
          <w:marRight w:val="108"/>
          <w:marTop w:val="108"/>
          <w:marBottom w:val="108"/>
          <w:divBdr>
            <w:top w:val="none" w:sz="0" w:space="0" w:color="auto"/>
            <w:left w:val="none" w:sz="0" w:space="0" w:color="auto"/>
            <w:bottom w:val="none" w:sz="0" w:space="0" w:color="auto"/>
            <w:right w:val="none" w:sz="0" w:space="0" w:color="auto"/>
          </w:divBdr>
          <w:divsChild>
            <w:div w:id="403768622">
              <w:marLeft w:val="0"/>
              <w:marRight w:val="0"/>
              <w:marTop w:val="0"/>
              <w:marBottom w:val="0"/>
              <w:divBdr>
                <w:top w:val="none" w:sz="0" w:space="0" w:color="auto"/>
                <w:left w:val="none" w:sz="0" w:space="0" w:color="auto"/>
                <w:bottom w:val="none" w:sz="0" w:space="0" w:color="auto"/>
                <w:right w:val="none" w:sz="0" w:space="0" w:color="auto"/>
              </w:divBdr>
              <w:divsChild>
                <w:div w:id="1795638110">
                  <w:marLeft w:val="0"/>
                  <w:marRight w:val="0"/>
                  <w:marTop w:val="0"/>
                  <w:marBottom w:val="0"/>
                  <w:divBdr>
                    <w:top w:val="none" w:sz="0" w:space="0" w:color="auto"/>
                    <w:left w:val="none" w:sz="0" w:space="0" w:color="auto"/>
                    <w:bottom w:val="none" w:sz="0" w:space="0" w:color="auto"/>
                    <w:right w:val="none" w:sz="0" w:space="0" w:color="auto"/>
                  </w:divBdr>
                  <w:divsChild>
                    <w:div w:id="595745502">
                      <w:marLeft w:val="0"/>
                      <w:marRight w:val="0"/>
                      <w:marTop w:val="0"/>
                      <w:marBottom w:val="0"/>
                      <w:divBdr>
                        <w:top w:val="none" w:sz="0" w:space="0" w:color="auto"/>
                        <w:left w:val="none" w:sz="0" w:space="0" w:color="auto"/>
                        <w:bottom w:val="none" w:sz="0" w:space="0" w:color="auto"/>
                        <w:right w:val="none" w:sz="0" w:space="0" w:color="auto"/>
                      </w:divBdr>
                      <w:divsChild>
                        <w:div w:id="10175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02038">
      <w:bodyDiv w:val="1"/>
      <w:marLeft w:val="0"/>
      <w:marRight w:val="0"/>
      <w:marTop w:val="0"/>
      <w:marBottom w:val="0"/>
      <w:divBdr>
        <w:top w:val="none" w:sz="0" w:space="0" w:color="auto"/>
        <w:left w:val="none" w:sz="0" w:space="0" w:color="auto"/>
        <w:bottom w:val="none" w:sz="0" w:space="0" w:color="auto"/>
        <w:right w:val="none" w:sz="0" w:space="0" w:color="auto"/>
      </w:divBdr>
      <w:divsChild>
        <w:div w:id="595795202">
          <w:marLeft w:val="0"/>
          <w:marRight w:val="108"/>
          <w:marTop w:val="18"/>
          <w:marBottom w:val="108"/>
          <w:divBdr>
            <w:top w:val="none" w:sz="0" w:space="0" w:color="auto"/>
            <w:left w:val="none" w:sz="0" w:space="0" w:color="auto"/>
            <w:bottom w:val="none" w:sz="0" w:space="0" w:color="auto"/>
            <w:right w:val="none" w:sz="0" w:space="0" w:color="auto"/>
          </w:divBdr>
          <w:divsChild>
            <w:div w:id="1886211475">
              <w:marLeft w:val="0"/>
              <w:marRight w:val="0"/>
              <w:marTop w:val="0"/>
              <w:marBottom w:val="0"/>
              <w:divBdr>
                <w:top w:val="none" w:sz="0" w:space="0" w:color="auto"/>
                <w:left w:val="none" w:sz="0" w:space="0" w:color="auto"/>
                <w:bottom w:val="none" w:sz="0" w:space="0" w:color="auto"/>
                <w:right w:val="none" w:sz="0" w:space="0" w:color="auto"/>
              </w:divBdr>
              <w:divsChild>
                <w:div w:id="197934027">
                  <w:marLeft w:val="0"/>
                  <w:marRight w:val="0"/>
                  <w:marTop w:val="0"/>
                  <w:marBottom w:val="0"/>
                  <w:divBdr>
                    <w:top w:val="none" w:sz="0" w:space="0" w:color="auto"/>
                    <w:left w:val="none" w:sz="0" w:space="0" w:color="auto"/>
                    <w:bottom w:val="none" w:sz="0" w:space="0" w:color="auto"/>
                    <w:right w:val="none" w:sz="0" w:space="0" w:color="auto"/>
                  </w:divBdr>
                  <w:divsChild>
                    <w:div w:id="1530141923">
                      <w:marLeft w:val="0"/>
                      <w:marRight w:val="0"/>
                      <w:marTop w:val="0"/>
                      <w:marBottom w:val="0"/>
                      <w:divBdr>
                        <w:top w:val="none" w:sz="0" w:space="0" w:color="auto"/>
                        <w:left w:val="none" w:sz="0" w:space="0" w:color="auto"/>
                        <w:bottom w:val="none" w:sz="0" w:space="0" w:color="auto"/>
                        <w:right w:val="none" w:sz="0" w:space="0" w:color="auto"/>
                      </w:divBdr>
                      <w:divsChild>
                        <w:div w:id="116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80142">
      <w:bodyDiv w:val="1"/>
      <w:marLeft w:val="0"/>
      <w:marRight w:val="0"/>
      <w:marTop w:val="0"/>
      <w:marBottom w:val="0"/>
      <w:divBdr>
        <w:top w:val="none" w:sz="0" w:space="0" w:color="auto"/>
        <w:left w:val="none" w:sz="0" w:space="0" w:color="auto"/>
        <w:bottom w:val="none" w:sz="0" w:space="0" w:color="auto"/>
        <w:right w:val="none" w:sz="0" w:space="0" w:color="auto"/>
      </w:divBdr>
    </w:div>
    <w:div w:id="20907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uno@ljmu.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asp-st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7441-B113-9B47-94DC-7451E0BD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Davide</dc:creator>
  <cp:keywords/>
  <dc:description/>
  <cp:lastModifiedBy>Andrew Rutherford</cp:lastModifiedBy>
  <cp:revision>2</cp:revision>
  <cp:lastPrinted>2021-09-20T09:22:00Z</cp:lastPrinted>
  <dcterms:created xsi:type="dcterms:W3CDTF">2021-11-09T14:16:00Z</dcterms:created>
  <dcterms:modified xsi:type="dcterms:W3CDTF">2021-11-09T14:16:00Z</dcterms:modified>
</cp:coreProperties>
</file>