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300A4" w14:textId="77777777" w:rsidR="003E2FD0" w:rsidRDefault="003E2FD0" w:rsidP="003E2FD0">
      <w:pPr>
        <w:spacing w:line="240" w:lineRule="auto"/>
        <w:contextualSpacing/>
        <w:jc w:val="center"/>
        <w:rPr>
          <w:rFonts w:asciiTheme="majorHAnsi" w:hAnsiTheme="majorHAnsi" w:cstheme="majorHAnsi"/>
          <w:b/>
          <w:color w:val="0070C0"/>
          <w:sz w:val="52"/>
          <w:szCs w:val="52"/>
        </w:rPr>
      </w:pPr>
    </w:p>
    <w:p w14:paraId="44DC9488" w14:textId="77777777" w:rsidR="003E2FD0" w:rsidRPr="002615C2" w:rsidRDefault="003E2FD0" w:rsidP="003E2FD0">
      <w:pPr>
        <w:spacing w:line="240" w:lineRule="auto"/>
        <w:contextualSpacing/>
        <w:jc w:val="center"/>
        <w:rPr>
          <w:rFonts w:asciiTheme="majorHAnsi" w:hAnsiTheme="majorHAnsi" w:cstheme="majorHAnsi"/>
          <w:b/>
          <w:color w:val="0070C0"/>
          <w:sz w:val="56"/>
          <w:szCs w:val="56"/>
        </w:rPr>
      </w:pPr>
      <w:r w:rsidRPr="002615C2">
        <w:rPr>
          <w:rFonts w:asciiTheme="majorHAnsi" w:hAnsiTheme="majorHAnsi" w:cstheme="majorHAnsi"/>
          <w:b/>
          <w:color w:val="0070C0"/>
          <w:sz w:val="56"/>
          <w:szCs w:val="56"/>
        </w:rPr>
        <w:t>“Make Glorious Mistakes!”</w:t>
      </w:r>
    </w:p>
    <w:p w14:paraId="5D3AF009" w14:textId="77777777" w:rsidR="003E2FD0" w:rsidRPr="002615C2" w:rsidRDefault="003E2FD0" w:rsidP="003E2FD0">
      <w:pPr>
        <w:spacing w:line="240" w:lineRule="auto"/>
        <w:contextualSpacing/>
        <w:jc w:val="center"/>
        <w:rPr>
          <w:rFonts w:asciiTheme="majorHAnsi" w:hAnsiTheme="majorHAnsi" w:cstheme="majorHAnsi"/>
          <w:b/>
          <w:color w:val="0070C0"/>
          <w:sz w:val="56"/>
          <w:szCs w:val="56"/>
        </w:rPr>
      </w:pPr>
      <w:r w:rsidRPr="002615C2">
        <w:rPr>
          <w:rFonts w:asciiTheme="majorHAnsi" w:hAnsiTheme="majorHAnsi" w:cstheme="majorHAnsi"/>
          <w:b/>
          <w:color w:val="0070C0"/>
          <w:sz w:val="56"/>
          <w:szCs w:val="56"/>
        </w:rPr>
        <w:t xml:space="preserve">Fostering growth and wellbeing </w:t>
      </w:r>
    </w:p>
    <w:p w14:paraId="39175FD0" w14:textId="77777777" w:rsidR="003E2FD0" w:rsidRPr="002615C2" w:rsidRDefault="003E2FD0" w:rsidP="003E2FD0">
      <w:pPr>
        <w:spacing w:line="240" w:lineRule="auto"/>
        <w:contextualSpacing/>
        <w:jc w:val="center"/>
        <w:rPr>
          <w:rFonts w:asciiTheme="majorHAnsi" w:hAnsiTheme="majorHAnsi" w:cstheme="majorHAnsi"/>
          <w:b/>
          <w:color w:val="0070C0"/>
          <w:sz w:val="56"/>
          <w:szCs w:val="56"/>
        </w:rPr>
      </w:pPr>
      <w:r w:rsidRPr="002615C2">
        <w:rPr>
          <w:rFonts w:asciiTheme="majorHAnsi" w:hAnsiTheme="majorHAnsi" w:cstheme="majorHAnsi"/>
          <w:b/>
          <w:color w:val="0070C0"/>
          <w:sz w:val="56"/>
          <w:szCs w:val="56"/>
        </w:rPr>
        <w:t xml:space="preserve">in HE </w:t>
      </w:r>
      <w:proofErr w:type="gramStart"/>
      <w:r w:rsidRPr="002615C2">
        <w:rPr>
          <w:rFonts w:asciiTheme="majorHAnsi" w:hAnsiTheme="majorHAnsi" w:cstheme="majorHAnsi"/>
          <w:b/>
          <w:color w:val="0070C0"/>
          <w:sz w:val="56"/>
          <w:szCs w:val="56"/>
        </w:rPr>
        <w:t>transition</w:t>
      </w:r>
      <w:proofErr w:type="gramEnd"/>
    </w:p>
    <w:p w14:paraId="50C38089" w14:textId="77777777" w:rsidR="003E2FD0" w:rsidRDefault="003E2FD0" w:rsidP="003E2FD0">
      <w:pPr>
        <w:rPr>
          <w:rFonts w:asciiTheme="majorHAnsi" w:hAnsiTheme="majorHAnsi" w:cstheme="majorHAnsi"/>
          <w:sz w:val="24"/>
          <w:szCs w:val="24"/>
        </w:rPr>
      </w:pPr>
    </w:p>
    <w:p w14:paraId="7726D6AA" w14:textId="77777777" w:rsidR="003E2FD0" w:rsidRDefault="003E2FD0" w:rsidP="003E2FD0">
      <w:pPr>
        <w:rPr>
          <w:rFonts w:asciiTheme="majorHAnsi" w:hAnsiTheme="majorHAnsi" w:cstheme="majorHAnsi"/>
          <w:sz w:val="24"/>
          <w:szCs w:val="24"/>
        </w:rPr>
      </w:pPr>
    </w:p>
    <w:p w14:paraId="2806423A" w14:textId="77777777" w:rsidR="003E2FD0" w:rsidRDefault="003E2FD0" w:rsidP="003E2FD0">
      <w:pPr>
        <w:rPr>
          <w:rFonts w:asciiTheme="majorHAnsi" w:hAnsiTheme="majorHAnsi" w:cstheme="majorHAnsi"/>
          <w:b/>
          <w:bCs/>
          <w:sz w:val="32"/>
          <w:szCs w:val="32"/>
        </w:rPr>
      </w:pPr>
    </w:p>
    <w:p w14:paraId="13277853" w14:textId="77777777" w:rsidR="003E2FD0" w:rsidRPr="002615C2" w:rsidRDefault="003E2FD0" w:rsidP="003E2FD0">
      <w:pPr>
        <w:rPr>
          <w:rFonts w:asciiTheme="majorHAnsi" w:hAnsiTheme="majorHAnsi" w:cstheme="majorHAnsi"/>
          <w:sz w:val="32"/>
          <w:szCs w:val="32"/>
        </w:rPr>
      </w:pPr>
      <w:r w:rsidRPr="002615C2">
        <w:rPr>
          <w:rFonts w:asciiTheme="majorHAnsi" w:hAnsiTheme="majorHAnsi" w:cstheme="majorHAnsi"/>
          <w:b/>
          <w:bCs/>
          <w:sz w:val="32"/>
          <w:szCs w:val="32"/>
        </w:rPr>
        <w:t>Corresponding Author:</w:t>
      </w:r>
      <w:r w:rsidRPr="002615C2">
        <w:rPr>
          <w:rFonts w:asciiTheme="majorHAnsi" w:hAnsiTheme="majorHAnsi" w:cstheme="majorHAnsi"/>
          <w:sz w:val="32"/>
          <w:szCs w:val="32"/>
        </w:rPr>
        <w:t xml:space="preserve"> Dr Stella Coyle</w:t>
      </w:r>
      <w:r w:rsidRPr="002615C2">
        <w:rPr>
          <w:rFonts w:asciiTheme="majorHAnsi" w:hAnsiTheme="majorHAnsi" w:cstheme="majorHAnsi"/>
          <w:b/>
          <w:bCs/>
          <w:sz w:val="32"/>
          <w:szCs w:val="32"/>
        </w:rPr>
        <w:t xml:space="preserve">, </w:t>
      </w:r>
      <w:r w:rsidRPr="002615C2">
        <w:rPr>
          <w:rFonts w:asciiTheme="majorHAnsi" w:hAnsiTheme="majorHAnsi" w:cstheme="majorHAnsi"/>
          <w:i/>
          <w:iCs/>
          <w:sz w:val="32"/>
          <w:szCs w:val="32"/>
        </w:rPr>
        <w:t>Keele University School of Law</w:t>
      </w:r>
    </w:p>
    <w:p w14:paraId="6C3FC60A" w14:textId="77777777" w:rsidR="003E2FD0" w:rsidRPr="007068A9" w:rsidRDefault="003E2FD0" w:rsidP="003E2FD0">
      <w:pPr>
        <w:rPr>
          <w:rFonts w:asciiTheme="majorHAnsi" w:hAnsiTheme="majorHAnsi" w:cstheme="majorHAnsi"/>
          <w:sz w:val="32"/>
          <w:szCs w:val="32"/>
          <w:lang w:val="fr-FR"/>
        </w:rPr>
      </w:pPr>
      <w:proofErr w:type="gramStart"/>
      <w:r w:rsidRPr="007068A9">
        <w:rPr>
          <w:rFonts w:asciiTheme="majorHAnsi" w:hAnsiTheme="majorHAnsi" w:cstheme="majorHAnsi"/>
          <w:b/>
          <w:bCs/>
          <w:sz w:val="32"/>
          <w:szCs w:val="32"/>
          <w:lang w:val="fr-FR"/>
        </w:rPr>
        <w:t>Email:</w:t>
      </w:r>
      <w:proofErr w:type="gramEnd"/>
      <w:r w:rsidRPr="007068A9">
        <w:rPr>
          <w:rFonts w:asciiTheme="majorHAnsi" w:hAnsiTheme="majorHAnsi" w:cstheme="majorHAnsi"/>
          <w:sz w:val="32"/>
          <w:szCs w:val="32"/>
          <w:lang w:val="fr-FR"/>
        </w:rPr>
        <w:t xml:space="preserve"> s.coyle@keele.ac.uk</w:t>
      </w:r>
    </w:p>
    <w:p w14:paraId="659D6F2F" w14:textId="77777777" w:rsidR="003E2FD0" w:rsidRPr="002615C2" w:rsidRDefault="003E2FD0" w:rsidP="003E2FD0">
      <w:pPr>
        <w:rPr>
          <w:rFonts w:asciiTheme="majorHAnsi" w:hAnsiTheme="majorHAnsi" w:cstheme="majorHAnsi"/>
          <w:sz w:val="32"/>
          <w:szCs w:val="32"/>
        </w:rPr>
      </w:pPr>
      <w:proofErr w:type="spellStart"/>
      <w:r w:rsidRPr="002615C2">
        <w:rPr>
          <w:rFonts w:asciiTheme="majorHAnsi" w:hAnsiTheme="majorHAnsi" w:cstheme="majorHAnsi"/>
          <w:b/>
          <w:bCs/>
          <w:sz w:val="32"/>
          <w:szCs w:val="32"/>
        </w:rPr>
        <w:t>ORCiD</w:t>
      </w:r>
      <w:proofErr w:type="spellEnd"/>
      <w:r w:rsidRPr="002615C2">
        <w:rPr>
          <w:rFonts w:asciiTheme="majorHAnsi" w:hAnsiTheme="majorHAnsi" w:cstheme="majorHAnsi"/>
          <w:b/>
          <w:bCs/>
          <w:sz w:val="32"/>
          <w:szCs w:val="32"/>
        </w:rPr>
        <w:t>:</w:t>
      </w:r>
      <w:r w:rsidRPr="002615C2">
        <w:rPr>
          <w:rFonts w:asciiTheme="majorHAnsi" w:hAnsiTheme="majorHAnsi" w:cstheme="majorHAnsi"/>
          <w:sz w:val="32"/>
          <w:szCs w:val="32"/>
        </w:rPr>
        <w:t xml:space="preserve"> </w:t>
      </w:r>
      <w:hyperlink r:id="rId8" w:history="1">
        <w:r w:rsidRPr="002615C2">
          <w:rPr>
            <w:rStyle w:val="Hyperlink"/>
            <w:rFonts w:asciiTheme="majorHAnsi" w:hAnsiTheme="majorHAnsi" w:cstheme="majorHAnsi"/>
            <w:sz w:val="32"/>
            <w:szCs w:val="32"/>
          </w:rPr>
          <w:t>https://orcid.org/0000-0001-9352-3350</w:t>
        </w:r>
      </w:hyperlink>
    </w:p>
    <w:p w14:paraId="63BF3A29" w14:textId="77777777" w:rsidR="003E2FD0" w:rsidRPr="002615C2" w:rsidRDefault="003E2FD0" w:rsidP="003E2FD0">
      <w:pPr>
        <w:rPr>
          <w:rFonts w:asciiTheme="majorHAnsi" w:hAnsiTheme="majorHAnsi" w:cstheme="majorHAnsi"/>
          <w:sz w:val="32"/>
          <w:szCs w:val="32"/>
        </w:rPr>
      </w:pPr>
      <w:r w:rsidRPr="002615C2">
        <w:rPr>
          <w:rFonts w:asciiTheme="majorHAnsi" w:hAnsiTheme="majorHAnsi" w:cstheme="majorHAnsi"/>
          <w:b/>
          <w:bCs/>
          <w:sz w:val="32"/>
          <w:szCs w:val="32"/>
        </w:rPr>
        <w:t>Twitter:</w:t>
      </w:r>
      <w:r w:rsidRPr="002615C2">
        <w:rPr>
          <w:rFonts w:asciiTheme="majorHAnsi" w:hAnsiTheme="majorHAnsi" w:cstheme="majorHAnsi"/>
          <w:sz w:val="32"/>
          <w:szCs w:val="32"/>
        </w:rPr>
        <w:t xml:space="preserve"> @DrStellaCoyle</w:t>
      </w:r>
    </w:p>
    <w:p w14:paraId="3A2719CD" w14:textId="77777777" w:rsidR="003E2FD0" w:rsidRPr="002615C2" w:rsidRDefault="003E2FD0" w:rsidP="003E2FD0">
      <w:pPr>
        <w:rPr>
          <w:rFonts w:asciiTheme="majorHAnsi" w:hAnsiTheme="majorHAnsi" w:cstheme="majorHAnsi"/>
          <w:sz w:val="32"/>
          <w:szCs w:val="32"/>
        </w:rPr>
      </w:pPr>
    </w:p>
    <w:p w14:paraId="09159E53" w14:textId="77777777" w:rsidR="003E2FD0" w:rsidRPr="002615C2" w:rsidRDefault="003E2FD0" w:rsidP="003E2FD0">
      <w:pPr>
        <w:rPr>
          <w:rFonts w:asciiTheme="majorHAnsi" w:hAnsiTheme="majorHAnsi" w:cstheme="majorHAnsi"/>
          <w:sz w:val="32"/>
          <w:szCs w:val="32"/>
        </w:rPr>
      </w:pPr>
      <w:r w:rsidRPr="002615C2">
        <w:rPr>
          <w:rFonts w:asciiTheme="majorHAnsi" w:hAnsiTheme="majorHAnsi" w:cstheme="majorHAnsi"/>
          <w:b/>
          <w:bCs/>
          <w:sz w:val="32"/>
          <w:szCs w:val="32"/>
        </w:rPr>
        <w:t>Co-author:</w:t>
      </w:r>
      <w:r w:rsidRPr="002615C2">
        <w:rPr>
          <w:rFonts w:asciiTheme="majorHAnsi" w:hAnsiTheme="majorHAnsi" w:cstheme="majorHAnsi"/>
          <w:sz w:val="32"/>
          <w:szCs w:val="32"/>
        </w:rPr>
        <w:t xml:space="preserve"> Hannah Gibbons-Jones, </w:t>
      </w:r>
      <w:r w:rsidRPr="002615C2">
        <w:rPr>
          <w:rFonts w:asciiTheme="majorHAnsi" w:hAnsiTheme="majorHAnsi" w:cstheme="majorHAnsi"/>
          <w:i/>
          <w:iCs/>
          <w:sz w:val="32"/>
          <w:szCs w:val="32"/>
        </w:rPr>
        <w:t>Keele University School of Law</w:t>
      </w:r>
    </w:p>
    <w:p w14:paraId="1D678942" w14:textId="77777777" w:rsidR="003E2FD0" w:rsidRDefault="003E2FD0" w:rsidP="003E2FD0">
      <w:pPr>
        <w:rPr>
          <w:rFonts w:asciiTheme="majorHAnsi" w:hAnsiTheme="majorHAnsi" w:cstheme="majorHAnsi"/>
          <w:sz w:val="24"/>
          <w:szCs w:val="24"/>
        </w:rPr>
      </w:pPr>
    </w:p>
    <w:p w14:paraId="280957CF" w14:textId="77777777" w:rsidR="003E2FD0" w:rsidRPr="00E87F18" w:rsidRDefault="003E2FD0" w:rsidP="003E2FD0">
      <w:pPr>
        <w:rPr>
          <w:rFonts w:asciiTheme="majorHAnsi" w:hAnsiTheme="majorHAnsi" w:cstheme="majorHAnsi"/>
          <w:sz w:val="24"/>
          <w:szCs w:val="24"/>
        </w:rPr>
      </w:pPr>
    </w:p>
    <w:p w14:paraId="097A67D6" w14:textId="77777777" w:rsidR="003E2FD0" w:rsidRPr="00E87F18" w:rsidRDefault="003E2FD0" w:rsidP="003E2FD0">
      <w:pPr>
        <w:rPr>
          <w:rFonts w:asciiTheme="majorHAnsi" w:hAnsiTheme="majorHAnsi" w:cstheme="majorHAnsi"/>
          <w:sz w:val="24"/>
          <w:szCs w:val="24"/>
        </w:rPr>
      </w:pPr>
    </w:p>
    <w:p w14:paraId="37EE22BB" w14:textId="77777777" w:rsidR="003E2FD0" w:rsidRPr="00E87F18" w:rsidRDefault="003E2FD0" w:rsidP="003E2FD0">
      <w:pPr>
        <w:rPr>
          <w:rFonts w:asciiTheme="majorHAnsi" w:hAnsiTheme="majorHAnsi" w:cstheme="majorHAnsi"/>
          <w:sz w:val="24"/>
          <w:szCs w:val="24"/>
        </w:rPr>
      </w:pPr>
    </w:p>
    <w:p w14:paraId="45B73D4B" w14:textId="77777777" w:rsidR="003E2FD0" w:rsidRPr="00E87F18" w:rsidRDefault="003E2FD0" w:rsidP="003E2FD0">
      <w:pPr>
        <w:rPr>
          <w:rFonts w:asciiTheme="majorHAnsi" w:hAnsiTheme="majorHAnsi" w:cstheme="majorHAnsi"/>
          <w:sz w:val="24"/>
          <w:szCs w:val="24"/>
        </w:rPr>
      </w:pPr>
    </w:p>
    <w:p w14:paraId="21B74C86" w14:textId="77777777" w:rsidR="003E2FD0" w:rsidRPr="00E87F18" w:rsidRDefault="003E2FD0" w:rsidP="003E2FD0">
      <w:pPr>
        <w:rPr>
          <w:rFonts w:asciiTheme="majorHAnsi" w:hAnsiTheme="majorHAnsi" w:cstheme="majorHAnsi"/>
          <w:sz w:val="24"/>
          <w:szCs w:val="24"/>
        </w:rPr>
      </w:pPr>
    </w:p>
    <w:p w14:paraId="0FFF8833" w14:textId="77777777" w:rsidR="003E2FD0" w:rsidRDefault="003E2FD0" w:rsidP="003E2FD0"/>
    <w:p w14:paraId="00EDA7A5" w14:textId="4BC421E9" w:rsidR="00F07FE1" w:rsidRDefault="00F07FE1" w:rsidP="00006797">
      <w:pPr>
        <w:spacing w:line="240" w:lineRule="auto"/>
        <w:jc w:val="both"/>
        <w:rPr>
          <w:rFonts w:asciiTheme="majorHAnsi" w:hAnsiTheme="majorHAnsi" w:cstheme="majorHAnsi"/>
          <w:b/>
          <w:bCs/>
          <w:color w:val="0070C0"/>
          <w:sz w:val="28"/>
          <w:szCs w:val="28"/>
        </w:rPr>
      </w:pPr>
    </w:p>
    <w:p w14:paraId="3E55D3D7" w14:textId="7DACC408" w:rsidR="003E2FD0" w:rsidRDefault="003E2FD0" w:rsidP="00006797">
      <w:pPr>
        <w:spacing w:line="240" w:lineRule="auto"/>
        <w:jc w:val="both"/>
        <w:rPr>
          <w:rFonts w:asciiTheme="majorHAnsi" w:hAnsiTheme="majorHAnsi" w:cstheme="majorHAnsi"/>
          <w:b/>
          <w:bCs/>
          <w:color w:val="0070C0"/>
          <w:sz w:val="28"/>
          <w:szCs w:val="28"/>
        </w:rPr>
      </w:pPr>
    </w:p>
    <w:p w14:paraId="67E95A72" w14:textId="77777777" w:rsidR="003E2FD0" w:rsidRDefault="003E2FD0" w:rsidP="00006797">
      <w:pPr>
        <w:spacing w:line="240" w:lineRule="auto"/>
        <w:jc w:val="both"/>
        <w:rPr>
          <w:rFonts w:asciiTheme="majorHAnsi" w:hAnsiTheme="majorHAnsi" w:cstheme="majorHAnsi"/>
          <w:b/>
          <w:bCs/>
          <w:color w:val="0070C0"/>
          <w:sz w:val="28"/>
          <w:szCs w:val="28"/>
        </w:rPr>
      </w:pPr>
    </w:p>
    <w:p w14:paraId="23157E77" w14:textId="6F7F47AD" w:rsidR="00E861D5" w:rsidRPr="00F07FE1" w:rsidRDefault="00927E95" w:rsidP="00006797">
      <w:pPr>
        <w:spacing w:line="240" w:lineRule="auto"/>
        <w:jc w:val="both"/>
        <w:rPr>
          <w:rFonts w:asciiTheme="majorHAnsi" w:hAnsiTheme="majorHAnsi" w:cstheme="majorHAnsi"/>
          <w:color w:val="0070C0"/>
          <w:sz w:val="28"/>
          <w:szCs w:val="28"/>
        </w:rPr>
      </w:pPr>
      <w:r w:rsidRPr="00F07FE1">
        <w:rPr>
          <w:rFonts w:asciiTheme="majorHAnsi" w:hAnsiTheme="majorHAnsi" w:cstheme="majorHAnsi"/>
          <w:b/>
          <w:bCs/>
          <w:color w:val="0070C0"/>
          <w:sz w:val="28"/>
          <w:szCs w:val="28"/>
        </w:rPr>
        <w:lastRenderedPageBreak/>
        <w:t>Abstract</w:t>
      </w:r>
    </w:p>
    <w:p w14:paraId="218E5F99" w14:textId="41EB777C" w:rsidR="00CF697A" w:rsidRPr="00DF57D9" w:rsidRDefault="003E6709" w:rsidP="00C233A0">
      <w:pPr>
        <w:spacing w:line="240" w:lineRule="auto"/>
        <w:jc w:val="both"/>
        <w:rPr>
          <w:rFonts w:asciiTheme="majorHAnsi" w:hAnsiTheme="majorHAnsi" w:cstheme="majorHAnsi"/>
          <w:bCs/>
          <w:i/>
          <w:iCs/>
          <w:sz w:val="24"/>
          <w:szCs w:val="24"/>
        </w:rPr>
      </w:pPr>
      <w:r w:rsidRPr="00EC5D1D">
        <w:rPr>
          <w:rFonts w:asciiTheme="majorHAnsi" w:hAnsiTheme="majorHAnsi" w:cstheme="majorHAnsi"/>
          <w:i/>
          <w:iCs/>
          <w:sz w:val="24"/>
          <w:szCs w:val="24"/>
        </w:rPr>
        <w:t xml:space="preserve">This paper </w:t>
      </w:r>
      <w:r w:rsidR="00F00B5C">
        <w:rPr>
          <w:rFonts w:asciiTheme="majorHAnsi" w:hAnsiTheme="majorHAnsi" w:cstheme="majorHAnsi"/>
          <w:i/>
          <w:iCs/>
          <w:sz w:val="24"/>
          <w:szCs w:val="24"/>
        </w:rPr>
        <w:t>uses</w:t>
      </w:r>
      <w:r w:rsidR="00BE5136">
        <w:rPr>
          <w:rFonts w:asciiTheme="majorHAnsi" w:hAnsiTheme="majorHAnsi" w:cstheme="majorHAnsi"/>
          <w:i/>
          <w:iCs/>
          <w:sz w:val="24"/>
          <w:szCs w:val="24"/>
        </w:rPr>
        <w:t xml:space="preserve"> Keele’s Legal Essentials module</w:t>
      </w:r>
      <w:r w:rsidR="00627E31">
        <w:rPr>
          <w:rFonts w:asciiTheme="majorHAnsi" w:hAnsiTheme="majorHAnsi" w:cstheme="majorHAnsi"/>
          <w:i/>
          <w:iCs/>
          <w:sz w:val="24"/>
          <w:szCs w:val="24"/>
        </w:rPr>
        <w:t xml:space="preserve"> </w:t>
      </w:r>
      <w:r w:rsidR="00F00B5C">
        <w:rPr>
          <w:rFonts w:asciiTheme="majorHAnsi" w:hAnsiTheme="majorHAnsi" w:cstheme="majorHAnsi"/>
          <w:i/>
          <w:iCs/>
          <w:sz w:val="24"/>
          <w:szCs w:val="24"/>
        </w:rPr>
        <w:t xml:space="preserve">as a case study </w:t>
      </w:r>
      <w:r w:rsidR="00BE5136">
        <w:rPr>
          <w:rFonts w:asciiTheme="majorHAnsi" w:hAnsiTheme="majorHAnsi" w:cstheme="majorHAnsi"/>
          <w:i/>
          <w:iCs/>
          <w:sz w:val="24"/>
          <w:szCs w:val="24"/>
        </w:rPr>
        <w:t xml:space="preserve">to </w:t>
      </w:r>
      <w:r w:rsidR="00F00B5C">
        <w:rPr>
          <w:rFonts w:asciiTheme="majorHAnsi" w:hAnsiTheme="majorHAnsi" w:cstheme="majorHAnsi"/>
          <w:i/>
          <w:iCs/>
          <w:sz w:val="24"/>
          <w:szCs w:val="24"/>
        </w:rPr>
        <w:t>evaluate</w:t>
      </w:r>
      <w:r w:rsidR="00963AB5" w:rsidRPr="00EC5D1D">
        <w:rPr>
          <w:rFonts w:asciiTheme="majorHAnsi" w:hAnsiTheme="majorHAnsi" w:cstheme="majorHAnsi"/>
          <w:i/>
          <w:iCs/>
          <w:sz w:val="24"/>
          <w:szCs w:val="24"/>
        </w:rPr>
        <w:t xml:space="preserve"> how</w:t>
      </w:r>
      <w:r w:rsidRPr="00EC5D1D">
        <w:rPr>
          <w:rFonts w:asciiTheme="majorHAnsi" w:hAnsiTheme="majorHAnsi" w:cstheme="majorHAnsi"/>
          <w:i/>
          <w:iCs/>
          <w:sz w:val="24"/>
          <w:szCs w:val="24"/>
        </w:rPr>
        <w:t xml:space="preserve"> curriculum design can promote wellbeing in first-year Law students</w:t>
      </w:r>
      <w:r w:rsidR="00F00B5C">
        <w:rPr>
          <w:rFonts w:asciiTheme="majorHAnsi" w:hAnsiTheme="majorHAnsi" w:cstheme="majorHAnsi"/>
          <w:i/>
          <w:iCs/>
          <w:sz w:val="24"/>
          <w:szCs w:val="24"/>
        </w:rPr>
        <w:t>,</w:t>
      </w:r>
      <w:r w:rsidR="00F002C1">
        <w:rPr>
          <w:rFonts w:asciiTheme="majorHAnsi" w:hAnsiTheme="majorHAnsi" w:cstheme="majorHAnsi"/>
          <w:i/>
          <w:iCs/>
          <w:sz w:val="24"/>
          <w:szCs w:val="24"/>
        </w:rPr>
        <w:t xml:space="preserve"> by </w:t>
      </w:r>
      <w:r w:rsidRPr="00EC5D1D">
        <w:rPr>
          <w:rFonts w:asciiTheme="majorHAnsi" w:hAnsiTheme="majorHAnsi" w:cstheme="majorHAnsi"/>
          <w:i/>
          <w:iCs/>
          <w:sz w:val="24"/>
          <w:szCs w:val="24"/>
        </w:rPr>
        <w:t>support</w:t>
      </w:r>
      <w:r w:rsidR="00F002C1">
        <w:rPr>
          <w:rFonts w:asciiTheme="majorHAnsi" w:hAnsiTheme="majorHAnsi" w:cstheme="majorHAnsi"/>
          <w:i/>
          <w:iCs/>
          <w:sz w:val="24"/>
          <w:szCs w:val="24"/>
        </w:rPr>
        <w:t>ing their</w:t>
      </w:r>
      <w:r w:rsidRPr="00EC5D1D">
        <w:rPr>
          <w:rFonts w:asciiTheme="majorHAnsi" w:hAnsiTheme="majorHAnsi" w:cstheme="majorHAnsi"/>
          <w:i/>
          <w:iCs/>
          <w:sz w:val="24"/>
          <w:szCs w:val="24"/>
        </w:rPr>
        <w:t xml:space="preserve"> transition </w:t>
      </w:r>
      <w:r w:rsidR="009E6D16" w:rsidRPr="00EC5D1D">
        <w:rPr>
          <w:rFonts w:asciiTheme="majorHAnsi" w:hAnsiTheme="majorHAnsi" w:cstheme="majorHAnsi"/>
          <w:i/>
          <w:iCs/>
          <w:sz w:val="24"/>
          <w:szCs w:val="24"/>
        </w:rPr>
        <w:t xml:space="preserve">to </w:t>
      </w:r>
      <w:r w:rsidR="00963AB5" w:rsidRPr="00EC5D1D">
        <w:rPr>
          <w:rFonts w:asciiTheme="majorHAnsi" w:hAnsiTheme="majorHAnsi" w:cstheme="majorHAnsi"/>
          <w:i/>
          <w:iCs/>
          <w:sz w:val="24"/>
          <w:szCs w:val="24"/>
        </w:rPr>
        <w:t>HE</w:t>
      </w:r>
      <w:r w:rsidRPr="00EC5D1D">
        <w:rPr>
          <w:rFonts w:asciiTheme="majorHAnsi" w:hAnsiTheme="majorHAnsi" w:cstheme="majorHAnsi"/>
          <w:i/>
          <w:iCs/>
          <w:sz w:val="24"/>
          <w:szCs w:val="24"/>
        </w:rPr>
        <w:t xml:space="preserve"> and </w:t>
      </w:r>
      <w:r w:rsidR="00F002C1">
        <w:rPr>
          <w:rFonts w:asciiTheme="majorHAnsi" w:hAnsiTheme="majorHAnsi" w:cstheme="majorHAnsi"/>
          <w:i/>
          <w:iCs/>
          <w:sz w:val="24"/>
          <w:szCs w:val="24"/>
        </w:rPr>
        <w:t>fostering</w:t>
      </w:r>
      <w:r w:rsidRPr="00EC5D1D">
        <w:rPr>
          <w:rFonts w:asciiTheme="majorHAnsi" w:hAnsiTheme="majorHAnsi" w:cstheme="majorHAnsi"/>
          <w:i/>
          <w:iCs/>
          <w:sz w:val="24"/>
          <w:szCs w:val="24"/>
        </w:rPr>
        <w:t xml:space="preserve"> </w:t>
      </w:r>
      <w:r w:rsidR="00F002C1">
        <w:rPr>
          <w:rFonts w:asciiTheme="majorHAnsi" w:hAnsiTheme="majorHAnsi" w:cstheme="majorHAnsi"/>
          <w:i/>
          <w:iCs/>
          <w:sz w:val="24"/>
          <w:szCs w:val="24"/>
        </w:rPr>
        <w:t>a</w:t>
      </w:r>
      <w:r w:rsidRPr="00EC5D1D">
        <w:rPr>
          <w:rFonts w:asciiTheme="majorHAnsi" w:hAnsiTheme="majorHAnsi" w:cstheme="majorHAnsi"/>
          <w:i/>
          <w:iCs/>
          <w:sz w:val="24"/>
          <w:szCs w:val="24"/>
        </w:rPr>
        <w:t xml:space="preserve"> </w:t>
      </w:r>
      <w:r w:rsidR="008933F8" w:rsidRPr="00EC5D1D">
        <w:rPr>
          <w:rFonts w:asciiTheme="majorHAnsi" w:hAnsiTheme="majorHAnsi" w:cstheme="majorHAnsi"/>
          <w:i/>
          <w:iCs/>
          <w:sz w:val="24"/>
          <w:szCs w:val="24"/>
        </w:rPr>
        <w:t>sense of belonging to</w:t>
      </w:r>
      <w:r w:rsidRPr="00EC5D1D">
        <w:rPr>
          <w:rFonts w:asciiTheme="majorHAnsi" w:hAnsiTheme="majorHAnsi" w:cstheme="majorHAnsi"/>
          <w:i/>
          <w:iCs/>
          <w:sz w:val="24"/>
          <w:szCs w:val="24"/>
        </w:rPr>
        <w:t xml:space="preserve"> </w:t>
      </w:r>
      <w:r w:rsidR="008933F8" w:rsidRPr="00EC5D1D">
        <w:rPr>
          <w:rFonts w:asciiTheme="majorHAnsi" w:hAnsiTheme="majorHAnsi" w:cstheme="majorHAnsi"/>
          <w:i/>
          <w:iCs/>
          <w:sz w:val="24"/>
          <w:szCs w:val="24"/>
        </w:rPr>
        <w:t>the Law School</w:t>
      </w:r>
      <w:r w:rsidRPr="00EC5D1D">
        <w:rPr>
          <w:rFonts w:asciiTheme="majorHAnsi" w:hAnsiTheme="majorHAnsi" w:cstheme="majorHAnsi"/>
          <w:i/>
          <w:iCs/>
          <w:sz w:val="24"/>
          <w:szCs w:val="24"/>
        </w:rPr>
        <w:t xml:space="preserve"> community. </w:t>
      </w:r>
      <w:r w:rsidR="00627E31" w:rsidRPr="00414BDB">
        <w:rPr>
          <w:rFonts w:asciiTheme="majorHAnsi" w:hAnsiTheme="majorHAnsi" w:cstheme="majorHAnsi"/>
          <w:i/>
          <w:iCs/>
          <w:sz w:val="24"/>
          <w:szCs w:val="24"/>
        </w:rPr>
        <w:t>Module design is grounded in recognition that</w:t>
      </w:r>
      <w:r w:rsidR="00F02D91" w:rsidRPr="00414BDB">
        <w:rPr>
          <w:rFonts w:asciiTheme="majorHAnsi" w:hAnsiTheme="majorHAnsi" w:cstheme="majorHAnsi"/>
          <w:i/>
          <w:iCs/>
          <w:sz w:val="24"/>
          <w:szCs w:val="24"/>
        </w:rPr>
        <w:t xml:space="preserve"> </w:t>
      </w:r>
      <w:r w:rsidR="00DF57D9" w:rsidRPr="00414BDB">
        <w:rPr>
          <w:rFonts w:asciiTheme="majorHAnsi" w:hAnsiTheme="majorHAnsi" w:cstheme="majorHAnsi"/>
          <w:i/>
          <w:iCs/>
          <w:sz w:val="24"/>
          <w:szCs w:val="24"/>
        </w:rPr>
        <w:t>t</w:t>
      </w:r>
      <w:r w:rsidR="00F02D91" w:rsidRPr="00414BDB">
        <w:rPr>
          <w:rFonts w:asciiTheme="majorHAnsi" w:hAnsiTheme="majorHAnsi" w:cstheme="majorHAnsi"/>
          <w:i/>
          <w:iCs/>
          <w:sz w:val="24"/>
          <w:szCs w:val="24"/>
        </w:rPr>
        <w:t>he orientation process for new law students should emphasise the importance of wellbeing</w:t>
      </w:r>
      <w:r w:rsidR="00F02D91" w:rsidRPr="00414BDB">
        <w:rPr>
          <w:rFonts w:asciiTheme="majorHAnsi" w:hAnsiTheme="majorHAnsi" w:cstheme="majorHAnsi"/>
          <w:i/>
          <w:iCs/>
          <w:sz w:val="24"/>
          <w:szCs w:val="24"/>
          <w:vertAlign w:val="superscript"/>
        </w:rPr>
        <w:footnoteReference w:id="1"/>
      </w:r>
      <w:r w:rsidR="00DF57D9" w:rsidRPr="00414BDB">
        <w:rPr>
          <w:rFonts w:asciiTheme="majorHAnsi" w:hAnsiTheme="majorHAnsi" w:cstheme="majorHAnsi"/>
          <w:i/>
          <w:iCs/>
          <w:sz w:val="24"/>
          <w:szCs w:val="24"/>
        </w:rPr>
        <w:t xml:space="preserve"> and that</w:t>
      </w:r>
      <w:r w:rsidR="00DF57D9" w:rsidRPr="00414BDB">
        <w:rPr>
          <w:rFonts w:asciiTheme="majorHAnsi" w:hAnsiTheme="majorHAnsi" w:cstheme="majorHAnsi"/>
          <w:bCs/>
          <w:i/>
          <w:iCs/>
          <w:sz w:val="24"/>
          <w:szCs w:val="24"/>
        </w:rPr>
        <w:t xml:space="preserve"> </w:t>
      </w:r>
      <w:r w:rsidR="00627E31" w:rsidRPr="00414BDB">
        <w:rPr>
          <w:rFonts w:asciiTheme="majorHAnsi" w:hAnsiTheme="majorHAnsi" w:cstheme="majorHAnsi"/>
          <w:i/>
          <w:iCs/>
          <w:sz w:val="24"/>
          <w:szCs w:val="24"/>
        </w:rPr>
        <w:t>w</w:t>
      </w:r>
      <w:r w:rsidR="00040C61" w:rsidRPr="00414BDB">
        <w:rPr>
          <w:rFonts w:asciiTheme="majorHAnsi" w:hAnsiTheme="majorHAnsi" w:cstheme="majorHAnsi"/>
          <w:i/>
          <w:iCs/>
          <w:sz w:val="24"/>
          <w:szCs w:val="24"/>
        </w:rPr>
        <w:t>ellbeing initiatives are most effective when integrated into the curriculum</w:t>
      </w:r>
      <w:r w:rsidR="00D17EEE" w:rsidRPr="00414BDB">
        <w:rPr>
          <w:rFonts w:asciiTheme="majorHAnsi" w:hAnsiTheme="majorHAnsi" w:cstheme="majorHAnsi"/>
          <w:i/>
          <w:iCs/>
          <w:sz w:val="24"/>
          <w:szCs w:val="24"/>
        </w:rPr>
        <w:t>.</w:t>
      </w:r>
      <w:r w:rsidR="00040C61" w:rsidRPr="00414BDB">
        <w:rPr>
          <w:rFonts w:asciiTheme="majorHAnsi" w:hAnsiTheme="majorHAnsi" w:cstheme="majorHAnsi"/>
          <w:i/>
          <w:iCs/>
          <w:sz w:val="24"/>
          <w:szCs w:val="24"/>
          <w:vertAlign w:val="superscript"/>
        </w:rPr>
        <w:footnoteReference w:id="2"/>
      </w:r>
      <w:r w:rsidR="00CF697A" w:rsidRPr="00EC5D1D">
        <w:rPr>
          <w:rFonts w:asciiTheme="majorHAnsi" w:hAnsiTheme="majorHAnsi" w:cstheme="majorHAnsi"/>
          <w:i/>
          <w:iCs/>
          <w:sz w:val="24"/>
          <w:szCs w:val="24"/>
        </w:rPr>
        <w:t xml:space="preserve"> </w:t>
      </w:r>
      <w:r w:rsidR="00D166F0">
        <w:rPr>
          <w:rFonts w:asciiTheme="majorHAnsi" w:hAnsiTheme="majorHAnsi" w:cstheme="majorHAnsi"/>
          <w:i/>
          <w:iCs/>
          <w:sz w:val="24"/>
          <w:szCs w:val="24"/>
        </w:rPr>
        <w:t>Legal Essentials</w:t>
      </w:r>
      <w:r w:rsidRPr="00CA42B0">
        <w:rPr>
          <w:rFonts w:asciiTheme="majorHAnsi" w:hAnsiTheme="majorHAnsi" w:cstheme="majorHAnsi"/>
          <w:i/>
          <w:iCs/>
          <w:sz w:val="24"/>
          <w:szCs w:val="24"/>
        </w:rPr>
        <w:t xml:space="preserve"> </w:t>
      </w:r>
      <w:r w:rsidR="00626582">
        <w:rPr>
          <w:rFonts w:asciiTheme="majorHAnsi" w:hAnsiTheme="majorHAnsi" w:cstheme="majorHAnsi"/>
          <w:i/>
          <w:iCs/>
          <w:sz w:val="24"/>
          <w:szCs w:val="24"/>
        </w:rPr>
        <w:t xml:space="preserve">aims to </w:t>
      </w:r>
      <w:r w:rsidR="00CA42B0" w:rsidRPr="00CA42B0">
        <w:rPr>
          <w:rFonts w:asciiTheme="majorHAnsi" w:hAnsiTheme="majorHAnsi" w:cstheme="majorHAnsi"/>
          <w:i/>
          <w:iCs/>
          <w:sz w:val="24"/>
          <w:szCs w:val="24"/>
        </w:rPr>
        <w:t xml:space="preserve">give new Law </w:t>
      </w:r>
      <w:r w:rsidR="00FB2727" w:rsidRPr="005E6046">
        <w:rPr>
          <w:rFonts w:asciiTheme="majorHAnsi" w:hAnsiTheme="majorHAnsi" w:cstheme="majorHAnsi"/>
          <w:i/>
          <w:iCs/>
          <w:sz w:val="24"/>
          <w:szCs w:val="24"/>
        </w:rPr>
        <w:t xml:space="preserve">students an early experience of </w:t>
      </w:r>
      <w:r w:rsidR="00F23213">
        <w:rPr>
          <w:rFonts w:asciiTheme="majorHAnsi" w:hAnsiTheme="majorHAnsi" w:cstheme="majorHAnsi"/>
          <w:i/>
          <w:iCs/>
          <w:sz w:val="24"/>
          <w:szCs w:val="24"/>
        </w:rPr>
        <w:t xml:space="preserve">a </w:t>
      </w:r>
      <w:r w:rsidR="00FB2727" w:rsidRPr="005E6046">
        <w:rPr>
          <w:rFonts w:asciiTheme="majorHAnsi" w:hAnsiTheme="majorHAnsi" w:cstheme="majorHAnsi"/>
          <w:i/>
          <w:iCs/>
          <w:sz w:val="24"/>
          <w:szCs w:val="24"/>
        </w:rPr>
        <w:t>community grounded in collaboration and authentic critical engagement</w:t>
      </w:r>
      <w:r w:rsidR="005E6046" w:rsidRPr="005E6046">
        <w:rPr>
          <w:rFonts w:asciiTheme="majorHAnsi" w:hAnsiTheme="majorHAnsi" w:cstheme="majorHAnsi"/>
          <w:i/>
          <w:iCs/>
          <w:sz w:val="24"/>
          <w:szCs w:val="24"/>
        </w:rPr>
        <w:t>,</w:t>
      </w:r>
      <w:r w:rsidR="00FB2727">
        <w:rPr>
          <w:rFonts w:asciiTheme="majorHAnsi" w:hAnsiTheme="majorHAnsi" w:cstheme="majorHAnsi"/>
          <w:sz w:val="24"/>
          <w:szCs w:val="24"/>
        </w:rPr>
        <w:t xml:space="preserve"> </w:t>
      </w:r>
      <w:r w:rsidR="00CA42B0" w:rsidRPr="00CA42B0">
        <w:rPr>
          <w:rFonts w:asciiTheme="majorHAnsi" w:hAnsiTheme="majorHAnsi" w:cstheme="majorHAnsi"/>
          <w:i/>
          <w:iCs/>
          <w:sz w:val="24"/>
          <w:szCs w:val="24"/>
        </w:rPr>
        <w:t xml:space="preserve">where </w:t>
      </w:r>
      <w:r w:rsidR="00FB2727">
        <w:rPr>
          <w:rFonts w:asciiTheme="majorHAnsi" w:hAnsiTheme="majorHAnsi" w:cstheme="majorHAnsi"/>
          <w:i/>
          <w:iCs/>
          <w:sz w:val="24"/>
          <w:szCs w:val="24"/>
        </w:rPr>
        <w:t>risk-taking is fostered</w:t>
      </w:r>
      <w:r w:rsidR="00D166F0">
        <w:rPr>
          <w:rFonts w:asciiTheme="majorHAnsi" w:hAnsiTheme="majorHAnsi" w:cstheme="majorHAnsi"/>
          <w:i/>
          <w:iCs/>
          <w:sz w:val="24"/>
          <w:szCs w:val="24"/>
        </w:rPr>
        <w:t xml:space="preserve"> and supported</w:t>
      </w:r>
      <w:r w:rsidR="00CA42B0" w:rsidRPr="00CA42B0">
        <w:rPr>
          <w:rFonts w:asciiTheme="majorHAnsi" w:hAnsiTheme="majorHAnsi" w:cstheme="majorHAnsi"/>
          <w:i/>
          <w:iCs/>
          <w:sz w:val="24"/>
          <w:szCs w:val="24"/>
        </w:rPr>
        <w:t xml:space="preserve">. </w:t>
      </w:r>
      <w:r w:rsidR="00F23213" w:rsidRPr="00414BDB">
        <w:rPr>
          <w:rFonts w:asciiTheme="majorHAnsi" w:hAnsiTheme="majorHAnsi" w:cstheme="majorHAnsi"/>
          <w:i/>
          <w:iCs/>
          <w:sz w:val="24"/>
          <w:szCs w:val="24"/>
        </w:rPr>
        <w:t>Module d</w:t>
      </w:r>
      <w:r w:rsidR="00D166F0" w:rsidRPr="00414BDB">
        <w:rPr>
          <w:rFonts w:asciiTheme="majorHAnsi" w:hAnsiTheme="majorHAnsi" w:cstheme="majorHAnsi"/>
          <w:i/>
          <w:iCs/>
          <w:sz w:val="24"/>
          <w:szCs w:val="24"/>
        </w:rPr>
        <w:t>elivery</w:t>
      </w:r>
      <w:r w:rsidR="004F154F" w:rsidRPr="00414BDB">
        <w:rPr>
          <w:rFonts w:asciiTheme="majorHAnsi" w:hAnsiTheme="majorHAnsi" w:cstheme="majorHAnsi"/>
          <w:i/>
          <w:iCs/>
          <w:sz w:val="24"/>
          <w:szCs w:val="24"/>
        </w:rPr>
        <w:t xml:space="preserve"> </w:t>
      </w:r>
      <w:r w:rsidRPr="00414BDB">
        <w:rPr>
          <w:rFonts w:asciiTheme="majorHAnsi" w:hAnsiTheme="majorHAnsi" w:cstheme="majorHAnsi"/>
          <w:i/>
          <w:iCs/>
          <w:sz w:val="24"/>
          <w:szCs w:val="24"/>
        </w:rPr>
        <w:t xml:space="preserve">incorporates co-teaching and panel-style discussions, including more senior </w:t>
      </w:r>
      <w:r w:rsidR="003C71A0" w:rsidRPr="00414BDB">
        <w:rPr>
          <w:rFonts w:asciiTheme="majorHAnsi" w:hAnsiTheme="majorHAnsi" w:cstheme="majorHAnsi"/>
          <w:i/>
          <w:iCs/>
          <w:sz w:val="24"/>
          <w:szCs w:val="24"/>
        </w:rPr>
        <w:t xml:space="preserve">students and </w:t>
      </w:r>
      <w:r w:rsidRPr="00414BDB">
        <w:rPr>
          <w:rFonts w:asciiTheme="majorHAnsi" w:hAnsiTheme="majorHAnsi" w:cstheme="majorHAnsi"/>
          <w:i/>
          <w:iCs/>
          <w:sz w:val="24"/>
          <w:szCs w:val="24"/>
        </w:rPr>
        <w:t xml:space="preserve">members of the </w:t>
      </w:r>
      <w:r w:rsidR="003C71A0" w:rsidRPr="00414BDB">
        <w:rPr>
          <w:rFonts w:asciiTheme="majorHAnsi" w:hAnsiTheme="majorHAnsi" w:cstheme="majorHAnsi"/>
          <w:i/>
          <w:iCs/>
          <w:sz w:val="24"/>
          <w:szCs w:val="24"/>
        </w:rPr>
        <w:t>wider legal</w:t>
      </w:r>
      <w:r w:rsidR="00342113" w:rsidRPr="00414BDB">
        <w:rPr>
          <w:rFonts w:asciiTheme="majorHAnsi" w:hAnsiTheme="majorHAnsi" w:cstheme="majorHAnsi"/>
          <w:i/>
          <w:iCs/>
          <w:sz w:val="24"/>
          <w:szCs w:val="24"/>
        </w:rPr>
        <w:t xml:space="preserve"> world</w:t>
      </w:r>
      <w:r w:rsidRPr="00414BDB">
        <w:rPr>
          <w:rFonts w:asciiTheme="majorHAnsi" w:hAnsiTheme="majorHAnsi" w:cstheme="majorHAnsi"/>
          <w:i/>
          <w:iCs/>
          <w:sz w:val="24"/>
          <w:szCs w:val="24"/>
        </w:rPr>
        <w:t>.</w:t>
      </w:r>
      <w:r w:rsidRPr="00EC5D1D">
        <w:rPr>
          <w:rFonts w:asciiTheme="majorHAnsi" w:hAnsiTheme="majorHAnsi" w:cstheme="majorHAnsi"/>
          <w:i/>
          <w:iCs/>
          <w:sz w:val="24"/>
          <w:szCs w:val="24"/>
        </w:rPr>
        <w:t xml:space="preserve"> </w:t>
      </w:r>
      <w:r w:rsidR="00342113">
        <w:rPr>
          <w:rFonts w:asciiTheme="majorHAnsi" w:hAnsiTheme="majorHAnsi" w:cstheme="majorHAnsi"/>
          <w:i/>
          <w:iCs/>
          <w:sz w:val="24"/>
          <w:szCs w:val="24"/>
        </w:rPr>
        <w:t xml:space="preserve">Academics, </w:t>
      </w:r>
      <w:r w:rsidRPr="00EC5D1D">
        <w:rPr>
          <w:rFonts w:asciiTheme="majorHAnsi" w:hAnsiTheme="majorHAnsi" w:cstheme="majorHAnsi"/>
          <w:i/>
          <w:iCs/>
          <w:sz w:val="24"/>
          <w:szCs w:val="24"/>
        </w:rPr>
        <w:t>students</w:t>
      </w:r>
      <w:r w:rsidR="007477FE">
        <w:rPr>
          <w:rFonts w:asciiTheme="majorHAnsi" w:hAnsiTheme="majorHAnsi" w:cstheme="majorHAnsi"/>
          <w:i/>
          <w:iCs/>
          <w:sz w:val="24"/>
          <w:szCs w:val="24"/>
        </w:rPr>
        <w:t xml:space="preserve">, </w:t>
      </w:r>
      <w:r w:rsidR="00342113">
        <w:rPr>
          <w:rFonts w:asciiTheme="majorHAnsi" w:hAnsiTheme="majorHAnsi" w:cstheme="majorHAnsi"/>
          <w:i/>
          <w:iCs/>
          <w:sz w:val="24"/>
          <w:szCs w:val="24"/>
        </w:rPr>
        <w:t>and professionals</w:t>
      </w:r>
      <w:r w:rsidRPr="00EC5D1D">
        <w:rPr>
          <w:rFonts w:asciiTheme="majorHAnsi" w:hAnsiTheme="majorHAnsi" w:cstheme="majorHAnsi"/>
          <w:i/>
          <w:iCs/>
          <w:sz w:val="24"/>
          <w:szCs w:val="24"/>
        </w:rPr>
        <w:t xml:space="preserve"> </w:t>
      </w:r>
      <w:r w:rsidR="00D166F0">
        <w:rPr>
          <w:rFonts w:asciiTheme="majorHAnsi" w:hAnsiTheme="majorHAnsi" w:cstheme="majorHAnsi"/>
          <w:i/>
          <w:iCs/>
          <w:sz w:val="24"/>
          <w:szCs w:val="24"/>
        </w:rPr>
        <w:t xml:space="preserve">thereby </w:t>
      </w:r>
      <w:r w:rsidRPr="00EC5D1D">
        <w:rPr>
          <w:rFonts w:asciiTheme="majorHAnsi" w:hAnsiTheme="majorHAnsi" w:cstheme="majorHAnsi"/>
          <w:i/>
          <w:iCs/>
          <w:sz w:val="24"/>
          <w:szCs w:val="24"/>
        </w:rPr>
        <w:t>share their own experiences of learning</w:t>
      </w:r>
      <w:r w:rsidR="00342113">
        <w:rPr>
          <w:rFonts w:asciiTheme="majorHAnsi" w:hAnsiTheme="majorHAnsi" w:cstheme="majorHAnsi"/>
          <w:i/>
          <w:iCs/>
          <w:sz w:val="24"/>
          <w:szCs w:val="24"/>
        </w:rPr>
        <w:t>, practice</w:t>
      </w:r>
      <w:r w:rsidR="00537627">
        <w:rPr>
          <w:rFonts w:asciiTheme="majorHAnsi" w:hAnsiTheme="majorHAnsi" w:cstheme="majorHAnsi"/>
          <w:i/>
          <w:iCs/>
          <w:sz w:val="24"/>
          <w:szCs w:val="24"/>
        </w:rPr>
        <w:t>,</w:t>
      </w:r>
      <w:r w:rsidRPr="00EC5D1D">
        <w:rPr>
          <w:rFonts w:asciiTheme="majorHAnsi" w:hAnsiTheme="majorHAnsi" w:cstheme="majorHAnsi"/>
          <w:i/>
          <w:iCs/>
          <w:sz w:val="24"/>
          <w:szCs w:val="24"/>
        </w:rPr>
        <w:t xml:space="preserve"> and wellbeing, modelling a community where vulnerability is not a weakness and collaboration is encouraged.</w:t>
      </w:r>
      <w:r w:rsidR="00FB2727">
        <w:rPr>
          <w:rFonts w:asciiTheme="majorHAnsi" w:hAnsiTheme="majorHAnsi" w:cstheme="majorHAnsi"/>
          <w:i/>
          <w:iCs/>
          <w:sz w:val="24"/>
          <w:szCs w:val="24"/>
        </w:rPr>
        <w:t xml:space="preserve"> </w:t>
      </w:r>
    </w:p>
    <w:p w14:paraId="133D8749" w14:textId="33454C3B" w:rsidR="00E861D5" w:rsidRPr="00EC5D1D" w:rsidRDefault="00927E95" w:rsidP="00006797">
      <w:pPr>
        <w:spacing w:line="240" w:lineRule="auto"/>
        <w:jc w:val="both"/>
        <w:rPr>
          <w:rFonts w:asciiTheme="majorHAnsi" w:hAnsiTheme="majorHAnsi" w:cstheme="majorHAnsi"/>
          <w:i/>
          <w:iCs/>
          <w:sz w:val="24"/>
          <w:szCs w:val="24"/>
        </w:rPr>
      </w:pPr>
      <w:r w:rsidRPr="00F07FE1">
        <w:rPr>
          <w:rFonts w:asciiTheme="majorHAnsi" w:hAnsiTheme="majorHAnsi" w:cstheme="majorHAnsi"/>
          <w:b/>
          <w:bCs/>
          <w:i/>
          <w:iCs/>
          <w:color w:val="0070C0"/>
          <w:sz w:val="24"/>
          <w:szCs w:val="24"/>
        </w:rPr>
        <w:t>Keywords</w:t>
      </w:r>
      <w:r w:rsidR="00CF0F94" w:rsidRPr="00F07FE1">
        <w:rPr>
          <w:rFonts w:asciiTheme="majorHAnsi" w:hAnsiTheme="majorHAnsi" w:cstheme="majorHAnsi"/>
          <w:b/>
          <w:bCs/>
          <w:i/>
          <w:iCs/>
          <w:color w:val="0070C0"/>
          <w:sz w:val="24"/>
          <w:szCs w:val="24"/>
        </w:rPr>
        <w:t xml:space="preserve">: </w:t>
      </w:r>
      <w:r w:rsidR="00CF0F94" w:rsidRPr="00EC5D1D">
        <w:rPr>
          <w:rFonts w:asciiTheme="majorHAnsi" w:hAnsiTheme="majorHAnsi" w:cstheme="majorHAnsi"/>
          <w:i/>
          <w:iCs/>
          <w:sz w:val="24"/>
          <w:szCs w:val="24"/>
        </w:rPr>
        <w:t>transition,</w:t>
      </w:r>
      <w:r w:rsidR="00CF0F94" w:rsidRPr="00EC5D1D">
        <w:rPr>
          <w:rFonts w:asciiTheme="majorHAnsi" w:hAnsiTheme="majorHAnsi" w:cstheme="majorHAnsi"/>
          <w:b/>
          <w:bCs/>
          <w:i/>
          <w:iCs/>
          <w:sz w:val="24"/>
          <w:szCs w:val="24"/>
        </w:rPr>
        <w:t xml:space="preserve"> </w:t>
      </w:r>
      <w:r w:rsidR="00D81631">
        <w:rPr>
          <w:rFonts w:asciiTheme="majorHAnsi" w:hAnsiTheme="majorHAnsi" w:cstheme="majorHAnsi"/>
          <w:i/>
          <w:iCs/>
          <w:sz w:val="24"/>
          <w:szCs w:val="24"/>
        </w:rPr>
        <w:t>curriculum design,</w:t>
      </w:r>
      <w:r w:rsidR="00CF02D2">
        <w:rPr>
          <w:rFonts w:asciiTheme="majorHAnsi" w:hAnsiTheme="majorHAnsi" w:cstheme="majorHAnsi"/>
          <w:i/>
          <w:iCs/>
          <w:sz w:val="24"/>
          <w:szCs w:val="24"/>
        </w:rPr>
        <w:t xml:space="preserve"> </w:t>
      </w:r>
      <w:r w:rsidR="00AC2AF5">
        <w:rPr>
          <w:rFonts w:asciiTheme="majorHAnsi" w:hAnsiTheme="majorHAnsi" w:cstheme="majorHAnsi"/>
          <w:i/>
          <w:iCs/>
          <w:sz w:val="24"/>
          <w:szCs w:val="24"/>
        </w:rPr>
        <w:t>community</w:t>
      </w:r>
      <w:r w:rsidR="00556A00">
        <w:rPr>
          <w:rFonts w:asciiTheme="majorHAnsi" w:hAnsiTheme="majorHAnsi" w:cstheme="majorHAnsi"/>
          <w:i/>
          <w:iCs/>
          <w:sz w:val="24"/>
          <w:szCs w:val="24"/>
        </w:rPr>
        <w:t xml:space="preserve">, </w:t>
      </w:r>
      <w:r w:rsidR="00D166F0">
        <w:rPr>
          <w:rFonts w:asciiTheme="majorHAnsi" w:hAnsiTheme="majorHAnsi" w:cstheme="majorHAnsi"/>
          <w:i/>
          <w:iCs/>
          <w:sz w:val="24"/>
          <w:szCs w:val="24"/>
        </w:rPr>
        <w:t>wellbeing</w:t>
      </w:r>
    </w:p>
    <w:p w14:paraId="6E2E95B7" w14:textId="77777777" w:rsidR="003B6924" w:rsidRPr="00006797" w:rsidRDefault="003B6924" w:rsidP="00006797">
      <w:pPr>
        <w:spacing w:line="240" w:lineRule="auto"/>
        <w:jc w:val="both"/>
        <w:rPr>
          <w:rFonts w:asciiTheme="majorHAnsi" w:hAnsiTheme="majorHAnsi" w:cstheme="majorHAnsi"/>
          <w:b/>
          <w:bCs/>
          <w:sz w:val="24"/>
          <w:szCs w:val="24"/>
        </w:rPr>
      </w:pPr>
    </w:p>
    <w:p w14:paraId="66B2103C" w14:textId="6EDE97FD" w:rsidR="00006797" w:rsidRDefault="003B6924" w:rsidP="003B6924">
      <w:pPr>
        <w:spacing w:line="240" w:lineRule="auto"/>
        <w:jc w:val="center"/>
        <w:rPr>
          <w:rFonts w:asciiTheme="majorHAnsi" w:hAnsiTheme="majorHAnsi" w:cstheme="majorHAnsi"/>
          <w:b/>
          <w:bCs/>
          <w:sz w:val="24"/>
          <w:szCs w:val="24"/>
        </w:rPr>
      </w:pPr>
      <w:r>
        <w:rPr>
          <w:rFonts w:asciiTheme="majorHAnsi" w:hAnsiTheme="majorHAnsi" w:cstheme="majorHAnsi"/>
          <w:b/>
          <w:bCs/>
          <w:sz w:val="24"/>
          <w:szCs w:val="24"/>
        </w:rPr>
        <w:t>*************************************</w:t>
      </w:r>
    </w:p>
    <w:p w14:paraId="2A6681CE" w14:textId="417FD4B8" w:rsidR="00910280" w:rsidRPr="00437380" w:rsidRDefault="00B37EAA" w:rsidP="004D1239">
      <w:pPr>
        <w:spacing w:line="240" w:lineRule="auto"/>
        <w:jc w:val="both"/>
        <w:rPr>
          <w:rFonts w:asciiTheme="majorHAnsi" w:hAnsiTheme="majorHAnsi" w:cstheme="majorHAnsi"/>
          <w:b/>
          <w:bCs/>
          <w:sz w:val="24"/>
          <w:szCs w:val="24"/>
        </w:rPr>
      </w:pPr>
      <w:r>
        <w:rPr>
          <w:rFonts w:asciiTheme="majorHAnsi" w:hAnsiTheme="majorHAnsi" w:cstheme="majorHAnsi"/>
          <w:b/>
          <w:bCs/>
          <w:sz w:val="24"/>
          <w:szCs w:val="24"/>
        </w:rPr>
        <w:t xml:space="preserve">1. </w:t>
      </w:r>
      <w:r w:rsidR="00910280" w:rsidRPr="00437380">
        <w:rPr>
          <w:rFonts w:asciiTheme="majorHAnsi" w:hAnsiTheme="majorHAnsi" w:cstheme="majorHAnsi"/>
          <w:b/>
          <w:bCs/>
          <w:sz w:val="24"/>
          <w:szCs w:val="24"/>
        </w:rPr>
        <w:t>Introduction</w:t>
      </w:r>
    </w:p>
    <w:p w14:paraId="65ABD1CF" w14:textId="3B9BE44C" w:rsidR="00BF0CC4" w:rsidRPr="00305492" w:rsidRDefault="00963AB5" w:rsidP="00BF0CC4">
      <w:pPr>
        <w:spacing w:line="240" w:lineRule="auto"/>
        <w:jc w:val="both"/>
        <w:rPr>
          <w:rFonts w:asciiTheme="majorHAnsi" w:eastAsia="Calibri" w:hAnsiTheme="majorHAnsi" w:cstheme="majorHAnsi"/>
          <w:sz w:val="24"/>
          <w:szCs w:val="24"/>
        </w:rPr>
      </w:pPr>
      <w:r>
        <w:rPr>
          <w:rFonts w:asciiTheme="majorHAnsi" w:hAnsiTheme="majorHAnsi" w:cstheme="majorHAnsi"/>
          <w:sz w:val="24"/>
          <w:szCs w:val="24"/>
        </w:rPr>
        <w:t xml:space="preserve">This </w:t>
      </w:r>
      <w:r w:rsidR="00910280" w:rsidRPr="00437380">
        <w:rPr>
          <w:rFonts w:asciiTheme="majorHAnsi" w:hAnsiTheme="majorHAnsi" w:cstheme="majorHAnsi"/>
          <w:sz w:val="24"/>
          <w:szCs w:val="24"/>
        </w:rPr>
        <w:t xml:space="preserve">paper </w:t>
      </w:r>
      <w:r w:rsidR="00F224DD">
        <w:rPr>
          <w:rFonts w:asciiTheme="majorHAnsi" w:hAnsiTheme="majorHAnsi" w:cstheme="majorHAnsi"/>
          <w:sz w:val="24"/>
          <w:szCs w:val="24"/>
        </w:rPr>
        <w:t>examines how</w:t>
      </w:r>
      <w:r w:rsidR="00910280" w:rsidRPr="00437380">
        <w:rPr>
          <w:rFonts w:asciiTheme="majorHAnsi" w:hAnsiTheme="majorHAnsi" w:cstheme="majorHAnsi"/>
          <w:sz w:val="24"/>
          <w:szCs w:val="24"/>
        </w:rPr>
        <w:t xml:space="preserve"> curriculum design can promote </w:t>
      </w:r>
      <w:commentRangeStart w:id="0"/>
      <w:commentRangeStart w:id="1"/>
      <w:r w:rsidR="00910280" w:rsidRPr="00437380">
        <w:rPr>
          <w:rFonts w:asciiTheme="majorHAnsi" w:hAnsiTheme="majorHAnsi" w:cstheme="majorHAnsi"/>
          <w:sz w:val="24"/>
          <w:szCs w:val="24"/>
        </w:rPr>
        <w:t xml:space="preserve">wellbeing </w:t>
      </w:r>
      <w:commentRangeEnd w:id="0"/>
      <w:r w:rsidR="007068A9">
        <w:rPr>
          <w:rStyle w:val="CommentReference"/>
        </w:rPr>
        <w:commentReference w:id="0"/>
      </w:r>
      <w:commentRangeEnd w:id="1"/>
      <w:r w:rsidR="00DF5B4A">
        <w:rPr>
          <w:rStyle w:val="CommentReference"/>
        </w:rPr>
        <w:commentReference w:id="1"/>
      </w:r>
      <w:r w:rsidR="00910280" w:rsidRPr="00437380">
        <w:rPr>
          <w:rFonts w:asciiTheme="majorHAnsi" w:hAnsiTheme="majorHAnsi" w:cstheme="majorHAnsi"/>
          <w:sz w:val="24"/>
          <w:szCs w:val="24"/>
        </w:rPr>
        <w:t>in first-year Law students</w:t>
      </w:r>
      <w:r w:rsidR="00553E88">
        <w:rPr>
          <w:rFonts w:asciiTheme="majorHAnsi" w:hAnsiTheme="majorHAnsi" w:cstheme="majorHAnsi"/>
          <w:sz w:val="24"/>
          <w:szCs w:val="24"/>
        </w:rPr>
        <w:t>. It focuses</w:t>
      </w:r>
      <w:r w:rsidR="00910280" w:rsidRPr="00437380">
        <w:rPr>
          <w:rFonts w:asciiTheme="majorHAnsi" w:hAnsiTheme="majorHAnsi" w:cstheme="majorHAnsi"/>
          <w:sz w:val="24"/>
          <w:szCs w:val="24"/>
        </w:rPr>
        <w:t xml:space="preserve"> </w:t>
      </w:r>
      <w:r w:rsidR="00206548">
        <w:rPr>
          <w:rFonts w:asciiTheme="majorHAnsi" w:hAnsiTheme="majorHAnsi" w:cstheme="majorHAnsi"/>
          <w:sz w:val="24"/>
          <w:szCs w:val="24"/>
        </w:rPr>
        <w:t xml:space="preserve">on </w:t>
      </w:r>
      <w:r w:rsidR="00553E88">
        <w:rPr>
          <w:rFonts w:asciiTheme="majorHAnsi" w:hAnsiTheme="majorHAnsi" w:cstheme="majorHAnsi"/>
          <w:sz w:val="24"/>
          <w:szCs w:val="24"/>
        </w:rPr>
        <w:t>two</w:t>
      </w:r>
      <w:r w:rsidR="00553E88" w:rsidRPr="002A6E4A">
        <w:rPr>
          <w:rFonts w:asciiTheme="majorHAnsi" w:hAnsiTheme="majorHAnsi" w:cstheme="majorHAnsi"/>
          <w:sz w:val="24"/>
          <w:szCs w:val="24"/>
        </w:rPr>
        <w:t xml:space="preserve"> vital, inter-related functions of legal education</w:t>
      </w:r>
      <w:r w:rsidR="00206548">
        <w:rPr>
          <w:rFonts w:asciiTheme="majorHAnsi" w:hAnsiTheme="majorHAnsi" w:cstheme="majorHAnsi"/>
          <w:sz w:val="24"/>
          <w:szCs w:val="24"/>
        </w:rPr>
        <w:t>: h</w:t>
      </w:r>
      <w:r w:rsidR="006E0AD5">
        <w:rPr>
          <w:rFonts w:asciiTheme="majorHAnsi" w:hAnsiTheme="majorHAnsi" w:cstheme="majorHAnsi"/>
          <w:sz w:val="24"/>
          <w:szCs w:val="24"/>
        </w:rPr>
        <w:t xml:space="preserve">ow </w:t>
      </w:r>
      <w:r w:rsidR="00910280" w:rsidRPr="00437380">
        <w:rPr>
          <w:rFonts w:asciiTheme="majorHAnsi" w:hAnsiTheme="majorHAnsi" w:cstheme="majorHAnsi"/>
          <w:sz w:val="24"/>
          <w:szCs w:val="24"/>
        </w:rPr>
        <w:t>curriculum design can support students</w:t>
      </w:r>
      <w:r w:rsidR="00F760B6">
        <w:rPr>
          <w:rFonts w:asciiTheme="majorHAnsi" w:hAnsiTheme="majorHAnsi" w:cstheme="majorHAnsi"/>
          <w:sz w:val="24"/>
          <w:szCs w:val="24"/>
        </w:rPr>
        <w:t>’</w:t>
      </w:r>
      <w:r w:rsidR="00910280" w:rsidRPr="00437380">
        <w:rPr>
          <w:rFonts w:asciiTheme="majorHAnsi" w:hAnsiTheme="majorHAnsi" w:cstheme="majorHAnsi"/>
          <w:sz w:val="24"/>
          <w:szCs w:val="24"/>
        </w:rPr>
        <w:t xml:space="preserve"> transition </w:t>
      </w:r>
      <w:r w:rsidR="00FF74DE">
        <w:rPr>
          <w:rFonts w:asciiTheme="majorHAnsi" w:hAnsiTheme="majorHAnsi" w:cstheme="majorHAnsi"/>
          <w:sz w:val="24"/>
          <w:szCs w:val="24"/>
        </w:rPr>
        <w:t>to higher education</w:t>
      </w:r>
      <w:r w:rsidR="00537627">
        <w:rPr>
          <w:rFonts w:asciiTheme="majorHAnsi" w:hAnsiTheme="majorHAnsi" w:cstheme="majorHAnsi"/>
          <w:sz w:val="24"/>
          <w:szCs w:val="24"/>
        </w:rPr>
        <w:t>;</w:t>
      </w:r>
      <w:r w:rsidR="00910280" w:rsidRPr="00437380">
        <w:rPr>
          <w:rFonts w:asciiTheme="majorHAnsi" w:hAnsiTheme="majorHAnsi" w:cstheme="majorHAnsi"/>
          <w:sz w:val="24"/>
          <w:szCs w:val="24"/>
        </w:rPr>
        <w:t xml:space="preserve"> </w:t>
      </w:r>
      <w:r w:rsidR="00F145BE" w:rsidRPr="00437380">
        <w:rPr>
          <w:rFonts w:asciiTheme="majorHAnsi" w:hAnsiTheme="majorHAnsi" w:cstheme="majorHAnsi"/>
          <w:sz w:val="24"/>
          <w:szCs w:val="24"/>
        </w:rPr>
        <w:t>and</w:t>
      </w:r>
      <w:r w:rsidR="001D5835">
        <w:rPr>
          <w:rFonts w:asciiTheme="majorHAnsi" w:hAnsiTheme="majorHAnsi" w:cstheme="majorHAnsi"/>
          <w:sz w:val="24"/>
          <w:szCs w:val="24"/>
        </w:rPr>
        <w:t xml:space="preserve"> </w:t>
      </w:r>
      <w:r w:rsidR="00487EC9">
        <w:rPr>
          <w:rFonts w:asciiTheme="majorHAnsi" w:hAnsiTheme="majorHAnsi" w:cstheme="majorHAnsi"/>
          <w:sz w:val="24"/>
          <w:szCs w:val="24"/>
        </w:rPr>
        <w:t xml:space="preserve">how it can </w:t>
      </w:r>
      <w:r w:rsidR="00206548">
        <w:rPr>
          <w:rFonts w:asciiTheme="majorHAnsi" w:hAnsiTheme="majorHAnsi" w:cstheme="majorHAnsi"/>
          <w:sz w:val="24"/>
          <w:szCs w:val="24"/>
        </w:rPr>
        <w:t xml:space="preserve">help </w:t>
      </w:r>
      <w:r w:rsidR="009813E6">
        <w:rPr>
          <w:rFonts w:asciiTheme="majorHAnsi" w:hAnsiTheme="majorHAnsi" w:cstheme="majorHAnsi"/>
          <w:sz w:val="24"/>
          <w:szCs w:val="24"/>
        </w:rPr>
        <w:t>foster</w:t>
      </w:r>
      <w:r w:rsidR="00FF74DE">
        <w:rPr>
          <w:rFonts w:asciiTheme="majorHAnsi" w:hAnsiTheme="majorHAnsi" w:cstheme="majorHAnsi"/>
          <w:sz w:val="24"/>
          <w:szCs w:val="24"/>
        </w:rPr>
        <w:t xml:space="preserve"> </w:t>
      </w:r>
      <w:r w:rsidR="00074B83">
        <w:rPr>
          <w:rFonts w:asciiTheme="majorHAnsi" w:hAnsiTheme="majorHAnsi" w:cstheme="majorHAnsi"/>
          <w:sz w:val="24"/>
          <w:szCs w:val="24"/>
        </w:rPr>
        <w:t xml:space="preserve">their sense of </w:t>
      </w:r>
      <w:r w:rsidR="001A4AD0">
        <w:rPr>
          <w:rFonts w:asciiTheme="majorHAnsi" w:hAnsiTheme="majorHAnsi" w:cstheme="majorHAnsi"/>
          <w:sz w:val="24"/>
          <w:szCs w:val="24"/>
        </w:rPr>
        <w:t>identity as members of</w:t>
      </w:r>
      <w:r w:rsidR="00074B83">
        <w:rPr>
          <w:rFonts w:asciiTheme="majorHAnsi" w:hAnsiTheme="majorHAnsi" w:cstheme="majorHAnsi"/>
          <w:sz w:val="24"/>
          <w:szCs w:val="24"/>
        </w:rPr>
        <w:t xml:space="preserve"> </w:t>
      </w:r>
      <w:r w:rsidR="00910280" w:rsidRPr="00437380">
        <w:rPr>
          <w:rFonts w:asciiTheme="majorHAnsi" w:hAnsiTheme="majorHAnsi" w:cstheme="majorHAnsi"/>
          <w:sz w:val="24"/>
          <w:szCs w:val="24"/>
        </w:rPr>
        <w:t xml:space="preserve">the </w:t>
      </w:r>
      <w:r w:rsidR="00074B83">
        <w:rPr>
          <w:rFonts w:asciiTheme="majorHAnsi" w:hAnsiTheme="majorHAnsi" w:cstheme="majorHAnsi"/>
          <w:sz w:val="24"/>
          <w:szCs w:val="24"/>
        </w:rPr>
        <w:t>Law School</w:t>
      </w:r>
      <w:r w:rsidR="00910280" w:rsidRPr="00437380">
        <w:rPr>
          <w:rFonts w:asciiTheme="majorHAnsi" w:hAnsiTheme="majorHAnsi" w:cstheme="majorHAnsi"/>
          <w:sz w:val="24"/>
          <w:szCs w:val="24"/>
        </w:rPr>
        <w:t xml:space="preserve"> community.</w:t>
      </w:r>
      <w:r w:rsidR="009D356A" w:rsidRPr="00437380">
        <w:rPr>
          <w:rFonts w:asciiTheme="majorHAnsi" w:eastAsia="Calibri" w:hAnsiTheme="majorHAnsi" w:cstheme="majorHAnsi"/>
          <w:sz w:val="24"/>
          <w:szCs w:val="24"/>
          <w:vertAlign w:val="superscript"/>
        </w:rPr>
        <w:footnoteReference w:id="3"/>
      </w:r>
      <w:r w:rsidR="008B22B2">
        <w:rPr>
          <w:rFonts w:asciiTheme="majorHAnsi" w:hAnsiTheme="majorHAnsi" w:cstheme="majorHAnsi"/>
          <w:sz w:val="24"/>
          <w:szCs w:val="24"/>
        </w:rPr>
        <w:t xml:space="preserve"> </w:t>
      </w:r>
      <w:r w:rsidR="007D1439" w:rsidRPr="00437380">
        <w:rPr>
          <w:rFonts w:asciiTheme="majorHAnsi" w:eastAsia="Calibri" w:hAnsiTheme="majorHAnsi" w:cstheme="majorHAnsi"/>
          <w:sz w:val="24"/>
          <w:szCs w:val="24"/>
        </w:rPr>
        <w:t>The paper uses Keele</w:t>
      </w:r>
      <w:r w:rsidR="007D1439">
        <w:rPr>
          <w:rFonts w:asciiTheme="majorHAnsi" w:eastAsia="Calibri" w:hAnsiTheme="majorHAnsi" w:cstheme="majorHAnsi"/>
          <w:sz w:val="24"/>
          <w:szCs w:val="24"/>
        </w:rPr>
        <w:t>’s</w:t>
      </w:r>
      <w:r w:rsidR="007D1439" w:rsidRPr="00437380">
        <w:rPr>
          <w:rFonts w:asciiTheme="majorHAnsi" w:eastAsia="Calibri" w:hAnsiTheme="majorHAnsi" w:cstheme="majorHAnsi"/>
          <w:sz w:val="24"/>
          <w:szCs w:val="24"/>
        </w:rPr>
        <w:t xml:space="preserve"> new Legal Essentials module as a case study through which these questions can be analysed.</w:t>
      </w:r>
      <w:r w:rsidR="00537627">
        <w:rPr>
          <w:rFonts w:asciiTheme="majorHAnsi" w:eastAsia="Calibri" w:hAnsiTheme="majorHAnsi" w:cstheme="majorHAnsi"/>
          <w:sz w:val="24"/>
          <w:szCs w:val="24"/>
        </w:rPr>
        <w:t xml:space="preserve"> It will</w:t>
      </w:r>
      <w:r w:rsidR="00C753E1">
        <w:rPr>
          <w:rFonts w:asciiTheme="majorHAnsi" w:eastAsia="Calibri" w:hAnsiTheme="majorHAnsi" w:cstheme="majorHAnsi"/>
          <w:sz w:val="24"/>
          <w:szCs w:val="24"/>
        </w:rPr>
        <w:t xml:space="preserve"> </w:t>
      </w:r>
      <w:r w:rsidR="00134AC9">
        <w:rPr>
          <w:rFonts w:asciiTheme="majorHAnsi" w:eastAsia="Calibri" w:hAnsiTheme="majorHAnsi" w:cstheme="majorHAnsi"/>
          <w:sz w:val="24"/>
          <w:szCs w:val="24"/>
        </w:rPr>
        <w:t>describe</w:t>
      </w:r>
      <w:r w:rsidR="003E1490">
        <w:rPr>
          <w:rFonts w:asciiTheme="majorHAnsi" w:eastAsia="Calibri" w:hAnsiTheme="majorHAnsi" w:cstheme="majorHAnsi"/>
          <w:sz w:val="24"/>
          <w:szCs w:val="24"/>
        </w:rPr>
        <w:t xml:space="preserve"> how the module is designed to respond to </w:t>
      </w:r>
      <w:r w:rsidR="00206DFB">
        <w:rPr>
          <w:rFonts w:asciiTheme="majorHAnsi" w:eastAsia="Calibri" w:hAnsiTheme="majorHAnsi" w:cstheme="majorHAnsi"/>
          <w:sz w:val="24"/>
          <w:szCs w:val="24"/>
        </w:rPr>
        <w:t xml:space="preserve">the challenges </w:t>
      </w:r>
      <w:r w:rsidR="003E1490">
        <w:rPr>
          <w:rFonts w:asciiTheme="majorHAnsi" w:eastAsia="Calibri" w:hAnsiTheme="majorHAnsi" w:cstheme="majorHAnsi"/>
          <w:sz w:val="24"/>
          <w:szCs w:val="24"/>
        </w:rPr>
        <w:t>facing</w:t>
      </w:r>
      <w:r w:rsidR="00206DFB">
        <w:rPr>
          <w:rFonts w:asciiTheme="majorHAnsi" w:eastAsia="Calibri" w:hAnsiTheme="majorHAnsi" w:cstheme="majorHAnsi"/>
          <w:sz w:val="24"/>
          <w:szCs w:val="24"/>
        </w:rPr>
        <w:t xml:space="preserve"> student wellbeing, including </w:t>
      </w:r>
      <w:r w:rsidR="007D5DA4">
        <w:rPr>
          <w:rFonts w:asciiTheme="majorHAnsi" w:eastAsia="Calibri" w:hAnsiTheme="majorHAnsi" w:cstheme="majorHAnsi"/>
          <w:sz w:val="24"/>
          <w:szCs w:val="24"/>
        </w:rPr>
        <w:t xml:space="preserve">recognition of </w:t>
      </w:r>
      <w:r w:rsidR="00211507">
        <w:rPr>
          <w:rFonts w:asciiTheme="majorHAnsi" w:eastAsia="Calibri" w:hAnsiTheme="majorHAnsi" w:cstheme="majorHAnsi"/>
          <w:sz w:val="24"/>
          <w:szCs w:val="24"/>
        </w:rPr>
        <w:t>some</w:t>
      </w:r>
      <w:r w:rsidR="00C753E1">
        <w:rPr>
          <w:rFonts w:asciiTheme="majorHAnsi" w:eastAsia="Calibri" w:hAnsiTheme="majorHAnsi" w:cstheme="majorHAnsi"/>
          <w:sz w:val="24"/>
          <w:szCs w:val="24"/>
        </w:rPr>
        <w:t xml:space="preserve"> </w:t>
      </w:r>
      <w:proofErr w:type="gramStart"/>
      <w:r w:rsidR="00206DFB">
        <w:rPr>
          <w:rFonts w:asciiTheme="majorHAnsi" w:eastAsia="Calibri" w:hAnsiTheme="majorHAnsi" w:cstheme="majorHAnsi"/>
          <w:sz w:val="24"/>
          <w:szCs w:val="24"/>
        </w:rPr>
        <w:t>particular characteristics</w:t>
      </w:r>
      <w:proofErr w:type="gramEnd"/>
      <w:r w:rsidR="00206DFB">
        <w:rPr>
          <w:rFonts w:asciiTheme="majorHAnsi" w:eastAsia="Calibri" w:hAnsiTheme="majorHAnsi" w:cstheme="majorHAnsi"/>
          <w:sz w:val="24"/>
          <w:szCs w:val="24"/>
        </w:rPr>
        <w:t xml:space="preserve"> of Law students</w:t>
      </w:r>
      <w:r w:rsidR="00211507">
        <w:rPr>
          <w:rFonts w:asciiTheme="majorHAnsi" w:eastAsia="Calibri" w:hAnsiTheme="majorHAnsi" w:cstheme="majorHAnsi"/>
          <w:sz w:val="24"/>
          <w:szCs w:val="24"/>
        </w:rPr>
        <w:t xml:space="preserve"> revealed in the </w:t>
      </w:r>
      <w:r w:rsidR="00A303AA">
        <w:rPr>
          <w:rFonts w:asciiTheme="majorHAnsi" w:eastAsia="Calibri" w:hAnsiTheme="majorHAnsi" w:cstheme="majorHAnsi"/>
          <w:sz w:val="24"/>
          <w:szCs w:val="24"/>
        </w:rPr>
        <w:t>literature</w:t>
      </w:r>
      <w:r w:rsidR="00206DFB">
        <w:rPr>
          <w:rFonts w:asciiTheme="majorHAnsi" w:eastAsia="Calibri" w:hAnsiTheme="majorHAnsi" w:cstheme="majorHAnsi"/>
          <w:sz w:val="24"/>
          <w:szCs w:val="24"/>
        </w:rPr>
        <w:t xml:space="preserve">. </w:t>
      </w:r>
      <w:r w:rsidR="007D1439" w:rsidRPr="00437380">
        <w:rPr>
          <w:rFonts w:asciiTheme="majorHAnsi" w:eastAsia="Calibri" w:hAnsiTheme="majorHAnsi" w:cstheme="majorHAnsi"/>
          <w:sz w:val="24"/>
          <w:szCs w:val="24"/>
        </w:rPr>
        <w:t xml:space="preserve"> </w:t>
      </w:r>
      <w:r w:rsidR="007D5DA4">
        <w:rPr>
          <w:rFonts w:asciiTheme="majorHAnsi" w:eastAsia="Calibri" w:hAnsiTheme="majorHAnsi" w:cstheme="majorHAnsi"/>
          <w:sz w:val="24"/>
          <w:szCs w:val="24"/>
        </w:rPr>
        <w:t xml:space="preserve">It will </w:t>
      </w:r>
      <w:r w:rsidR="00DF6832">
        <w:rPr>
          <w:rFonts w:asciiTheme="majorHAnsi" w:eastAsia="Calibri" w:hAnsiTheme="majorHAnsi" w:cstheme="majorHAnsi"/>
          <w:sz w:val="24"/>
          <w:szCs w:val="24"/>
        </w:rPr>
        <w:t xml:space="preserve">examine the effect of traditional legal education on </w:t>
      </w:r>
      <w:r w:rsidR="00327542">
        <w:rPr>
          <w:rFonts w:asciiTheme="majorHAnsi" w:eastAsia="Calibri" w:hAnsiTheme="majorHAnsi" w:cstheme="majorHAnsi"/>
          <w:sz w:val="24"/>
          <w:szCs w:val="24"/>
        </w:rPr>
        <w:t xml:space="preserve">the </w:t>
      </w:r>
      <w:r w:rsidR="00DF6832">
        <w:rPr>
          <w:rFonts w:asciiTheme="majorHAnsi" w:eastAsia="Calibri" w:hAnsiTheme="majorHAnsi" w:cstheme="majorHAnsi"/>
          <w:sz w:val="24"/>
          <w:szCs w:val="24"/>
        </w:rPr>
        <w:t xml:space="preserve">wellbeing </w:t>
      </w:r>
      <w:r w:rsidR="00327542">
        <w:rPr>
          <w:rFonts w:asciiTheme="majorHAnsi" w:eastAsia="Calibri" w:hAnsiTheme="majorHAnsi" w:cstheme="majorHAnsi"/>
          <w:sz w:val="24"/>
          <w:szCs w:val="24"/>
        </w:rPr>
        <w:t xml:space="preserve">of both students and academics, </w:t>
      </w:r>
      <w:r w:rsidR="00DF6832">
        <w:rPr>
          <w:rFonts w:asciiTheme="majorHAnsi" w:eastAsia="Calibri" w:hAnsiTheme="majorHAnsi" w:cstheme="majorHAnsi"/>
          <w:sz w:val="24"/>
          <w:szCs w:val="24"/>
        </w:rPr>
        <w:t xml:space="preserve">with reference to </w:t>
      </w:r>
      <w:r w:rsidR="005150EF">
        <w:rPr>
          <w:rFonts w:asciiTheme="majorHAnsi" w:eastAsia="Calibri" w:hAnsiTheme="majorHAnsi" w:cstheme="majorHAnsi"/>
          <w:sz w:val="24"/>
          <w:szCs w:val="24"/>
        </w:rPr>
        <w:t>the sense – or absence – of positive identity, community and belonging.</w:t>
      </w:r>
      <w:r w:rsidR="00327542">
        <w:rPr>
          <w:rFonts w:asciiTheme="majorHAnsi" w:eastAsia="Calibri" w:hAnsiTheme="majorHAnsi" w:cstheme="majorHAnsi"/>
          <w:sz w:val="24"/>
          <w:szCs w:val="24"/>
        </w:rPr>
        <w:t xml:space="preserve"> </w:t>
      </w:r>
      <w:r w:rsidR="00CF5896">
        <w:rPr>
          <w:rFonts w:asciiTheme="majorHAnsi" w:eastAsia="Calibri" w:hAnsiTheme="majorHAnsi" w:cstheme="majorHAnsi"/>
          <w:sz w:val="24"/>
          <w:szCs w:val="24"/>
        </w:rPr>
        <w:t xml:space="preserve">The paper will then </w:t>
      </w:r>
      <w:r w:rsidR="00E87585">
        <w:rPr>
          <w:rFonts w:asciiTheme="majorHAnsi" w:eastAsia="Calibri" w:hAnsiTheme="majorHAnsi" w:cstheme="majorHAnsi"/>
          <w:sz w:val="24"/>
          <w:szCs w:val="24"/>
        </w:rPr>
        <w:t>consider</w:t>
      </w:r>
      <w:r w:rsidR="002E2669">
        <w:rPr>
          <w:rFonts w:asciiTheme="majorHAnsi" w:eastAsia="Calibri" w:hAnsiTheme="majorHAnsi" w:cstheme="majorHAnsi"/>
          <w:sz w:val="24"/>
          <w:szCs w:val="24"/>
        </w:rPr>
        <w:t xml:space="preserve"> </w:t>
      </w:r>
      <w:r w:rsidR="00A75998">
        <w:rPr>
          <w:rFonts w:asciiTheme="majorHAnsi" w:eastAsia="Calibri" w:hAnsiTheme="majorHAnsi" w:cstheme="majorHAnsi"/>
          <w:sz w:val="24"/>
          <w:szCs w:val="24"/>
        </w:rPr>
        <w:t xml:space="preserve">the issues raised by </w:t>
      </w:r>
      <w:r w:rsidR="002E2669">
        <w:rPr>
          <w:rFonts w:asciiTheme="majorHAnsi" w:eastAsia="Calibri" w:hAnsiTheme="majorHAnsi" w:cstheme="majorHAnsi"/>
          <w:sz w:val="24"/>
          <w:szCs w:val="24"/>
        </w:rPr>
        <w:t xml:space="preserve">transition </w:t>
      </w:r>
      <w:r w:rsidR="00A75998">
        <w:rPr>
          <w:rFonts w:asciiTheme="majorHAnsi" w:eastAsia="Calibri" w:hAnsiTheme="majorHAnsi" w:cstheme="majorHAnsi"/>
          <w:sz w:val="24"/>
          <w:szCs w:val="24"/>
        </w:rPr>
        <w:t>to higher education</w:t>
      </w:r>
      <w:r w:rsidR="00E87585">
        <w:rPr>
          <w:rFonts w:asciiTheme="majorHAnsi" w:eastAsia="Calibri" w:hAnsiTheme="majorHAnsi" w:cstheme="majorHAnsi"/>
          <w:sz w:val="24"/>
          <w:szCs w:val="24"/>
        </w:rPr>
        <w:t xml:space="preserve">, before going on to discuss </w:t>
      </w:r>
      <w:r w:rsidR="007F61B3">
        <w:rPr>
          <w:rFonts w:asciiTheme="majorHAnsi" w:eastAsia="Calibri" w:hAnsiTheme="majorHAnsi" w:cstheme="majorHAnsi"/>
          <w:sz w:val="24"/>
          <w:szCs w:val="24"/>
        </w:rPr>
        <w:t xml:space="preserve">Legal Essentials’ </w:t>
      </w:r>
      <w:r w:rsidR="007C0C92">
        <w:rPr>
          <w:rFonts w:asciiTheme="majorHAnsi" w:eastAsia="Calibri" w:hAnsiTheme="majorHAnsi" w:cstheme="majorHAnsi"/>
          <w:sz w:val="24"/>
          <w:szCs w:val="24"/>
        </w:rPr>
        <w:t>curriculum design for wellbeing</w:t>
      </w:r>
      <w:r w:rsidR="00B06E88">
        <w:rPr>
          <w:rFonts w:asciiTheme="majorHAnsi" w:eastAsia="Calibri" w:hAnsiTheme="majorHAnsi" w:cstheme="majorHAnsi"/>
          <w:sz w:val="24"/>
          <w:szCs w:val="24"/>
        </w:rPr>
        <w:t>. It will conclude with an analysis of student feedback</w:t>
      </w:r>
      <w:r w:rsidR="00B24090">
        <w:rPr>
          <w:rFonts w:asciiTheme="majorHAnsi" w:eastAsia="Calibri" w:hAnsiTheme="majorHAnsi" w:cstheme="majorHAnsi"/>
          <w:sz w:val="24"/>
          <w:szCs w:val="24"/>
        </w:rPr>
        <w:t>, team refection,</w:t>
      </w:r>
      <w:r w:rsidR="00B06E88">
        <w:rPr>
          <w:rFonts w:asciiTheme="majorHAnsi" w:eastAsia="Calibri" w:hAnsiTheme="majorHAnsi" w:cstheme="majorHAnsi"/>
          <w:sz w:val="24"/>
          <w:szCs w:val="24"/>
        </w:rPr>
        <w:t xml:space="preserve"> and </w:t>
      </w:r>
      <w:r w:rsidR="00305492">
        <w:rPr>
          <w:rFonts w:asciiTheme="majorHAnsi" w:eastAsia="Calibri" w:hAnsiTheme="majorHAnsi" w:cstheme="majorHAnsi"/>
          <w:sz w:val="24"/>
          <w:szCs w:val="24"/>
        </w:rPr>
        <w:t xml:space="preserve">suggestions for future </w:t>
      </w:r>
      <w:r w:rsidR="00B24090">
        <w:rPr>
          <w:rFonts w:asciiTheme="majorHAnsi" w:eastAsia="Calibri" w:hAnsiTheme="majorHAnsi" w:cstheme="majorHAnsi"/>
          <w:sz w:val="24"/>
          <w:szCs w:val="24"/>
        </w:rPr>
        <w:t xml:space="preserve">module and </w:t>
      </w:r>
      <w:r w:rsidR="00305492">
        <w:rPr>
          <w:rFonts w:asciiTheme="majorHAnsi" w:eastAsia="Calibri" w:hAnsiTheme="majorHAnsi" w:cstheme="majorHAnsi"/>
          <w:sz w:val="24"/>
          <w:szCs w:val="24"/>
        </w:rPr>
        <w:t xml:space="preserve">curriculum development. Throughout the paper, the </w:t>
      </w:r>
      <w:r w:rsidR="007D1439">
        <w:rPr>
          <w:rFonts w:asciiTheme="majorHAnsi" w:hAnsiTheme="majorHAnsi" w:cstheme="majorHAnsi"/>
          <w:sz w:val="24"/>
          <w:szCs w:val="24"/>
        </w:rPr>
        <w:t>impact of Covid on student</w:t>
      </w:r>
      <w:r w:rsidR="00536706">
        <w:rPr>
          <w:rFonts w:asciiTheme="majorHAnsi" w:hAnsiTheme="majorHAnsi" w:cstheme="majorHAnsi"/>
          <w:sz w:val="24"/>
          <w:szCs w:val="24"/>
        </w:rPr>
        <w:t xml:space="preserve"> and staff</w:t>
      </w:r>
      <w:r w:rsidR="007D1439">
        <w:rPr>
          <w:rFonts w:asciiTheme="majorHAnsi" w:hAnsiTheme="majorHAnsi" w:cstheme="majorHAnsi"/>
          <w:sz w:val="24"/>
          <w:szCs w:val="24"/>
        </w:rPr>
        <w:t xml:space="preserve"> wellbeing</w:t>
      </w:r>
      <w:r w:rsidR="00536706">
        <w:rPr>
          <w:rFonts w:asciiTheme="majorHAnsi" w:hAnsiTheme="majorHAnsi" w:cstheme="majorHAnsi"/>
          <w:sz w:val="24"/>
          <w:szCs w:val="24"/>
        </w:rPr>
        <w:t xml:space="preserve"> </w:t>
      </w:r>
      <w:r w:rsidR="00700228">
        <w:rPr>
          <w:rFonts w:asciiTheme="majorHAnsi" w:hAnsiTheme="majorHAnsi" w:cstheme="majorHAnsi"/>
          <w:sz w:val="24"/>
          <w:szCs w:val="24"/>
        </w:rPr>
        <w:t xml:space="preserve">will be </w:t>
      </w:r>
      <w:r w:rsidR="00A35C05">
        <w:rPr>
          <w:rFonts w:asciiTheme="majorHAnsi" w:hAnsiTheme="majorHAnsi" w:cstheme="majorHAnsi"/>
          <w:sz w:val="24"/>
          <w:szCs w:val="24"/>
        </w:rPr>
        <w:t>considered</w:t>
      </w:r>
      <w:r w:rsidR="007D1439">
        <w:rPr>
          <w:rFonts w:asciiTheme="majorHAnsi" w:hAnsiTheme="majorHAnsi" w:cstheme="majorHAnsi"/>
          <w:sz w:val="24"/>
          <w:szCs w:val="24"/>
        </w:rPr>
        <w:t>.</w:t>
      </w:r>
    </w:p>
    <w:p w14:paraId="1C26BF48" w14:textId="116C4220" w:rsidR="00052C2C" w:rsidRPr="00614C52" w:rsidRDefault="00903EA0" w:rsidP="00052C2C">
      <w:pPr>
        <w:spacing w:line="240" w:lineRule="auto"/>
        <w:jc w:val="both"/>
        <w:rPr>
          <w:rFonts w:asciiTheme="majorHAnsi" w:hAnsiTheme="majorHAnsi" w:cstheme="majorHAnsi"/>
          <w:sz w:val="24"/>
          <w:szCs w:val="24"/>
        </w:rPr>
      </w:pPr>
      <w:r>
        <w:rPr>
          <w:rFonts w:asciiTheme="majorHAnsi" w:hAnsiTheme="majorHAnsi" w:cstheme="majorHAnsi"/>
          <w:sz w:val="24"/>
          <w:szCs w:val="24"/>
        </w:rPr>
        <w:t>The</w:t>
      </w:r>
      <w:r w:rsidR="00BD1323">
        <w:rPr>
          <w:rFonts w:asciiTheme="majorHAnsi" w:hAnsiTheme="majorHAnsi" w:cstheme="majorHAnsi"/>
          <w:sz w:val="24"/>
          <w:szCs w:val="24"/>
        </w:rPr>
        <w:t xml:space="preserve"> data on student wellbeing is well </w:t>
      </w:r>
      <w:r w:rsidR="00C53CE5">
        <w:rPr>
          <w:rFonts w:asciiTheme="majorHAnsi" w:hAnsiTheme="majorHAnsi" w:cstheme="majorHAnsi"/>
          <w:sz w:val="24"/>
          <w:szCs w:val="24"/>
        </w:rPr>
        <w:t>documented</w:t>
      </w:r>
      <w:r w:rsidR="00616536">
        <w:rPr>
          <w:rFonts w:asciiTheme="majorHAnsi" w:hAnsiTheme="majorHAnsi" w:cstheme="majorHAnsi"/>
          <w:sz w:val="24"/>
          <w:szCs w:val="24"/>
        </w:rPr>
        <w:t>,</w:t>
      </w:r>
      <w:r w:rsidR="00BD1323">
        <w:rPr>
          <w:rStyle w:val="FootnoteReference"/>
          <w:rFonts w:asciiTheme="majorHAnsi" w:hAnsiTheme="majorHAnsi" w:cstheme="majorHAnsi"/>
          <w:sz w:val="24"/>
          <w:szCs w:val="24"/>
        </w:rPr>
        <w:footnoteReference w:id="4"/>
      </w:r>
      <w:r w:rsidR="000B2F40">
        <w:rPr>
          <w:rFonts w:asciiTheme="majorHAnsi" w:hAnsiTheme="majorHAnsi" w:cstheme="majorHAnsi"/>
          <w:sz w:val="24"/>
          <w:szCs w:val="24"/>
        </w:rPr>
        <w:t xml:space="preserve"> </w:t>
      </w:r>
      <w:r w:rsidR="00616536">
        <w:rPr>
          <w:rFonts w:asciiTheme="majorHAnsi" w:hAnsiTheme="majorHAnsi" w:cstheme="majorHAnsi"/>
          <w:sz w:val="24"/>
          <w:szCs w:val="24"/>
        </w:rPr>
        <w:t xml:space="preserve">and </w:t>
      </w:r>
      <w:r w:rsidR="00141FC0">
        <w:rPr>
          <w:rFonts w:asciiTheme="majorHAnsi" w:hAnsiTheme="majorHAnsi" w:cstheme="majorHAnsi"/>
          <w:sz w:val="24"/>
          <w:szCs w:val="24"/>
        </w:rPr>
        <w:t xml:space="preserve">emerging research </w:t>
      </w:r>
      <w:r w:rsidR="003130AA">
        <w:rPr>
          <w:rFonts w:asciiTheme="majorHAnsi" w:hAnsiTheme="majorHAnsi" w:cstheme="majorHAnsi"/>
          <w:sz w:val="24"/>
          <w:szCs w:val="24"/>
        </w:rPr>
        <w:t xml:space="preserve">into the impact </w:t>
      </w:r>
      <w:r w:rsidR="00616536">
        <w:rPr>
          <w:rFonts w:asciiTheme="majorHAnsi" w:hAnsiTheme="majorHAnsi" w:cstheme="majorHAnsi"/>
          <w:sz w:val="24"/>
          <w:szCs w:val="24"/>
        </w:rPr>
        <w:t xml:space="preserve">of Covid-19 </w:t>
      </w:r>
      <w:r w:rsidR="003130AA">
        <w:rPr>
          <w:rFonts w:asciiTheme="majorHAnsi" w:hAnsiTheme="majorHAnsi" w:cstheme="majorHAnsi"/>
          <w:sz w:val="24"/>
          <w:szCs w:val="24"/>
        </w:rPr>
        <w:t xml:space="preserve">on education reveals </w:t>
      </w:r>
      <w:r w:rsidR="00632D4F">
        <w:rPr>
          <w:rFonts w:asciiTheme="majorHAnsi" w:hAnsiTheme="majorHAnsi" w:cstheme="majorHAnsi"/>
          <w:sz w:val="24"/>
          <w:szCs w:val="24"/>
        </w:rPr>
        <w:t>a</w:t>
      </w:r>
      <w:r w:rsidR="009B3F68">
        <w:rPr>
          <w:rFonts w:asciiTheme="majorHAnsi" w:hAnsiTheme="majorHAnsi" w:cstheme="majorHAnsi"/>
          <w:sz w:val="24"/>
          <w:szCs w:val="24"/>
        </w:rPr>
        <w:t>n additional</w:t>
      </w:r>
      <w:r w:rsidR="00632D4F">
        <w:rPr>
          <w:rFonts w:asciiTheme="majorHAnsi" w:hAnsiTheme="majorHAnsi" w:cstheme="majorHAnsi"/>
          <w:sz w:val="24"/>
          <w:szCs w:val="24"/>
        </w:rPr>
        <w:t xml:space="preserve"> risk </w:t>
      </w:r>
      <w:r w:rsidR="003130AA">
        <w:rPr>
          <w:rFonts w:asciiTheme="majorHAnsi" w:hAnsiTheme="majorHAnsi" w:cstheme="majorHAnsi"/>
          <w:sz w:val="24"/>
          <w:szCs w:val="24"/>
        </w:rPr>
        <w:t>of ‘</w:t>
      </w:r>
      <w:r w:rsidR="00E210CE" w:rsidRPr="00E210CE">
        <w:rPr>
          <w:rFonts w:asciiTheme="majorHAnsi" w:hAnsiTheme="majorHAnsi" w:cstheme="majorHAnsi"/>
          <w:sz w:val="24"/>
          <w:szCs w:val="24"/>
        </w:rPr>
        <w:t xml:space="preserve">reduced motivation toward studies, </w:t>
      </w:r>
      <w:r w:rsidR="00E210CE" w:rsidRPr="00E210CE">
        <w:rPr>
          <w:rFonts w:asciiTheme="majorHAnsi" w:hAnsiTheme="majorHAnsi" w:cstheme="majorHAnsi"/>
          <w:sz w:val="24"/>
          <w:szCs w:val="24"/>
        </w:rPr>
        <w:lastRenderedPageBreak/>
        <w:t>increased pressures to learn independently, abandonment of daily routines, and potentially higher rates of dropout</w:t>
      </w:r>
      <w:r w:rsidR="001C0432">
        <w:rPr>
          <w:rFonts w:asciiTheme="majorHAnsi" w:hAnsiTheme="majorHAnsi" w:cstheme="majorHAnsi"/>
          <w:sz w:val="24"/>
          <w:szCs w:val="24"/>
        </w:rPr>
        <w:t>’ resulting in ‘</w:t>
      </w:r>
      <w:r w:rsidR="00E210CE" w:rsidRPr="00E210CE">
        <w:rPr>
          <w:rFonts w:asciiTheme="majorHAnsi" w:hAnsiTheme="majorHAnsi" w:cstheme="majorHAnsi"/>
          <w:sz w:val="24"/>
          <w:szCs w:val="24"/>
        </w:rPr>
        <w:t xml:space="preserve">an unprecedented mental health burden on </w:t>
      </w:r>
      <w:proofErr w:type="gramStart"/>
      <w:r w:rsidR="00E210CE" w:rsidRPr="00E210CE">
        <w:rPr>
          <w:rFonts w:asciiTheme="majorHAnsi" w:hAnsiTheme="majorHAnsi" w:cstheme="majorHAnsi"/>
          <w:sz w:val="24"/>
          <w:szCs w:val="24"/>
        </w:rPr>
        <w:t>students</w:t>
      </w:r>
      <w:r w:rsidR="001C0432">
        <w:rPr>
          <w:rFonts w:asciiTheme="majorHAnsi" w:hAnsiTheme="majorHAnsi" w:cstheme="majorHAnsi"/>
          <w:sz w:val="24"/>
          <w:szCs w:val="24"/>
        </w:rPr>
        <w:t>’</w:t>
      </w:r>
      <w:proofErr w:type="gramEnd"/>
      <w:r w:rsidR="00E210CE" w:rsidRPr="00E210CE">
        <w:rPr>
          <w:rFonts w:asciiTheme="majorHAnsi" w:hAnsiTheme="majorHAnsi" w:cstheme="majorHAnsi"/>
          <w:sz w:val="24"/>
          <w:szCs w:val="24"/>
        </w:rPr>
        <w:t>.</w:t>
      </w:r>
      <w:r w:rsidR="00E210CE">
        <w:rPr>
          <w:rStyle w:val="FootnoteReference"/>
          <w:rFonts w:asciiTheme="majorHAnsi" w:hAnsiTheme="majorHAnsi" w:cstheme="majorHAnsi"/>
          <w:sz w:val="24"/>
          <w:szCs w:val="24"/>
        </w:rPr>
        <w:footnoteReference w:id="5"/>
      </w:r>
      <w:r w:rsidR="00F72745">
        <w:rPr>
          <w:rFonts w:asciiTheme="majorHAnsi" w:hAnsiTheme="majorHAnsi" w:cstheme="majorHAnsi"/>
          <w:sz w:val="24"/>
          <w:szCs w:val="24"/>
        </w:rPr>
        <w:t xml:space="preserve"> The literature </w:t>
      </w:r>
      <w:r w:rsidR="000B2F40">
        <w:rPr>
          <w:rFonts w:asciiTheme="majorHAnsi" w:hAnsiTheme="majorHAnsi" w:cstheme="majorHAnsi"/>
          <w:sz w:val="24"/>
          <w:szCs w:val="24"/>
        </w:rPr>
        <w:t xml:space="preserve">also </w:t>
      </w:r>
      <w:r w:rsidR="00F72745">
        <w:rPr>
          <w:rFonts w:asciiTheme="majorHAnsi" w:hAnsiTheme="majorHAnsi" w:cstheme="majorHAnsi"/>
          <w:sz w:val="24"/>
          <w:szCs w:val="24"/>
        </w:rPr>
        <w:t xml:space="preserve">highlights </w:t>
      </w:r>
      <w:r w:rsidR="00E8106B">
        <w:rPr>
          <w:rFonts w:asciiTheme="majorHAnsi" w:hAnsiTheme="majorHAnsi" w:cstheme="majorHAnsi"/>
          <w:sz w:val="24"/>
          <w:szCs w:val="24"/>
        </w:rPr>
        <w:t xml:space="preserve">long-standing </w:t>
      </w:r>
      <w:r w:rsidR="00567802" w:rsidRPr="00567802">
        <w:rPr>
          <w:rFonts w:asciiTheme="majorHAnsi" w:hAnsiTheme="majorHAnsi" w:cstheme="majorHAnsi"/>
          <w:sz w:val="24"/>
          <w:szCs w:val="24"/>
        </w:rPr>
        <w:t xml:space="preserve">concerns </w:t>
      </w:r>
      <w:r w:rsidR="00F72745">
        <w:rPr>
          <w:rFonts w:asciiTheme="majorHAnsi" w:hAnsiTheme="majorHAnsi" w:cstheme="majorHAnsi"/>
          <w:sz w:val="24"/>
          <w:szCs w:val="24"/>
        </w:rPr>
        <w:t xml:space="preserve">over </w:t>
      </w:r>
      <w:r w:rsidR="00567802" w:rsidRPr="00567802">
        <w:rPr>
          <w:rFonts w:asciiTheme="majorHAnsi" w:hAnsiTheme="majorHAnsi" w:cstheme="majorHAnsi"/>
          <w:sz w:val="24"/>
          <w:szCs w:val="24"/>
        </w:rPr>
        <w:t>Law students</w:t>
      </w:r>
      <w:r w:rsidR="006A6882">
        <w:rPr>
          <w:rFonts w:asciiTheme="majorHAnsi" w:hAnsiTheme="majorHAnsi" w:cstheme="majorHAnsi"/>
          <w:sz w:val="24"/>
          <w:szCs w:val="24"/>
        </w:rPr>
        <w:t xml:space="preserve"> in particular</w:t>
      </w:r>
      <w:r w:rsidR="000B4126">
        <w:rPr>
          <w:rFonts w:asciiTheme="majorHAnsi" w:hAnsiTheme="majorHAnsi" w:cstheme="majorHAnsi"/>
          <w:sz w:val="24"/>
          <w:szCs w:val="24"/>
        </w:rPr>
        <w:t xml:space="preserve">. </w:t>
      </w:r>
      <w:r w:rsidR="00DE558B">
        <w:rPr>
          <w:rFonts w:asciiTheme="majorHAnsi" w:hAnsiTheme="majorHAnsi" w:cstheme="majorHAnsi"/>
          <w:sz w:val="24"/>
          <w:szCs w:val="24"/>
        </w:rPr>
        <w:t>L</w:t>
      </w:r>
      <w:r w:rsidR="001074E9" w:rsidRPr="002A6E4A">
        <w:rPr>
          <w:rFonts w:asciiTheme="majorHAnsi" w:hAnsiTheme="majorHAnsi" w:cstheme="majorHAnsi"/>
          <w:sz w:val="24"/>
          <w:szCs w:val="24"/>
        </w:rPr>
        <w:t xml:space="preserve">aw students are </w:t>
      </w:r>
      <w:r w:rsidR="00E57AAA">
        <w:rPr>
          <w:rFonts w:asciiTheme="majorHAnsi" w:hAnsiTheme="majorHAnsi" w:cstheme="majorHAnsi"/>
          <w:sz w:val="24"/>
          <w:szCs w:val="24"/>
        </w:rPr>
        <w:t>highly</w:t>
      </w:r>
      <w:r w:rsidR="000B4126">
        <w:rPr>
          <w:rFonts w:asciiTheme="majorHAnsi" w:hAnsiTheme="majorHAnsi" w:cstheme="majorHAnsi"/>
          <w:sz w:val="24"/>
          <w:szCs w:val="24"/>
        </w:rPr>
        <w:t xml:space="preserve"> </w:t>
      </w:r>
      <w:r w:rsidR="001074E9" w:rsidRPr="002A6E4A">
        <w:rPr>
          <w:rFonts w:asciiTheme="majorHAnsi" w:hAnsiTheme="majorHAnsi" w:cstheme="majorHAnsi"/>
          <w:sz w:val="24"/>
          <w:szCs w:val="24"/>
        </w:rPr>
        <w:t>vulnerable to comparing themselves negatively to others</w:t>
      </w:r>
      <w:r w:rsidR="000B4126">
        <w:rPr>
          <w:rFonts w:asciiTheme="majorHAnsi" w:hAnsiTheme="majorHAnsi" w:cstheme="majorHAnsi"/>
          <w:sz w:val="24"/>
          <w:szCs w:val="24"/>
        </w:rPr>
        <w:t>; t</w:t>
      </w:r>
      <w:r w:rsidR="000D2E67" w:rsidRPr="00614C52">
        <w:rPr>
          <w:rFonts w:asciiTheme="majorHAnsi" w:hAnsiTheme="majorHAnsi" w:cstheme="majorHAnsi"/>
          <w:sz w:val="24"/>
          <w:szCs w:val="24"/>
        </w:rPr>
        <w:t>hey</w:t>
      </w:r>
      <w:r w:rsidR="00191B60">
        <w:rPr>
          <w:rFonts w:asciiTheme="majorHAnsi" w:hAnsiTheme="majorHAnsi" w:cstheme="majorHAnsi"/>
          <w:sz w:val="24"/>
          <w:szCs w:val="24"/>
        </w:rPr>
        <w:t xml:space="preserve"> are</w:t>
      </w:r>
      <w:r w:rsidR="000D2E67" w:rsidRPr="00614C52">
        <w:rPr>
          <w:rFonts w:asciiTheme="majorHAnsi" w:hAnsiTheme="majorHAnsi" w:cstheme="majorHAnsi"/>
          <w:sz w:val="24"/>
          <w:szCs w:val="24"/>
        </w:rPr>
        <w:t xml:space="preserve"> concern</w:t>
      </w:r>
      <w:r w:rsidR="00191B60">
        <w:rPr>
          <w:rFonts w:asciiTheme="majorHAnsi" w:hAnsiTheme="majorHAnsi" w:cstheme="majorHAnsi"/>
          <w:sz w:val="24"/>
          <w:szCs w:val="24"/>
        </w:rPr>
        <w:t>ed</w:t>
      </w:r>
      <w:r w:rsidR="000D2E67" w:rsidRPr="00614C52">
        <w:rPr>
          <w:rFonts w:asciiTheme="majorHAnsi" w:hAnsiTheme="majorHAnsi" w:cstheme="majorHAnsi"/>
          <w:sz w:val="24"/>
          <w:szCs w:val="24"/>
        </w:rPr>
        <w:t xml:space="preserve"> about not being as </w:t>
      </w:r>
      <w:r w:rsidR="004668BD">
        <w:rPr>
          <w:rFonts w:asciiTheme="majorHAnsi" w:hAnsiTheme="majorHAnsi" w:cstheme="majorHAnsi"/>
          <w:sz w:val="24"/>
          <w:szCs w:val="24"/>
        </w:rPr>
        <w:t>“</w:t>
      </w:r>
      <w:r w:rsidR="006064EF">
        <w:rPr>
          <w:rFonts w:asciiTheme="majorHAnsi" w:hAnsiTheme="majorHAnsi" w:cstheme="majorHAnsi"/>
          <w:sz w:val="24"/>
          <w:szCs w:val="24"/>
        </w:rPr>
        <w:t>s</w:t>
      </w:r>
      <w:r w:rsidR="000D2E67" w:rsidRPr="00614C52">
        <w:rPr>
          <w:rFonts w:asciiTheme="majorHAnsi" w:hAnsiTheme="majorHAnsi" w:cstheme="majorHAnsi"/>
          <w:sz w:val="24"/>
          <w:szCs w:val="24"/>
        </w:rPr>
        <w:t>mart</w:t>
      </w:r>
      <w:r w:rsidR="00242F55">
        <w:rPr>
          <w:rFonts w:asciiTheme="majorHAnsi" w:hAnsiTheme="majorHAnsi" w:cstheme="majorHAnsi"/>
          <w:sz w:val="24"/>
          <w:szCs w:val="24"/>
        </w:rPr>
        <w:t>”</w:t>
      </w:r>
      <w:r w:rsidR="000D2E67" w:rsidRPr="00614C52">
        <w:rPr>
          <w:rFonts w:asciiTheme="majorHAnsi" w:hAnsiTheme="majorHAnsi" w:cstheme="majorHAnsi"/>
          <w:sz w:val="24"/>
          <w:szCs w:val="24"/>
        </w:rPr>
        <w:t xml:space="preserve"> as other students, and </w:t>
      </w:r>
      <w:r w:rsidR="00191B60">
        <w:rPr>
          <w:rFonts w:asciiTheme="majorHAnsi" w:hAnsiTheme="majorHAnsi" w:cstheme="majorHAnsi"/>
          <w:sz w:val="24"/>
          <w:szCs w:val="24"/>
        </w:rPr>
        <w:t>they often feel</w:t>
      </w:r>
      <w:r w:rsidR="000D2E67" w:rsidRPr="00614C52">
        <w:rPr>
          <w:rFonts w:asciiTheme="majorHAnsi" w:hAnsiTheme="majorHAnsi" w:cstheme="majorHAnsi"/>
          <w:sz w:val="24"/>
          <w:szCs w:val="24"/>
        </w:rPr>
        <w:t xml:space="preserve"> </w:t>
      </w:r>
      <w:r w:rsidR="00242F55">
        <w:rPr>
          <w:rFonts w:asciiTheme="majorHAnsi" w:hAnsiTheme="majorHAnsi" w:cstheme="majorHAnsi"/>
          <w:sz w:val="24"/>
          <w:szCs w:val="24"/>
        </w:rPr>
        <w:t>“</w:t>
      </w:r>
      <w:r w:rsidR="000D2E67" w:rsidRPr="00614C52">
        <w:rPr>
          <w:rFonts w:asciiTheme="majorHAnsi" w:hAnsiTheme="majorHAnsi" w:cstheme="majorHAnsi"/>
          <w:sz w:val="24"/>
          <w:szCs w:val="24"/>
        </w:rPr>
        <w:t>lost</w:t>
      </w:r>
      <w:r w:rsidR="00242F55">
        <w:rPr>
          <w:rFonts w:asciiTheme="majorHAnsi" w:hAnsiTheme="majorHAnsi" w:cstheme="majorHAnsi"/>
          <w:sz w:val="24"/>
          <w:szCs w:val="24"/>
        </w:rPr>
        <w:t>”</w:t>
      </w:r>
      <w:r w:rsidR="000D2E67" w:rsidRPr="00614C52">
        <w:rPr>
          <w:rFonts w:asciiTheme="majorHAnsi" w:hAnsiTheme="majorHAnsi" w:cstheme="majorHAnsi"/>
          <w:sz w:val="24"/>
          <w:szCs w:val="24"/>
        </w:rPr>
        <w:t xml:space="preserve"> because they </w:t>
      </w:r>
      <w:r w:rsidR="00191B60">
        <w:rPr>
          <w:rFonts w:asciiTheme="majorHAnsi" w:hAnsiTheme="majorHAnsi" w:cstheme="majorHAnsi"/>
          <w:sz w:val="24"/>
          <w:szCs w:val="24"/>
        </w:rPr>
        <w:t>believe that they do</w:t>
      </w:r>
      <w:r w:rsidR="000D2E67" w:rsidRPr="00614C52">
        <w:rPr>
          <w:rFonts w:asciiTheme="majorHAnsi" w:hAnsiTheme="majorHAnsi" w:cstheme="majorHAnsi"/>
          <w:sz w:val="24"/>
          <w:szCs w:val="24"/>
        </w:rPr>
        <w:t xml:space="preserve"> not understand as much as everyone else, </w:t>
      </w:r>
      <w:r w:rsidR="00C236A2">
        <w:rPr>
          <w:rFonts w:asciiTheme="majorHAnsi" w:hAnsiTheme="majorHAnsi" w:cstheme="majorHAnsi"/>
          <w:sz w:val="24"/>
          <w:szCs w:val="24"/>
        </w:rPr>
        <w:t>especially</w:t>
      </w:r>
      <w:r w:rsidR="000D2E67" w:rsidRPr="00614C52">
        <w:rPr>
          <w:rFonts w:asciiTheme="majorHAnsi" w:hAnsiTheme="majorHAnsi" w:cstheme="majorHAnsi"/>
          <w:sz w:val="24"/>
          <w:szCs w:val="24"/>
        </w:rPr>
        <w:t xml:space="preserve"> in the first year.</w:t>
      </w:r>
      <w:r w:rsidR="00191B60">
        <w:rPr>
          <w:rStyle w:val="FootnoteReference"/>
          <w:rFonts w:asciiTheme="majorHAnsi" w:hAnsiTheme="majorHAnsi" w:cstheme="majorHAnsi"/>
          <w:sz w:val="24"/>
          <w:szCs w:val="24"/>
        </w:rPr>
        <w:footnoteReference w:id="6"/>
      </w:r>
      <w:r w:rsidR="000C1580">
        <w:rPr>
          <w:rFonts w:asciiTheme="majorHAnsi" w:hAnsiTheme="majorHAnsi" w:cstheme="majorHAnsi"/>
          <w:sz w:val="24"/>
          <w:szCs w:val="24"/>
        </w:rPr>
        <w:t xml:space="preserve"> </w:t>
      </w:r>
      <w:r w:rsidR="00714D12">
        <w:rPr>
          <w:rFonts w:asciiTheme="majorHAnsi" w:hAnsiTheme="majorHAnsi" w:cstheme="majorHAnsi"/>
          <w:sz w:val="24"/>
          <w:szCs w:val="24"/>
        </w:rPr>
        <w:t xml:space="preserve">Moreover, </w:t>
      </w:r>
      <w:r w:rsidR="000B4126">
        <w:rPr>
          <w:rFonts w:asciiTheme="majorHAnsi" w:hAnsiTheme="majorHAnsi" w:cstheme="majorHAnsi"/>
          <w:sz w:val="24"/>
          <w:szCs w:val="24"/>
        </w:rPr>
        <w:t>l</w:t>
      </w:r>
      <w:r w:rsidR="00242F55" w:rsidRPr="00614C52">
        <w:rPr>
          <w:rFonts w:asciiTheme="majorHAnsi" w:hAnsiTheme="majorHAnsi" w:cstheme="majorHAnsi"/>
          <w:sz w:val="24"/>
          <w:szCs w:val="24"/>
        </w:rPr>
        <w:t>egal education</w:t>
      </w:r>
      <w:r w:rsidR="00E57AAA">
        <w:rPr>
          <w:rFonts w:asciiTheme="majorHAnsi" w:hAnsiTheme="majorHAnsi" w:cstheme="majorHAnsi"/>
          <w:sz w:val="24"/>
          <w:szCs w:val="24"/>
        </w:rPr>
        <w:t>, which</w:t>
      </w:r>
      <w:r w:rsidR="00242F55" w:rsidRPr="00614C52">
        <w:rPr>
          <w:rFonts w:asciiTheme="majorHAnsi" w:hAnsiTheme="majorHAnsi" w:cstheme="majorHAnsi"/>
          <w:sz w:val="24"/>
          <w:szCs w:val="24"/>
        </w:rPr>
        <w:t xml:space="preserve"> tends to emphasise doctrinal content and linear thinking</w:t>
      </w:r>
      <w:r w:rsidR="00E57AAA">
        <w:rPr>
          <w:rFonts w:asciiTheme="majorHAnsi" w:hAnsiTheme="majorHAnsi" w:cstheme="majorHAnsi"/>
          <w:sz w:val="24"/>
          <w:szCs w:val="24"/>
        </w:rPr>
        <w:t xml:space="preserve">, </w:t>
      </w:r>
      <w:r w:rsidR="00242F55" w:rsidRPr="00614C52">
        <w:rPr>
          <w:rFonts w:asciiTheme="majorHAnsi" w:hAnsiTheme="majorHAnsi" w:cstheme="majorHAnsi"/>
          <w:sz w:val="24"/>
          <w:szCs w:val="24"/>
        </w:rPr>
        <w:t xml:space="preserve">has the effect of promoting </w:t>
      </w:r>
      <w:r w:rsidR="00F93920">
        <w:rPr>
          <w:rFonts w:asciiTheme="majorHAnsi" w:hAnsiTheme="majorHAnsi" w:cstheme="majorHAnsi"/>
          <w:sz w:val="24"/>
          <w:szCs w:val="24"/>
        </w:rPr>
        <w:t>‘</w:t>
      </w:r>
      <w:r w:rsidR="00242F55" w:rsidRPr="00614C52">
        <w:rPr>
          <w:rFonts w:asciiTheme="majorHAnsi" w:hAnsiTheme="majorHAnsi" w:cstheme="majorHAnsi"/>
          <w:sz w:val="24"/>
          <w:szCs w:val="24"/>
        </w:rPr>
        <w:t>personality traits such as defensiveness, perfectionism and pessimism which can lead to unhappiness</w:t>
      </w:r>
      <w:r w:rsidR="00F93920">
        <w:rPr>
          <w:rFonts w:asciiTheme="majorHAnsi" w:hAnsiTheme="majorHAnsi" w:cstheme="majorHAnsi"/>
          <w:sz w:val="24"/>
          <w:szCs w:val="24"/>
        </w:rPr>
        <w:t>’</w:t>
      </w:r>
      <w:r w:rsidR="00242F55" w:rsidRPr="00614C52">
        <w:rPr>
          <w:rFonts w:asciiTheme="majorHAnsi" w:hAnsiTheme="majorHAnsi" w:cstheme="majorHAnsi"/>
          <w:sz w:val="24"/>
          <w:szCs w:val="24"/>
        </w:rPr>
        <w:t>.</w:t>
      </w:r>
      <w:r w:rsidR="00242F55" w:rsidRPr="00614C52">
        <w:rPr>
          <w:rFonts w:asciiTheme="majorHAnsi" w:hAnsiTheme="majorHAnsi" w:cstheme="majorHAnsi"/>
          <w:sz w:val="24"/>
          <w:szCs w:val="24"/>
          <w:vertAlign w:val="superscript"/>
        </w:rPr>
        <w:footnoteReference w:id="7"/>
      </w:r>
      <w:r w:rsidR="00242F55" w:rsidRPr="00614C52">
        <w:rPr>
          <w:rFonts w:asciiTheme="majorHAnsi" w:hAnsiTheme="majorHAnsi" w:cstheme="majorHAnsi"/>
          <w:sz w:val="24"/>
          <w:szCs w:val="24"/>
        </w:rPr>
        <w:t xml:space="preserve"> </w:t>
      </w:r>
      <w:r w:rsidR="00052C2C" w:rsidRPr="00614C52">
        <w:rPr>
          <w:rFonts w:asciiTheme="majorHAnsi" w:hAnsiTheme="majorHAnsi" w:cstheme="majorHAnsi"/>
          <w:sz w:val="24"/>
          <w:szCs w:val="24"/>
        </w:rPr>
        <w:t xml:space="preserve">This is partly due to how Law students are trained to approach legal issues; the LLB degree seeks to develop their logical, analytical and rational capabilities, </w:t>
      </w:r>
      <w:commentRangeStart w:id="3"/>
      <w:commentRangeStart w:id="4"/>
      <w:r w:rsidR="00052C2C" w:rsidRPr="00614C52">
        <w:rPr>
          <w:rFonts w:asciiTheme="majorHAnsi" w:hAnsiTheme="majorHAnsi" w:cstheme="majorHAnsi"/>
          <w:sz w:val="24"/>
          <w:szCs w:val="24"/>
        </w:rPr>
        <w:t xml:space="preserve">as illustrated by </w:t>
      </w:r>
      <w:r w:rsidR="00DF5B4A">
        <w:rPr>
          <w:rFonts w:asciiTheme="majorHAnsi" w:hAnsiTheme="majorHAnsi" w:cstheme="majorHAnsi"/>
          <w:sz w:val="24"/>
          <w:szCs w:val="24"/>
        </w:rPr>
        <w:t>concepts</w:t>
      </w:r>
      <w:r w:rsidR="00052C2C" w:rsidRPr="00614C52">
        <w:rPr>
          <w:rFonts w:asciiTheme="majorHAnsi" w:hAnsiTheme="majorHAnsi" w:cstheme="majorHAnsi"/>
          <w:sz w:val="24"/>
          <w:szCs w:val="24"/>
        </w:rPr>
        <w:t xml:space="preserve"> such as “Thinking Like a Lawyer”.</w:t>
      </w:r>
      <w:commentRangeEnd w:id="3"/>
      <w:r w:rsidR="0060211B">
        <w:rPr>
          <w:rStyle w:val="CommentReference"/>
        </w:rPr>
        <w:commentReference w:id="3"/>
      </w:r>
      <w:commentRangeEnd w:id="4"/>
      <w:r w:rsidR="00DF5B4A">
        <w:rPr>
          <w:rStyle w:val="CommentReference"/>
        </w:rPr>
        <w:commentReference w:id="4"/>
      </w:r>
      <w:r w:rsidR="00052C2C" w:rsidRPr="00614C52">
        <w:rPr>
          <w:rFonts w:asciiTheme="majorHAnsi" w:hAnsiTheme="majorHAnsi" w:cstheme="majorHAnsi"/>
          <w:sz w:val="24"/>
          <w:szCs w:val="24"/>
          <w:vertAlign w:val="superscript"/>
        </w:rPr>
        <w:footnoteReference w:id="8"/>
      </w:r>
      <w:r w:rsidR="00052C2C" w:rsidRPr="00614C52">
        <w:rPr>
          <w:rFonts w:asciiTheme="majorHAnsi" w:hAnsiTheme="majorHAnsi" w:cstheme="majorHAnsi"/>
          <w:sz w:val="24"/>
          <w:szCs w:val="24"/>
        </w:rPr>
        <w:t xml:space="preserve"> Law students find themselves early on in an adversarial environment, where legal issues are presented as problems, and where students are asked to advise one side. </w:t>
      </w:r>
      <w:r w:rsidR="00052C2C">
        <w:rPr>
          <w:rFonts w:asciiTheme="majorHAnsi" w:hAnsiTheme="majorHAnsi" w:cstheme="majorHAnsi"/>
          <w:sz w:val="24"/>
          <w:szCs w:val="24"/>
        </w:rPr>
        <w:t xml:space="preserve">Legal Essentials was designed </w:t>
      </w:r>
      <w:r w:rsidR="006D3C53">
        <w:rPr>
          <w:rFonts w:asciiTheme="majorHAnsi" w:hAnsiTheme="majorHAnsi" w:cstheme="majorHAnsi"/>
          <w:sz w:val="24"/>
          <w:szCs w:val="24"/>
        </w:rPr>
        <w:t xml:space="preserve">to respond to these problems and </w:t>
      </w:r>
      <w:r w:rsidR="0020251F">
        <w:rPr>
          <w:rFonts w:asciiTheme="majorHAnsi" w:hAnsiTheme="majorHAnsi" w:cstheme="majorHAnsi"/>
          <w:sz w:val="24"/>
          <w:szCs w:val="24"/>
        </w:rPr>
        <w:t xml:space="preserve">give new Law students the experience of </w:t>
      </w:r>
      <w:r w:rsidR="0020251F" w:rsidRPr="0020251F">
        <w:rPr>
          <w:rFonts w:asciiTheme="majorHAnsi" w:hAnsiTheme="majorHAnsi" w:cstheme="majorHAnsi"/>
          <w:sz w:val="24"/>
          <w:szCs w:val="24"/>
        </w:rPr>
        <w:t>a community where vulnerability is not a weakness and collaboration is encouraged.</w:t>
      </w:r>
      <w:r w:rsidR="0060524C">
        <w:rPr>
          <w:rFonts w:asciiTheme="majorHAnsi" w:hAnsiTheme="majorHAnsi" w:cstheme="majorHAnsi"/>
          <w:sz w:val="24"/>
          <w:szCs w:val="24"/>
        </w:rPr>
        <w:t xml:space="preserve"> </w:t>
      </w:r>
      <w:r w:rsidR="00E05E0D">
        <w:rPr>
          <w:rFonts w:asciiTheme="majorHAnsi" w:hAnsiTheme="majorHAnsi" w:cstheme="majorHAnsi"/>
          <w:sz w:val="24"/>
          <w:szCs w:val="24"/>
        </w:rPr>
        <w:t>It</w:t>
      </w:r>
      <w:r w:rsidR="0060524C" w:rsidRPr="0060524C">
        <w:rPr>
          <w:rFonts w:asciiTheme="majorHAnsi" w:hAnsiTheme="majorHAnsi" w:cstheme="majorHAnsi"/>
          <w:sz w:val="24"/>
          <w:szCs w:val="24"/>
        </w:rPr>
        <w:t xml:space="preserve"> aim</w:t>
      </w:r>
      <w:r w:rsidR="00E05E0D">
        <w:rPr>
          <w:rFonts w:asciiTheme="majorHAnsi" w:hAnsiTheme="majorHAnsi" w:cstheme="majorHAnsi"/>
          <w:sz w:val="24"/>
          <w:szCs w:val="24"/>
        </w:rPr>
        <w:t>s to develop</w:t>
      </w:r>
      <w:r w:rsidR="0060524C" w:rsidRPr="0060524C">
        <w:rPr>
          <w:rFonts w:asciiTheme="majorHAnsi" w:hAnsiTheme="majorHAnsi" w:cstheme="majorHAnsi"/>
          <w:sz w:val="24"/>
          <w:szCs w:val="24"/>
        </w:rPr>
        <w:t xml:space="preserve"> students’ sense of belonging through active engagement with the educational community.</w:t>
      </w:r>
      <w:r w:rsidR="0060524C" w:rsidRPr="0060524C">
        <w:rPr>
          <w:rStyle w:val="FootnoteReference"/>
          <w:rFonts w:asciiTheme="majorHAnsi" w:hAnsiTheme="majorHAnsi" w:cstheme="majorHAnsi"/>
          <w:sz w:val="24"/>
          <w:szCs w:val="24"/>
        </w:rPr>
        <w:footnoteReference w:id="9"/>
      </w:r>
    </w:p>
    <w:p w14:paraId="1D90425A" w14:textId="1453B8EC" w:rsidR="001074E9" w:rsidRPr="0020251F" w:rsidRDefault="0020251F" w:rsidP="001074E9">
      <w:pPr>
        <w:spacing w:line="240" w:lineRule="auto"/>
        <w:jc w:val="both"/>
        <w:rPr>
          <w:rFonts w:asciiTheme="majorHAnsi" w:hAnsiTheme="majorHAnsi" w:cstheme="majorHAnsi"/>
          <w:i/>
          <w:iCs/>
          <w:sz w:val="24"/>
          <w:szCs w:val="24"/>
        </w:rPr>
      </w:pPr>
      <w:r>
        <w:rPr>
          <w:rFonts w:asciiTheme="majorHAnsi" w:hAnsiTheme="majorHAnsi" w:cstheme="majorHAnsi"/>
          <w:i/>
          <w:iCs/>
          <w:sz w:val="24"/>
          <w:szCs w:val="24"/>
        </w:rPr>
        <w:t xml:space="preserve">Why </w:t>
      </w:r>
      <w:r w:rsidRPr="00924AFD">
        <w:rPr>
          <w:rFonts w:asciiTheme="majorHAnsi" w:hAnsiTheme="majorHAnsi" w:cstheme="majorHAnsi"/>
          <w:i/>
          <w:iCs/>
          <w:sz w:val="24"/>
          <w:szCs w:val="24"/>
        </w:rPr>
        <w:t>Legal Essentials</w:t>
      </w:r>
      <w:r>
        <w:rPr>
          <w:rFonts w:asciiTheme="majorHAnsi" w:hAnsiTheme="majorHAnsi" w:cstheme="majorHAnsi"/>
          <w:i/>
          <w:iCs/>
          <w:sz w:val="24"/>
          <w:szCs w:val="24"/>
        </w:rPr>
        <w:t>?</w:t>
      </w:r>
    </w:p>
    <w:p w14:paraId="0C65DB53" w14:textId="27707D02" w:rsidR="00B3384A" w:rsidRDefault="00E36406" w:rsidP="00D102C2">
      <w:pPr>
        <w:spacing w:line="240" w:lineRule="auto"/>
        <w:jc w:val="both"/>
        <w:rPr>
          <w:rFonts w:asciiTheme="majorHAnsi" w:hAnsiTheme="majorHAnsi" w:cstheme="majorHAnsi"/>
          <w:sz w:val="24"/>
          <w:szCs w:val="24"/>
        </w:rPr>
      </w:pPr>
      <w:r>
        <w:rPr>
          <w:rFonts w:asciiTheme="majorHAnsi" w:hAnsiTheme="majorHAnsi" w:cstheme="majorHAnsi"/>
          <w:sz w:val="24"/>
          <w:szCs w:val="24"/>
        </w:rPr>
        <w:t>Leg</w:t>
      </w:r>
      <w:r w:rsidRPr="003E6709">
        <w:rPr>
          <w:rFonts w:asciiTheme="majorHAnsi" w:hAnsiTheme="majorHAnsi" w:cstheme="majorHAnsi"/>
          <w:sz w:val="24"/>
          <w:szCs w:val="24"/>
        </w:rPr>
        <w:t xml:space="preserve">al Essentials is a redesign </w:t>
      </w:r>
      <w:r w:rsidR="00D6595D">
        <w:rPr>
          <w:rFonts w:asciiTheme="majorHAnsi" w:hAnsiTheme="majorHAnsi" w:cstheme="majorHAnsi"/>
          <w:sz w:val="24"/>
          <w:szCs w:val="24"/>
        </w:rPr>
        <w:t xml:space="preserve">and blending </w:t>
      </w:r>
      <w:r w:rsidRPr="003E6709">
        <w:rPr>
          <w:rFonts w:asciiTheme="majorHAnsi" w:hAnsiTheme="majorHAnsi" w:cstheme="majorHAnsi"/>
          <w:sz w:val="24"/>
          <w:szCs w:val="24"/>
        </w:rPr>
        <w:t xml:space="preserve">of Induction and </w:t>
      </w:r>
      <w:r w:rsidR="00D6595D">
        <w:rPr>
          <w:rFonts w:asciiTheme="majorHAnsi" w:hAnsiTheme="majorHAnsi" w:cstheme="majorHAnsi"/>
          <w:sz w:val="24"/>
          <w:szCs w:val="24"/>
        </w:rPr>
        <w:t xml:space="preserve">the Legal </w:t>
      </w:r>
      <w:r w:rsidRPr="003E6709">
        <w:rPr>
          <w:rFonts w:asciiTheme="majorHAnsi" w:hAnsiTheme="majorHAnsi" w:cstheme="majorHAnsi"/>
          <w:sz w:val="24"/>
          <w:szCs w:val="24"/>
        </w:rPr>
        <w:t>Skills module</w:t>
      </w:r>
      <w:r w:rsidR="00B76797">
        <w:rPr>
          <w:rFonts w:asciiTheme="majorHAnsi" w:hAnsiTheme="majorHAnsi" w:cstheme="majorHAnsi"/>
          <w:sz w:val="24"/>
          <w:szCs w:val="24"/>
        </w:rPr>
        <w:t xml:space="preserve">, </w:t>
      </w:r>
      <w:r w:rsidR="00A67A8C" w:rsidRPr="00007D7E">
        <w:rPr>
          <w:rFonts w:asciiTheme="majorHAnsi" w:hAnsiTheme="majorHAnsi" w:cstheme="majorHAnsi"/>
          <w:sz w:val="24"/>
          <w:szCs w:val="24"/>
        </w:rPr>
        <w:t xml:space="preserve">comprised of </w:t>
      </w:r>
      <w:r w:rsidR="0029698E">
        <w:rPr>
          <w:rFonts w:asciiTheme="majorHAnsi" w:hAnsiTheme="majorHAnsi" w:cstheme="majorHAnsi"/>
          <w:sz w:val="24"/>
          <w:szCs w:val="24"/>
        </w:rPr>
        <w:t>four</w:t>
      </w:r>
      <w:r w:rsidR="00A67A8C" w:rsidRPr="00007D7E">
        <w:rPr>
          <w:rFonts w:asciiTheme="majorHAnsi" w:hAnsiTheme="majorHAnsi" w:cstheme="majorHAnsi"/>
          <w:sz w:val="24"/>
          <w:szCs w:val="24"/>
        </w:rPr>
        <w:t xml:space="preserve"> concurrent</w:t>
      </w:r>
      <w:r w:rsidR="00B76797">
        <w:rPr>
          <w:rFonts w:asciiTheme="majorHAnsi" w:hAnsiTheme="majorHAnsi" w:cstheme="majorHAnsi"/>
          <w:sz w:val="24"/>
          <w:szCs w:val="24"/>
        </w:rPr>
        <w:t xml:space="preserve"> and inter-related</w:t>
      </w:r>
      <w:r w:rsidR="00A67A8C" w:rsidRPr="00007D7E">
        <w:rPr>
          <w:rFonts w:asciiTheme="majorHAnsi" w:hAnsiTheme="majorHAnsi" w:cstheme="majorHAnsi"/>
          <w:sz w:val="24"/>
          <w:szCs w:val="24"/>
        </w:rPr>
        <w:t xml:space="preserve"> streams</w:t>
      </w:r>
      <w:r w:rsidR="00697AE7">
        <w:rPr>
          <w:rFonts w:asciiTheme="majorHAnsi" w:hAnsiTheme="majorHAnsi" w:cstheme="majorHAnsi"/>
          <w:sz w:val="24"/>
          <w:szCs w:val="24"/>
        </w:rPr>
        <w:t xml:space="preserve"> focused on </w:t>
      </w:r>
      <w:r w:rsidR="0029698E">
        <w:rPr>
          <w:rFonts w:asciiTheme="majorHAnsi" w:hAnsiTheme="majorHAnsi" w:cstheme="majorHAnsi"/>
          <w:sz w:val="24"/>
          <w:szCs w:val="24"/>
        </w:rPr>
        <w:t>“</w:t>
      </w:r>
      <w:r w:rsidR="00916228">
        <w:rPr>
          <w:rFonts w:asciiTheme="majorHAnsi" w:hAnsiTheme="majorHAnsi" w:cstheme="majorHAnsi"/>
          <w:sz w:val="24"/>
          <w:szCs w:val="24"/>
        </w:rPr>
        <w:t>think</w:t>
      </w:r>
      <w:r w:rsidR="008D00FF">
        <w:rPr>
          <w:rFonts w:asciiTheme="majorHAnsi" w:hAnsiTheme="majorHAnsi" w:cstheme="majorHAnsi"/>
          <w:sz w:val="24"/>
          <w:szCs w:val="24"/>
        </w:rPr>
        <w:t>ing</w:t>
      </w:r>
      <w:r w:rsidR="0029698E">
        <w:rPr>
          <w:rFonts w:asciiTheme="majorHAnsi" w:hAnsiTheme="majorHAnsi" w:cstheme="majorHAnsi"/>
          <w:sz w:val="24"/>
          <w:szCs w:val="24"/>
        </w:rPr>
        <w:t>”</w:t>
      </w:r>
      <w:r w:rsidR="00916228">
        <w:rPr>
          <w:rFonts w:asciiTheme="majorHAnsi" w:hAnsiTheme="majorHAnsi" w:cstheme="majorHAnsi"/>
          <w:sz w:val="24"/>
          <w:szCs w:val="24"/>
        </w:rPr>
        <w:t xml:space="preserve">, </w:t>
      </w:r>
      <w:r w:rsidR="0029698E">
        <w:rPr>
          <w:rFonts w:asciiTheme="majorHAnsi" w:hAnsiTheme="majorHAnsi" w:cstheme="majorHAnsi"/>
          <w:sz w:val="24"/>
          <w:szCs w:val="24"/>
        </w:rPr>
        <w:t>“</w:t>
      </w:r>
      <w:r w:rsidR="00916228">
        <w:rPr>
          <w:rFonts w:asciiTheme="majorHAnsi" w:hAnsiTheme="majorHAnsi" w:cstheme="majorHAnsi"/>
          <w:sz w:val="24"/>
          <w:szCs w:val="24"/>
        </w:rPr>
        <w:t>mak</w:t>
      </w:r>
      <w:r w:rsidR="008D00FF">
        <w:rPr>
          <w:rFonts w:asciiTheme="majorHAnsi" w:hAnsiTheme="majorHAnsi" w:cstheme="majorHAnsi"/>
          <w:sz w:val="24"/>
          <w:szCs w:val="24"/>
        </w:rPr>
        <w:t>ing</w:t>
      </w:r>
      <w:r w:rsidR="0029698E">
        <w:rPr>
          <w:rFonts w:asciiTheme="majorHAnsi" w:hAnsiTheme="majorHAnsi" w:cstheme="majorHAnsi"/>
          <w:sz w:val="24"/>
          <w:szCs w:val="24"/>
        </w:rPr>
        <w:t>”</w:t>
      </w:r>
      <w:r w:rsidR="00916228">
        <w:rPr>
          <w:rFonts w:asciiTheme="majorHAnsi" w:hAnsiTheme="majorHAnsi" w:cstheme="majorHAnsi"/>
          <w:sz w:val="24"/>
          <w:szCs w:val="24"/>
        </w:rPr>
        <w:t xml:space="preserve">, </w:t>
      </w:r>
      <w:r w:rsidR="0029698E">
        <w:rPr>
          <w:rFonts w:asciiTheme="majorHAnsi" w:hAnsiTheme="majorHAnsi" w:cstheme="majorHAnsi"/>
          <w:sz w:val="24"/>
          <w:szCs w:val="24"/>
        </w:rPr>
        <w:t>“</w:t>
      </w:r>
      <w:r w:rsidR="00916228">
        <w:rPr>
          <w:rFonts w:asciiTheme="majorHAnsi" w:hAnsiTheme="majorHAnsi" w:cstheme="majorHAnsi"/>
          <w:sz w:val="24"/>
          <w:szCs w:val="24"/>
        </w:rPr>
        <w:t>do</w:t>
      </w:r>
      <w:r w:rsidR="008D00FF">
        <w:rPr>
          <w:rFonts w:asciiTheme="majorHAnsi" w:hAnsiTheme="majorHAnsi" w:cstheme="majorHAnsi"/>
          <w:sz w:val="24"/>
          <w:szCs w:val="24"/>
        </w:rPr>
        <w:t>ing</w:t>
      </w:r>
      <w:r w:rsidR="0029698E">
        <w:rPr>
          <w:rFonts w:asciiTheme="majorHAnsi" w:hAnsiTheme="majorHAnsi" w:cstheme="majorHAnsi"/>
          <w:sz w:val="24"/>
          <w:szCs w:val="24"/>
        </w:rPr>
        <w:t>”</w:t>
      </w:r>
      <w:r w:rsidR="00916228">
        <w:rPr>
          <w:rFonts w:asciiTheme="majorHAnsi" w:hAnsiTheme="majorHAnsi" w:cstheme="majorHAnsi"/>
          <w:sz w:val="24"/>
          <w:szCs w:val="24"/>
        </w:rPr>
        <w:t xml:space="preserve">, and </w:t>
      </w:r>
      <w:r w:rsidR="0029698E">
        <w:rPr>
          <w:rFonts w:asciiTheme="majorHAnsi" w:hAnsiTheme="majorHAnsi" w:cstheme="majorHAnsi"/>
          <w:sz w:val="24"/>
          <w:szCs w:val="24"/>
        </w:rPr>
        <w:t>“</w:t>
      </w:r>
      <w:r w:rsidR="00916228">
        <w:rPr>
          <w:rFonts w:asciiTheme="majorHAnsi" w:hAnsiTheme="majorHAnsi" w:cstheme="majorHAnsi"/>
          <w:sz w:val="24"/>
          <w:szCs w:val="24"/>
        </w:rPr>
        <w:t>be</w:t>
      </w:r>
      <w:r w:rsidR="008D00FF">
        <w:rPr>
          <w:rFonts w:asciiTheme="majorHAnsi" w:hAnsiTheme="majorHAnsi" w:cstheme="majorHAnsi"/>
          <w:sz w:val="24"/>
          <w:szCs w:val="24"/>
        </w:rPr>
        <w:t>ing</w:t>
      </w:r>
      <w:r w:rsidR="0029698E">
        <w:rPr>
          <w:rFonts w:asciiTheme="majorHAnsi" w:hAnsiTheme="majorHAnsi" w:cstheme="majorHAnsi"/>
          <w:sz w:val="24"/>
          <w:szCs w:val="24"/>
        </w:rPr>
        <w:t>”</w:t>
      </w:r>
      <w:r w:rsidR="00916228">
        <w:rPr>
          <w:rFonts w:asciiTheme="majorHAnsi" w:hAnsiTheme="majorHAnsi" w:cstheme="majorHAnsi"/>
          <w:sz w:val="24"/>
          <w:szCs w:val="24"/>
        </w:rPr>
        <w:t xml:space="preserve"> Law.</w:t>
      </w:r>
      <w:r w:rsidR="00A67A8C" w:rsidRPr="00007D7E">
        <w:rPr>
          <w:rFonts w:asciiTheme="majorHAnsi" w:hAnsiTheme="majorHAnsi" w:cstheme="majorHAnsi"/>
          <w:sz w:val="24"/>
          <w:szCs w:val="24"/>
        </w:rPr>
        <w:t xml:space="preserve"> </w:t>
      </w:r>
      <w:r w:rsidR="00A67A8C" w:rsidRPr="00007D7E">
        <w:rPr>
          <w:rFonts w:asciiTheme="majorHAnsi" w:hAnsiTheme="majorHAnsi" w:cstheme="majorHAnsi"/>
          <w:i/>
          <w:iCs/>
          <w:sz w:val="24"/>
          <w:szCs w:val="24"/>
        </w:rPr>
        <w:t>Thinking Law</w:t>
      </w:r>
      <w:r w:rsidR="00A67A8C" w:rsidRPr="00007D7E">
        <w:rPr>
          <w:rFonts w:asciiTheme="majorHAnsi" w:hAnsiTheme="majorHAnsi" w:cstheme="majorHAnsi"/>
          <w:sz w:val="24"/>
          <w:szCs w:val="24"/>
        </w:rPr>
        <w:t xml:space="preserve"> </w:t>
      </w:r>
      <w:r w:rsidR="00612537">
        <w:rPr>
          <w:rFonts w:asciiTheme="majorHAnsi" w:hAnsiTheme="majorHAnsi" w:cstheme="majorHAnsi"/>
          <w:sz w:val="24"/>
          <w:szCs w:val="24"/>
        </w:rPr>
        <w:t xml:space="preserve">encourages students </w:t>
      </w:r>
      <w:r w:rsidR="00A67A8C" w:rsidRPr="00007D7E">
        <w:rPr>
          <w:rFonts w:asciiTheme="majorHAnsi" w:hAnsiTheme="majorHAnsi" w:cstheme="majorHAnsi"/>
          <w:sz w:val="24"/>
          <w:szCs w:val="24"/>
        </w:rPr>
        <w:t xml:space="preserve">to think critically </w:t>
      </w:r>
      <w:r w:rsidR="00A914A5">
        <w:rPr>
          <w:rFonts w:asciiTheme="majorHAnsi" w:hAnsiTheme="majorHAnsi" w:cstheme="majorHAnsi"/>
          <w:sz w:val="24"/>
          <w:szCs w:val="24"/>
        </w:rPr>
        <w:t>and</w:t>
      </w:r>
      <w:r w:rsidR="00612537">
        <w:rPr>
          <w:rFonts w:asciiTheme="majorHAnsi" w:hAnsiTheme="majorHAnsi" w:cstheme="majorHAnsi"/>
          <w:sz w:val="24"/>
          <w:szCs w:val="24"/>
        </w:rPr>
        <w:t xml:space="preserve"> </w:t>
      </w:r>
      <w:r w:rsidR="008D00FF">
        <w:rPr>
          <w:rFonts w:asciiTheme="majorHAnsi" w:hAnsiTheme="majorHAnsi" w:cstheme="majorHAnsi"/>
          <w:sz w:val="24"/>
          <w:szCs w:val="24"/>
        </w:rPr>
        <w:t xml:space="preserve">become </w:t>
      </w:r>
      <w:r w:rsidR="00611F54">
        <w:rPr>
          <w:rFonts w:asciiTheme="majorHAnsi" w:hAnsiTheme="majorHAnsi" w:cstheme="majorHAnsi"/>
          <w:sz w:val="24"/>
          <w:szCs w:val="24"/>
        </w:rPr>
        <w:t>confiden</w:t>
      </w:r>
      <w:r w:rsidR="008D00FF">
        <w:rPr>
          <w:rFonts w:asciiTheme="majorHAnsi" w:hAnsiTheme="majorHAnsi" w:cstheme="majorHAnsi"/>
          <w:sz w:val="24"/>
          <w:szCs w:val="24"/>
        </w:rPr>
        <w:t>t</w:t>
      </w:r>
      <w:r w:rsidR="00611F54">
        <w:rPr>
          <w:rFonts w:asciiTheme="majorHAnsi" w:hAnsiTheme="majorHAnsi" w:cstheme="majorHAnsi"/>
          <w:sz w:val="24"/>
          <w:szCs w:val="24"/>
        </w:rPr>
        <w:t xml:space="preserve"> in analysing and challenging legal concepts</w:t>
      </w:r>
      <w:r w:rsidR="00C36812">
        <w:rPr>
          <w:rFonts w:asciiTheme="majorHAnsi" w:hAnsiTheme="majorHAnsi" w:cstheme="majorHAnsi"/>
          <w:sz w:val="24"/>
          <w:szCs w:val="24"/>
        </w:rPr>
        <w:t>, arguments, and decisions</w:t>
      </w:r>
      <w:r w:rsidR="00BC3F29">
        <w:rPr>
          <w:rFonts w:asciiTheme="majorHAnsi" w:hAnsiTheme="majorHAnsi" w:cstheme="majorHAnsi"/>
          <w:sz w:val="24"/>
          <w:szCs w:val="24"/>
        </w:rPr>
        <w:t xml:space="preserve">. </w:t>
      </w:r>
      <w:r w:rsidR="00A67A8C" w:rsidRPr="00007D7E">
        <w:rPr>
          <w:rFonts w:asciiTheme="majorHAnsi" w:hAnsiTheme="majorHAnsi" w:cstheme="majorHAnsi"/>
          <w:i/>
          <w:iCs/>
          <w:sz w:val="24"/>
          <w:szCs w:val="24"/>
        </w:rPr>
        <w:t>Making Law</w:t>
      </w:r>
      <w:r w:rsidR="00A67A8C" w:rsidRPr="00007D7E">
        <w:rPr>
          <w:rFonts w:asciiTheme="majorHAnsi" w:hAnsiTheme="majorHAnsi" w:cstheme="majorHAnsi"/>
          <w:sz w:val="24"/>
          <w:szCs w:val="24"/>
        </w:rPr>
        <w:t xml:space="preserve"> </w:t>
      </w:r>
      <w:r w:rsidR="00C36812">
        <w:rPr>
          <w:rFonts w:asciiTheme="majorHAnsi" w:hAnsiTheme="majorHAnsi" w:cstheme="majorHAnsi"/>
          <w:sz w:val="24"/>
          <w:szCs w:val="24"/>
        </w:rPr>
        <w:t>involves understanding and c</w:t>
      </w:r>
      <w:r w:rsidR="00A67A8C" w:rsidRPr="00007D7E">
        <w:rPr>
          <w:rFonts w:asciiTheme="majorHAnsi" w:hAnsiTheme="majorHAnsi" w:cstheme="majorHAnsi"/>
          <w:sz w:val="24"/>
          <w:szCs w:val="24"/>
        </w:rPr>
        <w:t>ritica</w:t>
      </w:r>
      <w:r w:rsidR="00C36812">
        <w:rPr>
          <w:rFonts w:asciiTheme="majorHAnsi" w:hAnsiTheme="majorHAnsi" w:cstheme="majorHAnsi"/>
          <w:sz w:val="24"/>
          <w:szCs w:val="24"/>
        </w:rPr>
        <w:t>l</w:t>
      </w:r>
      <w:r w:rsidR="00F552D5">
        <w:rPr>
          <w:rFonts w:asciiTheme="majorHAnsi" w:hAnsiTheme="majorHAnsi" w:cstheme="majorHAnsi"/>
          <w:sz w:val="24"/>
          <w:szCs w:val="24"/>
        </w:rPr>
        <w:t>ly</w:t>
      </w:r>
      <w:r w:rsidR="00A67A8C" w:rsidRPr="00007D7E">
        <w:rPr>
          <w:rFonts w:asciiTheme="majorHAnsi" w:hAnsiTheme="majorHAnsi" w:cstheme="majorHAnsi"/>
          <w:sz w:val="24"/>
          <w:szCs w:val="24"/>
        </w:rPr>
        <w:t xml:space="preserve"> examin</w:t>
      </w:r>
      <w:r w:rsidR="00F552D5">
        <w:rPr>
          <w:rFonts w:asciiTheme="majorHAnsi" w:hAnsiTheme="majorHAnsi" w:cstheme="majorHAnsi"/>
          <w:sz w:val="24"/>
          <w:szCs w:val="24"/>
        </w:rPr>
        <w:t>ing</w:t>
      </w:r>
      <w:r w:rsidR="00C36812">
        <w:rPr>
          <w:rFonts w:asciiTheme="majorHAnsi" w:hAnsiTheme="majorHAnsi" w:cstheme="majorHAnsi"/>
          <w:sz w:val="24"/>
          <w:szCs w:val="24"/>
        </w:rPr>
        <w:t xml:space="preserve"> </w:t>
      </w:r>
      <w:r w:rsidR="00A67A8C" w:rsidRPr="00007D7E">
        <w:rPr>
          <w:rFonts w:asciiTheme="majorHAnsi" w:hAnsiTheme="majorHAnsi" w:cstheme="majorHAnsi"/>
          <w:sz w:val="24"/>
          <w:szCs w:val="24"/>
        </w:rPr>
        <w:t>the English legal system</w:t>
      </w:r>
      <w:r w:rsidR="00C36812">
        <w:rPr>
          <w:rFonts w:asciiTheme="majorHAnsi" w:hAnsiTheme="majorHAnsi" w:cstheme="majorHAnsi"/>
          <w:sz w:val="24"/>
          <w:szCs w:val="24"/>
        </w:rPr>
        <w:t>, with an emphasis on access to justice</w:t>
      </w:r>
      <w:r w:rsidR="00BC3F29">
        <w:rPr>
          <w:rFonts w:asciiTheme="majorHAnsi" w:hAnsiTheme="majorHAnsi" w:cstheme="majorHAnsi"/>
          <w:sz w:val="24"/>
          <w:szCs w:val="24"/>
        </w:rPr>
        <w:t xml:space="preserve">. </w:t>
      </w:r>
      <w:r w:rsidR="00A67A8C" w:rsidRPr="00007D7E">
        <w:rPr>
          <w:rFonts w:asciiTheme="majorHAnsi" w:hAnsiTheme="majorHAnsi" w:cstheme="majorHAnsi"/>
          <w:i/>
          <w:iCs/>
          <w:sz w:val="24"/>
          <w:szCs w:val="24"/>
        </w:rPr>
        <w:t>Doing Law</w:t>
      </w:r>
      <w:r w:rsidR="00A67A8C" w:rsidRPr="00007D7E">
        <w:rPr>
          <w:rFonts w:asciiTheme="majorHAnsi" w:hAnsiTheme="majorHAnsi" w:cstheme="majorHAnsi"/>
          <w:sz w:val="24"/>
          <w:szCs w:val="24"/>
        </w:rPr>
        <w:t xml:space="preserve"> </w:t>
      </w:r>
      <w:r w:rsidR="00B52DF8">
        <w:rPr>
          <w:rFonts w:asciiTheme="majorHAnsi" w:hAnsiTheme="majorHAnsi" w:cstheme="majorHAnsi"/>
          <w:sz w:val="24"/>
          <w:szCs w:val="24"/>
        </w:rPr>
        <w:t xml:space="preserve">focuses on </w:t>
      </w:r>
      <w:r w:rsidR="00A67A8C" w:rsidRPr="00007D7E">
        <w:rPr>
          <w:rFonts w:asciiTheme="majorHAnsi" w:hAnsiTheme="majorHAnsi" w:cstheme="majorHAnsi"/>
          <w:sz w:val="24"/>
          <w:szCs w:val="24"/>
        </w:rPr>
        <w:t>scholarship and subject-related study skills</w:t>
      </w:r>
      <w:r w:rsidR="00BC3F29">
        <w:rPr>
          <w:rFonts w:asciiTheme="majorHAnsi" w:hAnsiTheme="majorHAnsi" w:cstheme="majorHAnsi"/>
          <w:sz w:val="24"/>
          <w:szCs w:val="24"/>
        </w:rPr>
        <w:t xml:space="preserve">. </w:t>
      </w:r>
      <w:r w:rsidR="00A67A8C" w:rsidRPr="00007D7E">
        <w:rPr>
          <w:rFonts w:asciiTheme="majorHAnsi" w:hAnsiTheme="majorHAnsi" w:cstheme="majorHAnsi"/>
          <w:i/>
          <w:iCs/>
          <w:sz w:val="24"/>
          <w:szCs w:val="24"/>
        </w:rPr>
        <w:t>Being Law</w:t>
      </w:r>
      <w:r w:rsidR="00A67A8C" w:rsidRPr="00007D7E">
        <w:rPr>
          <w:rFonts w:asciiTheme="majorHAnsi" w:hAnsiTheme="majorHAnsi" w:cstheme="majorHAnsi"/>
          <w:sz w:val="24"/>
          <w:szCs w:val="24"/>
        </w:rPr>
        <w:t xml:space="preserve"> </w:t>
      </w:r>
      <w:r w:rsidR="00AF6A19">
        <w:rPr>
          <w:rFonts w:asciiTheme="majorHAnsi" w:hAnsiTheme="majorHAnsi" w:cstheme="majorHAnsi"/>
          <w:sz w:val="24"/>
          <w:szCs w:val="24"/>
        </w:rPr>
        <w:t>supports students to</w:t>
      </w:r>
      <w:r w:rsidR="00B52DF8">
        <w:rPr>
          <w:rFonts w:asciiTheme="majorHAnsi" w:hAnsiTheme="majorHAnsi" w:cstheme="majorHAnsi"/>
          <w:sz w:val="24"/>
          <w:szCs w:val="24"/>
        </w:rPr>
        <w:t xml:space="preserve"> </w:t>
      </w:r>
      <w:r w:rsidR="00A67A8C" w:rsidRPr="00007D7E">
        <w:rPr>
          <w:rFonts w:asciiTheme="majorHAnsi" w:hAnsiTheme="majorHAnsi" w:cstheme="majorHAnsi"/>
          <w:sz w:val="24"/>
          <w:szCs w:val="24"/>
        </w:rPr>
        <w:t xml:space="preserve">develop </w:t>
      </w:r>
      <w:r w:rsidR="00AF6A19">
        <w:rPr>
          <w:rFonts w:asciiTheme="majorHAnsi" w:hAnsiTheme="majorHAnsi" w:cstheme="majorHAnsi"/>
          <w:sz w:val="24"/>
          <w:szCs w:val="24"/>
        </w:rPr>
        <w:t xml:space="preserve">their </w:t>
      </w:r>
      <w:r w:rsidR="00A67A8C" w:rsidRPr="00007D7E">
        <w:rPr>
          <w:rFonts w:asciiTheme="majorHAnsi" w:hAnsiTheme="majorHAnsi" w:cstheme="majorHAnsi"/>
          <w:sz w:val="24"/>
          <w:szCs w:val="24"/>
        </w:rPr>
        <w:t xml:space="preserve">personal and professional resources, </w:t>
      </w:r>
      <w:r w:rsidR="0059706A">
        <w:rPr>
          <w:rFonts w:asciiTheme="majorHAnsi" w:hAnsiTheme="majorHAnsi" w:cstheme="majorHAnsi"/>
          <w:sz w:val="24"/>
          <w:szCs w:val="24"/>
        </w:rPr>
        <w:t xml:space="preserve">helping to build </w:t>
      </w:r>
      <w:r w:rsidR="00A67A8C" w:rsidRPr="00007D7E">
        <w:rPr>
          <w:rFonts w:asciiTheme="majorHAnsi" w:hAnsiTheme="majorHAnsi" w:cstheme="majorHAnsi"/>
          <w:sz w:val="24"/>
          <w:szCs w:val="24"/>
        </w:rPr>
        <w:t>affiliation with the School community</w:t>
      </w:r>
      <w:r w:rsidR="00AF6A19">
        <w:rPr>
          <w:rFonts w:asciiTheme="majorHAnsi" w:hAnsiTheme="majorHAnsi" w:cstheme="majorHAnsi"/>
          <w:sz w:val="24"/>
          <w:szCs w:val="24"/>
        </w:rPr>
        <w:t xml:space="preserve"> and </w:t>
      </w:r>
      <w:r w:rsidR="0059706A">
        <w:rPr>
          <w:rFonts w:asciiTheme="majorHAnsi" w:hAnsiTheme="majorHAnsi" w:cstheme="majorHAnsi"/>
          <w:sz w:val="24"/>
          <w:szCs w:val="24"/>
        </w:rPr>
        <w:t xml:space="preserve">foster </w:t>
      </w:r>
      <w:r w:rsidR="00AF6A19">
        <w:rPr>
          <w:rFonts w:asciiTheme="majorHAnsi" w:hAnsiTheme="majorHAnsi" w:cstheme="majorHAnsi"/>
          <w:sz w:val="24"/>
          <w:szCs w:val="24"/>
        </w:rPr>
        <w:t>a</w:t>
      </w:r>
      <w:r w:rsidR="0026345A">
        <w:rPr>
          <w:rFonts w:asciiTheme="majorHAnsi" w:hAnsiTheme="majorHAnsi" w:cstheme="majorHAnsi"/>
          <w:sz w:val="24"/>
          <w:szCs w:val="24"/>
        </w:rPr>
        <w:t xml:space="preserve">n </w:t>
      </w:r>
      <w:r w:rsidR="00AF6A19">
        <w:rPr>
          <w:rFonts w:asciiTheme="majorHAnsi" w:hAnsiTheme="majorHAnsi" w:cstheme="majorHAnsi"/>
          <w:sz w:val="24"/>
          <w:szCs w:val="24"/>
        </w:rPr>
        <w:t xml:space="preserve">authentic </w:t>
      </w:r>
      <w:r w:rsidR="0026345A">
        <w:rPr>
          <w:rFonts w:asciiTheme="majorHAnsi" w:hAnsiTheme="majorHAnsi" w:cstheme="majorHAnsi"/>
          <w:sz w:val="24"/>
          <w:szCs w:val="24"/>
        </w:rPr>
        <w:t xml:space="preserve">sense of </w:t>
      </w:r>
      <w:r w:rsidR="00AF6A19">
        <w:rPr>
          <w:rFonts w:asciiTheme="majorHAnsi" w:hAnsiTheme="majorHAnsi" w:cstheme="majorHAnsi"/>
          <w:sz w:val="24"/>
          <w:szCs w:val="24"/>
        </w:rPr>
        <w:t>identity</w:t>
      </w:r>
      <w:r w:rsidR="007D61FB">
        <w:rPr>
          <w:rFonts w:asciiTheme="majorHAnsi" w:hAnsiTheme="majorHAnsi" w:cstheme="majorHAnsi"/>
          <w:sz w:val="24"/>
          <w:szCs w:val="24"/>
        </w:rPr>
        <w:t xml:space="preserve"> that will </w:t>
      </w:r>
      <w:r w:rsidR="00166ACB">
        <w:rPr>
          <w:rFonts w:asciiTheme="majorHAnsi" w:hAnsiTheme="majorHAnsi" w:cstheme="majorHAnsi"/>
          <w:sz w:val="24"/>
          <w:szCs w:val="24"/>
        </w:rPr>
        <w:t>benefit</w:t>
      </w:r>
      <w:r w:rsidR="0026345A">
        <w:rPr>
          <w:rFonts w:asciiTheme="majorHAnsi" w:hAnsiTheme="majorHAnsi" w:cstheme="majorHAnsi"/>
          <w:sz w:val="24"/>
          <w:szCs w:val="24"/>
        </w:rPr>
        <w:t xml:space="preserve"> their wellbeing</w:t>
      </w:r>
      <w:r w:rsidR="00A67A8C">
        <w:rPr>
          <w:rFonts w:asciiTheme="majorHAnsi" w:hAnsiTheme="majorHAnsi" w:cstheme="majorHAnsi"/>
          <w:sz w:val="24"/>
          <w:szCs w:val="24"/>
        </w:rPr>
        <w:t>.</w:t>
      </w:r>
      <w:r w:rsidR="00A67A8C" w:rsidRPr="00007D7E">
        <w:rPr>
          <w:rFonts w:asciiTheme="majorHAnsi" w:hAnsiTheme="majorHAnsi" w:cstheme="majorHAnsi"/>
          <w:sz w:val="24"/>
          <w:szCs w:val="24"/>
        </w:rPr>
        <w:t xml:space="preserve"> </w:t>
      </w:r>
      <w:r w:rsidR="004E0469">
        <w:rPr>
          <w:rFonts w:asciiTheme="majorHAnsi" w:hAnsiTheme="majorHAnsi" w:cstheme="majorHAnsi"/>
          <w:sz w:val="24"/>
          <w:szCs w:val="24"/>
        </w:rPr>
        <w:t>Our</w:t>
      </w:r>
      <w:r w:rsidR="001943A3">
        <w:rPr>
          <w:rFonts w:asciiTheme="majorHAnsi" w:hAnsiTheme="majorHAnsi" w:cstheme="majorHAnsi"/>
          <w:sz w:val="24"/>
          <w:szCs w:val="24"/>
        </w:rPr>
        <w:t xml:space="preserve"> motto</w:t>
      </w:r>
      <w:r w:rsidR="004E0469">
        <w:rPr>
          <w:rFonts w:asciiTheme="majorHAnsi" w:hAnsiTheme="majorHAnsi" w:cstheme="majorHAnsi"/>
          <w:sz w:val="24"/>
          <w:szCs w:val="24"/>
        </w:rPr>
        <w:t xml:space="preserve"> is</w:t>
      </w:r>
      <w:r w:rsidR="001943A3">
        <w:rPr>
          <w:rFonts w:asciiTheme="majorHAnsi" w:hAnsiTheme="majorHAnsi" w:cstheme="majorHAnsi"/>
          <w:sz w:val="24"/>
          <w:szCs w:val="24"/>
        </w:rPr>
        <w:t xml:space="preserve"> </w:t>
      </w:r>
      <w:r w:rsidR="007477FE" w:rsidRPr="00EC5D1D">
        <w:rPr>
          <w:rFonts w:asciiTheme="majorHAnsi" w:hAnsiTheme="majorHAnsi" w:cstheme="majorHAnsi"/>
          <w:i/>
          <w:iCs/>
          <w:sz w:val="24"/>
          <w:szCs w:val="24"/>
        </w:rPr>
        <w:t>“Make glorious mistakes!”</w:t>
      </w:r>
      <w:r w:rsidR="007477FE" w:rsidRPr="0056143C">
        <w:rPr>
          <w:rFonts w:asciiTheme="majorHAnsi" w:hAnsiTheme="majorHAnsi" w:cstheme="majorHAnsi"/>
          <w:sz w:val="24"/>
          <w:szCs w:val="24"/>
        </w:rPr>
        <w:t>,</w:t>
      </w:r>
      <w:r w:rsidR="0056143C" w:rsidRPr="0056143C">
        <w:rPr>
          <w:rFonts w:asciiTheme="majorHAnsi" w:hAnsiTheme="majorHAnsi" w:cstheme="majorHAnsi"/>
          <w:sz w:val="24"/>
          <w:szCs w:val="24"/>
        </w:rPr>
        <w:t xml:space="preserve"> </w:t>
      </w:r>
      <w:r w:rsidR="005F5BBB">
        <w:rPr>
          <w:rFonts w:asciiTheme="majorHAnsi" w:hAnsiTheme="majorHAnsi" w:cstheme="majorHAnsi"/>
          <w:sz w:val="24"/>
          <w:szCs w:val="24"/>
        </w:rPr>
        <w:t>borrowed from</w:t>
      </w:r>
      <w:r w:rsidR="0056143C">
        <w:rPr>
          <w:rFonts w:asciiTheme="majorHAnsi" w:hAnsiTheme="majorHAnsi" w:cstheme="majorHAnsi"/>
          <w:sz w:val="24"/>
          <w:szCs w:val="24"/>
        </w:rPr>
        <w:t xml:space="preserve"> </w:t>
      </w:r>
      <w:r w:rsidR="00BF5913">
        <w:rPr>
          <w:rFonts w:asciiTheme="majorHAnsi" w:hAnsiTheme="majorHAnsi" w:cstheme="majorHAnsi"/>
          <w:sz w:val="24"/>
          <w:szCs w:val="24"/>
        </w:rPr>
        <w:t xml:space="preserve">writer Neil </w:t>
      </w:r>
      <w:proofErr w:type="spellStart"/>
      <w:r w:rsidR="00BF5913">
        <w:rPr>
          <w:rFonts w:asciiTheme="majorHAnsi" w:hAnsiTheme="majorHAnsi" w:cstheme="majorHAnsi"/>
          <w:sz w:val="24"/>
          <w:szCs w:val="24"/>
        </w:rPr>
        <w:t>Gaiman’s</w:t>
      </w:r>
      <w:proofErr w:type="spellEnd"/>
      <w:r w:rsidR="00BF5913">
        <w:rPr>
          <w:rFonts w:asciiTheme="majorHAnsi" w:hAnsiTheme="majorHAnsi" w:cstheme="majorHAnsi"/>
          <w:sz w:val="24"/>
          <w:szCs w:val="24"/>
        </w:rPr>
        <w:t xml:space="preserve"> 2011 </w:t>
      </w:r>
      <w:r w:rsidR="00DC6142">
        <w:rPr>
          <w:rFonts w:asciiTheme="majorHAnsi" w:hAnsiTheme="majorHAnsi" w:cstheme="majorHAnsi"/>
          <w:sz w:val="24"/>
          <w:szCs w:val="24"/>
        </w:rPr>
        <w:t>N</w:t>
      </w:r>
      <w:r w:rsidR="00BF5913">
        <w:rPr>
          <w:rFonts w:asciiTheme="majorHAnsi" w:hAnsiTheme="majorHAnsi" w:cstheme="majorHAnsi"/>
          <w:sz w:val="24"/>
          <w:szCs w:val="24"/>
        </w:rPr>
        <w:t xml:space="preserve">ew </w:t>
      </w:r>
      <w:r w:rsidR="00DC6142">
        <w:rPr>
          <w:rFonts w:asciiTheme="majorHAnsi" w:hAnsiTheme="majorHAnsi" w:cstheme="majorHAnsi"/>
          <w:sz w:val="24"/>
          <w:szCs w:val="24"/>
        </w:rPr>
        <w:t>Y</w:t>
      </w:r>
      <w:r w:rsidR="00BF5913">
        <w:rPr>
          <w:rFonts w:asciiTheme="majorHAnsi" w:hAnsiTheme="majorHAnsi" w:cstheme="majorHAnsi"/>
          <w:sz w:val="24"/>
          <w:szCs w:val="24"/>
        </w:rPr>
        <w:t xml:space="preserve">ear message: </w:t>
      </w:r>
    </w:p>
    <w:p w14:paraId="037F4C63" w14:textId="2F629739" w:rsidR="00B3384A" w:rsidRPr="00B3384A" w:rsidRDefault="00B3384A" w:rsidP="005F69F5">
      <w:pPr>
        <w:spacing w:line="240" w:lineRule="auto"/>
        <w:ind w:left="720"/>
        <w:jc w:val="both"/>
        <w:rPr>
          <w:rFonts w:asciiTheme="majorHAnsi" w:hAnsiTheme="majorHAnsi" w:cstheme="majorHAnsi"/>
          <w:sz w:val="24"/>
          <w:szCs w:val="24"/>
        </w:rPr>
      </w:pPr>
      <w:r w:rsidRPr="00B3384A">
        <w:rPr>
          <w:rFonts w:asciiTheme="majorHAnsi" w:hAnsiTheme="majorHAnsi" w:cstheme="majorHAnsi"/>
          <w:sz w:val="24"/>
          <w:szCs w:val="24"/>
        </w:rPr>
        <w:t xml:space="preserve">I hope that in this year to come, you make mistakes. </w:t>
      </w:r>
      <w:r w:rsidRPr="00CA42B0">
        <w:rPr>
          <w:rFonts w:asciiTheme="majorHAnsi" w:hAnsiTheme="majorHAnsi" w:cstheme="majorHAnsi"/>
          <w:sz w:val="24"/>
          <w:szCs w:val="24"/>
        </w:rPr>
        <w:t>Because if you are making mistakes, then you are making new things, trying new things, learning, living, pushing yourself, changing yourself, changing your world. You're doing things you've never done before, and more importantly, you're Doing Something.</w:t>
      </w:r>
      <w:r w:rsidR="005F69F5" w:rsidRPr="005F69F5">
        <w:rPr>
          <w:rFonts w:ascii="inherit" w:eastAsia="Times New Roman" w:hAnsi="inherit" w:cs="Arial"/>
          <w:color w:val="000000"/>
          <w:sz w:val="36"/>
          <w:szCs w:val="36"/>
          <w:bdr w:val="none" w:sz="0" w:space="0" w:color="auto" w:frame="1"/>
          <w:lang w:eastAsia="en-GB"/>
        </w:rPr>
        <w:t xml:space="preserve"> </w:t>
      </w:r>
      <w:r w:rsidR="005F69F5" w:rsidRPr="005F69F5">
        <w:rPr>
          <w:rFonts w:asciiTheme="majorHAnsi" w:hAnsiTheme="majorHAnsi" w:cstheme="majorHAnsi"/>
          <w:sz w:val="24"/>
          <w:szCs w:val="24"/>
        </w:rPr>
        <w:t>So that's my wish for you</w:t>
      </w:r>
      <w:r w:rsidR="00C67666">
        <w:rPr>
          <w:rFonts w:asciiTheme="majorHAnsi" w:hAnsiTheme="majorHAnsi" w:cstheme="majorHAnsi"/>
          <w:sz w:val="24"/>
          <w:szCs w:val="24"/>
        </w:rPr>
        <w:t>…</w:t>
      </w:r>
      <w:r w:rsidR="001C42D7">
        <w:rPr>
          <w:rFonts w:asciiTheme="majorHAnsi" w:hAnsiTheme="majorHAnsi" w:cstheme="majorHAnsi"/>
          <w:sz w:val="24"/>
          <w:szCs w:val="24"/>
        </w:rPr>
        <w:t xml:space="preserve"> </w:t>
      </w:r>
      <w:r w:rsidR="005F69F5" w:rsidRPr="005F69F5">
        <w:rPr>
          <w:rFonts w:asciiTheme="majorHAnsi" w:hAnsiTheme="majorHAnsi" w:cstheme="majorHAnsi"/>
          <w:sz w:val="24"/>
          <w:szCs w:val="24"/>
        </w:rPr>
        <w:t xml:space="preserve">Make New Mistakes. Make glorious, amazing mistakes. Make mistakes nobody's ever made before. </w:t>
      </w:r>
      <w:bookmarkStart w:id="5" w:name="_Hlk79869388"/>
      <w:r w:rsidR="005F69F5" w:rsidRPr="005F69F5">
        <w:rPr>
          <w:rFonts w:asciiTheme="majorHAnsi" w:hAnsiTheme="majorHAnsi" w:cstheme="majorHAnsi"/>
          <w:sz w:val="24"/>
          <w:szCs w:val="24"/>
        </w:rPr>
        <w:t xml:space="preserve">Don't freeze, don't stop, don't worry that it isn't good enough, or it </w:t>
      </w:r>
      <w:r w:rsidR="005F69F5" w:rsidRPr="005F69F5">
        <w:rPr>
          <w:rFonts w:asciiTheme="majorHAnsi" w:hAnsiTheme="majorHAnsi" w:cstheme="majorHAnsi"/>
          <w:sz w:val="24"/>
          <w:szCs w:val="24"/>
        </w:rPr>
        <w:lastRenderedPageBreak/>
        <w:t>isn't perfect, whatever it is: art, or love, or work or family or life.</w:t>
      </w:r>
      <w:r w:rsidR="005F69F5">
        <w:rPr>
          <w:rFonts w:asciiTheme="majorHAnsi" w:hAnsiTheme="majorHAnsi" w:cstheme="majorHAnsi"/>
          <w:sz w:val="24"/>
          <w:szCs w:val="24"/>
        </w:rPr>
        <w:t xml:space="preserve"> </w:t>
      </w:r>
      <w:r w:rsidR="005F69F5" w:rsidRPr="005F69F5">
        <w:rPr>
          <w:rFonts w:asciiTheme="majorHAnsi" w:hAnsiTheme="majorHAnsi" w:cstheme="majorHAnsi"/>
          <w:sz w:val="24"/>
          <w:szCs w:val="24"/>
        </w:rPr>
        <w:t xml:space="preserve">Whatever it is you're scared of doing, </w:t>
      </w:r>
      <w:r w:rsidR="00A45C61" w:rsidRPr="005F69F5">
        <w:rPr>
          <w:rFonts w:asciiTheme="majorHAnsi" w:hAnsiTheme="majorHAnsi" w:cstheme="majorHAnsi"/>
          <w:sz w:val="24"/>
          <w:szCs w:val="24"/>
        </w:rPr>
        <w:t>do</w:t>
      </w:r>
      <w:r w:rsidR="005F69F5" w:rsidRPr="005F69F5">
        <w:rPr>
          <w:rFonts w:asciiTheme="majorHAnsi" w:hAnsiTheme="majorHAnsi" w:cstheme="majorHAnsi"/>
          <w:sz w:val="24"/>
          <w:szCs w:val="24"/>
        </w:rPr>
        <w:t xml:space="preserve"> it</w:t>
      </w:r>
      <w:r w:rsidR="005F69F5">
        <w:rPr>
          <w:rFonts w:asciiTheme="majorHAnsi" w:hAnsiTheme="majorHAnsi" w:cstheme="majorHAnsi"/>
          <w:sz w:val="24"/>
          <w:szCs w:val="24"/>
        </w:rPr>
        <w:t xml:space="preserve">. </w:t>
      </w:r>
      <w:bookmarkEnd w:id="5"/>
      <w:r w:rsidR="005F69F5" w:rsidRPr="005F69F5">
        <w:rPr>
          <w:rFonts w:asciiTheme="majorHAnsi" w:hAnsiTheme="majorHAnsi" w:cstheme="majorHAnsi"/>
          <w:sz w:val="24"/>
          <w:szCs w:val="24"/>
        </w:rPr>
        <w:t>Make your mistakes, next year and forever.</w:t>
      </w:r>
      <w:r w:rsidRPr="007477FE">
        <w:rPr>
          <w:rStyle w:val="FootnoteReference"/>
          <w:rFonts w:asciiTheme="majorHAnsi" w:hAnsiTheme="majorHAnsi" w:cstheme="majorHAnsi"/>
          <w:sz w:val="24"/>
          <w:szCs w:val="24"/>
        </w:rPr>
        <w:footnoteReference w:id="10"/>
      </w:r>
    </w:p>
    <w:p w14:paraId="2BEE8F6E" w14:textId="75FED5E1" w:rsidR="00D102C2" w:rsidRDefault="00B3384A" w:rsidP="00D102C2">
      <w:pPr>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We </w:t>
      </w:r>
      <w:r w:rsidR="00523F34">
        <w:rPr>
          <w:rFonts w:asciiTheme="majorHAnsi" w:hAnsiTheme="majorHAnsi" w:cstheme="majorHAnsi"/>
          <w:sz w:val="24"/>
          <w:szCs w:val="24"/>
        </w:rPr>
        <w:t>include this</w:t>
      </w:r>
      <w:r>
        <w:rPr>
          <w:rFonts w:asciiTheme="majorHAnsi" w:hAnsiTheme="majorHAnsi" w:cstheme="majorHAnsi"/>
          <w:sz w:val="24"/>
          <w:szCs w:val="24"/>
        </w:rPr>
        <w:t xml:space="preserve"> message </w:t>
      </w:r>
      <w:r w:rsidR="00523F34">
        <w:rPr>
          <w:rFonts w:asciiTheme="majorHAnsi" w:hAnsiTheme="majorHAnsi" w:cstheme="majorHAnsi"/>
          <w:sz w:val="24"/>
          <w:szCs w:val="24"/>
        </w:rPr>
        <w:t>in our welcome and induction materials and refer to it throughout the module,</w:t>
      </w:r>
      <w:r w:rsidR="00DB2997">
        <w:rPr>
          <w:rFonts w:asciiTheme="majorHAnsi" w:hAnsiTheme="majorHAnsi" w:cstheme="majorHAnsi"/>
          <w:sz w:val="24"/>
          <w:szCs w:val="24"/>
        </w:rPr>
        <w:t xml:space="preserve"> to</w:t>
      </w:r>
      <w:r w:rsidR="00523F34">
        <w:rPr>
          <w:rFonts w:asciiTheme="majorHAnsi" w:hAnsiTheme="majorHAnsi" w:cstheme="majorHAnsi"/>
          <w:sz w:val="24"/>
          <w:szCs w:val="24"/>
        </w:rPr>
        <w:t xml:space="preserve"> </w:t>
      </w:r>
      <w:r w:rsidR="00BF0CC4">
        <w:rPr>
          <w:rFonts w:asciiTheme="majorHAnsi" w:hAnsiTheme="majorHAnsi" w:cstheme="majorHAnsi"/>
          <w:sz w:val="24"/>
          <w:szCs w:val="24"/>
        </w:rPr>
        <w:t>emphasis</w:t>
      </w:r>
      <w:r w:rsidR="00DB2997">
        <w:rPr>
          <w:rFonts w:asciiTheme="majorHAnsi" w:hAnsiTheme="majorHAnsi" w:cstheme="majorHAnsi"/>
          <w:sz w:val="24"/>
          <w:szCs w:val="24"/>
        </w:rPr>
        <w:t>e</w:t>
      </w:r>
      <w:r w:rsidR="0033604D">
        <w:rPr>
          <w:rFonts w:asciiTheme="majorHAnsi" w:hAnsiTheme="majorHAnsi" w:cstheme="majorHAnsi"/>
          <w:sz w:val="24"/>
          <w:szCs w:val="24"/>
        </w:rPr>
        <w:t xml:space="preserve"> </w:t>
      </w:r>
      <w:r w:rsidR="00D90DB8">
        <w:rPr>
          <w:rFonts w:asciiTheme="majorHAnsi" w:hAnsiTheme="majorHAnsi" w:cstheme="majorHAnsi"/>
          <w:sz w:val="24"/>
          <w:szCs w:val="24"/>
        </w:rPr>
        <w:t xml:space="preserve">the importance of </w:t>
      </w:r>
      <w:r w:rsidR="00BA102F">
        <w:rPr>
          <w:rFonts w:asciiTheme="majorHAnsi" w:hAnsiTheme="majorHAnsi" w:cstheme="majorHAnsi"/>
          <w:sz w:val="24"/>
          <w:szCs w:val="24"/>
        </w:rPr>
        <w:t>engagement</w:t>
      </w:r>
      <w:r w:rsidR="00D90DB8">
        <w:rPr>
          <w:rFonts w:asciiTheme="majorHAnsi" w:hAnsiTheme="majorHAnsi" w:cstheme="majorHAnsi"/>
          <w:sz w:val="24"/>
          <w:szCs w:val="24"/>
        </w:rPr>
        <w:t xml:space="preserve"> </w:t>
      </w:r>
      <w:r w:rsidR="00DB2997">
        <w:rPr>
          <w:rFonts w:asciiTheme="majorHAnsi" w:hAnsiTheme="majorHAnsi" w:cstheme="majorHAnsi"/>
          <w:sz w:val="24"/>
          <w:szCs w:val="24"/>
        </w:rPr>
        <w:t xml:space="preserve">and </w:t>
      </w:r>
      <w:r w:rsidR="00F22C83">
        <w:rPr>
          <w:rFonts w:asciiTheme="majorHAnsi" w:hAnsiTheme="majorHAnsi" w:cstheme="majorHAnsi"/>
          <w:sz w:val="24"/>
          <w:szCs w:val="24"/>
        </w:rPr>
        <w:t>to encourage</w:t>
      </w:r>
      <w:r w:rsidR="0033604D" w:rsidRPr="002A6E4A">
        <w:rPr>
          <w:rFonts w:asciiTheme="majorHAnsi" w:hAnsiTheme="majorHAnsi" w:cstheme="majorHAnsi"/>
          <w:sz w:val="24"/>
          <w:szCs w:val="24"/>
        </w:rPr>
        <w:t xml:space="preserve"> </w:t>
      </w:r>
      <w:r w:rsidR="005F5BBB">
        <w:rPr>
          <w:rFonts w:asciiTheme="majorHAnsi" w:hAnsiTheme="majorHAnsi" w:cstheme="majorHAnsi"/>
          <w:sz w:val="24"/>
          <w:szCs w:val="24"/>
        </w:rPr>
        <w:t>students</w:t>
      </w:r>
      <w:r w:rsidR="00D06A98">
        <w:rPr>
          <w:rFonts w:asciiTheme="majorHAnsi" w:hAnsiTheme="majorHAnsi" w:cstheme="majorHAnsi"/>
          <w:sz w:val="24"/>
          <w:szCs w:val="24"/>
        </w:rPr>
        <w:t xml:space="preserve"> to see their</w:t>
      </w:r>
      <w:r w:rsidR="00D90DB8">
        <w:rPr>
          <w:rFonts w:asciiTheme="majorHAnsi" w:hAnsiTheme="majorHAnsi" w:cstheme="majorHAnsi"/>
          <w:sz w:val="24"/>
          <w:szCs w:val="24"/>
        </w:rPr>
        <w:t xml:space="preserve"> </w:t>
      </w:r>
      <w:r w:rsidR="00D15B60">
        <w:rPr>
          <w:rFonts w:asciiTheme="majorHAnsi" w:hAnsiTheme="majorHAnsi" w:cstheme="majorHAnsi"/>
          <w:sz w:val="24"/>
          <w:szCs w:val="24"/>
        </w:rPr>
        <w:t xml:space="preserve">academic and personal </w:t>
      </w:r>
      <w:r w:rsidR="0033604D" w:rsidRPr="002A6E4A">
        <w:rPr>
          <w:rFonts w:asciiTheme="majorHAnsi" w:hAnsiTheme="majorHAnsi" w:cstheme="majorHAnsi"/>
          <w:sz w:val="24"/>
          <w:szCs w:val="24"/>
        </w:rPr>
        <w:t>development</w:t>
      </w:r>
      <w:r w:rsidR="00D06A98">
        <w:rPr>
          <w:rFonts w:asciiTheme="majorHAnsi" w:hAnsiTheme="majorHAnsi" w:cstheme="majorHAnsi"/>
          <w:sz w:val="24"/>
          <w:szCs w:val="24"/>
        </w:rPr>
        <w:t xml:space="preserve"> holistically,</w:t>
      </w:r>
      <w:r w:rsidR="0071741B">
        <w:rPr>
          <w:rFonts w:asciiTheme="majorHAnsi" w:hAnsiTheme="majorHAnsi" w:cstheme="majorHAnsi"/>
          <w:sz w:val="24"/>
          <w:szCs w:val="24"/>
        </w:rPr>
        <w:t xml:space="preserve"> in a</w:t>
      </w:r>
      <w:r w:rsidR="00F22C83">
        <w:rPr>
          <w:rFonts w:asciiTheme="majorHAnsi" w:hAnsiTheme="majorHAnsi" w:cstheme="majorHAnsi"/>
          <w:sz w:val="24"/>
          <w:szCs w:val="24"/>
        </w:rPr>
        <w:t xml:space="preserve"> </w:t>
      </w:r>
      <w:r w:rsidR="00D15B60">
        <w:rPr>
          <w:rFonts w:asciiTheme="majorHAnsi" w:hAnsiTheme="majorHAnsi" w:cstheme="majorHAnsi"/>
          <w:sz w:val="24"/>
          <w:szCs w:val="24"/>
        </w:rPr>
        <w:t xml:space="preserve">challenging but </w:t>
      </w:r>
      <w:r w:rsidR="00523253">
        <w:rPr>
          <w:rFonts w:asciiTheme="majorHAnsi" w:hAnsiTheme="majorHAnsi" w:cstheme="majorHAnsi"/>
          <w:sz w:val="24"/>
          <w:szCs w:val="24"/>
        </w:rPr>
        <w:t xml:space="preserve">supportive </w:t>
      </w:r>
      <w:r w:rsidR="00D15B60">
        <w:rPr>
          <w:rFonts w:asciiTheme="majorHAnsi" w:hAnsiTheme="majorHAnsi" w:cstheme="majorHAnsi"/>
          <w:sz w:val="24"/>
          <w:szCs w:val="24"/>
        </w:rPr>
        <w:t xml:space="preserve">and collaborative </w:t>
      </w:r>
      <w:r w:rsidR="00F22C83">
        <w:rPr>
          <w:rFonts w:asciiTheme="majorHAnsi" w:hAnsiTheme="majorHAnsi" w:cstheme="majorHAnsi"/>
          <w:sz w:val="24"/>
          <w:szCs w:val="24"/>
        </w:rPr>
        <w:t xml:space="preserve">community. </w:t>
      </w:r>
    </w:p>
    <w:p w14:paraId="5E6A165E" w14:textId="1A044F8A" w:rsidR="005211C7" w:rsidRDefault="003D77B3" w:rsidP="005211C7">
      <w:pPr>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Legal Essentials </w:t>
      </w:r>
      <w:r w:rsidR="005E4D72" w:rsidRPr="002A6E4A">
        <w:rPr>
          <w:rFonts w:asciiTheme="majorHAnsi" w:hAnsiTheme="majorHAnsi" w:cstheme="majorHAnsi"/>
          <w:sz w:val="24"/>
          <w:szCs w:val="24"/>
        </w:rPr>
        <w:t>involves an intensive, high-contact</w:t>
      </w:r>
      <w:r w:rsidR="00AC2CBA">
        <w:rPr>
          <w:rFonts w:asciiTheme="majorHAnsi" w:hAnsiTheme="majorHAnsi" w:cstheme="majorHAnsi"/>
          <w:sz w:val="24"/>
          <w:szCs w:val="24"/>
        </w:rPr>
        <w:t>, extended induction</w:t>
      </w:r>
      <w:r w:rsidR="005E4D72" w:rsidRPr="002A6E4A">
        <w:rPr>
          <w:rFonts w:asciiTheme="majorHAnsi" w:hAnsiTheme="majorHAnsi" w:cstheme="majorHAnsi"/>
          <w:sz w:val="24"/>
          <w:szCs w:val="24"/>
        </w:rPr>
        <w:t xml:space="preserve"> period in weeks 1-3, scaffolded by a further </w:t>
      </w:r>
      <w:r w:rsidR="00BA6A09">
        <w:rPr>
          <w:rFonts w:asciiTheme="majorHAnsi" w:hAnsiTheme="majorHAnsi" w:cstheme="majorHAnsi"/>
          <w:sz w:val="24"/>
          <w:szCs w:val="24"/>
        </w:rPr>
        <w:t>five</w:t>
      </w:r>
      <w:r w:rsidR="005E4D72" w:rsidRPr="002A6E4A">
        <w:rPr>
          <w:rFonts w:asciiTheme="majorHAnsi" w:hAnsiTheme="majorHAnsi" w:cstheme="majorHAnsi"/>
          <w:sz w:val="24"/>
          <w:szCs w:val="24"/>
        </w:rPr>
        <w:t xml:space="preserve"> weeks of skill- and self-development</w:t>
      </w:r>
      <w:r w:rsidR="00104C06">
        <w:rPr>
          <w:rFonts w:asciiTheme="majorHAnsi" w:hAnsiTheme="majorHAnsi" w:cstheme="majorHAnsi"/>
          <w:sz w:val="24"/>
          <w:szCs w:val="24"/>
        </w:rPr>
        <w:t xml:space="preserve"> alongside the core </w:t>
      </w:r>
      <w:r w:rsidR="009B6000">
        <w:rPr>
          <w:rFonts w:asciiTheme="majorHAnsi" w:hAnsiTheme="majorHAnsi" w:cstheme="majorHAnsi"/>
          <w:sz w:val="24"/>
          <w:szCs w:val="24"/>
        </w:rPr>
        <w:t xml:space="preserve">Law </w:t>
      </w:r>
      <w:r w:rsidR="00104C06">
        <w:rPr>
          <w:rFonts w:asciiTheme="majorHAnsi" w:hAnsiTheme="majorHAnsi" w:cstheme="majorHAnsi"/>
          <w:sz w:val="24"/>
          <w:szCs w:val="24"/>
        </w:rPr>
        <w:t>modules which begin in week 4</w:t>
      </w:r>
      <w:r w:rsidR="005E4D72" w:rsidRPr="002A6E4A">
        <w:rPr>
          <w:rFonts w:asciiTheme="majorHAnsi" w:hAnsiTheme="majorHAnsi" w:cstheme="majorHAnsi"/>
          <w:sz w:val="24"/>
          <w:szCs w:val="24"/>
        </w:rPr>
        <w:t xml:space="preserve">. </w:t>
      </w:r>
      <w:r w:rsidR="009C3D1F">
        <w:rPr>
          <w:rFonts w:asciiTheme="majorHAnsi" w:hAnsiTheme="majorHAnsi" w:cstheme="majorHAnsi"/>
          <w:sz w:val="24"/>
          <w:szCs w:val="24"/>
        </w:rPr>
        <w:t>During</w:t>
      </w:r>
      <w:r w:rsidR="009C3D1F" w:rsidRPr="0090442F">
        <w:rPr>
          <w:rFonts w:asciiTheme="majorHAnsi" w:hAnsiTheme="majorHAnsi" w:cstheme="majorHAnsi"/>
          <w:sz w:val="24"/>
          <w:szCs w:val="24"/>
        </w:rPr>
        <w:t xml:space="preserve"> the </w:t>
      </w:r>
      <w:r w:rsidR="009C3D1F">
        <w:rPr>
          <w:rFonts w:asciiTheme="majorHAnsi" w:hAnsiTheme="majorHAnsi" w:cstheme="majorHAnsi"/>
          <w:sz w:val="24"/>
          <w:szCs w:val="24"/>
        </w:rPr>
        <w:t xml:space="preserve">first three </w:t>
      </w:r>
      <w:r w:rsidR="009C3D1F" w:rsidRPr="0090442F">
        <w:rPr>
          <w:rFonts w:asciiTheme="majorHAnsi" w:hAnsiTheme="majorHAnsi" w:cstheme="majorHAnsi"/>
          <w:sz w:val="24"/>
          <w:szCs w:val="24"/>
        </w:rPr>
        <w:t>weeks</w:t>
      </w:r>
      <w:r w:rsidR="009C3D1F">
        <w:rPr>
          <w:rFonts w:asciiTheme="majorHAnsi" w:hAnsiTheme="majorHAnsi" w:cstheme="majorHAnsi"/>
          <w:sz w:val="24"/>
          <w:szCs w:val="24"/>
        </w:rPr>
        <w:t>,</w:t>
      </w:r>
      <w:r w:rsidR="009C3D1F" w:rsidRPr="0090442F">
        <w:rPr>
          <w:rFonts w:asciiTheme="majorHAnsi" w:hAnsiTheme="majorHAnsi" w:cstheme="majorHAnsi"/>
          <w:sz w:val="24"/>
          <w:szCs w:val="24"/>
        </w:rPr>
        <w:t xml:space="preserve"> </w:t>
      </w:r>
      <w:r w:rsidR="009C3D1F">
        <w:rPr>
          <w:rFonts w:asciiTheme="majorHAnsi" w:hAnsiTheme="majorHAnsi" w:cstheme="majorHAnsi"/>
          <w:sz w:val="24"/>
          <w:szCs w:val="24"/>
        </w:rPr>
        <w:t xml:space="preserve">we deliver </w:t>
      </w:r>
      <w:r w:rsidR="009C3D1F" w:rsidRPr="0090442F">
        <w:rPr>
          <w:rFonts w:asciiTheme="majorHAnsi" w:hAnsiTheme="majorHAnsi" w:cstheme="majorHAnsi"/>
          <w:sz w:val="24"/>
          <w:szCs w:val="24"/>
        </w:rPr>
        <w:t xml:space="preserve">a range of knowledge, activity, </w:t>
      </w:r>
      <w:r w:rsidR="003E3851" w:rsidRPr="0090442F">
        <w:rPr>
          <w:rFonts w:asciiTheme="majorHAnsi" w:hAnsiTheme="majorHAnsi" w:cstheme="majorHAnsi"/>
          <w:sz w:val="24"/>
          <w:szCs w:val="24"/>
        </w:rPr>
        <w:t>skills,</w:t>
      </w:r>
      <w:r w:rsidR="009C3D1F" w:rsidRPr="0090442F">
        <w:rPr>
          <w:rFonts w:asciiTheme="majorHAnsi" w:hAnsiTheme="majorHAnsi" w:cstheme="majorHAnsi"/>
          <w:sz w:val="24"/>
          <w:szCs w:val="24"/>
        </w:rPr>
        <w:t xml:space="preserve"> and wellbeing sessions </w:t>
      </w:r>
      <w:r w:rsidR="009C3D1F">
        <w:rPr>
          <w:rFonts w:asciiTheme="majorHAnsi" w:hAnsiTheme="majorHAnsi" w:cstheme="majorHAnsi"/>
          <w:sz w:val="24"/>
          <w:szCs w:val="24"/>
        </w:rPr>
        <w:t>through</w:t>
      </w:r>
      <w:r w:rsidR="009C3D1F" w:rsidRPr="0090442F">
        <w:rPr>
          <w:rFonts w:asciiTheme="majorHAnsi" w:hAnsiTheme="majorHAnsi" w:cstheme="majorHAnsi"/>
          <w:sz w:val="24"/>
          <w:szCs w:val="24"/>
        </w:rPr>
        <w:t xml:space="preserve"> </w:t>
      </w:r>
      <w:r w:rsidR="009C3D1F">
        <w:rPr>
          <w:rFonts w:asciiTheme="majorHAnsi" w:hAnsiTheme="majorHAnsi" w:cstheme="majorHAnsi"/>
          <w:sz w:val="24"/>
          <w:szCs w:val="24"/>
        </w:rPr>
        <w:t xml:space="preserve">a mixture of </w:t>
      </w:r>
      <w:r w:rsidR="009C3D1F" w:rsidRPr="0090442F">
        <w:rPr>
          <w:rFonts w:asciiTheme="majorHAnsi" w:hAnsiTheme="majorHAnsi" w:cstheme="majorHAnsi"/>
          <w:sz w:val="24"/>
          <w:szCs w:val="24"/>
        </w:rPr>
        <w:t xml:space="preserve">seminars, workshops, lectures, and panel </w:t>
      </w:r>
      <w:r w:rsidR="009C3D1F">
        <w:rPr>
          <w:rFonts w:asciiTheme="majorHAnsi" w:hAnsiTheme="majorHAnsi" w:cstheme="majorHAnsi"/>
          <w:sz w:val="24"/>
          <w:szCs w:val="24"/>
        </w:rPr>
        <w:t>discussions, introducing the four Legal Essentials streams</w:t>
      </w:r>
      <w:r w:rsidR="009C3D1F" w:rsidRPr="0090442F">
        <w:rPr>
          <w:rFonts w:asciiTheme="majorHAnsi" w:hAnsiTheme="majorHAnsi" w:cstheme="majorHAnsi"/>
          <w:sz w:val="24"/>
          <w:szCs w:val="24"/>
        </w:rPr>
        <w:t>.</w:t>
      </w:r>
      <w:r w:rsidR="009C3D1F">
        <w:rPr>
          <w:rFonts w:asciiTheme="majorHAnsi" w:hAnsiTheme="majorHAnsi" w:cstheme="majorHAnsi"/>
          <w:sz w:val="24"/>
          <w:szCs w:val="24"/>
        </w:rPr>
        <w:t xml:space="preserve"> </w:t>
      </w:r>
      <w:r w:rsidR="005211C7">
        <w:rPr>
          <w:rFonts w:asciiTheme="majorHAnsi" w:hAnsiTheme="majorHAnsi" w:cstheme="majorHAnsi"/>
          <w:sz w:val="24"/>
          <w:szCs w:val="24"/>
        </w:rPr>
        <w:t>Module assessment is a two-stage process</w:t>
      </w:r>
      <w:r w:rsidR="00546E45">
        <w:rPr>
          <w:rFonts w:asciiTheme="majorHAnsi" w:hAnsiTheme="majorHAnsi" w:cstheme="majorHAnsi"/>
          <w:sz w:val="24"/>
          <w:szCs w:val="24"/>
        </w:rPr>
        <w:t>: i</w:t>
      </w:r>
      <w:r w:rsidR="005211C7">
        <w:rPr>
          <w:rFonts w:asciiTheme="majorHAnsi" w:hAnsiTheme="majorHAnsi" w:cstheme="majorHAnsi"/>
          <w:sz w:val="24"/>
          <w:szCs w:val="24"/>
        </w:rPr>
        <w:t>n week 5, an online multiple-choice quiz</w:t>
      </w:r>
      <w:r w:rsidR="00546E45">
        <w:rPr>
          <w:rFonts w:asciiTheme="majorHAnsi" w:hAnsiTheme="majorHAnsi" w:cstheme="majorHAnsi"/>
          <w:sz w:val="24"/>
          <w:szCs w:val="24"/>
        </w:rPr>
        <w:t xml:space="preserve"> </w:t>
      </w:r>
      <w:r w:rsidR="005211C7">
        <w:rPr>
          <w:rFonts w:asciiTheme="majorHAnsi" w:hAnsiTheme="majorHAnsi" w:cstheme="majorHAnsi"/>
          <w:sz w:val="24"/>
          <w:szCs w:val="24"/>
        </w:rPr>
        <w:t>test</w:t>
      </w:r>
      <w:r w:rsidR="00546E45">
        <w:rPr>
          <w:rFonts w:asciiTheme="majorHAnsi" w:hAnsiTheme="majorHAnsi" w:cstheme="majorHAnsi"/>
          <w:sz w:val="24"/>
          <w:szCs w:val="24"/>
        </w:rPr>
        <w:t>s</w:t>
      </w:r>
      <w:r w:rsidR="005211C7">
        <w:rPr>
          <w:rFonts w:asciiTheme="majorHAnsi" w:hAnsiTheme="majorHAnsi" w:cstheme="majorHAnsi"/>
          <w:sz w:val="24"/>
          <w:szCs w:val="24"/>
        </w:rPr>
        <w:t xml:space="preserve"> students’ knowledge of the English legal system</w:t>
      </w:r>
      <w:r w:rsidR="00546E45">
        <w:rPr>
          <w:rFonts w:asciiTheme="majorHAnsi" w:hAnsiTheme="majorHAnsi" w:cstheme="majorHAnsi"/>
          <w:sz w:val="24"/>
          <w:szCs w:val="24"/>
        </w:rPr>
        <w:t>; and</w:t>
      </w:r>
      <w:r w:rsidR="005211C7">
        <w:rPr>
          <w:rFonts w:asciiTheme="majorHAnsi" w:hAnsiTheme="majorHAnsi" w:cstheme="majorHAnsi"/>
          <w:sz w:val="24"/>
          <w:szCs w:val="24"/>
        </w:rPr>
        <w:t xml:space="preserve"> </w:t>
      </w:r>
      <w:r w:rsidR="00546E45">
        <w:rPr>
          <w:rFonts w:asciiTheme="majorHAnsi" w:hAnsiTheme="majorHAnsi" w:cstheme="majorHAnsi"/>
          <w:sz w:val="24"/>
          <w:szCs w:val="24"/>
        </w:rPr>
        <w:t>i</w:t>
      </w:r>
      <w:r w:rsidR="005211C7">
        <w:rPr>
          <w:rFonts w:asciiTheme="majorHAnsi" w:hAnsiTheme="majorHAnsi" w:cstheme="majorHAnsi"/>
          <w:sz w:val="24"/>
          <w:szCs w:val="24"/>
        </w:rPr>
        <w:t>n week 9</w:t>
      </w:r>
      <w:r w:rsidR="00897BC8">
        <w:rPr>
          <w:rFonts w:asciiTheme="majorHAnsi" w:hAnsiTheme="majorHAnsi" w:cstheme="majorHAnsi"/>
          <w:sz w:val="24"/>
          <w:szCs w:val="24"/>
        </w:rPr>
        <w:t>,</w:t>
      </w:r>
      <w:r w:rsidR="00DA11B4">
        <w:rPr>
          <w:rFonts w:asciiTheme="majorHAnsi" w:hAnsiTheme="majorHAnsi" w:cstheme="majorHAnsi"/>
          <w:sz w:val="24"/>
          <w:szCs w:val="24"/>
        </w:rPr>
        <w:t xml:space="preserve"> students write a critical analysis of a short article on </w:t>
      </w:r>
      <w:r w:rsidR="00795DF8">
        <w:rPr>
          <w:rFonts w:asciiTheme="majorHAnsi" w:hAnsiTheme="majorHAnsi" w:cstheme="majorHAnsi"/>
          <w:sz w:val="24"/>
          <w:szCs w:val="24"/>
        </w:rPr>
        <w:t>a current socio-legal issue</w:t>
      </w:r>
      <w:r w:rsidR="00171048">
        <w:rPr>
          <w:rFonts w:asciiTheme="majorHAnsi" w:hAnsiTheme="majorHAnsi" w:cstheme="majorHAnsi"/>
          <w:sz w:val="24"/>
          <w:szCs w:val="24"/>
        </w:rPr>
        <w:t>, or a</w:t>
      </w:r>
      <w:r w:rsidR="00FF18BD">
        <w:rPr>
          <w:rFonts w:asciiTheme="majorHAnsi" w:hAnsiTheme="majorHAnsi" w:cstheme="majorHAnsi"/>
          <w:sz w:val="24"/>
          <w:szCs w:val="24"/>
        </w:rPr>
        <w:t>n analysis of a topical case.</w:t>
      </w:r>
      <w:r w:rsidR="00795DF8">
        <w:rPr>
          <w:rFonts w:asciiTheme="majorHAnsi" w:hAnsiTheme="majorHAnsi" w:cstheme="majorHAnsi"/>
          <w:sz w:val="24"/>
          <w:szCs w:val="24"/>
        </w:rPr>
        <w:t xml:space="preserve"> Feedback</w:t>
      </w:r>
      <w:r w:rsidR="00B67132">
        <w:rPr>
          <w:rFonts w:asciiTheme="majorHAnsi" w:hAnsiTheme="majorHAnsi" w:cstheme="majorHAnsi"/>
          <w:sz w:val="24"/>
          <w:szCs w:val="24"/>
        </w:rPr>
        <w:t xml:space="preserve"> on the written exercise is given before the</w:t>
      </w:r>
      <w:r w:rsidR="00BC26E9">
        <w:rPr>
          <w:rFonts w:asciiTheme="majorHAnsi" w:hAnsiTheme="majorHAnsi" w:cstheme="majorHAnsi"/>
          <w:sz w:val="24"/>
          <w:szCs w:val="24"/>
        </w:rPr>
        <w:t xml:space="preserve"> main assessment period</w:t>
      </w:r>
      <w:r w:rsidR="00B67132">
        <w:rPr>
          <w:rFonts w:asciiTheme="majorHAnsi" w:hAnsiTheme="majorHAnsi" w:cstheme="majorHAnsi"/>
          <w:sz w:val="24"/>
          <w:szCs w:val="24"/>
        </w:rPr>
        <w:t xml:space="preserve">, so that students </w:t>
      </w:r>
      <w:r w:rsidR="001405F4">
        <w:rPr>
          <w:rFonts w:asciiTheme="majorHAnsi" w:hAnsiTheme="majorHAnsi" w:cstheme="majorHAnsi"/>
          <w:sz w:val="24"/>
          <w:szCs w:val="24"/>
        </w:rPr>
        <w:t>better understand how to approach their core module assessments</w:t>
      </w:r>
      <w:r w:rsidR="00CD28E7">
        <w:rPr>
          <w:rFonts w:asciiTheme="majorHAnsi" w:hAnsiTheme="majorHAnsi" w:cstheme="majorHAnsi"/>
          <w:sz w:val="24"/>
          <w:szCs w:val="24"/>
        </w:rPr>
        <w:t>.</w:t>
      </w:r>
    </w:p>
    <w:p w14:paraId="2C1F9AC7" w14:textId="34DEBEB0" w:rsidR="005E4D72" w:rsidRDefault="00DC4742" w:rsidP="00D814CF">
      <w:pPr>
        <w:spacing w:line="240" w:lineRule="auto"/>
        <w:jc w:val="both"/>
        <w:rPr>
          <w:rFonts w:asciiTheme="majorHAnsi" w:hAnsiTheme="majorHAnsi" w:cstheme="majorHAnsi"/>
          <w:sz w:val="24"/>
          <w:szCs w:val="24"/>
        </w:rPr>
      </w:pPr>
      <w:r>
        <w:rPr>
          <w:rFonts w:asciiTheme="majorHAnsi" w:hAnsiTheme="majorHAnsi" w:cstheme="majorHAnsi"/>
          <w:sz w:val="24"/>
          <w:szCs w:val="24"/>
        </w:rPr>
        <w:t>Module d</w:t>
      </w:r>
      <w:r w:rsidR="003B6AA8" w:rsidRPr="00437380">
        <w:rPr>
          <w:rFonts w:asciiTheme="majorHAnsi" w:hAnsiTheme="majorHAnsi" w:cstheme="majorHAnsi"/>
          <w:sz w:val="24"/>
          <w:szCs w:val="24"/>
        </w:rPr>
        <w:t xml:space="preserve">elivery incorporates </w:t>
      </w:r>
      <w:r w:rsidR="005E4D72" w:rsidRPr="002A6E4A">
        <w:rPr>
          <w:rFonts w:asciiTheme="majorHAnsi" w:hAnsiTheme="majorHAnsi" w:cstheme="majorHAnsi"/>
          <w:sz w:val="24"/>
          <w:szCs w:val="24"/>
        </w:rPr>
        <w:t>co-teaching, including “live performances” of critical discussion, to show that law and legal knowledge is up for debate – including</w:t>
      </w:r>
      <w:r>
        <w:rPr>
          <w:rFonts w:asciiTheme="majorHAnsi" w:hAnsiTheme="majorHAnsi" w:cstheme="majorHAnsi"/>
          <w:sz w:val="24"/>
          <w:szCs w:val="24"/>
        </w:rPr>
        <w:t xml:space="preserve"> team members’ own</w:t>
      </w:r>
      <w:r w:rsidR="005E4D72" w:rsidRPr="002A6E4A">
        <w:rPr>
          <w:rFonts w:asciiTheme="majorHAnsi" w:hAnsiTheme="majorHAnsi" w:cstheme="majorHAnsi"/>
          <w:sz w:val="24"/>
          <w:szCs w:val="24"/>
        </w:rPr>
        <w:t xml:space="preserve"> research! We also use panel</w:t>
      </w:r>
      <w:r w:rsidR="00D814CF">
        <w:rPr>
          <w:rFonts w:asciiTheme="majorHAnsi" w:hAnsiTheme="majorHAnsi" w:cstheme="majorHAnsi"/>
          <w:sz w:val="24"/>
          <w:szCs w:val="24"/>
        </w:rPr>
        <w:t>-style</w:t>
      </w:r>
      <w:r w:rsidR="005E4D72" w:rsidRPr="002A6E4A">
        <w:rPr>
          <w:rFonts w:asciiTheme="majorHAnsi" w:hAnsiTheme="majorHAnsi" w:cstheme="majorHAnsi"/>
          <w:sz w:val="24"/>
          <w:szCs w:val="24"/>
        </w:rPr>
        <w:t xml:space="preserve"> discussions, including </w:t>
      </w:r>
      <w:r w:rsidR="00D814CF">
        <w:rPr>
          <w:rFonts w:asciiTheme="majorHAnsi" w:hAnsiTheme="majorHAnsi" w:cstheme="majorHAnsi"/>
          <w:sz w:val="24"/>
          <w:szCs w:val="24"/>
        </w:rPr>
        <w:t xml:space="preserve">more senior </w:t>
      </w:r>
      <w:r w:rsidR="00EE6EFB">
        <w:rPr>
          <w:rFonts w:asciiTheme="majorHAnsi" w:hAnsiTheme="majorHAnsi" w:cstheme="majorHAnsi"/>
          <w:sz w:val="24"/>
          <w:szCs w:val="24"/>
        </w:rPr>
        <w:t>Law students</w:t>
      </w:r>
      <w:r w:rsidR="00655354">
        <w:rPr>
          <w:rFonts w:asciiTheme="majorHAnsi" w:hAnsiTheme="majorHAnsi" w:cstheme="majorHAnsi"/>
          <w:sz w:val="24"/>
          <w:szCs w:val="24"/>
        </w:rPr>
        <w:t xml:space="preserve"> and </w:t>
      </w:r>
      <w:r w:rsidR="005E4D72" w:rsidRPr="002A6E4A">
        <w:rPr>
          <w:rFonts w:asciiTheme="majorHAnsi" w:hAnsiTheme="majorHAnsi" w:cstheme="majorHAnsi"/>
          <w:sz w:val="24"/>
          <w:szCs w:val="24"/>
        </w:rPr>
        <w:t xml:space="preserve">members </w:t>
      </w:r>
      <w:r w:rsidR="00655354">
        <w:rPr>
          <w:rFonts w:asciiTheme="majorHAnsi" w:hAnsiTheme="majorHAnsi" w:cstheme="majorHAnsi"/>
          <w:sz w:val="24"/>
          <w:szCs w:val="24"/>
        </w:rPr>
        <w:t xml:space="preserve">of </w:t>
      </w:r>
      <w:r w:rsidR="00EE6EFB">
        <w:rPr>
          <w:rFonts w:asciiTheme="majorHAnsi" w:hAnsiTheme="majorHAnsi" w:cstheme="majorHAnsi"/>
          <w:sz w:val="24"/>
          <w:szCs w:val="24"/>
        </w:rPr>
        <w:t>the professional legal community</w:t>
      </w:r>
      <w:r w:rsidR="005E4D72" w:rsidRPr="002A6E4A">
        <w:rPr>
          <w:rFonts w:asciiTheme="majorHAnsi" w:hAnsiTheme="majorHAnsi" w:cstheme="majorHAnsi"/>
          <w:sz w:val="24"/>
          <w:szCs w:val="24"/>
        </w:rPr>
        <w:t xml:space="preserve">. </w:t>
      </w:r>
      <w:r w:rsidR="005E5AA3">
        <w:rPr>
          <w:rFonts w:asciiTheme="majorHAnsi" w:hAnsiTheme="majorHAnsi" w:cstheme="majorHAnsi"/>
          <w:sz w:val="24"/>
          <w:szCs w:val="24"/>
        </w:rPr>
        <w:t>T</w:t>
      </w:r>
      <w:r w:rsidR="005E5AA3" w:rsidRPr="005E5AA3">
        <w:rPr>
          <w:rFonts w:asciiTheme="majorHAnsi" w:hAnsiTheme="majorHAnsi" w:cstheme="majorHAnsi"/>
          <w:sz w:val="24"/>
          <w:szCs w:val="24"/>
        </w:rPr>
        <w:t xml:space="preserve">he </w:t>
      </w:r>
      <w:r w:rsidR="005E5AA3">
        <w:rPr>
          <w:rFonts w:asciiTheme="majorHAnsi" w:hAnsiTheme="majorHAnsi" w:cstheme="majorHAnsi"/>
          <w:sz w:val="24"/>
          <w:szCs w:val="24"/>
        </w:rPr>
        <w:t xml:space="preserve">teaching </w:t>
      </w:r>
      <w:r w:rsidR="005E5AA3" w:rsidRPr="005E5AA3">
        <w:rPr>
          <w:rFonts w:asciiTheme="majorHAnsi" w:hAnsiTheme="majorHAnsi" w:cstheme="majorHAnsi"/>
          <w:sz w:val="24"/>
          <w:szCs w:val="24"/>
        </w:rPr>
        <w:t>team model</w:t>
      </w:r>
      <w:r w:rsidR="005E5AA3">
        <w:rPr>
          <w:rFonts w:asciiTheme="majorHAnsi" w:hAnsiTheme="majorHAnsi" w:cstheme="majorHAnsi"/>
          <w:sz w:val="24"/>
          <w:szCs w:val="24"/>
        </w:rPr>
        <w:t>s authenticity,</w:t>
      </w:r>
      <w:r w:rsidR="005E5AA3" w:rsidRPr="005E5AA3">
        <w:rPr>
          <w:rFonts w:asciiTheme="majorHAnsi" w:hAnsiTheme="majorHAnsi" w:cstheme="majorHAnsi"/>
          <w:sz w:val="24"/>
          <w:szCs w:val="24"/>
        </w:rPr>
        <w:t xml:space="preserve"> </w:t>
      </w:r>
      <w:r w:rsidR="003E3851" w:rsidRPr="005E5AA3">
        <w:rPr>
          <w:rFonts w:asciiTheme="majorHAnsi" w:hAnsiTheme="majorHAnsi" w:cstheme="majorHAnsi"/>
          <w:sz w:val="24"/>
          <w:szCs w:val="24"/>
        </w:rPr>
        <w:t>vulnerability,</w:t>
      </w:r>
      <w:r w:rsidR="005E5AA3" w:rsidRPr="005E5AA3">
        <w:rPr>
          <w:rFonts w:asciiTheme="majorHAnsi" w:hAnsiTheme="majorHAnsi" w:cstheme="majorHAnsi"/>
          <w:sz w:val="24"/>
          <w:szCs w:val="24"/>
        </w:rPr>
        <w:t xml:space="preserve"> and resilience (</w:t>
      </w:r>
      <w:r w:rsidR="00C10A65">
        <w:rPr>
          <w:rFonts w:asciiTheme="majorHAnsi" w:hAnsiTheme="majorHAnsi" w:cstheme="majorHAnsi"/>
          <w:sz w:val="24"/>
          <w:szCs w:val="24"/>
        </w:rPr>
        <w:t>for example,</w:t>
      </w:r>
      <w:r w:rsidR="00B655AA">
        <w:rPr>
          <w:rFonts w:asciiTheme="majorHAnsi" w:hAnsiTheme="majorHAnsi" w:cstheme="majorHAnsi"/>
          <w:sz w:val="24"/>
          <w:szCs w:val="24"/>
        </w:rPr>
        <w:t xml:space="preserve"> by</w:t>
      </w:r>
      <w:r w:rsidR="005E5AA3" w:rsidRPr="005E5AA3">
        <w:rPr>
          <w:rFonts w:asciiTheme="majorHAnsi" w:hAnsiTheme="majorHAnsi" w:cstheme="majorHAnsi"/>
          <w:sz w:val="24"/>
          <w:szCs w:val="24"/>
        </w:rPr>
        <w:t xml:space="preserve"> </w:t>
      </w:r>
      <w:r w:rsidR="00B655AA">
        <w:rPr>
          <w:rFonts w:asciiTheme="majorHAnsi" w:hAnsiTheme="majorHAnsi" w:cstheme="majorHAnsi"/>
          <w:sz w:val="24"/>
          <w:szCs w:val="24"/>
        </w:rPr>
        <w:t>relating</w:t>
      </w:r>
      <w:r w:rsidR="005E5AA3" w:rsidRPr="005E5AA3">
        <w:rPr>
          <w:rFonts w:asciiTheme="majorHAnsi" w:hAnsiTheme="majorHAnsi" w:cstheme="majorHAnsi"/>
          <w:sz w:val="24"/>
          <w:szCs w:val="24"/>
        </w:rPr>
        <w:t xml:space="preserve"> </w:t>
      </w:r>
      <w:r w:rsidR="00B655AA">
        <w:rPr>
          <w:rFonts w:asciiTheme="majorHAnsi" w:hAnsiTheme="majorHAnsi" w:cstheme="majorHAnsi"/>
          <w:sz w:val="24"/>
          <w:szCs w:val="24"/>
        </w:rPr>
        <w:t xml:space="preserve">our own experiences of </w:t>
      </w:r>
      <w:r w:rsidR="005E5AA3" w:rsidRPr="005E5AA3">
        <w:rPr>
          <w:rFonts w:asciiTheme="majorHAnsi" w:hAnsiTheme="majorHAnsi" w:cstheme="majorHAnsi"/>
          <w:sz w:val="24"/>
          <w:szCs w:val="24"/>
        </w:rPr>
        <w:t>imposter syndrome and coping with setbacks and rejection</w:t>
      </w:r>
      <w:r w:rsidR="00137ADA">
        <w:rPr>
          <w:rFonts w:asciiTheme="majorHAnsi" w:hAnsiTheme="majorHAnsi" w:cstheme="majorHAnsi"/>
          <w:sz w:val="24"/>
          <w:szCs w:val="24"/>
        </w:rPr>
        <w:t xml:space="preserve"> – see </w:t>
      </w:r>
      <w:r w:rsidR="00603B6B">
        <w:rPr>
          <w:rFonts w:asciiTheme="majorHAnsi" w:hAnsiTheme="majorHAnsi" w:cstheme="majorHAnsi"/>
          <w:sz w:val="24"/>
          <w:szCs w:val="24"/>
        </w:rPr>
        <w:t xml:space="preserve">further, </w:t>
      </w:r>
      <w:r w:rsidR="00137ADA">
        <w:rPr>
          <w:rFonts w:asciiTheme="majorHAnsi" w:hAnsiTheme="majorHAnsi" w:cstheme="majorHAnsi"/>
          <w:sz w:val="24"/>
          <w:szCs w:val="24"/>
        </w:rPr>
        <w:t>section 4</w:t>
      </w:r>
      <w:r w:rsidR="005E5AA3" w:rsidRPr="005E5AA3">
        <w:rPr>
          <w:rFonts w:asciiTheme="majorHAnsi" w:hAnsiTheme="majorHAnsi" w:cstheme="majorHAnsi"/>
          <w:sz w:val="24"/>
          <w:szCs w:val="24"/>
        </w:rPr>
        <w:t>)</w:t>
      </w:r>
      <w:r w:rsidR="00C210FC">
        <w:rPr>
          <w:rFonts w:asciiTheme="majorHAnsi" w:hAnsiTheme="majorHAnsi" w:cstheme="majorHAnsi"/>
          <w:sz w:val="24"/>
          <w:szCs w:val="24"/>
        </w:rPr>
        <w:t xml:space="preserve">. Through </w:t>
      </w:r>
      <w:r w:rsidR="005E5AA3" w:rsidRPr="005E5AA3">
        <w:rPr>
          <w:rFonts w:asciiTheme="majorHAnsi" w:hAnsiTheme="majorHAnsi" w:cstheme="majorHAnsi"/>
          <w:sz w:val="24"/>
          <w:szCs w:val="24"/>
        </w:rPr>
        <w:t xml:space="preserve">teamwork, </w:t>
      </w:r>
      <w:r w:rsidR="00772685">
        <w:rPr>
          <w:rFonts w:asciiTheme="majorHAnsi" w:hAnsiTheme="majorHAnsi" w:cstheme="majorHAnsi"/>
          <w:sz w:val="24"/>
          <w:szCs w:val="24"/>
        </w:rPr>
        <w:t xml:space="preserve">open </w:t>
      </w:r>
      <w:r w:rsidR="003E3851">
        <w:rPr>
          <w:rFonts w:asciiTheme="majorHAnsi" w:hAnsiTheme="majorHAnsi" w:cstheme="majorHAnsi"/>
          <w:sz w:val="24"/>
          <w:szCs w:val="24"/>
        </w:rPr>
        <w:t>discussion,</w:t>
      </w:r>
      <w:r w:rsidR="00772685">
        <w:rPr>
          <w:rFonts w:asciiTheme="majorHAnsi" w:hAnsiTheme="majorHAnsi" w:cstheme="majorHAnsi"/>
          <w:sz w:val="24"/>
          <w:szCs w:val="24"/>
        </w:rPr>
        <w:t xml:space="preserve"> and </w:t>
      </w:r>
      <w:r w:rsidR="005E5AA3" w:rsidRPr="005E5AA3">
        <w:rPr>
          <w:rFonts w:asciiTheme="majorHAnsi" w:hAnsiTheme="majorHAnsi" w:cstheme="majorHAnsi"/>
          <w:sz w:val="24"/>
          <w:szCs w:val="24"/>
        </w:rPr>
        <w:t>d</w:t>
      </w:r>
      <w:r w:rsidR="00C210FC">
        <w:rPr>
          <w:rFonts w:asciiTheme="majorHAnsi" w:hAnsiTheme="majorHAnsi" w:cstheme="majorHAnsi"/>
          <w:sz w:val="24"/>
          <w:szCs w:val="24"/>
        </w:rPr>
        <w:t>ebate</w:t>
      </w:r>
      <w:r w:rsidR="00772685">
        <w:rPr>
          <w:rFonts w:asciiTheme="majorHAnsi" w:hAnsiTheme="majorHAnsi" w:cstheme="majorHAnsi"/>
          <w:sz w:val="24"/>
          <w:szCs w:val="24"/>
        </w:rPr>
        <w:t xml:space="preserve"> across the four streams</w:t>
      </w:r>
      <w:r w:rsidR="005E5AA3" w:rsidRPr="005E5AA3">
        <w:rPr>
          <w:rFonts w:asciiTheme="majorHAnsi" w:hAnsiTheme="majorHAnsi" w:cstheme="majorHAnsi"/>
          <w:sz w:val="24"/>
          <w:szCs w:val="24"/>
        </w:rPr>
        <w:t>, and the co-creation of</w:t>
      </w:r>
      <w:r w:rsidR="00435642">
        <w:rPr>
          <w:rFonts w:asciiTheme="majorHAnsi" w:hAnsiTheme="majorHAnsi" w:cstheme="majorHAnsi"/>
          <w:sz w:val="24"/>
          <w:szCs w:val="24"/>
        </w:rPr>
        <w:t xml:space="preserve"> some aspects of the module</w:t>
      </w:r>
      <w:r w:rsidR="00137ADA">
        <w:rPr>
          <w:rFonts w:asciiTheme="majorHAnsi" w:hAnsiTheme="majorHAnsi" w:cstheme="majorHAnsi"/>
          <w:sz w:val="24"/>
          <w:szCs w:val="24"/>
        </w:rPr>
        <w:t xml:space="preserve"> (see </w:t>
      </w:r>
      <w:r w:rsidR="00714D12">
        <w:rPr>
          <w:rFonts w:asciiTheme="majorHAnsi" w:hAnsiTheme="majorHAnsi" w:cstheme="majorHAnsi"/>
          <w:sz w:val="24"/>
          <w:szCs w:val="24"/>
        </w:rPr>
        <w:t>s</w:t>
      </w:r>
      <w:r w:rsidR="00137ADA">
        <w:rPr>
          <w:rFonts w:asciiTheme="majorHAnsi" w:hAnsiTheme="majorHAnsi" w:cstheme="majorHAnsi"/>
          <w:sz w:val="24"/>
          <w:szCs w:val="24"/>
        </w:rPr>
        <w:t>ection 5)</w:t>
      </w:r>
      <w:r w:rsidR="00C210FC">
        <w:rPr>
          <w:rFonts w:asciiTheme="majorHAnsi" w:hAnsiTheme="majorHAnsi" w:cstheme="majorHAnsi"/>
          <w:sz w:val="24"/>
          <w:szCs w:val="24"/>
        </w:rPr>
        <w:t>,</w:t>
      </w:r>
      <w:r w:rsidR="005E5AA3">
        <w:rPr>
          <w:rFonts w:asciiTheme="majorHAnsi" w:hAnsiTheme="majorHAnsi" w:cstheme="majorHAnsi"/>
          <w:sz w:val="24"/>
          <w:szCs w:val="24"/>
        </w:rPr>
        <w:t xml:space="preserve"> </w:t>
      </w:r>
      <w:r w:rsidR="00134887">
        <w:rPr>
          <w:rFonts w:asciiTheme="majorHAnsi" w:hAnsiTheme="majorHAnsi" w:cstheme="majorHAnsi"/>
          <w:sz w:val="24"/>
          <w:szCs w:val="24"/>
        </w:rPr>
        <w:t xml:space="preserve">the aim is </w:t>
      </w:r>
      <w:r w:rsidR="00A84932">
        <w:rPr>
          <w:rFonts w:asciiTheme="majorHAnsi" w:hAnsiTheme="majorHAnsi" w:cstheme="majorHAnsi"/>
          <w:sz w:val="24"/>
          <w:szCs w:val="24"/>
        </w:rPr>
        <w:t xml:space="preserve">to give </w:t>
      </w:r>
      <w:r w:rsidR="00441A87">
        <w:rPr>
          <w:rFonts w:asciiTheme="majorHAnsi" w:hAnsiTheme="majorHAnsi" w:cstheme="majorHAnsi"/>
          <w:sz w:val="24"/>
          <w:szCs w:val="24"/>
        </w:rPr>
        <w:t xml:space="preserve">new Law </w:t>
      </w:r>
      <w:r w:rsidR="00A84932">
        <w:rPr>
          <w:rFonts w:asciiTheme="majorHAnsi" w:hAnsiTheme="majorHAnsi" w:cstheme="majorHAnsi"/>
          <w:sz w:val="24"/>
          <w:szCs w:val="24"/>
        </w:rPr>
        <w:t xml:space="preserve">students </w:t>
      </w:r>
      <w:r w:rsidR="00441A87">
        <w:rPr>
          <w:rFonts w:asciiTheme="majorHAnsi" w:hAnsiTheme="majorHAnsi" w:cstheme="majorHAnsi"/>
          <w:sz w:val="24"/>
          <w:szCs w:val="24"/>
        </w:rPr>
        <w:t xml:space="preserve">an early experience of </w:t>
      </w:r>
      <w:r w:rsidR="005E4D72" w:rsidRPr="002A6E4A">
        <w:rPr>
          <w:rFonts w:asciiTheme="majorHAnsi" w:hAnsiTheme="majorHAnsi" w:cstheme="majorHAnsi"/>
          <w:sz w:val="24"/>
          <w:szCs w:val="24"/>
        </w:rPr>
        <w:t>community grounded in collaboration</w:t>
      </w:r>
      <w:r w:rsidR="000612E2">
        <w:rPr>
          <w:rFonts w:asciiTheme="majorHAnsi" w:hAnsiTheme="majorHAnsi" w:cstheme="majorHAnsi"/>
          <w:sz w:val="24"/>
          <w:szCs w:val="24"/>
        </w:rPr>
        <w:t xml:space="preserve"> and </w:t>
      </w:r>
      <w:r w:rsidR="00556A00">
        <w:rPr>
          <w:rFonts w:asciiTheme="majorHAnsi" w:hAnsiTheme="majorHAnsi" w:cstheme="majorHAnsi"/>
          <w:sz w:val="24"/>
          <w:szCs w:val="24"/>
        </w:rPr>
        <w:t>authentic critical engagement</w:t>
      </w:r>
      <w:r w:rsidR="005E4D72" w:rsidRPr="002A6E4A">
        <w:rPr>
          <w:rFonts w:asciiTheme="majorHAnsi" w:hAnsiTheme="majorHAnsi" w:cstheme="majorHAnsi"/>
          <w:sz w:val="24"/>
          <w:szCs w:val="24"/>
        </w:rPr>
        <w:t>.</w:t>
      </w:r>
      <w:r w:rsidR="00D814CF">
        <w:rPr>
          <w:rFonts w:asciiTheme="majorHAnsi" w:hAnsiTheme="majorHAnsi" w:cstheme="majorHAnsi"/>
          <w:sz w:val="24"/>
          <w:szCs w:val="24"/>
        </w:rPr>
        <w:t xml:space="preserve"> </w:t>
      </w:r>
    </w:p>
    <w:p w14:paraId="3C248D92" w14:textId="670E58F7" w:rsidR="00843C87" w:rsidRDefault="0086410B" w:rsidP="00D814CF">
      <w:pPr>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Of course, module delivery had to adapt to the move </w:t>
      </w:r>
      <w:r w:rsidR="000F424B">
        <w:rPr>
          <w:rFonts w:asciiTheme="majorHAnsi" w:hAnsiTheme="majorHAnsi" w:cstheme="majorHAnsi"/>
          <w:sz w:val="24"/>
          <w:szCs w:val="24"/>
        </w:rPr>
        <w:t xml:space="preserve">from in-situ </w:t>
      </w:r>
      <w:r>
        <w:rPr>
          <w:rFonts w:asciiTheme="majorHAnsi" w:hAnsiTheme="majorHAnsi" w:cstheme="majorHAnsi"/>
          <w:sz w:val="24"/>
          <w:szCs w:val="24"/>
        </w:rPr>
        <w:t>to online learning during the Covid pandemic in 2020-21.</w:t>
      </w:r>
      <w:r w:rsidR="00B16DCA">
        <w:rPr>
          <w:rFonts w:asciiTheme="majorHAnsi" w:hAnsiTheme="majorHAnsi" w:cstheme="majorHAnsi"/>
          <w:sz w:val="24"/>
          <w:szCs w:val="24"/>
        </w:rPr>
        <w:t xml:space="preserve"> One of the consequences of th</w:t>
      </w:r>
      <w:r w:rsidR="00CB69AF">
        <w:rPr>
          <w:rFonts w:asciiTheme="majorHAnsi" w:hAnsiTheme="majorHAnsi" w:cstheme="majorHAnsi"/>
          <w:sz w:val="24"/>
          <w:szCs w:val="24"/>
        </w:rPr>
        <w:t xml:space="preserve">e online pivot </w:t>
      </w:r>
      <w:r w:rsidR="00B16DCA">
        <w:rPr>
          <w:rFonts w:asciiTheme="majorHAnsi" w:hAnsiTheme="majorHAnsi" w:cstheme="majorHAnsi"/>
          <w:sz w:val="24"/>
          <w:szCs w:val="24"/>
        </w:rPr>
        <w:t xml:space="preserve">was the </w:t>
      </w:r>
      <w:r w:rsidR="00A50336">
        <w:rPr>
          <w:rFonts w:asciiTheme="majorHAnsi" w:hAnsiTheme="majorHAnsi" w:cstheme="majorHAnsi"/>
          <w:sz w:val="24"/>
          <w:szCs w:val="24"/>
        </w:rPr>
        <w:t xml:space="preserve">loss of </w:t>
      </w:r>
      <w:r w:rsidR="00913AF9">
        <w:rPr>
          <w:rFonts w:asciiTheme="majorHAnsi" w:hAnsiTheme="majorHAnsi" w:cstheme="majorHAnsi"/>
          <w:sz w:val="24"/>
          <w:szCs w:val="24"/>
        </w:rPr>
        <w:t xml:space="preserve">synchronous whole cohort </w:t>
      </w:r>
      <w:r w:rsidR="0047640E">
        <w:rPr>
          <w:rFonts w:asciiTheme="majorHAnsi" w:hAnsiTheme="majorHAnsi" w:cstheme="majorHAnsi"/>
          <w:sz w:val="24"/>
          <w:szCs w:val="24"/>
        </w:rPr>
        <w:t xml:space="preserve">or large group </w:t>
      </w:r>
      <w:r w:rsidR="00913AF9">
        <w:rPr>
          <w:rFonts w:asciiTheme="majorHAnsi" w:hAnsiTheme="majorHAnsi" w:cstheme="majorHAnsi"/>
          <w:sz w:val="24"/>
          <w:szCs w:val="24"/>
        </w:rPr>
        <w:t>sessions</w:t>
      </w:r>
      <w:r w:rsidR="002A47E0">
        <w:rPr>
          <w:rFonts w:asciiTheme="majorHAnsi" w:hAnsiTheme="majorHAnsi" w:cstheme="majorHAnsi"/>
          <w:sz w:val="24"/>
          <w:szCs w:val="24"/>
        </w:rPr>
        <w:t xml:space="preserve"> – replaced by shorter,</w:t>
      </w:r>
      <w:r w:rsidR="004C1B1D">
        <w:rPr>
          <w:rFonts w:asciiTheme="majorHAnsi" w:hAnsiTheme="majorHAnsi" w:cstheme="majorHAnsi"/>
          <w:sz w:val="24"/>
          <w:szCs w:val="24"/>
        </w:rPr>
        <w:t xml:space="preserve"> recorded lectures</w:t>
      </w:r>
      <w:r w:rsidR="002A47E0">
        <w:rPr>
          <w:rFonts w:asciiTheme="majorHAnsi" w:hAnsiTheme="majorHAnsi" w:cstheme="majorHAnsi"/>
          <w:sz w:val="24"/>
          <w:szCs w:val="24"/>
        </w:rPr>
        <w:t xml:space="preserve"> – with</w:t>
      </w:r>
      <w:r w:rsidR="004C1B1D">
        <w:rPr>
          <w:rFonts w:asciiTheme="majorHAnsi" w:hAnsiTheme="majorHAnsi" w:cstheme="majorHAnsi"/>
          <w:sz w:val="24"/>
          <w:szCs w:val="24"/>
        </w:rPr>
        <w:t xml:space="preserve"> </w:t>
      </w:r>
      <w:r w:rsidR="00CB69AF">
        <w:rPr>
          <w:rFonts w:asciiTheme="majorHAnsi" w:hAnsiTheme="majorHAnsi" w:cstheme="majorHAnsi"/>
          <w:sz w:val="24"/>
          <w:szCs w:val="24"/>
        </w:rPr>
        <w:t>tutorials or seminars</w:t>
      </w:r>
      <w:r w:rsidR="002A47E0">
        <w:rPr>
          <w:rFonts w:asciiTheme="majorHAnsi" w:hAnsiTheme="majorHAnsi" w:cstheme="majorHAnsi"/>
          <w:sz w:val="24"/>
          <w:szCs w:val="24"/>
        </w:rPr>
        <w:t xml:space="preserve"> remaining “live”, albeit online</w:t>
      </w:r>
      <w:r w:rsidR="00CB69AF">
        <w:rPr>
          <w:rFonts w:asciiTheme="majorHAnsi" w:hAnsiTheme="majorHAnsi" w:cstheme="majorHAnsi"/>
          <w:sz w:val="24"/>
          <w:szCs w:val="24"/>
        </w:rPr>
        <w:t xml:space="preserve">. This </w:t>
      </w:r>
      <w:r w:rsidR="003913EF">
        <w:rPr>
          <w:rFonts w:asciiTheme="majorHAnsi" w:hAnsiTheme="majorHAnsi" w:cstheme="majorHAnsi"/>
          <w:sz w:val="24"/>
          <w:szCs w:val="24"/>
        </w:rPr>
        <w:t xml:space="preserve">made sense for courses that were based on the traditional lecture and tutorial/seminar format, but the extended Induction part of Legal Essentials was not designed on this </w:t>
      </w:r>
      <w:r w:rsidR="00CB7731">
        <w:rPr>
          <w:rFonts w:asciiTheme="majorHAnsi" w:hAnsiTheme="majorHAnsi" w:cstheme="majorHAnsi"/>
          <w:sz w:val="24"/>
          <w:szCs w:val="24"/>
        </w:rPr>
        <w:t xml:space="preserve">basis. We therefore had to lose our whole-cohort, </w:t>
      </w:r>
      <w:r w:rsidR="00A50336">
        <w:rPr>
          <w:rFonts w:asciiTheme="majorHAnsi" w:hAnsiTheme="majorHAnsi" w:cstheme="majorHAnsi"/>
          <w:sz w:val="24"/>
          <w:szCs w:val="24"/>
        </w:rPr>
        <w:t xml:space="preserve">co-taught, </w:t>
      </w:r>
      <w:r w:rsidR="00CB7731">
        <w:rPr>
          <w:rFonts w:asciiTheme="majorHAnsi" w:hAnsiTheme="majorHAnsi" w:cstheme="majorHAnsi"/>
          <w:sz w:val="24"/>
          <w:szCs w:val="24"/>
        </w:rPr>
        <w:t xml:space="preserve">panel-style, live </w:t>
      </w:r>
      <w:proofErr w:type="gramStart"/>
      <w:r w:rsidR="00CB7731">
        <w:rPr>
          <w:rFonts w:asciiTheme="majorHAnsi" w:hAnsiTheme="majorHAnsi" w:cstheme="majorHAnsi"/>
          <w:sz w:val="24"/>
          <w:szCs w:val="24"/>
        </w:rPr>
        <w:t>discussion</w:t>
      </w:r>
      <w:proofErr w:type="gramEnd"/>
      <w:r w:rsidR="00CB7731">
        <w:rPr>
          <w:rFonts w:asciiTheme="majorHAnsi" w:hAnsiTheme="majorHAnsi" w:cstheme="majorHAnsi"/>
          <w:sz w:val="24"/>
          <w:szCs w:val="24"/>
        </w:rPr>
        <w:t xml:space="preserve"> and debate sessions, and we did not have the </w:t>
      </w:r>
      <w:r w:rsidR="00A845A5">
        <w:rPr>
          <w:rFonts w:asciiTheme="majorHAnsi" w:hAnsiTheme="majorHAnsi" w:cstheme="majorHAnsi"/>
          <w:sz w:val="24"/>
          <w:szCs w:val="24"/>
        </w:rPr>
        <w:t>resources to deliver them</w:t>
      </w:r>
      <w:r w:rsidR="00A50336">
        <w:rPr>
          <w:rFonts w:asciiTheme="majorHAnsi" w:hAnsiTheme="majorHAnsi" w:cstheme="majorHAnsi"/>
          <w:sz w:val="24"/>
          <w:szCs w:val="24"/>
        </w:rPr>
        <w:t xml:space="preserve"> across the small group seminars in the same way</w:t>
      </w:r>
      <w:r w:rsidR="004D0C82">
        <w:rPr>
          <w:rFonts w:asciiTheme="majorHAnsi" w:hAnsiTheme="majorHAnsi" w:cstheme="majorHAnsi"/>
          <w:sz w:val="24"/>
          <w:szCs w:val="24"/>
        </w:rPr>
        <w:t xml:space="preserve">. </w:t>
      </w:r>
      <w:r w:rsidR="00736531">
        <w:rPr>
          <w:rFonts w:asciiTheme="majorHAnsi" w:hAnsiTheme="majorHAnsi" w:cstheme="majorHAnsi"/>
          <w:sz w:val="24"/>
          <w:szCs w:val="24"/>
        </w:rPr>
        <w:t xml:space="preserve">This meant we had to </w:t>
      </w:r>
      <w:r w:rsidR="009429E7">
        <w:rPr>
          <w:rFonts w:asciiTheme="majorHAnsi" w:hAnsiTheme="majorHAnsi" w:cstheme="majorHAnsi"/>
          <w:sz w:val="24"/>
          <w:szCs w:val="24"/>
        </w:rPr>
        <w:t>work harder to</w:t>
      </w:r>
      <w:r w:rsidR="009F00F1">
        <w:rPr>
          <w:rFonts w:asciiTheme="majorHAnsi" w:hAnsiTheme="majorHAnsi" w:cstheme="majorHAnsi"/>
          <w:sz w:val="24"/>
          <w:szCs w:val="24"/>
        </w:rPr>
        <w:t xml:space="preserve"> avoid lapsing back into </w:t>
      </w:r>
      <w:r w:rsidR="004E1825">
        <w:rPr>
          <w:rFonts w:asciiTheme="majorHAnsi" w:hAnsiTheme="majorHAnsi" w:cstheme="majorHAnsi"/>
          <w:sz w:val="24"/>
          <w:szCs w:val="24"/>
        </w:rPr>
        <w:t xml:space="preserve">the </w:t>
      </w:r>
      <w:r w:rsidR="009F00F1">
        <w:rPr>
          <w:rFonts w:asciiTheme="majorHAnsi" w:hAnsiTheme="majorHAnsi" w:cstheme="majorHAnsi"/>
          <w:sz w:val="24"/>
          <w:szCs w:val="24"/>
        </w:rPr>
        <w:t>traditional education</w:t>
      </w:r>
      <w:r w:rsidR="004E1825">
        <w:rPr>
          <w:rFonts w:asciiTheme="majorHAnsi" w:hAnsiTheme="majorHAnsi" w:cstheme="majorHAnsi"/>
          <w:sz w:val="24"/>
          <w:szCs w:val="24"/>
        </w:rPr>
        <w:t>al approach.</w:t>
      </w:r>
      <w:r w:rsidR="009F00F1">
        <w:rPr>
          <w:rFonts w:asciiTheme="majorHAnsi" w:hAnsiTheme="majorHAnsi" w:cstheme="majorHAnsi"/>
          <w:sz w:val="24"/>
          <w:szCs w:val="24"/>
        </w:rPr>
        <w:t xml:space="preserve"> </w:t>
      </w:r>
    </w:p>
    <w:p w14:paraId="762600A6" w14:textId="7810BA44" w:rsidR="00614C52" w:rsidRPr="00614C52" w:rsidRDefault="002A3F9C" w:rsidP="00614C52">
      <w:pPr>
        <w:spacing w:line="240" w:lineRule="auto"/>
        <w:jc w:val="both"/>
        <w:rPr>
          <w:rFonts w:asciiTheme="majorHAnsi" w:hAnsiTheme="majorHAnsi" w:cstheme="majorHAnsi"/>
          <w:b/>
          <w:bCs/>
          <w:sz w:val="24"/>
          <w:szCs w:val="24"/>
        </w:rPr>
      </w:pPr>
      <w:r>
        <w:rPr>
          <w:rFonts w:asciiTheme="majorHAnsi" w:hAnsiTheme="majorHAnsi" w:cstheme="majorHAnsi"/>
          <w:b/>
          <w:bCs/>
          <w:sz w:val="24"/>
          <w:szCs w:val="24"/>
        </w:rPr>
        <w:t>2</w:t>
      </w:r>
      <w:r w:rsidR="00B37EAA">
        <w:rPr>
          <w:rFonts w:asciiTheme="majorHAnsi" w:hAnsiTheme="majorHAnsi" w:cstheme="majorHAnsi"/>
          <w:b/>
          <w:bCs/>
          <w:sz w:val="24"/>
          <w:szCs w:val="24"/>
        </w:rPr>
        <w:t xml:space="preserve">. </w:t>
      </w:r>
      <w:r w:rsidR="00614C52" w:rsidRPr="00614C52">
        <w:rPr>
          <w:rFonts w:asciiTheme="majorHAnsi" w:hAnsiTheme="majorHAnsi" w:cstheme="majorHAnsi"/>
          <w:b/>
          <w:bCs/>
          <w:sz w:val="24"/>
          <w:szCs w:val="24"/>
        </w:rPr>
        <w:t>The effect of traditional legal education on wellbeing</w:t>
      </w:r>
    </w:p>
    <w:p w14:paraId="5941F037" w14:textId="0F09EE79" w:rsidR="00FC6A4F" w:rsidRPr="00FC6A4F" w:rsidRDefault="00FC6A4F" w:rsidP="00614C52">
      <w:pPr>
        <w:spacing w:line="240" w:lineRule="auto"/>
        <w:jc w:val="both"/>
        <w:rPr>
          <w:rFonts w:asciiTheme="majorHAnsi" w:hAnsiTheme="majorHAnsi" w:cstheme="majorHAnsi"/>
          <w:i/>
          <w:iCs/>
          <w:sz w:val="24"/>
          <w:szCs w:val="24"/>
        </w:rPr>
      </w:pPr>
      <w:r w:rsidRPr="00FC6A4F">
        <w:rPr>
          <w:rFonts w:asciiTheme="majorHAnsi" w:hAnsiTheme="majorHAnsi" w:cstheme="majorHAnsi"/>
          <w:i/>
          <w:iCs/>
          <w:sz w:val="24"/>
          <w:szCs w:val="24"/>
        </w:rPr>
        <w:t>Student wellbeing</w:t>
      </w:r>
    </w:p>
    <w:p w14:paraId="1FC68D13" w14:textId="15D03B0C" w:rsidR="001B0478" w:rsidRDefault="00FE2792" w:rsidP="00614C52">
      <w:pPr>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Whether online or in situ, research suggests that </w:t>
      </w:r>
      <w:r w:rsidR="00614C52" w:rsidRPr="00614C52">
        <w:rPr>
          <w:rFonts w:asciiTheme="majorHAnsi" w:hAnsiTheme="majorHAnsi" w:cstheme="majorHAnsi"/>
          <w:sz w:val="24"/>
          <w:szCs w:val="24"/>
        </w:rPr>
        <w:t xml:space="preserve">Law students experience a particular alienation from the personal dimension of their learning experience, </w:t>
      </w:r>
      <w:r w:rsidR="00094391">
        <w:rPr>
          <w:rFonts w:asciiTheme="majorHAnsi" w:hAnsiTheme="majorHAnsi" w:cstheme="majorHAnsi"/>
          <w:sz w:val="24"/>
          <w:szCs w:val="24"/>
        </w:rPr>
        <w:t>which</w:t>
      </w:r>
      <w:r w:rsidR="00614C52" w:rsidRPr="00614C52">
        <w:rPr>
          <w:rFonts w:asciiTheme="majorHAnsi" w:hAnsiTheme="majorHAnsi" w:cstheme="majorHAnsi"/>
          <w:sz w:val="24"/>
          <w:szCs w:val="24"/>
        </w:rPr>
        <w:t xml:space="preserve"> can negatively </w:t>
      </w:r>
      <w:r w:rsidR="00614C52" w:rsidRPr="00614C52">
        <w:rPr>
          <w:rFonts w:asciiTheme="majorHAnsi" w:hAnsiTheme="majorHAnsi" w:cstheme="majorHAnsi"/>
          <w:sz w:val="24"/>
          <w:szCs w:val="24"/>
        </w:rPr>
        <w:lastRenderedPageBreak/>
        <w:t>affect their mental health. Tani and Vines</w:t>
      </w:r>
      <w:r w:rsidR="004126BA">
        <w:rPr>
          <w:rFonts w:asciiTheme="majorHAnsi" w:hAnsiTheme="majorHAnsi" w:cstheme="majorHAnsi"/>
          <w:sz w:val="24"/>
          <w:szCs w:val="24"/>
        </w:rPr>
        <w:t>’</w:t>
      </w:r>
      <w:r w:rsidR="00614C52" w:rsidRPr="00614C52">
        <w:rPr>
          <w:rFonts w:asciiTheme="majorHAnsi" w:hAnsiTheme="majorHAnsi" w:cstheme="majorHAnsi"/>
          <w:sz w:val="24"/>
          <w:szCs w:val="24"/>
        </w:rPr>
        <w:t xml:space="preserve"> comparative study</w:t>
      </w:r>
      <w:r w:rsidR="00614C52" w:rsidRPr="00614C52">
        <w:rPr>
          <w:rFonts w:asciiTheme="majorHAnsi" w:hAnsiTheme="majorHAnsi" w:cstheme="majorHAnsi"/>
          <w:sz w:val="24"/>
          <w:szCs w:val="24"/>
          <w:vertAlign w:val="superscript"/>
        </w:rPr>
        <w:footnoteReference w:id="11"/>
      </w:r>
      <w:r w:rsidR="00614C52" w:rsidRPr="00614C52">
        <w:rPr>
          <w:rFonts w:asciiTheme="majorHAnsi" w:hAnsiTheme="majorHAnsi" w:cstheme="majorHAnsi"/>
          <w:sz w:val="24"/>
          <w:szCs w:val="24"/>
        </w:rPr>
        <w:t xml:space="preserve"> of Law and Medicine students highlighted some telling differences between the cohorts</w:t>
      </w:r>
      <w:r w:rsidR="00F04598">
        <w:rPr>
          <w:rFonts w:asciiTheme="majorHAnsi" w:hAnsiTheme="majorHAnsi" w:cstheme="majorHAnsi"/>
          <w:sz w:val="24"/>
          <w:szCs w:val="24"/>
        </w:rPr>
        <w:t xml:space="preserve">, including a </w:t>
      </w:r>
      <w:r w:rsidR="00614C52" w:rsidRPr="00614C52">
        <w:rPr>
          <w:rFonts w:asciiTheme="majorHAnsi" w:hAnsiTheme="majorHAnsi" w:cstheme="majorHAnsi"/>
          <w:sz w:val="24"/>
          <w:szCs w:val="24"/>
        </w:rPr>
        <w:t xml:space="preserve">prevalence of </w:t>
      </w:r>
      <w:r w:rsidR="00BC17B7">
        <w:rPr>
          <w:rFonts w:asciiTheme="majorHAnsi" w:hAnsiTheme="majorHAnsi" w:cstheme="majorHAnsi"/>
          <w:sz w:val="24"/>
          <w:szCs w:val="24"/>
        </w:rPr>
        <w:t xml:space="preserve">certain </w:t>
      </w:r>
      <w:r w:rsidR="00614C52" w:rsidRPr="00614C52">
        <w:rPr>
          <w:rFonts w:asciiTheme="majorHAnsi" w:hAnsiTheme="majorHAnsi" w:cstheme="majorHAnsi"/>
          <w:sz w:val="24"/>
          <w:szCs w:val="24"/>
        </w:rPr>
        <w:t>characteristics</w:t>
      </w:r>
      <w:r w:rsidR="00614C52" w:rsidRPr="00614C52">
        <w:rPr>
          <w:rFonts w:asciiTheme="majorHAnsi" w:hAnsiTheme="majorHAnsi" w:cstheme="majorHAnsi"/>
          <w:sz w:val="24"/>
          <w:szCs w:val="24"/>
          <w:vertAlign w:val="superscript"/>
        </w:rPr>
        <w:footnoteReference w:id="12"/>
      </w:r>
      <w:r w:rsidR="00614C52" w:rsidRPr="00614C52">
        <w:rPr>
          <w:rFonts w:asciiTheme="majorHAnsi" w:hAnsiTheme="majorHAnsi" w:cstheme="majorHAnsi"/>
          <w:sz w:val="24"/>
          <w:szCs w:val="24"/>
        </w:rPr>
        <w:t xml:space="preserve"> amongst Law students. For example, </w:t>
      </w:r>
      <w:r w:rsidR="00EB37F3">
        <w:rPr>
          <w:rFonts w:asciiTheme="majorHAnsi" w:hAnsiTheme="majorHAnsi" w:cstheme="majorHAnsi"/>
          <w:sz w:val="24"/>
          <w:szCs w:val="24"/>
        </w:rPr>
        <w:t>m</w:t>
      </w:r>
      <w:r w:rsidR="009E26E9">
        <w:rPr>
          <w:rFonts w:asciiTheme="majorHAnsi" w:hAnsiTheme="majorHAnsi" w:cstheme="majorHAnsi"/>
          <w:sz w:val="24"/>
          <w:szCs w:val="24"/>
        </w:rPr>
        <w:t>ore</w:t>
      </w:r>
      <w:r w:rsidR="00EB37F3">
        <w:rPr>
          <w:rFonts w:asciiTheme="majorHAnsi" w:hAnsiTheme="majorHAnsi" w:cstheme="majorHAnsi"/>
          <w:sz w:val="24"/>
          <w:szCs w:val="24"/>
        </w:rPr>
        <w:t xml:space="preserve"> </w:t>
      </w:r>
      <w:r w:rsidR="002A2684">
        <w:rPr>
          <w:rFonts w:asciiTheme="majorHAnsi" w:hAnsiTheme="majorHAnsi" w:cstheme="majorHAnsi"/>
          <w:sz w:val="24"/>
          <w:szCs w:val="24"/>
        </w:rPr>
        <w:t xml:space="preserve">Law </w:t>
      </w:r>
      <w:r w:rsidR="00EB37F3">
        <w:rPr>
          <w:rFonts w:asciiTheme="majorHAnsi" w:hAnsiTheme="majorHAnsi" w:cstheme="majorHAnsi"/>
          <w:sz w:val="24"/>
          <w:szCs w:val="24"/>
        </w:rPr>
        <w:t xml:space="preserve">students are </w:t>
      </w:r>
      <w:r w:rsidR="00614C52" w:rsidRPr="00614C52">
        <w:rPr>
          <w:rFonts w:asciiTheme="majorHAnsi" w:hAnsiTheme="majorHAnsi" w:cstheme="majorHAnsi"/>
          <w:sz w:val="24"/>
          <w:szCs w:val="24"/>
        </w:rPr>
        <w:t xml:space="preserve">likely to be studying </w:t>
      </w:r>
      <w:r w:rsidR="002A2684">
        <w:rPr>
          <w:rFonts w:asciiTheme="majorHAnsi" w:hAnsiTheme="majorHAnsi" w:cstheme="majorHAnsi"/>
          <w:sz w:val="24"/>
          <w:szCs w:val="24"/>
        </w:rPr>
        <w:t>the degree</w:t>
      </w:r>
      <w:r w:rsidR="00614C52" w:rsidRPr="00614C52">
        <w:rPr>
          <w:rFonts w:asciiTheme="majorHAnsi" w:hAnsiTheme="majorHAnsi" w:cstheme="majorHAnsi"/>
          <w:sz w:val="24"/>
          <w:szCs w:val="24"/>
        </w:rPr>
        <w:t xml:space="preserve"> for external reasons, such as parental influence; </w:t>
      </w:r>
      <w:r w:rsidR="0028747F">
        <w:rPr>
          <w:rFonts w:asciiTheme="majorHAnsi" w:hAnsiTheme="majorHAnsi" w:cstheme="majorHAnsi"/>
          <w:sz w:val="24"/>
          <w:szCs w:val="24"/>
        </w:rPr>
        <w:t xml:space="preserve">they </w:t>
      </w:r>
      <w:r w:rsidR="00614C52" w:rsidRPr="00614C52">
        <w:rPr>
          <w:rFonts w:asciiTheme="majorHAnsi" w:hAnsiTheme="majorHAnsi" w:cstheme="majorHAnsi"/>
          <w:sz w:val="24"/>
          <w:szCs w:val="24"/>
        </w:rPr>
        <w:t>are less likely to find their subject intrinsically interesting; are more likely to believe that employers look at grades rather than personal or social characteristics; tend to dislike group work; are less likely to say that they are at university to learn; and are more likely to view friendships through the prism of networking and career advancement opportunities.</w:t>
      </w:r>
      <w:r w:rsidR="00BC17B7">
        <w:rPr>
          <w:rFonts w:asciiTheme="majorHAnsi" w:hAnsiTheme="majorHAnsi" w:cstheme="majorHAnsi"/>
          <w:sz w:val="24"/>
          <w:szCs w:val="24"/>
        </w:rPr>
        <w:t xml:space="preserve"> S</w:t>
      </w:r>
      <w:r w:rsidR="00614C52" w:rsidRPr="00614C52">
        <w:rPr>
          <w:rFonts w:asciiTheme="majorHAnsi" w:hAnsiTheme="majorHAnsi" w:cstheme="majorHAnsi"/>
          <w:sz w:val="24"/>
          <w:szCs w:val="24"/>
        </w:rPr>
        <w:t xml:space="preserve">uch traits </w:t>
      </w:r>
      <w:r w:rsidR="003E2892">
        <w:rPr>
          <w:rFonts w:asciiTheme="majorHAnsi" w:hAnsiTheme="majorHAnsi" w:cstheme="majorHAnsi"/>
          <w:sz w:val="24"/>
          <w:szCs w:val="24"/>
        </w:rPr>
        <w:t>‘</w:t>
      </w:r>
      <w:r w:rsidR="00614C52" w:rsidRPr="00614C52">
        <w:rPr>
          <w:rFonts w:asciiTheme="majorHAnsi" w:hAnsiTheme="majorHAnsi" w:cstheme="majorHAnsi"/>
          <w:sz w:val="24"/>
          <w:szCs w:val="24"/>
        </w:rPr>
        <w:t>may indeed have a significant impact on law students</w:t>
      </w:r>
      <w:r w:rsidR="004126BA">
        <w:rPr>
          <w:rFonts w:asciiTheme="majorHAnsi" w:hAnsiTheme="majorHAnsi" w:cstheme="majorHAnsi"/>
          <w:sz w:val="24"/>
          <w:szCs w:val="24"/>
        </w:rPr>
        <w:t>’</w:t>
      </w:r>
      <w:r w:rsidR="00614C52" w:rsidRPr="00614C52">
        <w:rPr>
          <w:rFonts w:asciiTheme="majorHAnsi" w:hAnsiTheme="majorHAnsi" w:cstheme="majorHAnsi"/>
          <w:sz w:val="24"/>
          <w:szCs w:val="24"/>
        </w:rPr>
        <w:t xml:space="preserve"> likelihood of developing depression</w:t>
      </w:r>
      <w:r w:rsidR="003E2892">
        <w:rPr>
          <w:rFonts w:asciiTheme="majorHAnsi" w:hAnsiTheme="majorHAnsi" w:cstheme="majorHAnsi"/>
          <w:sz w:val="24"/>
          <w:szCs w:val="24"/>
        </w:rPr>
        <w:t>’</w:t>
      </w:r>
      <w:r w:rsidR="00614C52" w:rsidRPr="00614C52">
        <w:rPr>
          <w:rFonts w:asciiTheme="majorHAnsi" w:hAnsiTheme="majorHAnsi" w:cstheme="majorHAnsi"/>
          <w:sz w:val="24"/>
          <w:szCs w:val="24"/>
        </w:rPr>
        <w:t xml:space="preserve">, particularly as </w:t>
      </w:r>
      <w:r w:rsidR="003E2892">
        <w:rPr>
          <w:rFonts w:asciiTheme="majorHAnsi" w:hAnsiTheme="majorHAnsi" w:cstheme="majorHAnsi"/>
          <w:sz w:val="24"/>
          <w:szCs w:val="24"/>
        </w:rPr>
        <w:t>‘</w:t>
      </w:r>
      <w:r w:rsidR="00614C52" w:rsidRPr="00614C52">
        <w:rPr>
          <w:rFonts w:asciiTheme="majorHAnsi" w:hAnsiTheme="majorHAnsi" w:cstheme="majorHAnsi"/>
          <w:sz w:val="24"/>
          <w:szCs w:val="24"/>
        </w:rPr>
        <w:t>law students may have feelings of less autonomy and less social connectedness than may be optimal for mental health</w:t>
      </w:r>
      <w:r w:rsidR="003E2892">
        <w:rPr>
          <w:rFonts w:asciiTheme="majorHAnsi" w:hAnsiTheme="majorHAnsi" w:cstheme="majorHAnsi"/>
          <w:sz w:val="24"/>
          <w:szCs w:val="24"/>
        </w:rPr>
        <w:t>’</w:t>
      </w:r>
      <w:r w:rsidR="00614C52" w:rsidRPr="00614C52">
        <w:rPr>
          <w:rFonts w:asciiTheme="majorHAnsi" w:hAnsiTheme="majorHAnsi" w:cstheme="majorHAnsi"/>
          <w:sz w:val="24"/>
          <w:szCs w:val="24"/>
        </w:rPr>
        <w:t>.</w:t>
      </w:r>
      <w:r w:rsidR="00614C52" w:rsidRPr="00614C52">
        <w:rPr>
          <w:rFonts w:asciiTheme="majorHAnsi" w:hAnsiTheme="majorHAnsi" w:cstheme="majorHAnsi"/>
          <w:sz w:val="24"/>
          <w:szCs w:val="24"/>
          <w:vertAlign w:val="superscript"/>
        </w:rPr>
        <w:footnoteReference w:id="13"/>
      </w:r>
      <w:r w:rsidR="00614C52" w:rsidRPr="00614C52">
        <w:rPr>
          <w:rFonts w:asciiTheme="majorHAnsi" w:hAnsiTheme="majorHAnsi" w:cstheme="majorHAnsi"/>
          <w:sz w:val="24"/>
          <w:szCs w:val="24"/>
        </w:rPr>
        <w:t xml:space="preserve"> Moreover, the competitive nature of Law students is a likely </w:t>
      </w:r>
      <w:r w:rsidR="0086515F">
        <w:rPr>
          <w:rFonts w:asciiTheme="majorHAnsi" w:hAnsiTheme="majorHAnsi" w:cstheme="majorHAnsi"/>
          <w:sz w:val="24"/>
          <w:szCs w:val="24"/>
        </w:rPr>
        <w:t>indication of</w:t>
      </w:r>
      <w:r w:rsidR="00614C52" w:rsidRPr="00614C52">
        <w:rPr>
          <w:rFonts w:asciiTheme="majorHAnsi" w:hAnsiTheme="majorHAnsi" w:cstheme="majorHAnsi"/>
          <w:sz w:val="24"/>
          <w:szCs w:val="24"/>
        </w:rPr>
        <w:t xml:space="preserve"> reduced personal autonomy, </w:t>
      </w:r>
      <w:r w:rsidR="0086515F">
        <w:rPr>
          <w:rFonts w:asciiTheme="majorHAnsi" w:hAnsiTheme="majorHAnsi" w:cstheme="majorHAnsi"/>
          <w:sz w:val="24"/>
          <w:szCs w:val="24"/>
        </w:rPr>
        <w:t>as</w:t>
      </w:r>
      <w:r w:rsidR="00614C52" w:rsidRPr="00614C52">
        <w:rPr>
          <w:rFonts w:asciiTheme="majorHAnsi" w:hAnsiTheme="majorHAnsi" w:cstheme="majorHAnsi"/>
          <w:sz w:val="24"/>
          <w:szCs w:val="24"/>
        </w:rPr>
        <w:t xml:space="preserve"> it </w:t>
      </w:r>
      <w:r w:rsidR="0086515F">
        <w:rPr>
          <w:rFonts w:asciiTheme="majorHAnsi" w:hAnsiTheme="majorHAnsi" w:cstheme="majorHAnsi"/>
          <w:sz w:val="24"/>
          <w:szCs w:val="24"/>
        </w:rPr>
        <w:t>suggests</w:t>
      </w:r>
      <w:r w:rsidR="00614C52" w:rsidRPr="00614C52">
        <w:rPr>
          <w:rFonts w:asciiTheme="majorHAnsi" w:hAnsiTheme="majorHAnsi" w:cstheme="majorHAnsi"/>
          <w:sz w:val="24"/>
          <w:szCs w:val="24"/>
        </w:rPr>
        <w:t xml:space="preserve"> a dependence on external measures for self-evaluation and self-esteem.</w:t>
      </w:r>
      <w:r w:rsidR="00614C52" w:rsidRPr="00614C52">
        <w:rPr>
          <w:rFonts w:asciiTheme="majorHAnsi" w:hAnsiTheme="majorHAnsi" w:cstheme="majorHAnsi"/>
          <w:sz w:val="24"/>
          <w:szCs w:val="24"/>
          <w:vertAlign w:val="superscript"/>
        </w:rPr>
        <w:footnoteReference w:id="14"/>
      </w:r>
      <w:r w:rsidR="00614C52" w:rsidRPr="00614C52">
        <w:rPr>
          <w:rFonts w:asciiTheme="majorHAnsi" w:hAnsiTheme="majorHAnsi" w:cstheme="majorHAnsi"/>
          <w:sz w:val="24"/>
          <w:szCs w:val="24"/>
        </w:rPr>
        <w:t xml:space="preserve"> </w:t>
      </w:r>
    </w:p>
    <w:p w14:paraId="62133021" w14:textId="3557A0FE" w:rsidR="00FC6A4F" w:rsidRDefault="00135988" w:rsidP="006B3F52">
      <w:pPr>
        <w:spacing w:line="240" w:lineRule="auto"/>
        <w:jc w:val="both"/>
        <w:rPr>
          <w:rFonts w:asciiTheme="majorHAnsi" w:hAnsiTheme="majorHAnsi" w:cstheme="majorHAnsi"/>
          <w:sz w:val="24"/>
          <w:szCs w:val="24"/>
        </w:rPr>
      </w:pPr>
      <w:r>
        <w:rPr>
          <w:rFonts w:asciiTheme="majorHAnsi" w:hAnsiTheme="majorHAnsi" w:cstheme="majorHAnsi"/>
          <w:sz w:val="24"/>
          <w:szCs w:val="24"/>
        </w:rPr>
        <w:t>It is therefore important to foster a</w:t>
      </w:r>
      <w:r w:rsidR="006B3F52">
        <w:rPr>
          <w:rFonts w:asciiTheme="majorHAnsi" w:hAnsiTheme="majorHAnsi" w:cstheme="majorHAnsi"/>
          <w:sz w:val="24"/>
          <w:szCs w:val="24"/>
        </w:rPr>
        <w:t xml:space="preserve"> positive academic identity, and a sense of community belonging, </w:t>
      </w:r>
      <w:r w:rsidR="001A4221">
        <w:rPr>
          <w:rFonts w:asciiTheme="majorHAnsi" w:hAnsiTheme="majorHAnsi" w:cstheme="majorHAnsi"/>
          <w:sz w:val="24"/>
          <w:szCs w:val="24"/>
        </w:rPr>
        <w:t>to ameliorate these tendencies.</w:t>
      </w:r>
      <w:r w:rsidR="006B3F52">
        <w:rPr>
          <w:rFonts w:asciiTheme="majorHAnsi" w:hAnsiTheme="majorHAnsi" w:cstheme="majorHAnsi"/>
          <w:sz w:val="24"/>
          <w:szCs w:val="24"/>
        </w:rPr>
        <w:t xml:space="preserve"> </w:t>
      </w:r>
      <w:r w:rsidR="006B3F52" w:rsidRPr="002A7F40">
        <w:rPr>
          <w:rFonts w:asciiTheme="majorHAnsi" w:hAnsiTheme="majorHAnsi" w:cstheme="majorHAnsi"/>
          <w:sz w:val="24"/>
          <w:szCs w:val="24"/>
        </w:rPr>
        <w:t>Students</w:t>
      </w:r>
      <w:r w:rsidR="006B3F52">
        <w:rPr>
          <w:rFonts w:asciiTheme="majorHAnsi" w:hAnsiTheme="majorHAnsi" w:cstheme="majorHAnsi"/>
          <w:sz w:val="24"/>
          <w:szCs w:val="24"/>
        </w:rPr>
        <w:t>’</w:t>
      </w:r>
      <w:r w:rsidR="006B3F52" w:rsidRPr="002A7F40">
        <w:rPr>
          <w:rFonts w:asciiTheme="majorHAnsi" w:hAnsiTheme="majorHAnsi" w:cstheme="majorHAnsi"/>
          <w:sz w:val="24"/>
          <w:szCs w:val="24"/>
        </w:rPr>
        <w:t xml:space="preserve"> capacity to develop a strong academic identity is closely related to their social identity</w:t>
      </w:r>
      <w:r w:rsidR="006B3F52">
        <w:rPr>
          <w:rFonts w:asciiTheme="majorHAnsi" w:hAnsiTheme="majorHAnsi" w:cstheme="majorHAnsi"/>
          <w:sz w:val="24"/>
          <w:szCs w:val="24"/>
        </w:rPr>
        <w:t xml:space="preserve">; to their </w:t>
      </w:r>
      <w:r w:rsidR="006B3F52" w:rsidRPr="002A7F40">
        <w:rPr>
          <w:rFonts w:asciiTheme="majorHAnsi" w:hAnsiTheme="majorHAnsi" w:cstheme="majorHAnsi"/>
          <w:sz w:val="24"/>
          <w:szCs w:val="24"/>
        </w:rPr>
        <w:t>concept of self</w:t>
      </w:r>
      <w:r w:rsidR="006B3F52">
        <w:rPr>
          <w:rFonts w:asciiTheme="majorHAnsi" w:hAnsiTheme="majorHAnsi" w:cstheme="majorHAnsi"/>
          <w:sz w:val="24"/>
          <w:szCs w:val="24"/>
        </w:rPr>
        <w:t>,</w:t>
      </w:r>
      <w:r w:rsidR="006B3F52" w:rsidRPr="002A7F40">
        <w:rPr>
          <w:rFonts w:asciiTheme="majorHAnsi" w:hAnsiTheme="majorHAnsi" w:cstheme="majorHAnsi"/>
          <w:sz w:val="24"/>
          <w:szCs w:val="24"/>
        </w:rPr>
        <w:t xml:space="preserve"> </w:t>
      </w:r>
      <w:r w:rsidR="006B3F52">
        <w:rPr>
          <w:rFonts w:asciiTheme="majorHAnsi" w:hAnsiTheme="majorHAnsi" w:cstheme="majorHAnsi"/>
          <w:sz w:val="24"/>
          <w:szCs w:val="24"/>
        </w:rPr>
        <w:t>arising</w:t>
      </w:r>
      <w:r w:rsidR="006B3F52" w:rsidRPr="002A7F40">
        <w:rPr>
          <w:rFonts w:asciiTheme="majorHAnsi" w:hAnsiTheme="majorHAnsi" w:cstheme="majorHAnsi"/>
          <w:sz w:val="24"/>
          <w:szCs w:val="24"/>
        </w:rPr>
        <w:t xml:space="preserve"> from their membership of</w:t>
      </w:r>
      <w:r w:rsidR="00AF4CBB">
        <w:rPr>
          <w:rFonts w:asciiTheme="majorHAnsi" w:hAnsiTheme="majorHAnsi" w:cstheme="majorHAnsi"/>
          <w:sz w:val="24"/>
          <w:szCs w:val="24"/>
        </w:rPr>
        <w:t xml:space="preserve"> – and sense of belonging to – a </w:t>
      </w:r>
      <w:r w:rsidR="006B3F52" w:rsidRPr="002A7F40">
        <w:rPr>
          <w:rFonts w:asciiTheme="majorHAnsi" w:hAnsiTheme="majorHAnsi" w:cstheme="majorHAnsi"/>
          <w:sz w:val="24"/>
          <w:szCs w:val="24"/>
        </w:rPr>
        <w:t>social group. People with stronger social identities are less likely to blame negative life events on internal causes such as personal shortcomings</w:t>
      </w:r>
      <w:r w:rsidR="00191295">
        <w:rPr>
          <w:rFonts w:asciiTheme="majorHAnsi" w:hAnsiTheme="majorHAnsi" w:cstheme="majorHAnsi"/>
          <w:sz w:val="24"/>
          <w:szCs w:val="24"/>
        </w:rPr>
        <w:t>;</w:t>
      </w:r>
      <w:r w:rsidR="006B3F52" w:rsidRPr="007C2D77">
        <w:rPr>
          <w:rStyle w:val="FootnoteReference"/>
          <w:rFonts w:asciiTheme="majorHAnsi" w:hAnsiTheme="majorHAnsi" w:cstheme="majorHAnsi"/>
          <w:sz w:val="24"/>
          <w:szCs w:val="24"/>
        </w:rPr>
        <w:footnoteReference w:id="15"/>
      </w:r>
      <w:r w:rsidR="006B3F52" w:rsidRPr="002A7F40">
        <w:rPr>
          <w:rFonts w:asciiTheme="majorHAnsi" w:hAnsiTheme="majorHAnsi" w:cstheme="majorHAnsi"/>
          <w:sz w:val="24"/>
          <w:szCs w:val="24"/>
        </w:rPr>
        <w:t xml:space="preserve"> </w:t>
      </w:r>
      <w:r w:rsidR="00191295">
        <w:rPr>
          <w:rFonts w:asciiTheme="majorHAnsi" w:hAnsiTheme="majorHAnsi" w:cstheme="majorHAnsi"/>
          <w:sz w:val="24"/>
          <w:szCs w:val="24"/>
        </w:rPr>
        <w:t>f</w:t>
      </w:r>
      <w:r w:rsidR="006B3F52" w:rsidRPr="002A7F40">
        <w:rPr>
          <w:rFonts w:asciiTheme="majorHAnsi" w:hAnsiTheme="majorHAnsi" w:cstheme="majorHAnsi"/>
          <w:sz w:val="24"/>
          <w:szCs w:val="24"/>
        </w:rPr>
        <w:t>urthermore, social connectedness may enhance individual motivation</w:t>
      </w:r>
      <w:r w:rsidR="006B3F52">
        <w:rPr>
          <w:rFonts w:asciiTheme="majorHAnsi" w:hAnsiTheme="majorHAnsi" w:cstheme="majorHAnsi"/>
          <w:sz w:val="24"/>
          <w:szCs w:val="24"/>
        </w:rPr>
        <w:t>.</w:t>
      </w:r>
      <w:r w:rsidR="006B3F52" w:rsidRPr="007C2D77">
        <w:rPr>
          <w:rStyle w:val="FootnoteReference"/>
          <w:rFonts w:asciiTheme="majorHAnsi" w:hAnsiTheme="majorHAnsi" w:cstheme="majorHAnsi"/>
          <w:sz w:val="24"/>
          <w:szCs w:val="24"/>
        </w:rPr>
        <w:footnoteReference w:id="16"/>
      </w:r>
      <w:r w:rsidR="006B3F52" w:rsidRPr="002A7F40">
        <w:rPr>
          <w:rFonts w:asciiTheme="majorHAnsi" w:hAnsiTheme="majorHAnsi" w:cstheme="majorHAnsi"/>
          <w:sz w:val="24"/>
          <w:szCs w:val="24"/>
        </w:rPr>
        <w:t xml:space="preserve"> </w:t>
      </w:r>
      <w:r w:rsidR="006B3F52">
        <w:rPr>
          <w:rFonts w:asciiTheme="majorHAnsi" w:hAnsiTheme="majorHAnsi" w:cstheme="majorHAnsi"/>
          <w:sz w:val="24"/>
          <w:szCs w:val="24"/>
        </w:rPr>
        <w:t>Lack of social connectedness is the ‘strongest predictor of all adjustment outcomes</w:t>
      </w:r>
      <w:r w:rsidR="00980411">
        <w:rPr>
          <w:rFonts w:asciiTheme="majorHAnsi" w:hAnsiTheme="majorHAnsi" w:cstheme="majorHAnsi"/>
          <w:sz w:val="24"/>
          <w:szCs w:val="24"/>
        </w:rPr>
        <w:t>’</w:t>
      </w:r>
      <w:r w:rsidR="006B3F52">
        <w:rPr>
          <w:rFonts w:asciiTheme="majorHAnsi" w:hAnsiTheme="majorHAnsi" w:cstheme="majorHAnsi"/>
          <w:sz w:val="24"/>
          <w:szCs w:val="24"/>
        </w:rPr>
        <w:t xml:space="preserve"> and a key risk factor in depression</w:t>
      </w:r>
      <w:r w:rsidR="00BA01B7">
        <w:rPr>
          <w:rFonts w:asciiTheme="majorHAnsi" w:hAnsiTheme="majorHAnsi" w:cstheme="majorHAnsi"/>
          <w:sz w:val="24"/>
          <w:szCs w:val="24"/>
        </w:rPr>
        <w:t>,</w:t>
      </w:r>
      <w:r w:rsidR="006B3F52">
        <w:rPr>
          <w:rStyle w:val="FootnoteReference"/>
          <w:rFonts w:asciiTheme="majorHAnsi" w:hAnsiTheme="majorHAnsi" w:cstheme="majorHAnsi"/>
          <w:sz w:val="24"/>
          <w:szCs w:val="24"/>
        </w:rPr>
        <w:footnoteReference w:id="17"/>
      </w:r>
      <w:r w:rsidR="006B3F52">
        <w:rPr>
          <w:rFonts w:asciiTheme="majorHAnsi" w:hAnsiTheme="majorHAnsi" w:cstheme="majorHAnsi"/>
          <w:sz w:val="24"/>
          <w:szCs w:val="24"/>
        </w:rPr>
        <w:t xml:space="preserve"> </w:t>
      </w:r>
      <w:r w:rsidR="00BA01B7">
        <w:rPr>
          <w:rFonts w:asciiTheme="majorHAnsi" w:hAnsiTheme="majorHAnsi" w:cstheme="majorHAnsi"/>
          <w:sz w:val="24"/>
          <w:szCs w:val="24"/>
        </w:rPr>
        <w:t>and such p</w:t>
      </w:r>
      <w:r w:rsidR="006B3F52">
        <w:rPr>
          <w:rFonts w:asciiTheme="majorHAnsi" w:hAnsiTheme="majorHAnsi" w:cstheme="majorHAnsi"/>
          <w:sz w:val="24"/>
          <w:szCs w:val="24"/>
        </w:rPr>
        <w:t>sychological issues can inhibit learning and promote disengagement.</w:t>
      </w:r>
      <w:r w:rsidR="006B3F52">
        <w:rPr>
          <w:rStyle w:val="FootnoteReference"/>
          <w:rFonts w:asciiTheme="majorHAnsi" w:hAnsiTheme="majorHAnsi" w:cstheme="majorHAnsi"/>
          <w:sz w:val="24"/>
          <w:szCs w:val="24"/>
        </w:rPr>
        <w:footnoteReference w:id="18"/>
      </w:r>
      <w:r w:rsidR="00C02C26">
        <w:rPr>
          <w:rFonts w:asciiTheme="majorHAnsi" w:hAnsiTheme="majorHAnsi" w:cstheme="majorHAnsi"/>
          <w:sz w:val="24"/>
          <w:szCs w:val="24"/>
        </w:rPr>
        <w:t xml:space="preserve"> </w:t>
      </w:r>
      <w:r w:rsidR="00BE1242">
        <w:rPr>
          <w:rFonts w:asciiTheme="majorHAnsi" w:hAnsiTheme="majorHAnsi" w:cstheme="majorHAnsi"/>
          <w:sz w:val="24"/>
          <w:szCs w:val="24"/>
        </w:rPr>
        <w:t>Unfortunately,</w:t>
      </w:r>
      <w:r w:rsidR="00BE1242" w:rsidRPr="00614C52">
        <w:rPr>
          <w:rFonts w:asciiTheme="majorHAnsi" w:hAnsiTheme="majorHAnsi" w:cstheme="majorHAnsi"/>
          <w:sz w:val="24"/>
          <w:szCs w:val="24"/>
        </w:rPr>
        <w:t xml:space="preserve"> Law students experience barriers to recognising and seeking support for </w:t>
      </w:r>
      <w:r w:rsidR="00163D73">
        <w:rPr>
          <w:rFonts w:asciiTheme="majorHAnsi" w:hAnsiTheme="majorHAnsi" w:cstheme="majorHAnsi"/>
          <w:sz w:val="24"/>
          <w:szCs w:val="24"/>
        </w:rPr>
        <w:t>their wellbeing</w:t>
      </w:r>
      <w:r w:rsidR="00BE1242">
        <w:rPr>
          <w:rFonts w:asciiTheme="majorHAnsi" w:hAnsiTheme="majorHAnsi" w:cstheme="majorHAnsi"/>
          <w:sz w:val="24"/>
          <w:szCs w:val="24"/>
        </w:rPr>
        <w:t>, whether professionally or from their social networks.</w:t>
      </w:r>
      <w:r w:rsidR="00BE1242">
        <w:rPr>
          <w:rStyle w:val="FootnoteReference"/>
          <w:rFonts w:asciiTheme="majorHAnsi" w:hAnsiTheme="majorHAnsi" w:cstheme="majorHAnsi"/>
          <w:sz w:val="24"/>
          <w:szCs w:val="24"/>
        </w:rPr>
        <w:footnoteReference w:id="19"/>
      </w:r>
      <w:r w:rsidR="00BE1242">
        <w:rPr>
          <w:rFonts w:asciiTheme="majorHAnsi" w:hAnsiTheme="majorHAnsi" w:cstheme="majorHAnsi"/>
          <w:sz w:val="24"/>
          <w:szCs w:val="24"/>
        </w:rPr>
        <w:t xml:space="preserve"> </w:t>
      </w:r>
      <w:r w:rsidR="00BE1242" w:rsidRPr="00B37DAC">
        <w:rPr>
          <w:rFonts w:asciiTheme="majorHAnsi" w:hAnsiTheme="majorHAnsi" w:cstheme="majorHAnsi"/>
          <w:sz w:val="24"/>
          <w:szCs w:val="24"/>
        </w:rPr>
        <w:t>Young people</w:t>
      </w:r>
      <w:r w:rsidR="0087738B">
        <w:rPr>
          <w:rFonts w:asciiTheme="majorHAnsi" w:hAnsiTheme="majorHAnsi" w:cstheme="majorHAnsi"/>
          <w:sz w:val="24"/>
          <w:szCs w:val="24"/>
        </w:rPr>
        <w:t xml:space="preserve"> in general </w:t>
      </w:r>
      <w:r w:rsidR="00BE1242" w:rsidRPr="00B37DAC">
        <w:rPr>
          <w:rFonts w:asciiTheme="majorHAnsi" w:hAnsiTheme="majorHAnsi" w:cstheme="majorHAnsi"/>
          <w:sz w:val="24"/>
          <w:szCs w:val="24"/>
        </w:rPr>
        <w:t>are less likely to feel they have someone to rely on or a sense of belonging in their neighbourhood</w:t>
      </w:r>
      <w:r w:rsidR="00BE1477">
        <w:rPr>
          <w:rFonts w:asciiTheme="majorHAnsi" w:hAnsiTheme="majorHAnsi" w:cstheme="majorHAnsi"/>
          <w:sz w:val="24"/>
          <w:szCs w:val="24"/>
        </w:rPr>
        <w:t>,</w:t>
      </w:r>
      <w:r w:rsidR="00BE1242" w:rsidRPr="00B37DAC">
        <w:rPr>
          <w:rFonts w:asciiTheme="majorHAnsi" w:hAnsiTheme="majorHAnsi" w:cstheme="majorHAnsi"/>
          <w:sz w:val="24"/>
          <w:szCs w:val="24"/>
          <w:vertAlign w:val="superscript"/>
        </w:rPr>
        <w:footnoteReference w:id="20"/>
      </w:r>
      <w:r w:rsidR="00BE1242" w:rsidRPr="00B37DAC">
        <w:rPr>
          <w:rFonts w:asciiTheme="majorHAnsi" w:hAnsiTheme="majorHAnsi" w:cstheme="majorHAnsi"/>
          <w:sz w:val="24"/>
          <w:szCs w:val="24"/>
        </w:rPr>
        <w:t xml:space="preserve"> </w:t>
      </w:r>
      <w:r w:rsidR="00BE1477">
        <w:rPr>
          <w:rFonts w:asciiTheme="majorHAnsi" w:hAnsiTheme="majorHAnsi" w:cstheme="majorHAnsi"/>
          <w:sz w:val="24"/>
          <w:szCs w:val="24"/>
        </w:rPr>
        <w:t>y</w:t>
      </w:r>
      <w:r w:rsidR="0034555B">
        <w:rPr>
          <w:rFonts w:asciiTheme="majorHAnsi" w:hAnsiTheme="majorHAnsi" w:cstheme="majorHAnsi"/>
          <w:sz w:val="24"/>
          <w:szCs w:val="24"/>
        </w:rPr>
        <w:t>et g</w:t>
      </w:r>
      <w:r w:rsidR="00BE1242" w:rsidRPr="00873805">
        <w:rPr>
          <w:rFonts w:asciiTheme="majorHAnsi" w:hAnsiTheme="majorHAnsi" w:cstheme="majorHAnsi"/>
          <w:sz w:val="24"/>
          <w:szCs w:val="24"/>
        </w:rPr>
        <w:t xml:space="preserve">ood social networks and peer relationships </w:t>
      </w:r>
      <w:r w:rsidR="00E52ABA">
        <w:rPr>
          <w:rFonts w:asciiTheme="majorHAnsi" w:hAnsiTheme="majorHAnsi" w:cstheme="majorHAnsi"/>
          <w:sz w:val="24"/>
          <w:szCs w:val="24"/>
        </w:rPr>
        <w:t xml:space="preserve">clearly </w:t>
      </w:r>
      <w:r w:rsidR="00BE1242" w:rsidRPr="00873805">
        <w:rPr>
          <w:rFonts w:asciiTheme="majorHAnsi" w:hAnsiTheme="majorHAnsi" w:cstheme="majorHAnsi"/>
          <w:sz w:val="24"/>
          <w:szCs w:val="24"/>
        </w:rPr>
        <w:t>have a protective influence against mental health difficulties</w:t>
      </w:r>
      <w:r w:rsidR="00BE1477">
        <w:rPr>
          <w:rFonts w:asciiTheme="majorHAnsi" w:hAnsiTheme="majorHAnsi" w:cstheme="majorHAnsi"/>
          <w:sz w:val="24"/>
          <w:szCs w:val="24"/>
        </w:rPr>
        <w:t>.</w:t>
      </w:r>
      <w:r w:rsidR="00BE1242" w:rsidRPr="00B37DAC">
        <w:rPr>
          <w:rFonts w:asciiTheme="majorHAnsi" w:hAnsiTheme="majorHAnsi" w:cstheme="majorHAnsi"/>
          <w:sz w:val="24"/>
          <w:szCs w:val="24"/>
          <w:vertAlign w:val="superscript"/>
        </w:rPr>
        <w:footnoteReference w:id="21"/>
      </w:r>
      <w:r w:rsidR="0034555B">
        <w:rPr>
          <w:rFonts w:asciiTheme="majorHAnsi" w:hAnsiTheme="majorHAnsi" w:cstheme="majorHAnsi"/>
          <w:sz w:val="24"/>
          <w:szCs w:val="24"/>
        </w:rPr>
        <w:t xml:space="preserve"> </w:t>
      </w:r>
      <w:r w:rsidR="00521552">
        <w:rPr>
          <w:rFonts w:asciiTheme="majorHAnsi" w:hAnsiTheme="majorHAnsi" w:cstheme="majorHAnsi"/>
          <w:sz w:val="24"/>
          <w:szCs w:val="24"/>
        </w:rPr>
        <w:t>I</w:t>
      </w:r>
      <w:r w:rsidR="00BE1242" w:rsidRPr="00B37DAC">
        <w:rPr>
          <w:rFonts w:asciiTheme="majorHAnsi" w:hAnsiTheme="majorHAnsi" w:cstheme="majorHAnsi"/>
          <w:sz w:val="24"/>
          <w:szCs w:val="24"/>
        </w:rPr>
        <w:t xml:space="preserve">t is important to recognise that mental </w:t>
      </w:r>
      <w:r w:rsidR="00BE1242" w:rsidRPr="00B37DAC">
        <w:rPr>
          <w:rFonts w:asciiTheme="majorHAnsi" w:hAnsiTheme="majorHAnsi" w:cstheme="majorHAnsi"/>
          <w:sz w:val="24"/>
          <w:szCs w:val="24"/>
        </w:rPr>
        <w:lastRenderedPageBreak/>
        <w:t>health is not simply a problem for individuals</w:t>
      </w:r>
      <w:r w:rsidR="009935DC">
        <w:rPr>
          <w:rFonts w:asciiTheme="majorHAnsi" w:hAnsiTheme="majorHAnsi" w:cstheme="majorHAnsi"/>
          <w:sz w:val="24"/>
          <w:szCs w:val="24"/>
        </w:rPr>
        <w:t>,</w:t>
      </w:r>
      <w:r w:rsidR="00521552" w:rsidRPr="00B37DAC">
        <w:rPr>
          <w:rFonts w:asciiTheme="majorHAnsi" w:hAnsiTheme="majorHAnsi" w:cstheme="majorHAnsi"/>
          <w:sz w:val="24"/>
          <w:szCs w:val="24"/>
          <w:vertAlign w:val="superscript"/>
        </w:rPr>
        <w:footnoteReference w:id="22"/>
      </w:r>
      <w:r w:rsidR="009935DC">
        <w:rPr>
          <w:rFonts w:asciiTheme="majorHAnsi" w:hAnsiTheme="majorHAnsi" w:cstheme="majorHAnsi"/>
          <w:sz w:val="24"/>
          <w:szCs w:val="24"/>
        </w:rPr>
        <w:t xml:space="preserve"> but rather </w:t>
      </w:r>
      <w:r w:rsidR="00BE1242" w:rsidRPr="00B37DAC">
        <w:rPr>
          <w:rFonts w:asciiTheme="majorHAnsi" w:hAnsiTheme="majorHAnsi" w:cstheme="majorHAnsi"/>
          <w:sz w:val="24"/>
          <w:szCs w:val="24"/>
        </w:rPr>
        <w:t>a problem for communities –including Law schools.</w:t>
      </w:r>
      <w:r w:rsidR="00BE1242">
        <w:rPr>
          <w:rFonts w:asciiTheme="majorHAnsi" w:hAnsiTheme="majorHAnsi" w:cstheme="majorHAnsi"/>
          <w:sz w:val="24"/>
          <w:szCs w:val="24"/>
        </w:rPr>
        <w:t xml:space="preserve"> </w:t>
      </w:r>
    </w:p>
    <w:p w14:paraId="3FD5F957" w14:textId="40FBEB14" w:rsidR="00217C6C" w:rsidRDefault="00CC35BF" w:rsidP="006B3F52">
      <w:pPr>
        <w:spacing w:line="240" w:lineRule="auto"/>
        <w:jc w:val="both"/>
        <w:rPr>
          <w:rFonts w:asciiTheme="majorHAnsi" w:hAnsiTheme="majorHAnsi" w:cstheme="majorHAnsi"/>
          <w:sz w:val="24"/>
          <w:szCs w:val="24"/>
        </w:rPr>
      </w:pPr>
      <w:r>
        <w:rPr>
          <w:rFonts w:asciiTheme="majorHAnsi" w:hAnsiTheme="majorHAnsi" w:cstheme="majorHAnsi"/>
          <w:sz w:val="24"/>
          <w:szCs w:val="24"/>
        </w:rPr>
        <w:t>The Law School during the Covid pandemic was, of course, a very different place.</w:t>
      </w:r>
      <w:r w:rsidR="00A91C5E">
        <w:rPr>
          <w:rFonts w:asciiTheme="majorHAnsi" w:hAnsiTheme="majorHAnsi" w:cstheme="majorHAnsi"/>
          <w:sz w:val="24"/>
          <w:szCs w:val="24"/>
        </w:rPr>
        <w:t xml:space="preserve"> W</w:t>
      </w:r>
      <w:r w:rsidR="006F7662">
        <w:rPr>
          <w:rFonts w:asciiTheme="majorHAnsi" w:hAnsiTheme="majorHAnsi" w:cstheme="majorHAnsi"/>
          <w:sz w:val="24"/>
          <w:szCs w:val="24"/>
        </w:rPr>
        <w:t xml:space="preserve">hile we were keen to move away from </w:t>
      </w:r>
      <w:r w:rsidR="00844FFC">
        <w:rPr>
          <w:rFonts w:asciiTheme="majorHAnsi" w:hAnsiTheme="majorHAnsi" w:cstheme="majorHAnsi"/>
          <w:sz w:val="24"/>
          <w:szCs w:val="24"/>
        </w:rPr>
        <w:t xml:space="preserve">some of </w:t>
      </w:r>
      <w:r w:rsidR="006F7662">
        <w:rPr>
          <w:rFonts w:asciiTheme="majorHAnsi" w:hAnsiTheme="majorHAnsi" w:cstheme="majorHAnsi"/>
          <w:sz w:val="24"/>
          <w:szCs w:val="24"/>
        </w:rPr>
        <w:t xml:space="preserve">the </w:t>
      </w:r>
      <w:r w:rsidR="006F7662" w:rsidRPr="00844FFC">
        <w:rPr>
          <w:rFonts w:asciiTheme="majorHAnsi" w:hAnsiTheme="majorHAnsi" w:cstheme="majorHAnsi"/>
          <w:i/>
          <w:iCs/>
          <w:sz w:val="24"/>
          <w:szCs w:val="24"/>
        </w:rPr>
        <w:t>content</w:t>
      </w:r>
      <w:r w:rsidR="006F7662">
        <w:rPr>
          <w:rFonts w:asciiTheme="majorHAnsi" w:hAnsiTheme="majorHAnsi" w:cstheme="majorHAnsi"/>
          <w:sz w:val="24"/>
          <w:szCs w:val="24"/>
        </w:rPr>
        <w:t xml:space="preserve"> of traditional legal education, we had not foreseen the </w:t>
      </w:r>
      <w:r w:rsidR="00844FFC">
        <w:rPr>
          <w:rFonts w:asciiTheme="majorHAnsi" w:hAnsiTheme="majorHAnsi" w:cstheme="majorHAnsi"/>
          <w:sz w:val="24"/>
          <w:szCs w:val="24"/>
        </w:rPr>
        <w:t xml:space="preserve">move away from traditional </w:t>
      </w:r>
      <w:r w:rsidR="00844FFC" w:rsidRPr="00844FFC">
        <w:rPr>
          <w:rFonts w:asciiTheme="majorHAnsi" w:hAnsiTheme="majorHAnsi" w:cstheme="majorHAnsi"/>
          <w:i/>
          <w:iCs/>
          <w:sz w:val="24"/>
          <w:szCs w:val="24"/>
        </w:rPr>
        <w:t>delivery</w:t>
      </w:r>
      <w:r w:rsidR="00844FFC">
        <w:rPr>
          <w:rFonts w:asciiTheme="majorHAnsi" w:hAnsiTheme="majorHAnsi" w:cstheme="majorHAnsi"/>
          <w:sz w:val="24"/>
          <w:szCs w:val="24"/>
        </w:rPr>
        <w:t xml:space="preserve"> of legal education that happened in 2020-21.</w:t>
      </w:r>
      <w:r>
        <w:rPr>
          <w:rFonts w:asciiTheme="majorHAnsi" w:hAnsiTheme="majorHAnsi" w:cstheme="majorHAnsi"/>
          <w:sz w:val="24"/>
          <w:szCs w:val="24"/>
        </w:rPr>
        <w:t xml:space="preserve"> The </w:t>
      </w:r>
      <w:r w:rsidR="00121576">
        <w:rPr>
          <w:rFonts w:asciiTheme="majorHAnsi" w:hAnsiTheme="majorHAnsi" w:cstheme="majorHAnsi"/>
          <w:sz w:val="24"/>
          <w:szCs w:val="24"/>
        </w:rPr>
        <w:t>online piv</w:t>
      </w:r>
      <w:r w:rsidR="00217C6C">
        <w:rPr>
          <w:rFonts w:asciiTheme="majorHAnsi" w:hAnsiTheme="majorHAnsi" w:cstheme="majorHAnsi"/>
          <w:sz w:val="24"/>
          <w:szCs w:val="24"/>
        </w:rPr>
        <w:t>ot</w:t>
      </w:r>
      <w:r w:rsidR="00121576">
        <w:rPr>
          <w:rFonts w:asciiTheme="majorHAnsi" w:hAnsiTheme="majorHAnsi" w:cstheme="majorHAnsi"/>
          <w:sz w:val="24"/>
          <w:szCs w:val="24"/>
        </w:rPr>
        <w:t xml:space="preserve"> meant that there was no “community” in the traditional, physical sense</w:t>
      </w:r>
      <w:r w:rsidR="00217C6C">
        <w:rPr>
          <w:rFonts w:asciiTheme="majorHAnsi" w:hAnsiTheme="majorHAnsi" w:cstheme="majorHAnsi"/>
          <w:sz w:val="24"/>
          <w:szCs w:val="24"/>
        </w:rPr>
        <w:t xml:space="preserve">. </w:t>
      </w:r>
      <w:r w:rsidR="00441AB7">
        <w:rPr>
          <w:rFonts w:asciiTheme="majorHAnsi" w:hAnsiTheme="majorHAnsi" w:cstheme="majorHAnsi"/>
          <w:sz w:val="24"/>
          <w:szCs w:val="24"/>
        </w:rPr>
        <w:t xml:space="preserve">Moreover, both students and staff were coping with a </w:t>
      </w:r>
      <w:r w:rsidR="00FB2328">
        <w:rPr>
          <w:rFonts w:asciiTheme="majorHAnsi" w:hAnsiTheme="majorHAnsi" w:cstheme="majorHAnsi"/>
          <w:sz w:val="24"/>
          <w:szCs w:val="24"/>
        </w:rPr>
        <w:t xml:space="preserve">highly stressful set of circumstances. As Jones highlights, there is </w:t>
      </w:r>
      <w:r w:rsidR="00BD1551">
        <w:rPr>
          <w:rFonts w:asciiTheme="majorHAnsi" w:hAnsiTheme="majorHAnsi" w:cstheme="majorHAnsi"/>
          <w:sz w:val="24"/>
          <w:szCs w:val="24"/>
        </w:rPr>
        <w:t>‘</w:t>
      </w:r>
      <w:r w:rsidR="00217C6C">
        <w:rPr>
          <w:rFonts w:asciiTheme="majorHAnsi" w:hAnsiTheme="majorHAnsi" w:cstheme="majorHAnsi"/>
          <w:sz w:val="24"/>
          <w:szCs w:val="24"/>
        </w:rPr>
        <w:t xml:space="preserve">evidence that high levels of stress and stress over a longer duration can result in memory impairment and inhibit neural plasticity. Students will </w:t>
      </w:r>
      <w:r w:rsidR="0020265F">
        <w:rPr>
          <w:rFonts w:asciiTheme="majorHAnsi" w:hAnsiTheme="majorHAnsi" w:cstheme="majorHAnsi"/>
          <w:sz w:val="24"/>
          <w:szCs w:val="24"/>
        </w:rPr>
        <w:t>“</w:t>
      </w:r>
      <w:r w:rsidR="00217C6C">
        <w:rPr>
          <w:rFonts w:asciiTheme="majorHAnsi" w:hAnsiTheme="majorHAnsi" w:cstheme="majorHAnsi"/>
          <w:sz w:val="24"/>
          <w:szCs w:val="24"/>
        </w:rPr>
        <w:t>worry more than learn</w:t>
      </w:r>
      <w:r w:rsidR="0020265F">
        <w:rPr>
          <w:rFonts w:asciiTheme="majorHAnsi" w:hAnsiTheme="majorHAnsi" w:cstheme="majorHAnsi"/>
          <w:sz w:val="24"/>
          <w:szCs w:val="24"/>
        </w:rPr>
        <w:t>”</w:t>
      </w:r>
      <w:r w:rsidR="00217C6C">
        <w:rPr>
          <w:rFonts w:asciiTheme="majorHAnsi" w:hAnsiTheme="majorHAnsi" w:cstheme="majorHAnsi"/>
          <w:sz w:val="24"/>
          <w:szCs w:val="24"/>
        </w:rPr>
        <w:t xml:space="preserve"> and begin to practice avoidance </w:t>
      </w:r>
      <w:proofErr w:type="gramStart"/>
      <w:r w:rsidR="00217C6C">
        <w:rPr>
          <w:rFonts w:asciiTheme="majorHAnsi" w:hAnsiTheme="majorHAnsi" w:cstheme="majorHAnsi"/>
          <w:sz w:val="24"/>
          <w:szCs w:val="24"/>
        </w:rPr>
        <w:t>tactics</w:t>
      </w:r>
      <w:r w:rsidR="00BD1551">
        <w:rPr>
          <w:rFonts w:asciiTheme="majorHAnsi" w:hAnsiTheme="majorHAnsi" w:cstheme="majorHAnsi"/>
          <w:sz w:val="24"/>
          <w:szCs w:val="24"/>
        </w:rPr>
        <w:t>’</w:t>
      </w:r>
      <w:proofErr w:type="gramEnd"/>
      <w:r w:rsidR="00AA24E3">
        <w:rPr>
          <w:rFonts w:asciiTheme="majorHAnsi" w:hAnsiTheme="majorHAnsi" w:cstheme="majorHAnsi"/>
          <w:sz w:val="24"/>
          <w:szCs w:val="24"/>
        </w:rPr>
        <w:t>.</w:t>
      </w:r>
      <w:r w:rsidR="00AA24E3" w:rsidRPr="00AA24E3">
        <w:rPr>
          <w:rStyle w:val="FootnoteReference"/>
          <w:rFonts w:asciiTheme="majorHAnsi" w:hAnsiTheme="majorHAnsi" w:cstheme="majorHAnsi"/>
          <w:sz w:val="24"/>
          <w:szCs w:val="24"/>
        </w:rPr>
        <w:t xml:space="preserve"> </w:t>
      </w:r>
      <w:r w:rsidR="00AA24E3">
        <w:rPr>
          <w:rStyle w:val="FootnoteReference"/>
          <w:rFonts w:asciiTheme="majorHAnsi" w:hAnsiTheme="majorHAnsi" w:cstheme="majorHAnsi"/>
          <w:sz w:val="24"/>
          <w:szCs w:val="24"/>
        </w:rPr>
        <w:footnoteReference w:id="23"/>
      </w:r>
      <w:r w:rsidR="00AA24E3">
        <w:rPr>
          <w:rFonts w:asciiTheme="majorHAnsi" w:hAnsiTheme="majorHAnsi" w:cstheme="majorHAnsi"/>
          <w:sz w:val="24"/>
          <w:szCs w:val="24"/>
        </w:rPr>
        <w:t xml:space="preserve"> This</w:t>
      </w:r>
      <w:r w:rsidR="0025428A">
        <w:rPr>
          <w:rFonts w:asciiTheme="majorHAnsi" w:hAnsiTheme="majorHAnsi" w:cstheme="majorHAnsi"/>
          <w:sz w:val="24"/>
          <w:szCs w:val="24"/>
        </w:rPr>
        <w:t xml:space="preserve"> high level of stress on both sides, coupled with </w:t>
      </w:r>
      <w:r w:rsidR="00ED56BC">
        <w:rPr>
          <w:rFonts w:asciiTheme="majorHAnsi" w:hAnsiTheme="majorHAnsi" w:cstheme="majorHAnsi"/>
          <w:sz w:val="24"/>
          <w:szCs w:val="24"/>
        </w:rPr>
        <w:t xml:space="preserve">an unprecedented move away from in-person contact, </w:t>
      </w:r>
      <w:r w:rsidR="00F37393">
        <w:rPr>
          <w:rFonts w:asciiTheme="majorHAnsi" w:hAnsiTheme="majorHAnsi" w:cstheme="majorHAnsi"/>
          <w:sz w:val="24"/>
          <w:szCs w:val="24"/>
        </w:rPr>
        <w:t xml:space="preserve">was a clear challenge to </w:t>
      </w:r>
      <w:r w:rsidR="00ED56BC">
        <w:rPr>
          <w:rFonts w:asciiTheme="majorHAnsi" w:hAnsiTheme="majorHAnsi" w:cstheme="majorHAnsi"/>
          <w:sz w:val="24"/>
          <w:szCs w:val="24"/>
        </w:rPr>
        <w:t xml:space="preserve">the </w:t>
      </w:r>
      <w:r w:rsidR="00545F1E">
        <w:rPr>
          <w:rFonts w:asciiTheme="majorHAnsi" w:hAnsiTheme="majorHAnsi" w:cstheme="majorHAnsi"/>
          <w:sz w:val="24"/>
          <w:szCs w:val="24"/>
        </w:rPr>
        <w:t xml:space="preserve">sense of community we were so keen to foster. There was a marked effect on staff wellbeing as a </w:t>
      </w:r>
      <w:r w:rsidR="00441326">
        <w:rPr>
          <w:rFonts w:asciiTheme="majorHAnsi" w:hAnsiTheme="majorHAnsi" w:cstheme="majorHAnsi"/>
          <w:sz w:val="24"/>
          <w:szCs w:val="24"/>
        </w:rPr>
        <w:t>result</w:t>
      </w:r>
      <w:r w:rsidR="003C475D">
        <w:rPr>
          <w:rFonts w:asciiTheme="majorHAnsi" w:hAnsiTheme="majorHAnsi" w:cstheme="majorHAnsi"/>
          <w:sz w:val="24"/>
          <w:szCs w:val="24"/>
        </w:rPr>
        <w:t>.</w:t>
      </w:r>
    </w:p>
    <w:p w14:paraId="1CEDDEC4" w14:textId="77777777" w:rsidR="00FC6A4F" w:rsidRPr="00FC6A4F" w:rsidRDefault="00FC6A4F" w:rsidP="00FC6A4F">
      <w:pPr>
        <w:spacing w:line="240" w:lineRule="auto"/>
        <w:jc w:val="both"/>
        <w:rPr>
          <w:rFonts w:asciiTheme="majorHAnsi" w:hAnsiTheme="majorHAnsi" w:cstheme="majorHAnsi"/>
          <w:i/>
          <w:iCs/>
          <w:sz w:val="24"/>
          <w:szCs w:val="24"/>
        </w:rPr>
      </w:pPr>
      <w:r w:rsidRPr="00FC6A4F">
        <w:rPr>
          <w:rFonts w:asciiTheme="majorHAnsi" w:hAnsiTheme="majorHAnsi" w:cstheme="majorHAnsi"/>
          <w:i/>
          <w:iCs/>
          <w:sz w:val="24"/>
          <w:szCs w:val="24"/>
        </w:rPr>
        <w:t>Staff wellbeing</w:t>
      </w:r>
    </w:p>
    <w:p w14:paraId="74180EF5" w14:textId="58B809D2" w:rsidR="000C41F6" w:rsidRPr="00FC6A4F" w:rsidRDefault="000C41F6" w:rsidP="000C41F6">
      <w:pPr>
        <w:spacing w:line="240" w:lineRule="auto"/>
        <w:jc w:val="both"/>
        <w:rPr>
          <w:rFonts w:asciiTheme="majorHAnsi" w:hAnsiTheme="majorHAnsi" w:cstheme="majorHAnsi"/>
          <w:sz w:val="24"/>
          <w:szCs w:val="24"/>
        </w:rPr>
      </w:pPr>
      <w:r>
        <w:rPr>
          <w:rFonts w:asciiTheme="majorHAnsi" w:hAnsiTheme="majorHAnsi" w:cstheme="majorHAnsi"/>
          <w:sz w:val="24"/>
          <w:szCs w:val="24"/>
        </w:rPr>
        <w:t>Peake and Mullings</w:t>
      </w:r>
      <w:r w:rsidR="00F91C6D">
        <w:rPr>
          <w:rFonts w:asciiTheme="majorHAnsi" w:hAnsiTheme="majorHAnsi" w:cstheme="majorHAnsi"/>
          <w:sz w:val="24"/>
          <w:szCs w:val="24"/>
        </w:rPr>
        <w:t xml:space="preserve"> capture vividly the</w:t>
      </w:r>
      <w:r w:rsidRPr="00FC6A4F">
        <w:rPr>
          <w:rFonts w:asciiTheme="majorHAnsi" w:hAnsiTheme="majorHAnsi" w:cstheme="majorHAnsi"/>
          <w:sz w:val="24"/>
          <w:szCs w:val="24"/>
        </w:rPr>
        <w:t xml:space="preserve"> </w:t>
      </w:r>
      <w:r w:rsidR="0043583D">
        <w:rPr>
          <w:rFonts w:asciiTheme="majorHAnsi" w:hAnsiTheme="majorHAnsi" w:cstheme="majorHAnsi"/>
          <w:sz w:val="24"/>
          <w:szCs w:val="24"/>
        </w:rPr>
        <w:t>challenges facing the mental health of academic</w:t>
      </w:r>
      <w:r w:rsidR="009F6F12">
        <w:rPr>
          <w:rFonts w:asciiTheme="majorHAnsi" w:hAnsiTheme="majorHAnsi" w:cstheme="majorHAnsi"/>
          <w:sz w:val="24"/>
          <w:szCs w:val="24"/>
        </w:rPr>
        <w:t xml:space="preserve"> staff</w:t>
      </w:r>
      <w:r w:rsidRPr="00FC6A4F">
        <w:rPr>
          <w:rFonts w:asciiTheme="majorHAnsi" w:hAnsiTheme="majorHAnsi" w:cstheme="majorHAnsi"/>
          <w:sz w:val="24"/>
          <w:szCs w:val="24"/>
        </w:rPr>
        <w:t>:</w:t>
      </w:r>
    </w:p>
    <w:p w14:paraId="3613D2FF" w14:textId="5302E783" w:rsidR="00C91EB7" w:rsidRDefault="00C91EB7" w:rsidP="009F6F12">
      <w:pPr>
        <w:spacing w:line="240" w:lineRule="auto"/>
        <w:ind w:left="720"/>
        <w:jc w:val="both"/>
        <w:rPr>
          <w:rFonts w:asciiTheme="majorHAnsi" w:hAnsiTheme="majorHAnsi" w:cstheme="majorHAnsi"/>
          <w:sz w:val="24"/>
          <w:szCs w:val="24"/>
        </w:rPr>
      </w:pPr>
      <w:r w:rsidRPr="00FC6A4F">
        <w:rPr>
          <w:rFonts w:asciiTheme="majorHAnsi" w:hAnsiTheme="majorHAnsi" w:cstheme="majorHAnsi"/>
          <w:sz w:val="24"/>
          <w:szCs w:val="24"/>
        </w:rPr>
        <w:t>Academics are possibly the worst “role models” for a different sort of academy, as the model that most of us embrace continues to be one of continuous achievement, and a capacity to take on work that is infinitely elastic. Indeed, we could be considered ideal neoliberal subjects because (supposedly) we respond well to the discourses of meritocracy and individual responsibility, achievement, advancement, persistence, competition, and the winner-takes-all ethos that currently structures and disciplines all in places of higher learning.</w:t>
      </w:r>
      <w:r w:rsidRPr="00FC6A4F">
        <w:rPr>
          <w:rFonts w:asciiTheme="majorHAnsi" w:hAnsiTheme="majorHAnsi" w:cstheme="majorHAnsi"/>
          <w:sz w:val="24"/>
          <w:szCs w:val="24"/>
          <w:vertAlign w:val="superscript"/>
        </w:rPr>
        <w:footnoteReference w:id="24"/>
      </w:r>
    </w:p>
    <w:p w14:paraId="4463D3E8" w14:textId="77777777" w:rsidR="00F62DF5" w:rsidRDefault="00542A4D" w:rsidP="006B3F52">
      <w:pPr>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Academic life is characterised by </w:t>
      </w:r>
      <w:r w:rsidR="001258AC">
        <w:rPr>
          <w:rFonts w:asciiTheme="majorHAnsi" w:hAnsiTheme="majorHAnsi" w:cstheme="majorHAnsi"/>
          <w:sz w:val="24"/>
          <w:szCs w:val="24"/>
        </w:rPr>
        <w:t>‘</w:t>
      </w:r>
      <w:r w:rsidR="0088556F" w:rsidRPr="00FC6A4F">
        <w:rPr>
          <w:rFonts w:asciiTheme="majorHAnsi" w:hAnsiTheme="majorHAnsi" w:cstheme="majorHAnsi"/>
          <w:sz w:val="24"/>
          <w:szCs w:val="24"/>
        </w:rPr>
        <w:t>…isolated, individualized working practices; intense workloads and time pressures; long hours and the elision of barriers between work and home</w:t>
      </w:r>
      <w:r w:rsidR="001258AC">
        <w:rPr>
          <w:rFonts w:asciiTheme="majorHAnsi" w:hAnsiTheme="majorHAnsi" w:cstheme="majorHAnsi"/>
          <w:sz w:val="24"/>
          <w:szCs w:val="24"/>
        </w:rPr>
        <w:t>’</w:t>
      </w:r>
      <w:r>
        <w:rPr>
          <w:rFonts w:asciiTheme="majorHAnsi" w:hAnsiTheme="majorHAnsi" w:cstheme="majorHAnsi"/>
          <w:sz w:val="24"/>
          <w:szCs w:val="24"/>
        </w:rPr>
        <w:t>.</w:t>
      </w:r>
      <w:r w:rsidR="0088556F" w:rsidRPr="00FC6A4F">
        <w:rPr>
          <w:rFonts w:asciiTheme="majorHAnsi" w:hAnsiTheme="majorHAnsi" w:cstheme="majorHAnsi"/>
          <w:sz w:val="24"/>
          <w:szCs w:val="24"/>
          <w:vertAlign w:val="superscript"/>
        </w:rPr>
        <w:footnoteReference w:id="25"/>
      </w:r>
      <w:r w:rsidR="003C475D">
        <w:rPr>
          <w:rFonts w:asciiTheme="majorHAnsi" w:hAnsiTheme="majorHAnsi" w:cstheme="majorHAnsi"/>
          <w:sz w:val="24"/>
          <w:szCs w:val="24"/>
        </w:rPr>
        <w:t xml:space="preserve"> This </w:t>
      </w:r>
      <w:r w:rsidR="00596961">
        <w:rPr>
          <w:rFonts w:asciiTheme="majorHAnsi" w:hAnsiTheme="majorHAnsi" w:cstheme="majorHAnsi"/>
          <w:sz w:val="24"/>
          <w:szCs w:val="24"/>
        </w:rPr>
        <w:t xml:space="preserve">situation </w:t>
      </w:r>
      <w:r w:rsidR="003C475D">
        <w:rPr>
          <w:rFonts w:asciiTheme="majorHAnsi" w:hAnsiTheme="majorHAnsi" w:cstheme="majorHAnsi"/>
          <w:sz w:val="24"/>
          <w:szCs w:val="24"/>
        </w:rPr>
        <w:t xml:space="preserve">was </w:t>
      </w:r>
      <w:r w:rsidR="00596961">
        <w:rPr>
          <w:rFonts w:asciiTheme="majorHAnsi" w:hAnsiTheme="majorHAnsi" w:cstheme="majorHAnsi"/>
          <w:sz w:val="24"/>
          <w:szCs w:val="24"/>
        </w:rPr>
        <w:t xml:space="preserve">exacerbated during the pandemic. The first year of Legal Essentials </w:t>
      </w:r>
      <w:r w:rsidR="00590519">
        <w:rPr>
          <w:rFonts w:asciiTheme="majorHAnsi" w:hAnsiTheme="majorHAnsi" w:cstheme="majorHAnsi"/>
          <w:sz w:val="24"/>
          <w:szCs w:val="24"/>
        </w:rPr>
        <w:t xml:space="preserve">– particularly the extended intensive induction period – was certainly </w:t>
      </w:r>
      <w:r w:rsidR="004E2D39">
        <w:rPr>
          <w:rFonts w:asciiTheme="majorHAnsi" w:hAnsiTheme="majorHAnsi" w:cstheme="majorHAnsi"/>
          <w:sz w:val="24"/>
          <w:szCs w:val="24"/>
        </w:rPr>
        <w:t>stressful for the teaching team</w:t>
      </w:r>
      <w:r w:rsidR="00590519">
        <w:rPr>
          <w:rFonts w:asciiTheme="majorHAnsi" w:hAnsiTheme="majorHAnsi" w:cstheme="majorHAnsi"/>
          <w:sz w:val="24"/>
          <w:szCs w:val="24"/>
        </w:rPr>
        <w:t xml:space="preserve">. </w:t>
      </w:r>
      <w:r w:rsidR="00D77CA0">
        <w:rPr>
          <w:rFonts w:asciiTheme="majorHAnsi" w:hAnsiTheme="majorHAnsi" w:cstheme="majorHAnsi"/>
          <w:sz w:val="24"/>
          <w:szCs w:val="24"/>
        </w:rPr>
        <w:t>We consciously tried to maintain our sense of team belonging</w:t>
      </w:r>
      <w:r w:rsidR="00590519">
        <w:rPr>
          <w:rFonts w:asciiTheme="majorHAnsi" w:hAnsiTheme="majorHAnsi" w:cstheme="majorHAnsi"/>
          <w:sz w:val="24"/>
          <w:szCs w:val="24"/>
        </w:rPr>
        <w:t>; we met regularly in informal settings</w:t>
      </w:r>
      <w:r w:rsidR="00E11C24">
        <w:rPr>
          <w:rFonts w:asciiTheme="majorHAnsi" w:hAnsiTheme="majorHAnsi" w:cstheme="majorHAnsi"/>
          <w:sz w:val="24"/>
          <w:szCs w:val="24"/>
        </w:rPr>
        <w:t xml:space="preserve"> whenever we </w:t>
      </w:r>
      <w:r w:rsidR="0006748A">
        <w:rPr>
          <w:rFonts w:asciiTheme="majorHAnsi" w:hAnsiTheme="majorHAnsi" w:cstheme="majorHAnsi"/>
          <w:sz w:val="24"/>
          <w:szCs w:val="24"/>
        </w:rPr>
        <w:t>could and</w:t>
      </w:r>
      <w:r w:rsidR="00590519">
        <w:rPr>
          <w:rFonts w:asciiTheme="majorHAnsi" w:hAnsiTheme="majorHAnsi" w:cstheme="majorHAnsi"/>
          <w:sz w:val="24"/>
          <w:szCs w:val="24"/>
        </w:rPr>
        <w:t xml:space="preserve"> </w:t>
      </w:r>
      <w:r w:rsidR="00E11C24">
        <w:rPr>
          <w:rFonts w:asciiTheme="majorHAnsi" w:hAnsiTheme="majorHAnsi" w:cstheme="majorHAnsi"/>
          <w:sz w:val="24"/>
          <w:szCs w:val="24"/>
        </w:rPr>
        <w:t xml:space="preserve">gave each other personal and practical support. </w:t>
      </w:r>
      <w:r w:rsidR="0006748A">
        <w:rPr>
          <w:rFonts w:asciiTheme="majorHAnsi" w:hAnsiTheme="majorHAnsi" w:cstheme="majorHAnsi"/>
          <w:sz w:val="24"/>
          <w:szCs w:val="24"/>
        </w:rPr>
        <w:t xml:space="preserve">During the pandemic, however, opportunities for </w:t>
      </w:r>
      <w:r w:rsidR="00317193">
        <w:rPr>
          <w:rFonts w:asciiTheme="majorHAnsi" w:hAnsiTheme="majorHAnsi" w:cstheme="majorHAnsi"/>
          <w:sz w:val="24"/>
          <w:szCs w:val="24"/>
        </w:rPr>
        <w:t xml:space="preserve">informal support and stress relief had to be actively sought out rather than being readily available to us. </w:t>
      </w:r>
      <w:r w:rsidR="00F403F2">
        <w:rPr>
          <w:rFonts w:asciiTheme="majorHAnsi" w:hAnsiTheme="majorHAnsi" w:cstheme="majorHAnsi"/>
          <w:sz w:val="24"/>
          <w:szCs w:val="24"/>
        </w:rPr>
        <w:t xml:space="preserve">It meant that it was </w:t>
      </w:r>
      <w:r w:rsidR="00984A1C">
        <w:rPr>
          <w:rFonts w:asciiTheme="majorHAnsi" w:hAnsiTheme="majorHAnsi" w:cstheme="majorHAnsi"/>
          <w:sz w:val="24"/>
          <w:szCs w:val="24"/>
        </w:rPr>
        <w:t xml:space="preserve">much </w:t>
      </w:r>
      <w:r w:rsidR="00F403F2">
        <w:rPr>
          <w:rFonts w:asciiTheme="majorHAnsi" w:hAnsiTheme="majorHAnsi" w:cstheme="majorHAnsi"/>
          <w:sz w:val="24"/>
          <w:szCs w:val="24"/>
        </w:rPr>
        <w:t xml:space="preserve">harder for us to be </w:t>
      </w:r>
      <w:r w:rsidR="001402B7">
        <w:rPr>
          <w:rFonts w:asciiTheme="majorHAnsi" w:hAnsiTheme="majorHAnsi" w:cstheme="majorHAnsi"/>
          <w:sz w:val="24"/>
          <w:szCs w:val="24"/>
        </w:rPr>
        <w:t>‘</w:t>
      </w:r>
      <w:r w:rsidR="00F403F2">
        <w:rPr>
          <w:rFonts w:asciiTheme="majorHAnsi" w:hAnsiTheme="majorHAnsi" w:cstheme="majorHAnsi"/>
          <w:sz w:val="24"/>
          <w:szCs w:val="24"/>
        </w:rPr>
        <w:t>le</w:t>
      </w:r>
      <w:r w:rsidR="005A7FD0" w:rsidRPr="00FC6A4F">
        <w:rPr>
          <w:rFonts w:asciiTheme="majorHAnsi" w:hAnsiTheme="majorHAnsi" w:cstheme="majorHAnsi"/>
          <w:sz w:val="24"/>
          <w:szCs w:val="24"/>
        </w:rPr>
        <w:t>ading by emotional example</w:t>
      </w:r>
      <w:r w:rsidR="001402B7">
        <w:rPr>
          <w:rFonts w:asciiTheme="majorHAnsi" w:hAnsiTheme="majorHAnsi" w:cstheme="majorHAnsi"/>
          <w:sz w:val="24"/>
          <w:szCs w:val="24"/>
        </w:rPr>
        <w:t>’</w:t>
      </w:r>
      <w:r w:rsidR="00F403F2">
        <w:rPr>
          <w:rFonts w:asciiTheme="majorHAnsi" w:hAnsiTheme="majorHAnsi" w:cstheme="majorHAnsi"/>
          <w:sz w:val="24"/>
          <w:szCs w:val="24"/>
        </w:rPr>
        <w:t>.</w:t>
      </w:r>
      <w:r w:rsidR="005A7FD0" w:rsidRPr="00FC6A4F">
        <w:rPr>
          <w:rFonts w:asciiTheme="majorHAnsi" w:hAnsiTheme="majorHAnsi" w:cstheme="majorHAnsi"/>
          <w:sz w:val="24"/>
          <w:szCs w:val="24"/>
          <w:vertAlign w:val="superscript"/>
        </w:rPr>
        <w:footnoteReference w:id="26"/>
      </w:r>
      <w:r w:rsidR="005A7FD0" w:rsidRPr="00FC6A4F">
        <w:rPr>
          <w:rFonts w:asciiTheme="majorHAnsi" w:hAnsiTheme="majorHAnsi" w:cstheme="majorHAnsi"/>
          <w:sz w:val="24"/>
          <w:szCs w:val="24"/>
        </w:rPr>
        <w:t xml:space="preserve"> </w:t>
      </w:r>
    </w:p>
    <w:p w14:paraId="4718C943" w14:textId="5168A72A" w:rsidR="00FC6A4F" w:rsidRDefault="00F01466" w:rsidP="00331B10">
      <w:pPr>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Added to this is the emotional labour involved in </w:t>
      </w:r>
      <w:r w:rsidR="00D009C4">
        <w:rPr>
          <w:rFonts w:asciiTheme="majorHAnsi" w:hAnsiTheme="majorHAnsi" w:cstheme="majorHAnsi"/>
          <w:sz w:val="24"/>
          <w:szCs w:val="24"/>
        </w:rPr>
        <w:t>teaching</w:t>
      </w:r>
      <w:r w:rsidR="00007855">
        <w:rPr>
          <w:rFonts w:asciiTheme="majorHAnsi" w:hAnsiTheme="majorHAnsi" w:cstheme="majorHAnsi"/>
          <w:sz w:val="24"/>
          <w:szCs w:val="24"/>
        </w:rPr>
        <w:t>.</w:t>
      </w:r>
      <w:r w:rsidR="00007855" w:rsidRPr="00FC6A4F">
        <w:rPr>
          <w:rFonts w:asciiTheme="majorHAnsi" w:hAnsiTheme="majorHAnsi" w:cstheme="majorHAnsi"/>
          <w:sz w:val="24"/>
          <w:szCs w:val="24"/>
          <w:vertAlign w:val="superscript"/>
        </w:rPr>
        <w:footnoteReference w:id="27"/>
      </w:r>
      <w:r w:rsidR="00007855">
        <w:rPr>
          <w:rFonts w:asciiTheme="majorHAnsi" w:hAnsiTheme="majorHAnsi" w:cstheme="majorHAnsi"/>
          <w:sz w:val="24"/>
          <w:szCs w:val="24"/>
        </w:rPr>
        <w:t xml:space="preserve"> </w:t>
      </w:r>
      <w:r w:rsidR="003E15EC">
        <w:rPr>
          <w:rFonts w:asciiTheme="majorHAnsi" w:hAnsiTheme="majorHAnsi" w:cstheme="majorHAnsi"/>
          <w:sz w:val="24"/>
          <w:szCs w:val="24"/>
        </w:rPr>
        <w:t>U</w:t>
      </w:r>
      <w:r w:rsidR="00FC6A4F" w:rsidRPr="00FC6A4F">
        <w:rPr>
          <w:rFonts w:asciiTheme="majorHAnsi" w:hAnsiTheme="majorHAnsi" w:cstheme="majorHAnsi"/>
          <w:sz w:val="24"/>
          <w:szCs w:val="24"/>
        </w:rPr>
        <w:t xml:space="preserve">niversity lecturers report significantly higher levels of emotional labour than other occupations, including mental health </w:t>
      </w:r>
      <w:r w:rsidR="00FC6A4F" w:rsidRPr="00FC6A4F">
        <w:rPr>
          <w:rFonts w:asciiTheme="majorHAnsi" w:hAnsiTheme="majorHAnsi" w:cstheme="majorHAnsi"/>
          <w:sz w:val="24"/>
          <w:szCs w:val="24"/>
        </w:rPr>
        <w:lastRenderedPageBreak/>
        <w:t>nurses.</w:t>
      </w:r>
      <w:r w:rsidR="003E15EC" w:rsidRPr="00FC6A4F">
        <w:rPr>
          <w:rFonts w:asciiTheme="majorHAnsi" w:hAnsiTheme="majorHAnsi" w:cstheme="majorHAnsi"/>
          <w:sz w:val="24"/>
          <w:szCs w:val="24"/>
          <w:vertAlign w:val="superscript"/>
        </w:rPr>
        <w:footnoteReference w:id="28"/>
      </w:r>
      <w:r w:rsidR="003E15EC" w:rsidRPr="00FC6A4F">
        <w:rPr>
          <w:rFonts w:asciiTheme="majorHAnsi" w:hAnsiTheme="majorHAnsi" w:cstheme="majorHAnsi"/>
          <w:sz w:val="24"/>
          <w:szCs w:val="24"/>
        </w:rPr>
        <w:t xml:space="preserve"> </w:t>
      </w:r>
      <w:r w:rsidR="00FC6A4F" w:rsidRPr="00FC6A4F">
        <w:rPr>
          <w:rFonts w:asciiTheme="majorHAnsi" w:hAnsiTheme="majorHAnsi" w:cstheme="majorHAnsi"/>
          <w:sz w:val="24"/>
          <w:szCs w:val="24"/>
        </w:rPr>
        <w:t xml:space="preserve"> A key reason for this is the dissonance lecturers</w:t>
      </w:r>
      <w:r w:rsidR="004A4A05">
        <w:rPr>
          <w:rFonts w:asciiTheme="majorHAnsi" w:hAnsiTheme="majorHAnsi" w:cstheme="majorHAnsi"/>
          <w:sz w:val="24"/>
          <w:szCs w:val="24"/>
        </w:rPr>
        <w:t xml:space="preserve"> can experience</w:t>
      </w:r>
      <w:r w:rsidR="00FC6A4F" w:rsidRPr="00FC6A4F">
        <w:rPr>
          <w:rFonts w:asciiTheme="majorHAnsi" w:hAnsiTheme="majorHAnsi" w:cstheme="majorHAnsi"/>
          <w:sz w:val="24"/>
          <w:szCs w:val="24"/>
        </w:rPr>
        <w:t xml:space="preserve"> between their teaching personae and their true feeling</w:t>
      </w:r>
      <w:bookmarkStart w:id="6" w:name="_Hlk62672677"/>
      <w:r w:rsidR="00FC6A4F" w:rsidRPr="00FC6A4F">
        <w:rPr>
          <w:rFonts w:asciiTheme="majorHAnsi" w:hAnsiTheme="majorHAnsi" w:cstheme="majorHAnsi"/>
          <w:sz w:val="24"/>
          <w:szCs w:val="24"/>
        </w:rPr>
        <w:t>s.</w:t>
      </w:r>
      <w:r w:rsidR="00FC6A4F" w:rsidRPr="00FC6A4F">
        <w:rPr>
          <w:rFonts w:asciiTheme="majorHAnsi" w:hAnsiTheme="majorHAnsi" w:cstheme="majorHAnsi"/>
          <w:sz w:val="24"/>
          <w:szCs w:val="24"/>
          <w:vertAlign w:val="superscript"/>
        </w:rPr>
        <w:footnoteReference w:id="29"/>
      </w:r>
      <w:r w:rsidR="00FC6A4F" w:rsidRPr="00FC6A4F">
        <w:rPr>
          <w:rFonts w:asciiTheme="majorHAnsi" w:hAnsiTheme="majorHAnsi" w:cstheme="majorHAnsi"/>
          <w:sz w:val="24"/>
          <w:szCs w:val="24"/>
        </w:rPr>
        <w:t xml:space="preserve"> </w:t>
      </w:r>
      <w:bookmarkEnd w:id="6"/>
      <w:r w:rsidR="004A4A05">
        <w:rPr>
          <w:rFonts w:asciiTheme="majorHAnsi" w:hAnsiTheme="majorHAnsi" w:cstheme="majorHAnsi"/>
          <w:sz w:val="24"/>
          <w:szCs w:val="24"/>
        </w:rPr>
        <w:t>But</w:t>
      </w:r>
      <w:r w:rsidR="00FC6A4F" w:rsidRPr="00FC6A4F">
        <w:rPr>
          <w:rFonts w:asciiTheme="majorHAnsi" w:hAnsiTheme="majorHAnsi" w:cstheme="majorHAnsi"/>
          <w:sz w:val="24"/>
          <w:szCs w:val="24"/>
        </w:rPr>
        <w:t xml:space="preserve"> when emotional labour is conducted for the benefit of students, or for a teacher’s own reward and satisfaction, rather than because of organisational demand display rules, job satisfaction can actually increase.</w:t>
      </w:r>
      <w:r w:rsidR="00FC6A4F" w:rsidRPr="00FC6A4F">
        <w:rPr>
          <w:rFonts w:asciiTheme="majorHAnsi" w:hAnsiTheme="majorHAnsi" w:cstheme="majorHAnsi"/>
          <w:sz w:val="24"/>
          <w:szCs w:val="24"/>
          <w:vertAlign w:val="superscript"/>
        </w:rPr>
        <w:footnoteReference w:id="30"/>
      </w:r>
      <w:r w:rsidR="005A7FD0">
        <w:rPr>
          <w:rFonts w:asciiTheme="majorHAnsi" w:hAnsiTheme="majorHAnsi" w:cstheme="majorHAnsi"/>
          <w:sz w:val="24"/>
          <w:szCs w:val="24"/>
        </w:rPr>
        <w:t xml:space="preserve"> This </w:t>
      </w:r>
      <w:r w:rsidR="00F44747">
        <w:rPr>
          <w:rFonts w:asciiTheme="majorHAnsi" w:hAnsiTheme="majorHAnsi" w:cstheme="majorHAnsi"/>
          <w:sz w:val="24"/>
          <w:szCs w:val="24"/>
        </w:rPr>
        <w:t>is why authenticity in teaching and learning is so important</w:t>
      </w:r>
      <w:r w:rsidR="006D28BE">
        <w:rPr>
          <w:rFonts w:asciiTheme="majorHAnsi" w:hAnsiTheme="majorHAnsi" w:cstheme="majorHAnsi"/>
          <w:sz w:val="24"/>
          <w:szCs w:val="24"/>
        </w:rPr>
        <w:t>. Unfortunately, i</w:t>
      </w:r>
      <w:r w:rsidR="00BC0A80">
        <w:rPr>
          <w:rFonts w:asciiTheme="majorHAnsi" w:hAnsiTheme="majorHAnsi" w:cstheme="majorHAnsi"/>
          <w:sz w:val="24"/>
          <w:szCs w:val="24"/>
        </w:rPr>
        <w:t>t can be so difficult to achieve</w:t>
      </w:r>
      <w:r w:rsidR="00D47C3B">
        <w:rPr>
          <w:rFonts w:asciiTheme="majorHAnsi" w:hAnsiTheme="majorHAnsi" w:cstheme="majorHAnsi"/>
          <w:sz w:val="24"/>
          <w:szCs w:val="24"/>
        </w:rPr>
        <w:t>, especially</w:t>
      </w:r>
      <w:r w:rsidR="00BC0A80">
        <w:rPr>
          <w:rFonts w:asciiTheme="majorHAnsi" w:hAnsiTheme="majorHAnsi" w:cstheme="majorHAnsi"/>
          <w:sz w:val="24"/>
          <w:szCs w:val="24"/>
        </w:rPr>
        <w:t xml:space="preserve"> in the </w:t>
      </w:r>
      <w:r w:rsidR="00A9130F">
        <w:rPr>
          <w:rFonts w:asciiTheme="majorHAnsi" w:hAnsiTheme="majorHAnsi" w:cstheme="majorHAnsi"/>
          <w:sz w:val="24"/>
          <w:szCs w:val="24"/>
        </w:rPr>
        <w:t>present neoliberal</w:t>
      </w:r>
      <w:r w:rsidR="00D47C3B">
        <w:rPr>
          <w:rFonts w:asciiTheme="majorHAnsi" w:hAnsiTheme="majorHAnsi" w:cstheme="majorHAnsi"/>
          <w:sz w:val="24"/>
          <w:szCs w:val="24"/>
        </w:rPr>
        <w:t xml:space="preserve"> </w:t>
      </w:r>
      <w:r w:rsidR="00A9130F">
        <w:rPr>
          <w:rFonts w:asciiTheme="majorHAnsi" w:hAnsiTheme="majorHAnsi" w:cstheme="majorHAnsi"/>
          <w:sz w:val="24"/>
          <w:szCs w:val="24"/>
        </w:rPr>
        <w:t>university landscape</w:t>
      </w:r>
      <w:r w:rsidR="00A169A6">
        <w:rPr>
          <w:rFonts w:asciiTheme="majorHAnsi" w:hAnsiTheme="majorHAnsi" w:cstheme="majorHAnsi"/>
          <w:sz w:val="24"/>
          <w:szCs w:val="24"/>
        </w:rPr>
        <w:t>,</w:t>
      </w:r>
      <w:r w:rsidR="00D47C3B">
        <w:rPr>
          <w:rFonts w:asciiTheme="majorHAnsi" w:hAnsiTheme="majorHAnsi" w:cstheme="majorHAnsi"/>
          <w:sz w:val="24"/>
          <w:szCs w:val="24"/>
        </w:rPr>
        <w:t xml:space="preserve"> with its culture of individualism</w:t>
      </w:r>
      <w:r w:rsidR="006D28BE">
        <w:rPr>
          <w:rFonts w:asciiTheme="majorHAnsi" w:hAnsiTheme="majorHAnsi" w:cstheme="majorHAnsi"/>
          <w:sz w:val="24"/>
          <w:szCs w:val="24"/>
        </w:rPr>
        <w:t xml:space="preserve"> that fails to make adequate room for autonomy</w:t>
      </w:r>
      <w:r w:rsidR="006D28BE">
        <w:rPr>
          <w:rStyle w:val="FootnoteReference"/>
          <w:rFonts w:asciiTheme="majorHAnsi" w:hAnsiTheme="majorHAnsi" w:cstheme="majorHAnsi"/>
          <w:sz w:val="24"/>
          <w:szCs w:val="24"/>
        </w:rPr>
        <w:footnoteReference w:id="31"/>
      </w:r>
      <w:r w:rsidR="006D28BE">
        <w:rPr>
          <w:rFonts w:asciiTheme="majorHAnsi" w:hAnsiTheme="majorHAnsi" w:cstheme="majorHAnsi"/>
          <w:sz w:val="24"/>
          <w:szCs w:val="24"/>
        </w:rPr>
        <w:t xml:space="preserve"> or authenticity.</w:t>
      </w:r>
      <w:r w:rsidR="006D28BE">
        <w:rPr>
          <w:rStyle w:val="FootnoteReference"/>
          <w:rFonts w:asciiTheme="majorHAnsi" w:hAnsiTheme="majorHAnsi" w:cstheme="majorHAnsi"/>
          <w:sz w:val="24"/>
          <w:szCs w:val="24"/>
        </w:rPr>
        <w:footnoteReference w:id="32"/>
      </w:r>
      <w:r w:rsidR="00BA6D86">
        <w:rPr>
          <w:rFonts w:asciiTheme="majorHAnsi" w:hAnsiTheme="majorHAnsi" w:cstheme="majorHAnsi"/>
          <w:sz w:val="24"/>
          <w:szCs w:val="24"/>
        </w:rPr>
        <w:t xml:space="preserve"> </w:t>
      </w:r>
    </w:p>
    <w:p w14:paraId="113272A9" w14:textId="0431F41A" w:rsidR="00331B10" w:rsidRDefault="006B3F52" w:rsidP="00614C52">
      <w:pPr>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In summary, </w:t>
      </w:r>
      <w:r w:rsidR="001B0478">
        <w:rPr>
          <w:rFonts w:asciiTheme="majorHAnsi" w:hAnsiTheme="majorHAnsi" w:cstheme="majorHAnsi"/>
          <w:sz w:val="24"/>
          <w:szCs w:val="24"/>
        </w:rPr>
        <w:t xml:space="preserve">while </w:t>
      </w:r>
      <w:r w:rsidR="00614C52" w:rsidRPr="00614C52">
        <w:rPr>
          <w:rFonts w:asciiTheme="majorHAnsi" w:hAnsiTheme="majorHAnsi" w:cstheme="majorHAnsi"/>
          <w:sz w:val="24"/>
          <w:szCs w:val="24"/>
        </w:rPr>
        <w:t xml:space="preserve">Law students </w:t>
      </w:r>
      <w:r w:rsidR="00176E2B">
        <w:rPr>
          <w:rFonts w:asciiTheme="majorHAnsi" w:hAnsiTheme="majorHAnsi" w:cstheme="majorHAnsi"/>
          <w:sz w:val="24"/>
          <w:szCs w:val="24"/>
        </w:rPr>
        <w:t xml:space="preserve">(and indeed Law academics) </w:t>
      </w:r>
      <w:r w:rsidR="00242FD0">
        <w:rPr>
          <w:rFonts w:asciiTheme="majorHAnsi" w:hAnsiTheme="majorHAnsi" w:cstheme="majorHAnsi"/>
          <w:sz w:val="24"/>
          <w:szCs w:val="24"/>
        </w:rPr>
        <w:t>may traditionally be</w:t>
      </w:r>
      <w:r w:rsidR="00614C52" w:rsidRPr="00614C52">
        <w:rPr>
          <w:rFonts w:asciiTheme="majorHAnsi" w:hAnsiTheme="majorHAnsi" w:cstheme="majorHAnsi"/>
          <w:sz w:val="24"/>
          <w:szCs w:val="24"/>
        </w:rPr>
        <w:t xml:space="preserve"> trained and encouraged to think in a logical, rational manner</w:t>
      </w:r>
      <w:r w:rsidR="00560664">
        <w:rPr>
          <w:rFonts w:asciiTheme="majorHAnsi" w:hAnsiTheme="majorHAnsi" w:cstheme="majorHAnsi"/>
          <w:sz w:val="24"/>
          <w:szCs w:val="24"/>
        </w:rPr>
        <w:t xml:space="preserve">, </w:t>
      </w:r>
      <w:r w:rsidR="00614C52" w:rsidRPr="00614C52">
        <w:rPr>
          <w:rFonts w:asciiTheme="majorHAnsi" w:hAnsiTheme="majorHAnsi" w:cstheme="majorHAnsi"/>
          <w:sz w:val="24"/>
          <w:szCs w:val="24"/>
        </w:rPr>
        <w:t xml:space="preserve">it is unrealistic to deny the centrality of emotion to law and legal </w:t>
      </w:r>
      <w:r w:rsidR="002A2684">
        <w:rPr>
          <w:rFonts w:asciiTheme="majorHAnsi" w:hAnsiTheme="majorHAnsi" w:cstheme="majorHAnsi"/>
          <w:sz w:val="24"/>
          <w:szCs w:val="24"/>
        </w:rPr>
        <w:t>education.</w:t>
      </w:r>
      <w:r w:rsidR="000227BE">
        <w:rPr>
          <w:rFonts w:asciiTheme="majorHAnsi" w:hAnsiTheme="majorHAnsi" w:cstheme="majorHAnsi"/>
          <w:sz w:val="24"/>
          <w:szCs w:val="24"/>
        </w:rPr>
        <w:t xml:space="preserve"> </w:t>
      </w:r>
      <w:r w:rsidR="00B51859">
        <w:rPr>
          <w:rFonts w:asciiTheme="majorHAnsi" w:hAnsiTheme="majorHAnsi" w:cstheme="majorHAnsi"/>
          <w:sz w:val="24"/>
          <w:szCs w:val="24"/>
        </w:rPr>
        <w:t>I</w:t>
      </w:r>
      <w:r w:rsidR="000227BE">
        <w:rPr>
          <w:rFonts w:asciiTheme="majorHAnsi" w:hAnsiTheme="majorHAnsi" w:cstheme="majorHAnsi"/>
          <w:sz w:val="24"/>
          <w:szCs w:val="24"/>
        </w:rPr>
        <w:t xml:space="preserve">ndeed, </w:t>
      </w:r>
      <w:r w:rsidR="001258AC">
        <w:rPr>
          <w:rFonts w:asciiTheme="majorHAnsi" w:hAnsiTheme="majorHAnsi" w:cstheme="majorHAnsi"/>
          <w:sz w:val="24"/>
          <w:szCs w:val="24"/>
        </w:rPr>
        <w:t>‘</w:t>
      </w:r>
      <w:r w:rsidR="00614C52" w:rsidRPr="00614C52">
        <w:rPr>
          <w:rFonts w:asciiTheme="majorHAnsi" w:hAnsiTheme="majorHAnsi" w:cstheme="majorHAnsi"/>
          <w:sz w:val="24"/>
          <w:szCs w:val="24"/>
        </w:rPr>
        <w:t>the life of the law is, to a great extent, about the emotional life of a community; about its emotional relationships, its troubles and temptations, its conflicts and forms of resolving them</w:t>
      </w:r>
      <w:r w:rsidR="001258AC">
        <w:rPr>
          <w:rFonts w:asciiTheme="majorHAnsi" w:hAnsiTheme="majorHAnsi" w:cstheme="majorHAnsi"/>
          <w:sz w:val="24"/>
          <w:szCs w:val="24"/>
        </w:rPr>
        <w:t>’</w:t>
      </w:r>
      <w:r w:rsidR="00614C52" w:rsidRPr="00614C52">
        <w:rPr>
          <w:rFonts w:asciiTheme="majorHAnsi" w:hAnsiTheme="majorHAnsi" w:cstheme="majorHAnsi"/>
          <w:sz w:val="24"/>
          <w:szCs w:val="24"/>
        </w:rPr>
        <w:t>.</w:t>
      </w:r>
      <w:r w:rsidR="00614C52" w:rsidRPr="00614C52">
        <w:rPr>
          <w:rFonts w:asciiTheme="majorHAnsi" w:hAnsiTheme="majorHAnsi" w:cstheme="majorHAnsi"/>
          <w:sz w:val="24"/>
          <w:szCs w:val="24"/>
          <w:vertAlign w:val="superscript"/>
        </w:rPr>
        <w:footnoteReference w:id="33"/>
      </w:r>
      <w:r w:rsidR="00614C52" w:rsidRPr="00614C52">
        <w:rPr>
          <w:rFonts w:asciiTheme="majorHAnsi" w:hAnsiTheme="majorHAnsi" w:cstheme="majorHAnsi"/>
          <w:sz w:val="24"/>
          <w:szCs w:val="24"/>
        </w:rPr>
        <w:t xml:space="preserve"> </w:t>
      </w:r>
      <w:r w:rsidR="0028692D">
        <w:rPr>
          <w:rFonts w:asciiTheme="majorHAnsi" w:hAnsiTheme="majorHAnsi" w:cstheme="majorHAnsi"/>
          <w:sz w:val="24"/>
          <w:szCs w:val="24"/>
        </w:rPr>
        <w:t>S</w:t>
      </w:r>
      <w:r w:rsidR="00C551F2">
        <w:rPr>
          <w:rFonts w:asciiTheme="majorHAnsi" w:hAnsiTheme="majorHAnsi" w:cstheme="majorHAnsi"/>
          <w:sz w:val="24"/>
          <w:szCs w:val="24"/>
        </w:rPr>
        <w:t xml:space="preserve">o when </w:t>
      </w:r>
      <w:r w:rsidR="00614C52" w:rsidRPr="00614C52">
        <w:rPr>
          <w:rFonts w:asciiTheme="majorHAnsi" w:hAnsiTheme="majorHAnsi" w:cstheme="majorHAnsi"/>
          <w:sz w:val="24"/>
          <w:szCs w:val="24"/>
        </w:rPr>
        <w:t xml:space="preserve">Law teachers </w:t>
      </w:r>
      <w:r w:rsidR="001258AC">
        <w:rPr>
          <w:rFonts w:asciiTheme="majorHAnsi" w:hAnsiTheme="majorHAnsi" w:cstheme="majorHAnsi"/>
          <w:sz w:val="24"/>
          <w:szCs w:val="24"/>
        </w:rPr>
        <w:t>‘</w:t>
      </w:r>
      <w:r w:rsidR="00614C52" w:rsidRPr="00614C52">
        <w:rPr>
          <w:rFonts w:asciiTheme="majorHAnsi" w:hAnsiTheme="majorHAnsi" w:cstheme="majorHAnsi"/>
          <w:sz w:val="24"/>
          <w:szCs w:val="24"/>
        </w:rPr>
        <w:t>try to motivate students… they are appealing for an emotional response, a response which can become a launching pad for the emergence of the intellectual response</w:t>
      </w:r>
      <w:r w:rsidR="001258AC">
        <w:rPr>
          <w:rFonts w:asciiTheme="majorHAnsi" w:hAnsiTheme="majorHAnsi" w:cstheme="majorHAnsi"/>
          <w:sz w:val="24"/>
          <w:szCs w:val="24"/>
        </w:rPr>
        <w:t>’</w:t>
      </w:r>
      <w:r w:rsidR="00614C52" w:rsidRPr="00614C52">
        <w:rPr>
          <w:rFonts w:asciiTheme="majorHAnsi" w:hAnsiTheme="majorHAnsi" w:cstheme="majorHAnsi"/>
          <w:sz w:val="24"/>
          <w:szCs w:val="24"/>
        </w:rPr>
        <w:t>.</w:t>
      </w:r>
      <w:r w:rsidR="00614C52" w:rsidRPr="00614C52">
        <w:rPr>
          <w:rFonts w:asciiTheme="majorHAnsi" w:hAnsiTheme="majorHAnsi" w:cstheme="majorHAnsi"/>
          <w:sz w:val="24"/>
          <w:szCs w:val="24"/>
          <w:vertAlign w:val="superscript"/>
        </w:rPr>
        <w:footnoteReference w:id="34"/>
      </w:r>
      <w:r w:rsidR="00614C52" w:rsidRPr="00614C52">
        <w:rPr>
          <w:rFonts w:asciiTheme="majorHAnsi" w:hAnsiTheme="majorHAnsi" w:cstheme="majorHAnsi"/>
          <w:sz w:val="24"/>
          <w:szCs w:val="24"/>
        </w:rPr>
        <w:t xml:space="preserve"> </w:t>
      </w:r>
      <w:r w:rsidR="00560664">
        <w:rPr>
          <w:rFonts w:asciiTheme="majorHAnsi" w:hAnsiTheme="majorHAnsi" w:cstheme="majorHAnsi"/>
          <w:sz w:val="24"/>
          <w:szCs w:val="24"/>
        </w:rPr>
        <w:t>E</w:t>
      </w:r>
      <w:r w:rsidR="00614C52" w:rsidRPr="00614C52">
        <w:rPr>
          <w:rFonts w:asciiTheme="majorHAnsi" w:hAnsiTheme="majorHAnsi" w:cstheme="majorHAnsi"/>
          <w:sz w:val="24"/>
          <w:szCs w:val="24"/>
        </w:rPr>
        <w:t>ncouraging students to draw on their emotions to construct learning experiences c</w:t>
      </w:r>
      <w:r w:rsidR="00C551F2">
        <w:rPr>
          <w:rFonts w:asciiTheme="majorHAnsi" w:hAnsiTheme="majorHAnsi" w:cstheme="majorHAnsi"/>
          <w:sz w:val="24"/>
          <w:szCs w:val="24"/>
        </w:rPr>
        <w:t>an</w:t>
      </w:r>
      <w:r w:rsidR="00614C52" w:rsidRPr="00614C52">
        <w:rPr>
          <w:rFonts w:asciiTheme="majorHAnsi" w:hAnsiTheme="majorHAnsi" w:cstheme="majorHAnsi"/>
          <w:sz w:val="24"/>
          <w:szCs w:val="24"/>
        </w:rPr>
        <w:t xml:space="preserve"> be </w:t>
      </w:r>
      <w:r w:rsidR="0062670F">
        <w:rPr>
          <w:rFonts w:asciiTheme="majorHAnsi" w:hAnsiTheme="majorHAnsi" w:cstheme="majorHAnsi"/>
          <w:sz w:val="24"/>
          <w:szCs w:val="24"/>
        </w:rPr>
        <w:t xml:space="preserve">a challenge, but it can also be a </w:t>
      </w:r>
      <w:r w:rsidR="00614C52" w:rsidRPr="00614C52">
        <w:rPr>
          <w:rFonts w:asciiTheme="majorHAnsi" w:hAnsiTheme="majorHAnsi" w:cstheme="majorHAnsi"/>
          <w:sz w:val="24"/>
          <w:szCs w:val="24"/>
        </w:rPr>
        <w:t xml:space="preserve">powerful tool. </w:t>
      </w:r>
      <w:r w:rsidR="00E23A7A" w:rsidRPr="00E23A7A">
        <w:rPr>
          <w:rFonts w:asciiTheme="majorHAnsi" w:hAnsiTheme="majorHAnsi" w:cstheme="majorHAnsi"/>
          <w:sz w:val="24"/>
          <w:szCs w:val="24"/>
        </w:rPr>
        <w:t>Legal Essentials</w:t>
      </w:r>
      <w:r w:rsidR="00065463">
        <w:rPr>
          <w:rFonts w:asciiTheme="majorHAnsi" w:hAnsiTheme="majorHAnsi" w:cstheme="majorHAnsi"/>
          <w:sz w:val="24"/>
          <w:szCs w:val="24"/>
        </w:rPr>
        <w:t>’</w:t>
      </w:r>
      <w:r w:rsidR="00E23A7A" w:rsidRPr="00E23A7A">
        <w:rPr>
          <w:rFonts w:asciiTheme="majorHAnsi" w:hAnsiTheme="majorHAnsi" w:cstheme="majorHAnsi"/>
          <w:sz w:val="24"/>
          <w:szCs w:val="24"/>
        </w:rPr>
        <w:t xml:space="preserve"> wellbeing focus</w:t>
      </w:r>
      <w:r w:rsidR="00065463">
        <w:rPr>
          <w:rFonts w:asciiTheme="majorHAnsi" w:hAnsiTheme="majorHAnsi" w:cstheme="majorHAnsi"/>
          <w:sz w:val="24"/>
          <w:szCs w:val="24"/>
        </w:rPr>
        <w:t xml:space="preserve"> is</w:t>
      </w:r>
      <w:r w:rsidR="00E23A7A" w:rsidRPr="00E23A7A">
        <w:rPr>
          <w:rFonts w:asciiTheme="majorHAnsi" w:hAnsiTheme="majorHAnsi" w:cstheme="majorHAnsi"/>
          <w:sz w:val="24"/>
          <w:szCs w:val="24"/>
        </w:rPr>
        <w:t xml:space="preserve"> underpinned by </w:t>
      </w:r>
      <w:r w:rsidR="008F6ECA">
        <w:rPr>
          <w:rFonts w:asciiTheme="majorHAnsi" w:hAnsiTheme="majorHAnsi" w:cstheme="majorHAnsi"/>
          <w:sz w:val="24"/>
          <w:szCs w:val="24"/>
        </w:rPr>
        <w:t xml:space="preserve">these </w:t>
      </w:r>
      <w:r w:rsidR="00E23A7A" w:rsidRPr="00E23A7A">
        <w:rPr>
          <w:rFonts w:asciiTheme="majorHAnsi" w:hAnsiTheme="majorHAnsi" w:cstheme="majorHAnsi"/>
          <w:sz w:val="24"/>
          <w:szCs w:val="24"/>
        </w:rPr>
        <w:t>humanist and person-centred approaches</w:t>
      </w:r>
      <w:r w:rsidR="00E23A7A" w:rsidRPr="00E23A7A">
        <w:rPr>
          <w:rFonts w:asciiTheme="majorHAnsi" w:hAnsiTheme="majorHAnsi" w:cstheme="majorHAnsi"/>
          <w:sz w:val="24"/>
          <w:szCs w:val="24"/>
          <w:vertAlign w:val="superscript"/>
        </w:rPr>
        <w:footnoteReference w:id="35"/>
      </w:r>
      <w:r w:rsidR="00E23A7A" w:rsidRPr="00E23A7A">
        <w:rPr>
          <w:rFonts w:asciiTheme="majorHAnsi" w:hAnsiTheme="majorHAnsi" w:cstheme="majorHAnsi"/>
          <w:sz w:val="24"/>
          <w:szCs w:val="24"/>
        </w:rPr>
        <w:t xml:space="preserve"> to </w:t>
      </w:r>
      <w:r w:rsidR="00184E0C">
        <w:rPr>
          <w:rFonts w:asciiTheme="majorHAnsi" w:hAnsiTheme="majorHAnsi" w:cstheme="majorHAnsi"/>
          <w:sz w:val="24"/>
          <w:szCs w:val="24"/>
        </w:rPr>
        <w:t>design</w:t>
      </w:r>
      <w:r w:rsidR="00E23A7A" w:rsidRPr="00E23A7A">
        <w:rPr>
          <w:rFonts w:asciiTheme="majorHAnsi" w:hAnsiTheme="majorHAnsi" w:cstheme="majorHAnsi"/>
          <w:sz w:val="24"/>
          <w:szCs w:val="24"/>
        </w:rPr>
        <w:t xml:space="preserve">, </w:t>
      </w:r>
      <w:r w:rsidR="00184E0C">
        <w:rPr>
          <w:rFonts w:asciiTheme="majorHAnsi" w:hAnsiTheme="majorHAnsi" w:cstheme="majorHAnsi"/>
          <w:sz w:val="24"/>
          <w:szCs w:val="24"/>
        </w:rPr>
        <w:t>delivery,</w:t>
      </w:r>
      <w:r w:rsidR="00E23A7A" w:rsidRPr="00E23A7A">
        <w:rPr>
          <w:rFonts w:asciiTheme="majorHAnsi" w:hAnsiTheme="majorHAnsi" w:cstheme="majorHAnsi"/>
          <w:sz w:val="24"/>
          <w:szCs w:val="24"/>
        </w:rPr>
        <w:t xml:space="preserve"> and feedback and </w:t>
      </w:r>
      <w:r>
        <w:rPr>
          <w:rFonts w:asciiTheme="majorHAnsi" w:hAnsiTheme="majorHAnsi" w:cstheme="majorHAnsi"/>
          <w:sz w:val="24"/>
          <w:szCs w:val="24"/>
        </w:rPr>
        <w:t xml:space="preserve">by </w:t>
      </w:r>
      <w:r w:rsidR="00E23A7A" w:rsidRPr="00E23A7A">
        <w:rPr>
          <w:rFonts w:asciiTheme="majorHAnsi" w:hAnsiTheme="majorHAnsi" w:cstheme="majorHAnsi"/>
          <w:sz w:val="24"/>
          <w:szCs w:val="24"/>
        </w:rPr>
        <w:t xml:space="preserve">bringing together a team of lecturers with diverse </w:t>
      </w:r>
      <w:r w:rsidR="00CB133A">
        <w:rPr>
          <w:rFonts w:asciiTheme="majorHAnsi" w:hAnsiTheme="majorHAnsi" w:cstheme="majorHAnsi"/>
          <w:sz w:val="24"/>
          <w:szCs w:val="24"/>
        </w:rPr>
        <w:t xml:space="preserve">academic and personal </w:t>
      </w:r>
      <w:r w:rsidR="00E23A7A" w:rsidRPr="00E23A7A">
        <w:rPr>
          <w:rFonts w:asciiTheme="majorHAnsi" w:hAnsiTheme="majorHAnsi" w:cstheme="majorHAnsi"/>
          <w:sz w:val="24"/>
          <w:szCs w:val="24"/>
        </w:rPr>
        <w:t>histories</w:t>
      </w:r>
      <w:r w:rsidR="00DE647A">
        <w:rPr>
          <w:rFonts w:asciiTheme="majorHAnsi" w:hAnsiTheme="majorHAnsi" w:cstheme="majorHAnsi"/>
          <w:sz w:val="24"/>
          <w:szCs w:val="24"/>
        </w:rPr>
        <w:t xml:space="preserve"> to support students’ transition to HE</w:t>
      </w:r>
      <w:r w:rsidR="00E23A7A" w:rsidRPr="00E23A7A">
        <w:rPr>
          <w:rFonts w:asciiTheme="majorHAnsi" w:hAnsiTheme="majorHAnsi" w:cstheme="majorHAnsi"/>
          <w:sz w:val="24"/>
          <w:szCs w:val="24"/>
        </w:rPr>
        <w:t xml:space="preserve">. </w:t>
      </w:r>
    </w:p>
    <w:p w14:paraId="0C210FB7" w14:textId="4502948D" w:rsidR="0071521E" w:rsidRPr="00A258AE" w:rsidRDefault="002A3F9C" w:rsidP="00F224DD">
      <w:pPr>
        <w:shd w:val="clear" w:color="auto" w:fill="FFFFFF" w:themeFill="background1"/>
        <w:spacing w:line="240" w:lineRule="auto"/>
        <w:jc w:val="both"/>
        <w:rPr>
          <w:rFonts w:asciiTheme="majorHAnsi" w:hAnsiTheme="majorHAnsi" w:cstheme="majorHAnsi"/>
          <w:b/>
          <w:bCs/>
          <w:sz w:val="24"/>
          <w:szCs w:val="24"/>
        </w:rPr>
      </w:pPr>
      <w:r>
        <w:rPr>
          <w:rFonts w:asciiTheme="majorHAnsi" w:hAnsiTheme="majorHAnsi" w:cstheme="majorHAnsi"/>
          <w:b/>
          <w:bCs/>
          <w:sz w:val="24"/>
          <w:szCs w:val="24"/>
        </w:rPr>
        <w:t>3</w:t>
      </w:r>
      <w:r w:rsidR="00B37EAA">
        <w:rPr>
          <w:rFonts w:asciiTheme="majorHAnsi" w:hAnsiTheme="majorHAnsi" w:cstheme="majorHAnsi"/>
          <w:b/>
          <w:bCs/>
          <w:sz w:val="24"/>
          <w:szCs w:val="24"/>
        </w:rPr>
        <w:t xml:space="preserve">. </w:t>
      </w:r>
      <w:r w:rsidR="0071521E" w:rsidRPr="00A258AE">
        <w:rPr>
          <w:rFonts w:asciiTheme="majorHAnsi" w:hAnsiTheme="majorHAnsi" w:cstheme="majorHAnsi"/>
          <w:b/>
          <w:bCs/>
          <w:sz w:val="24"/>
          <w:szCs w:val="24"/>
        </w:rPr>
        <w:t>Law students at transition</w:t>
      </w:r>
    </w:p>
    <w:p w14:paraId="3DDB5991" w14:textId="48AF1716" w:rsidR="00CE1A9A" w:rsidRDefault="00967948" w:rsidP="00CE1A9A">
      <w:pPr>
        <w:spacing w:line="240" w:lineRule="auto"/>
        <w:jc w:val="both"/>
        <w:rPr>
          <w:rFonts w:asciiTheme="majorHAnsi" w:hAnsiTheme="majorHAnsi" w:cstheme="majorHAnsi"/>
          <w:sz w:val="24"/>
          <w:szCs w:val="24"/>
        </w:rPr>
      </w:pPr>
      <w:r>
        <w:rPr>
          <w:rFonts w:asciiTheme="majorHAnsi" w:hAnsiTheme="majorHAnsi" w:cstheme="majorHAnsi"/>
          <w:sz w:val="24"/>
          <w:szCs w:val="24"/>
        </w:rPr>
        <w:t>Learning and teaching in h</w:t>
      </w:r>
      <w:r w:rsidR="006332F0">
        <w:rPr>
          <w:rFonts w:asciiTheme="majorHAnsi" w:hAnsiTheme="majorHAnsi" w:cstheme="majorHAnsi"/>
          <w:sz w:val="24"/>
          <w:szCs w:val="24"/>
        </w:rPr>
        <w:t>igher</w:t>
      </w:r>
      <w:r w:rsidR="00C0383F">
        <w:rPr>
          <w:rFonts w:asciiTheme="majorHAnsi" w:hAnsiTheme="majorHAnsi" w:cstheme="majorHAnsi"/>
          <w:sz w:val="24"/>
          <w:szCs w:val="24"/>
        </w:rPr>
        <w:t xml:space="preserve"> education involves a </w:t>
      </w:r>
      <w:r w:rsidR="006332F0">
        <w:rPr>
          <w:rFonts w:asciiTheme="majorHAnsi" w:hAnsiTheme="majorHAnsi" w:cstheme="majorHAnsi"/>
          <w:sz w:val="24"/>
          <w:szCs w:val="24"/>
        </w:rPr>
        <w:t>transition</w:t>
      </w:r>
      <w:r w:rsidR="00C0383F" w:rsidRPr="00C0383F">
        <w:rPr>
          <w:rFonts w:asciiTheme="majorHAnsi" w:hAnsiTheme="majorHAnsi" w:cstheme="majorHAnsi"/>
          <w:sz w:val="24"/>
          <w:szCs w:val="24"/>
        </w:rPr>
        <w:t xml:space="preserve"> from pedagogy to</w:t>
      </w:r>
      <w:r w:rsidR="00DB3324">
        <w:rPr>
          <w:rFonts w:asciiTheme="majorHAnsi" w:hAnsiTheme="majorHAnsi" w:cstheme="majorHAnsi"/>
          <w:sz w:val="24"/>
          <w:szCs w:val="24"/>
        </w:rPr>
        <w:t>wards</w:t>
      </w:r>
      <w:r w:rsidR="00C0383F" w:rsidRPr="00C0383F">
        <w:rPr>
          <w:rFonts w:asciiTheme="majorHAnsi" w:hAnsiTheme="majorHAnsi" w:cstheme="majorHAnsi"/>
          <w:sz w:val="24"/>
          <w:szCs w:val="24"/>
        </w:rPr>
        <w:t xml:space="preserve"> andragogy. </w:t>
      </w:r>
      <w:r w:rsidR="006332F0">
        <w:rPr>
          <w:rFonts w:asciiTheme="majorHAnsi" w:hAnsiTheme="majorHAnsi" w:cstheme="majorHAnsi"/>
          <w:sz w:val="24"/>
          <w:szCs w:val="24"/>
        </w:rPr>
        <w:t>Andragogy</w:t>
      </w:r>
      <w:r w:rsidR="00041FA8">
        <w:rPr>
          <w:rFonts w:asciiTheme="majorHAnsi" w:hAnsiTheme="majorHAnsi" w:cstheme="majorHAnsi"/>
          <w:sz w:val="24"/>
          <w:szCs w:val="24"/>
        </w:rPr>
        <w:t xml:space="preserve"> constructs the learning experience as intrinsically </w:t>
      </w:r>
      <w:r w:rsidR="00AE6299">
        <w:rPr>
          <w:rFonts w:asciiTheme="majorHAnsi" w:hAnsiTheme="majorHAnsi" w:cstheme="majorHAnsi"/>
          <w:sz w:val="24"/>
          <w:szCs w:val="24"/>
        </w:rPr>
        <w:t>motivated and self-directed.</w:t>
      </w:r>
      <w:r w:rsidR="006332F0">
        <w:rPr>
          <w:rStyle w:val="FootnoteReference"/>
          <w:rFonts w:asciiTheme="majorHAnsi" w:hAnsiTheme="majorHAnsi" w:cstheme="majorHAnsi"/>
          <w:sz w:val="24"/>
          <w:szCs w:val="24"/>
        </w:rPr>
        <w:footnoteReference w:id="36"/>
      </w:r>
      <w:r w:rsidR="008D6A68">
        <w:rPr>
          <w:rFonts w:asciiTheme="majorHAnsi" w:hAnsiTheme="majorHAnsi" w:cstheme="majorHAnsi"/>
          <w:sz w:val="24"/>
          <w:szCs w:val="24"/>
        </w:rPr>
        <w:t xml:space="preserve"> </w:t>
      </w:r>
      <w:r w:rsidR="00AE6299">
        <w:rPr>
          <w:rFonts w:asciiTheme="majorHAnsi" w:hAnsiTheme="majorHAnsi" w:cstheme="majorHAnsi"/>
          <w:sz w:val="24"/>
          <w:szCs w:val="24"/>
        </w:rPr>
        <w:t>Higher Education institutions have t</w:t>
      </w:r>
      <w:r w:rsidR="007A56E3">
        <w:rPr>
          <w:rFonts w:asciiTheme="majorHAnsi" w:hAnsiTheme="majorHAnsi" w:cstheme="majorHAnsi"/>
          <w:sz w:val="24"/>
          <w:szCs w:val="24"/>
        </w:rPr>
        <w:t xml:space="preserve">raditionally assumed that students will arrive </w:t>
      </w:r>
      <w:r w:rsidR="00292AD3">
        <w:rPr>
          <w:rFonts w:asciiTheme="majorHAnsi" w:hAnsiTheme="majorHAnsi" w:cstheme="majorHAnsi"/>
          <w:sz w:val="24"/>
          <w:szCs w:val="24"/>
        </w:rPr>
        <w:t>fully formed</w:t>
      </w:r>
      <w:r w:rsidR="007A56E3">
        <w:rPr>
          <w:rFonts w:asciiTheme="majorHAnsi" w:hAnsiTheme="majorHAnsi" w:cstheme="majorHAnsi"/>
          <w:sz w:val="24"/>
          <w:szCs w:val="24"/>
        </w:rPr>
        <w:t xml:space="preserve"> as </w:t>
      </w:r>
      <w:r w:rsidR="008D6A68" w:rsidRPr="00C0383F">
        <w:rPr>
          <w:rFonts w:asciiTheme="majorHAnsi" w:hAnsiTheme="majorHAnsi" w:cstheme="majorHAnsi"/>
          <w:sz w:val="24"/>
          <w:szCs w:val="24"/>
        </w:rPr>
        <w:t>self-motivating, organised, mature adults</w:t>
      </w:r>
      <w:r w:rsidR="00554AE1">
        <w:rPr>
          <w:rFonts w:asciiTheme="majorHAnsi" w:hAnsiTheme="majorHAnsi" w:cstheme="majorHAnsi"/>
          <w:sz w:val="24"/>
          <w:szCs w:val="24"/>
        </w:rPr>
        <w:t>, but in fact we</w:t>
      </w:r>
      <w:r w:rsidR="003F6C99">
        <w:rPr>
          <w:rFonts w:asciiTheme="majorHAnsi" w:hAnsiTheme="majorHAnsi" w:cstheme="majorHAnsi"/>
          <w:sz w:val="24"/>
          <w:szCs w:val="24"/>
        </w:rPr>
        <w:t xml:space="preserve"> </w:t>
      </w:r>
      <w:r w:rsidR="00C0383F" w:rsidRPr="00C0383F">
        <w:rPr>
          <w:rFonts w:asciiTheme="majorHAnsi" w:hAnsiTheme="majorHAnsi" w:cstheme="majorHAnsi"/>
          <w:sz w:val="24"/>
          <w:szCs w:val="24"/>
        </w:rPr>
        <w:t xml:space="preserve">inherit </w:t>
      </w:r>
      <w:r w:rsidR="00EA6792">
        <w:rPr>
          <w:rFonts w:asciiTheme="majorHAnsi" w:hAnsiTheme="majorHAnsi" w:cstheme="majorHAnsi"/>
          <w:sz w:val="24"/>
          <w:szCs w:val="24"/>
        </w:rPr>
        <w:t>new learner</w:t>
      </w:r>
      <w:r w:rsidR="00554AE1">
        <w:rPr>
          <w:rFonts w:asciiTheme="majorHAnsi" w:hAnsiTheme="majorHAnsi" w:cstheme="majorHAnsi"/>
          <w:sz w:val="24"/>
          <w:szCs w:val="24"/>
        </w:rPr>
        <w:t>s</w:t>
      </w:r>
      <w:r w:rsidR="0066656A">
        <w:rPr>
          <w:rFonts w:asciiTheme="majorHAnsi" w:hAnsiTheme="majorHAnsi" w:cstheme="majorHAnsi"/>
          <w:sz w:val="24"/>
          <w:szCs w:val="24"/>
        </w:rPr>
        <w:t xml:space="preserve"> who</w:t>
      </w:r>
      <w:r w:rsidR="0066656A">
        <w:rPr>
          <w:rStyle w:val="CommentReference"/>
        </w:rPr>
        <w:t xml:space="preserve"> </w:t>
      </w:r>
      <w:r w:rsidR="00554AE1">
        <w:rPr>
          <w:rFonts w:asciiTheme="majorHAnsi" w:hAnsiTheme="majorHAnsi" w:cstheme="majorHAnsi"/>
          <w:sz w:val="24"/>
          <w:szCs w:val="24"/>
        </w:rPr>
        <w:t>are</w:t>
      </w:r>
      <w:r w:rsidR="00C0383F" w:rsidRPr="00C0383F">
        <w:rPr>
          <w:rFonts w:asciiTheme="majorHAnsi" w:hAnsiTheme="majorHAnsi" w:cstheme="majorHAnsi"/>
          <w:sz w:val="24"/>
          <w:szCs w:val="24"/>
        </w:rPr>
        <w:t xml:space="preserve"> n</w:t>
      </w:r>
      <w:r w:rsidR="00AE0FFD">
        <w:rPr>
          <w:rFonts w:asciiTheme="majorHAnsi" w:hAnsiTheme="majorHAnsi" w:cstheme="majorHAnsi"/>
          <w:sz w:val="24"/>
          <w:szCs w:val="24"/>
        </w:rPr>
        <w:t xml:space="preserve">ot </w:t>
      </w:r>
      <w:r w:rsidR="00EA6792">
        <w:rPr>
          <w:rFonts w:asciiTheme="majorHAnsi" w:hAnsiTheme="majorHAnsi" w:cstheme="majorHAnsi"/>
          <w:sz w:val="24"/>
          <w:szCs w:val="24"/>
        </w:rPr>
        <w:t>necessarily</w:t>
      </w:r>
      <w:r w:rsidR="0066656A">
        <w:rPr>
          <w:rFonts w:asciiTheme="majorHAnsi" w:hAnsiTheme="majorHAnsi" w:cstheme="majorHAnsi"/>
          <w:sz w:val="24"/>
          <w:szCs w:val="24"/>
        </w:rPr>
        <w:t xml:space="preserve"> equipped f</w:t>
      </w:r>
      <w:r w:rsidR="00AE0FFD">
        <w:rPr>
          <w:rFonts w:asciiTheme="majorHAnsi" w:hAnsiTheme="majorHAnsi" w:cstheme="majorHAnsi"/>
          <w:sz w:val="24"/>
          <w:szCs w:val="24"/>
        </w:rPr>
        <w:t>or</w:t>
      </w:r>
      <w:r w:rsidR="00C0383F" w:rsidRPr="00C0383F">
        <w:rPr>
          <w:rFonts w:asciiTheme="majorHAnsi" w:hAnsiTheme="majorHAnsi" w:cstheme="majorHAnsi"/>
          <w:sz w:val="24"/>
          <w:szCs w:val="24"/>
        </w:rPr>
        <w:t xml:space="preserve"> active</w:t>
      </w:r>
      <w:r w:rsidR="0066656A">
        <w:rPr>
          <w:rFonts w:asciiTheme="majorHAnsi" w:hAnsiTheme="majorHAnsi" w:cstheme="majorHAnsi"/>
          <w:sz w:val="24"/>
          <w:szCs w:val="24"/>
        </w:rPr>
        <w:t xml:space="preserve"> participation </w:t>
      </w:r>
      <w:r w:rsidR="00C0383F" w:rsidRPr="00C0383F">
        <w:rPr>
          <w:rFonts w:asciiTheme="majorHAnsi" w:hAnsiTheme="majorHAnsi" w:cstheme="majorHAnsi"/>
          <w:sz w:val="24"/>
          <w:szCs w:val="24"/>
        </w:rPr>
        <w:t>in</w:t>
      </w:r>
      <w:r w:rsidR="0066656A">
        <w:rPr>
          <w:rFonts w:asciiTheme="majorHAnsi" w:hAnsiTheme="majorHAnsi" w:cstheme="majorHAnsi"/>
          <w:sz w:val="24"/>
          <w:szCs w:val="24"/>
        </w:rPr>
        <w:t xml:space="preserve">, or recognition </w:t>
      </w:r>
      <w:r w:rsidR="00493842">
        <w:rPr>
          <w:rFonts w:asciiTheme="majorHAnsi" w:hAnsiTheme="majorHAnsi" w:cstheme="majorHAnsi"/>
          <w:sz w:val="24"/>
          <w:szCs w:val="24"/>
        </w:rPr>
        <w:t xml:space="preserve">of, </w:t>
      </w:r>
      <w:r w:rsidR="00493842" w:rsidRPr="00C0383F">
        <w:rPr>
          <w:rFonts w:asciiTheme="majorHAnsi" w:hAnsiTheme="majorHAnsi" w:cstheme="majorHAnsi"/>
          <w:sz w:val="24"/>
          <w:szCs w:val="24"/>
        </w:rPr>
        <w:t>their</w:t>
      </w:r>
      <w:r w:rsidR="002D0690">
        <w:rPr>
          <w:rFonts w:asciiTheme="majorHAnsi" w:hAnsiTheme="majorHAnsi" w:cstheme="majorHAnsi"/>
          <w:sz w:val="24"/>
          <w:szCs w:val="24"/>
        </w:rPr>
        <w:t xml:space="preserve"> learning</w:t>
      </w:r>
      <w:r w:rsidR="00C0383F" w:rsidRPr="00C0383F">
        <w:rPr>
          <w:rFonts w:asciiTheme="majorHAnsi" w:hAnsiTheme="majorHAnsi" w:cstheme="majorHAnsi"/>
          <w:sz w:val="24"/>
          <w:szCs w:val="24"/>
        </w:rPr>
        <w:t>.</w:t>
      </w:r>
      <w:r w:rsidR="00292AD3">
        <w:rPr>
          <w:rFonts w:asciiTheme="majorHAnsi" w:hAnsiTheme="majorHAnsi" w:cstheme="majorHAnsi"/>
          <w:sz w:val="24"/>
          <w:szCs w:val="24"/>
        </w:rPr>
        <w:t xml:space="preserve"> </w:t>
      </w:r>
      <w:r w:rsidR="00E72789">
        <w:rPr>
          <w:rFonts w:asciiTheme="majorHAnsi" w:hAnsiTheme="majorHAnsi" w:cstheme="majorHAnsi"/>
          <w:sz w:val="24"/>
          <w:szCs w:val="24"/>
        </w:rPr>
        <w:t>The c</w:t>
      </w:r>
      <w:r w:rsidR="00CE1A9A" w:rsidRPr="00C0383F">
        <w:rPr>
          <w:rFonts w:asciiTheme="majorHAnsi" w:hAnsiTheme="majorHAnsi" w:cstheme="majorHAnsi"/>
          <w:sz w:val="24"/>
          <w:szCs w:val="24"/>
        </w:rPr>
        <w:t xml:space="preserve">hallenge of moving from pedagogy to andragogy </w:t>
      </w:r>
      <w:r w:rsidR="00952069">
        <w:rPr>
          <w:rFonts w:asciiTheme="majorHAnsi" w:hAnsiTheme="majorHAnsi" w:cstheme="majorHAnsi"/>
          <w:sz w:val="24"/>
          <w:szCs w:val="24"/>
        </w:rPr>
        <w:t xml:space="preserve">is </w:t>
      </w:r>
      <w:r w:rsidR="00CE1A9A" w:rsidRPr="00C0383F">
        <w:rPr>
          <w:rFonts w:asciiTheme="majorHAnsi" w:hAnsiTheme="majorHAnsi" w:cstheme="majorHAnsi"/>
          <w:sz w:val="24"/>
          <w:szCs w:val="24"/>
        </w:rPr>
        <w:t xml:space="preserve">due to </w:t>
      </w:r>
      <w:r w:rsidR="00952069">
        <w:rPr>
          <w:rFonts w:asciiTheme="majorHAnsi" w:hAnsiTheme="majorHAnsi" w:cstheme="majorHAnsi"/>
          <w:sz w:val="24"/>
          <w:szCs w:val="24"/>
        </w:rPr>
        <w:t xml:space="preserve">two </w:t>
      </w:r>
      <w:r w:rsidR="00BF7060">
        <w:rPr>
          <w:rFonts w:asciiTheme="majorHAnsi" w:hAnsiTheme="majorHAnsi" w:cstheme="majorHAnsi"/>
          <w:sz w:val="24"/>
          <w:szCs w:val="24"/>
        </w:rPr>
        <w:t xml:space="preserve">key </w:t>
      </w:r>
      <w:r w:rsidR="00CE1A9A" w:rsidRPr="00C0383F">
        <w:rPr>
          <w:rFonts w:asciiTheme="majorHAnsi" w:hAnsiTheme="majorHAnsi" w:cstheme="majorHAnsi"/>
          <w:sz w:val="24"/>
          <w:szCs w:val="24"/>
        </w:rPr>
        <w:t>gaps</w:t>
      </w:r>
      <w:r w:rsidR="00BF7060">
        <w:rPr>
          <w:rFonts w:asciiTheme="majorHAnsi" w:hAnsiTheme="majorHAnsi" w:cstheme="majorHAnsi"/>
          <w:sz w:val="24"/>
          <w:szCs w:val="24"/>
        </w:rPr>
        <w:t xml:space="preserve"> between further and higher education</w:t>
      </w:r>
      <w:r w:rsidR="00CE1A9A" w:rsidRPr="00C0383F">
        <w:rPr>
          <w:rFonts w:asciiTheme="majorHAnsi" w:hAnsiTheme="majorHAnsi" w:cstheme="majorHAnsi"/>
          <w:sz w:val="24"/>
          <w:szCs w:val="24"/>
        </w:rPr>
        <w:t xml:space="preserve">. </w:t>
      </w:r>
      <w:r w:rsidR="00952069">
        <w:rPr>
          <w:rFonts w:asciiTheme="majorHAnsi" w:hAnsiTheme="majorHAnsi" w:cstheme="majorHAnsi"/>
          <w:sz w:val="24"/>
          <w:szCs w:val="24"/>
        </w:rPr>
        <w:t>Firstly, there is an i</w:t>
      </w:r>
      <w:r w:rsidR="00CE1A9A" w:rsidRPr="00C0383F">
        <w:rPr>
          <w:rFonts w:asciiTheme="majorHAnsi" w:hAnsiTheme="majorHAnsi" w:cstheme="majorHAnsi"/>
          <w:sz w:val="24"/>
          <w:szCs w:val="24"/>
        </w:rPr>
        <w:t>nstitutional gap</w:t>
      </w:r>
      <w:r w:rsidR="00952069">
        <w:rPr>
          <w:rFonts w:asciiTheme="majorHAnsi" w:hAnsiTheme="majorHAnsi" w:cstheme="majorHAnsi"/>
          <w:sz w:val="24"/>
          <w:szCs w:val="24"/>
        </w:rPr>
        <w:t xml:space="preserve">, </w:t>
      </w:r>
      <w:r w:rsidR="00CE1A9A" w:rsidRPr="00C0383F">
        <w:rPr>
          <w:rFonts w:asciiTheme="majorHAnsi" w:hAnsiTheme="majorHAnsi" w:cstheme="majorHAnsi"/>
          <w:sz w:val="24"/>
          <w:szCs w:val="24"/>
        </w:rPr>
        <w:t>because</w:t>
      </w:r>
      <w:r w:rsidR="00952069">
        <w:rPr>
          <w:rFonts w:asciiTheme="majorHAnsi" w:hAnsiTheme="majorHAnsi" w:cstheme="majorHAnsi"/>
          <w:sz w:val="24"/>
          <w:szCs w:val="24"/>
        </w:rPr>
        <w:t xml:space="preserve"> further</w:t>
      </w:r>
      <w:r w:rsidR="00CE1A9A" w:rsidRPr="00C0383F">
        <w:rPr>
          <w:rFonts w:asciiTheme="majorHAnsi" w:hAnsiTheme="majorHAnsi" w:cstheme="majorHAnsi"/>
          <w:sz w:val="24"/>
          <w:szCs w:val="24"/>
        </w:rPr>
        <w:t xml:space="preserve"> and </w:t>
      </w:r>
      <w:r w:rsidR="00952069">
        <w:rPr>
          <w:rFonts w:asciiTheme="majorHAnsi" w:hAnsiTheme="majorHAnsi" w:cstheme="majorHAnsi"/>
          <w:sz w:val="24"/>
          <w:szCs w:val="24"/>
        </w:rPr>
        <w:t xml:space="preserve">higher </w:t>
      </w:r>
      <w:r w:rsidR="00493842">
        <w:rPr>
          <w:rFonts w:asciiTheme="majorHAnsi" w:hAnsiTheme="majorHAnsi" w:cstheme="majorHAnsi"/>
          <w:sz w:val="24"/>
          <w:szCs w:val="24"/>
        </w:rPr>
        <w:t xml:space="preserve">education curricula </w:t>
      </w:r>
      <w:r w:rsidR="00CE1A9A" w:rsidRPr="00C0383F">
        <w:rPr>
          <w:rFonts w:asciiTheme="majorHAnsi" w:hAnsiTheme="majorHAnsi" w:cstheme="majorHAnsi"/>
          <w:sz w:val="24"/>
          <w:szCs w:val="24"/>
        </w:rPr>
        <w:t xml:space="preserve">are structured so differently. </w:t>
      </w:r>
      <w:r w:rsidR="00952069">
        <w:rPr>
          <w:rFonts w:asciiTheme="majorHAnsi" w:hAnsiTheme="majorHAnsi" w:cstheme="majorHAnsi"/>
          <w:sz w:val="24"/>
          <w:szCs w:val="24"/>
        </w:rPr>
        <w:t>Secondly, there is an</w:t>
      </w:r>
      <w:r w:rsidR="00CE1A9A" w:rsidRPr="00C0383F">
        <w:rPr>
          <w:rFonts w:asciiTheme="majorHAnsi" w:hAnsiTheme="majorHAnsi" w:cstheme="majorHAnsi"/>
          <w:sz w:val="24"/>
          <w:szCs w:val="24"/>
        </w:rPr>
        <w:t xml:space="preserve"> interpersonal gap</w:t>
      </w:r>
      <w:r w:rsidR="00952069">
        <w:rPr>
          <w:rFonts w:asciiTheme="majorHAnsi" w:hAnsiTheme="majorHAnsi" w:cstheme="majorHAnsi"/>
          <w:sz w:val="24"/>
          <w:szCs w:val="24"/>
        </w:rPr>
        <w:t>, in</w:t>
      </w:r>
      <w:r w:rsidR="00CE1A9A" w:rsidRPr="00C0383F">
        <w:rPr>
          <w:rFonts w:asciiTheme="majorHAnsi" w:hAnsiTheme="majorHAnsi" w:cstheme="majorHAnsi"/>
          <w:sz w:val="24"/>
          <w:szCs w:val="24"/>
        </w:rPr>
        <w:t xml:space="preserve"> how students relate to academics and their own peers</w:t>
      </w:r>
      <w:r w:rsidR="00BF2591">
        <w:rPr>
          <w:rFonts w:asciiTheme="majorHAnsi" w:hAnsiTheme="majorHAnsi" w:cstheme="majorHAnsi"/>
          <w:sz w:val="24"/>
          <w:szCs w:val="24"/>
        </w:rPr>
        <w:t>,</w:t>
      </w:r>
      <w:r w:rsidR="00493842">
        <w:rPr>
          <w:rFonts w:asciiTheme="majorHAnsi" w:hAnsiTheme="majorHAnsi" w:cstheme="majorHAnsi"/>
          <w:sz w:val="24"/>
          <w:szCs w:val="24"/>
        </w:rPr>
        <w:t xml:space="preserve"> in the modified and student-led environment.</w:t>
      </w:r>
      <w:r w:rsidR="00BF2591">
        <w:rPr>
          <w:rFonts w:asciiTheme="majorHAnsi" w:hAnsiTheme="majorHAnsi" w:cstheme="majorHAnsi"/>
          <w:sz w:val="24"/>
          <w:szCs w:val="24"/>
        </w:rPr>
        <w:t xml:space="preserve"> </w:t>
      </w:r>
      <w:r w:rsidR="00717BB4">
        <w:rPr>
          <w:rFonts w:asciiTheme="majorHAnsi" w:hAnsiTheme="majorHAnsi" w:cstheme="majorHAnsi"/>
          <w:sz w:val="24"/>
          <w:szCs w:val="24"/>
        </w:rPr>
        <w:t xml:space="preserve">The </w:t>
      </w:r>
      <w:r>
        <w:rPr>
          <w:rFonts w:asciiTheme="majorHAnsi" w:hAnsiTheme="majorHAnsi" w:cstheme="majorHAnsi"/>
          <w:sz w:val="24"/>
          <w:szCs w:val="24"/>
        </w:rPr>
        <w:t>“</w:t>
      </w:r>
      <w:r w:rsidR="00717BB4">
        <w:rPr>
          <w:rFonts w:asciiTheme="majorHAnsi" w:hAnsiTheme="majorHAnsi" w:cstheme="majorHAnsi"/>
          <w:sz w:val="24"/>
          <w:szCs w:val="24"/>
        </w:rPr>
        <w:t>a</w:t>
      </w:r>
      <w:r w:rsidR="00CE1A9A">
        <w:rPr>
          <w:rFonts w:asciiTheme="majorHAnsi" w:hAnsiTheme="majorHAnsi" w:cstheme="majorHAnsi"/>
          <w:sz w:val="24"/>
          <w:szCs w:val="24"/>
        </w:rPr>
        <w:t>ctive participant</w:t>
      </w:r>
      <w:r>
        <w:rPr>
          <w:rFonts w:asciiTheme="majorHAnsi" w:hAnsiTheme="majorHAnsi" w:cstheme="majorHAnsi"/>
          <w:sz w:val="24"/>
          <w:szCs w:val="24"/>
        </w:rPr>
        <w:t>”</w:t>
      </w:r>
      <w:r w:rsidR="00CE1A9A">
        <w:rPr>
          <w:rFonts w:asciiTheme="majorHAnsi" w:hAnsiTheme="majorHAnsi" w:cstheme="majorHAnsi"/>
          <w:sz w:val="24"/>
          <w:szCs w:val="24"/>
        </w:rPr>
        <w:t xml:space="preserve"> in learning </w:t>
      </w:r>
      <w:r w:rsidR="00F47E5D">
        <w:rPr>
          <w:rFonts w:asciiTheme="majorHAnsi" w:hAnsiTheme="majorHAnsi" w:cstheme="majorHAnsi"/>
          <w:sz w:val="24"/>
          <w:szCs w:val="24"/>
        </w:rPr>
        <w:t>is an</w:t>
      </w:r>
      <w:r w:rsidR="00CE1A9A">
        <w:rPr>
          <w:rFonts w:asciiTheme="majorHAnsi" w:hAnsiTheme="majorHAnsi" w:cstheme="majorHAnsi"/>
          <w:sz w:val="24"/>
          <w:szCs w:val="24"/>
        </w:rPr>
        <w:t xml:space="preserve"> </w:t>
      </w:r>
      <w:r w:rsidR="0060671F">
        <w:rPr>
          <w:rFonts w:asciiTheme="majorHAnsi" w:hAnsiTheme="majorHAnsi" w:cstheme="majorHAnsi"/>
          <w:sz w:val="24"/>
          <w:szCs w:val="24"/>
        </w:rPr>
        <w:t>‘</w:t>
      </w:r>
      <w:r w:rsidR="00CE1A9A">
        <w:rPr>
          <w:rFonts w:asciiTheme="majorHAnsi" w:hAnsiTheme="majorHAnsi" w:cstheme="majorHAnsi"/>
          <w:sz w:val="24"/>
          <w:szCs w:val="24"/>
        </w:rPr>
        <w:t xml:space="preserve">individual and intricate interaction of values, goals, motivation, expectations and engagement… imbued with, and profoundly </w:t>
      </w:r>
      <w:r w:rsidR="00CE1A9A">
        <w:rPr>
          <w:rFonts w:asciiTheme="majorHAnsi" w:hAnsiTheme="majorHAnsi" w:cstheme="majorHAnsi"/>
          <w:sz w:val="24"/>
          <w:szCs w:val="24"/>
        </w:rPr>
        <w:lastRenderedPageBreak/>
        <w:t xml:space="preserve">influenced by, </w:t>
      </w:r>
      <w:proofErr w:type="gramStart"/>
      <w:r w:rsidR="00CE1A9A">
        <w:rPr>
          <w:rFonts w:asciiTheme="majorHAnsi" w:hAnsiTheme="majorHAnsi" w:cstheme="majorHAnsi"/>
          <w:sz w:val="24"/>
          <w:szCs w:val="24"/>
        </w:rPr>
        <w:t>emotions</w:t>
      </w:r>
      <w:r w:rsidR="0060671F">
        <w:rPr>
          <w:rFonts w:asciiTheme="majorHAnsi" w:hAnsiTheme="majorHAnsi" w:cstheme="majorHAnsi"/>
          <w:sz w:val="24"/>
          <w:szCs w:val="24"/>
        </w:rPr>
        <w:t>’</w:t>
      </w:r>
      <w:proofErr w:type="gramEnd"/>
      <w:r w:rsidR="00CE1A9A">
        <w:rPr>
          <w:rFonts w:asciiTheme="majorHAnsi" w:hAnsiTheme="majorHAnsi" w:cstheme="majorHAnsi"/>
          <w:sz w:val="24"/>
          <w:szCs w:val="24"/>
        </w:rPr>
        <w:t>.</w:t>
      </w:r>
      <w:r w:rsidR="00CE1A9A">
        <w:rPr>
          <w:rStyle w:val="FootnoteReference"/>
          <w:rFonts w:asciiTheme="majorHAnsi" w:hAnsiTheme="majorHAnsi" w:cstheme="majorHAnsi"/>
          <w:sz w:val="24"/>
          <w:szCs w:val="24"/>
        </w:rPr>
        <w:footnoteReference w:id="37"/>
      </w:r>
      <w:r w:rsidR="007E09D3">
        <w:rPr>
          <w:rFonts w:asciiTheme="majorHAnsi" w:hAnsiTheme="majorHAnsi" w:cstheme="majorHAnsi"/>
          <w:sz w:val="24"/>
          <w:szCs w:val="24"/>
        </w:rPr>
        <w:t xml:space="preserve"> This suggests a significant emotional </w:t>
      </w:r>
      <w:r w:rsidR="009A68E8" w:rsidRPr="00C0383F">
        <w:rPr>
          <w:rFonts w:asciiTheme="majorHAnsi" w:hAnsiTheme="majorHAnsi" w:cstheme="majorHAnsi"/>
          <w:sz w:val="24"/>
          <w:szCs w:val="24"/>
        </w:rPr>
        <w:t>discrepancy</w:t>
      </w:r>
      <w:r w:rsidR="008F137A">
        <w:rPr>
          <w:rFonts w:asciiTheme="majorHAnsi" w:hAnsiTheme="majorHAnsi" w:cstheme="majorHAnsi"/>
          <w:sz w:val="24"/>
          <w:szCs w:val="24"/>
        </w:rPr>
        <w:t xml:space="preserve"> occurring within the student at transition. </w:t>
      </w:r>
    </w:p>
    <w:p w14:paraId="634C425D" w14:textId="3C880C28" w:rsidR="007B5CF7" w:rsidRDefault="003F21EE" w:rsidP="000A4F56">
      <w:pPr>
        <w:spacing w:line="240" w:lineRule="auto"/>
        <w:jc w:val="both"/>
        <w:rPr>
          <w:rFonts w:asciiTheme="majorHAnsi" w:hAnsiTheme="majorHAnsi" w:cstheme="majorHAnsi"/>
          <w:sz w:val="24"/>
          <w:szCs w:val="24"/>
        </w:rPr>
      </w:pPr>
      <w:r>
        <w:rPr>
          <w:rFonts w:asciiTheme="majorHAnsi" w:hAnsiTheme="majorHAnsi" w:cstheme="majorHAnsi"/>
          <w:sz w:val="24"/>
          <w:szCs w:val="24"/>
        </w:rPr>
        <w:t>Moreover, t</w:t>
      </w:r>
      <w:r w:rsidR="00F47E5D" w:rsidRPr="00EC47D6">
        <w:rPr>
          <w:rFonts w:asciiTheme="majorHAnsi" w:hAnsiTheme="majorHAnsi" w:cstheme="majorHAnsi"/>
          <w:sz w:val="24"/>
          <w:szCs w:val="24"/>
        </w:rPr>
        <w:t xml:space="preserve">he process of transitioning to </w:t>
      </w:r>
      <w:r w:rsidR="007B4C17">
        <w:rPr>
          <w:rFonts w:asciiTheme="majorHAnsi" w:hAnsiTheme="majorHAnsi" w:cstheme="majorHAnsi"/>
          <w:sz w:val="24"/>
          <w:szCs w:val="24"/>
        </w:rPr>
        <w:t>higher education</w:t>
      </w:r>
      <w:r w:rsidR="00B61A3C">
        <w:rPr>
          <w:rFonts w:asciiTheme="majorHAnsi" w:hAnsiTheme="majorHAnsi" w:cstheme="majorHAnsi"/>
          <w:sz w:val="24"/>
          <w:szCs w:val="24"/>
        </w:rPr>
        <w:t xml:space="preserve"> also</w:t>
      </w:r>
      <w:r w:rsidR="00F47E5D" w:rsidRPr="00EC47D6">
        <w:rPr>
          <w:rFonts w:asciiTheme="majorHAnsi" w:hAnsiTheme="majorHAnsi" w:cstheme="majorHAnsi"/>
          <w:sz w:val="24"/>
          <w:szCs w:val="24"/>
        </w:rPr>
        <w:t xml:space="preserve"> in</w:t>
      </w:r>
      <w:r w:rsidR="00B61A3C">
        <w:rPr>
          <w:rFonts w:asciiTheme="majorHAnsi" w:hAnsiTheme="majorHAnsi" w:cstheme="majorHAnsi"/>
          <w:sz w:val="24"/>
          <w:szCs w:val="24"/>
        </w:rPr>
        <w:t>volves an</w:t>
      </w:r>
      <w:r w:rsidR="00F47E5D" w:rsidRPr="00EC47D6">
        <w:rPr>
          <w:rFonts w:asciiTheme="majorHAnsi" w:hAnsiTheme="majorHAnsi" w:cstheme="majorHAnsi"/>
          <w:sz w:val="24"/>
          <w:szCs w:val="24"/>
        </w:rPr>
        <w:t xml:space="preserve"> expectation that students actively develop their own response to learning</w:t>
      </w:r>
      <w:r w:rsidR="00F47E5D" w:rsidRPr="00EC47D6">
        <w:rPr>
          <w:rFonts w:asciiTheme="majorHAnsi" w:hAnsiTheme="majorHAnsi" w:cstheme="majorHAnsi"/>
          <w:sz w:val="24"/>
          <w:szCs w:val="24"/>
          <w:vertAlign w:val="superscript"/>
        </w:rPr>
        <w:footnoteReference w:id="38"/>
      </w:r>
      <w:r w:rsidR="00F47E5D" w:rsidRPr="00EC47D6">
        <w:rPr>
          <w:rFonts w:asciiTheme="majorHAnsi" w:hAnsiTheme="majorHAnsi" w:cstheme="majorHAnsi"/>
          <w:sz w:val="24"/>
          <w:szCs w:val="24"/>
        </w:rPr>
        <w:t xml:space="preserve"> (outside of the institutional structure) and </w:t>
      </w:r>
      <w:r w:rsidR="00C337C1">
        <w:rPr>
          <w:rFonts w:asciiTheme="majorHAnsi" w:hAnsiTheme="majorHAnsi" w:cstheme="majorHAnsi"/>
          <w:sz w:val="24"/>
          <w:szCs w:val="24"/>
        </w:rPr>
        <w:t>an</w:t>
      </w:r>
      <w:r w:rsidR="00F47E5D" w:rsidRPr="00EC47D6">
        <w:rPr>
          <w:rFonts w:asciiTheme="majorHAnsi" w:hAnsiTheme="majorHAnsi" w:cstheme="majorHAnsi"/>
          <w:sz w:val="24"/>
          <w:szCs w:val="24"/>
        </w:rPr>
        <w:t xml:space="preserve"> ability to be able to think about their </w:t>
      </w:r>
      <w:r w:rsidR="00C337C1">
        <w:rPr>
          <w:rFonts w:asciiTheme="majorHAnsi" w:hAnsiTheme="majorHAnsi" w:cstheme="majorHAnsi"/>
          <w:sz w:val="24"/>
          <w:szCs w:val="24"/>
        </w:rPr>
        <w:t xml:space="preserve">own </w:t>
      </w:r>
      <w:r w:rsidR="00F47E5D" w:rsidRPr="00EC47D6">
        <w:rPr>
          <w:rFonts w:asciiTheme="majorHAnsi" w:hAnsiTheme="majorHAnsi" w:cstheme="majorHAnsi"/>
          <w:sz w:val="24"/>
          <w:szCs w:val="24"/>
        </w:rPr>
        <w:t>thinking and learning</w:t>
      </w:r>
      <w:r w:rsidR="00C337C1">
        <w:rPr>
          <w:rFonts w:asciiTheme="majorHAnsi" w:hAnsiTheme="majorHAnsi" w:cstheme="majorHAnsi"/>
          <w:sz w:val="24"/>
          <w:szCs w:val="24"/>
        </w:rPr>
        <w:t xml:space="preserve"> (meta</w:t>
      </w:r>
      <w:r w:rsidR="002036EB">
        <w:rPr>
          <w:rFonts w:asciiTheme="majorHAnsi" w:hAnsiTheme="majorHAnsi" w:cstheme="majorHAnsi"/>
          <w:sz w:val="24"/>
          <w:szCs w:val="24"/>
        </w:rPr>
        <w:t>-</w:t>
      </w:r>
      <w:r w:rsidR="00C337C1">
        <w:rPr>
          <w:rFonts w:asciiTheme="majorHAnsi" w:hAnsiTheme="majorHAnsi" w:cstheme="majorHAnsi"/>
          <w:sz w:val="24"/>
          <w:szCs w:val="24"/>
        </w:rPr>
        <w:t>cognition)</w:t>
      </w:r>
      <w:r w:rsidR="00A85FB0">
        <w:rPr>
          <w:rFonts w:asciiTheme="majorHAnsi" w:hAnsiTheme="majorHAnsi" w:cstheme="majorHAnsi"/>
          <w:sz w:val="24"/>
          <w:szCs w:val="24"/>
        </w:rPr>
        <w:t>.</w:t>
      </w:r>
      <w:r w:rsidR="00F47E5D" w:rsidRPr="00EC47D6">
        <w:rPr>
          <w:rFonts w:asciiTheme="majorHAnsi" w:hAnsiTheme="majorHAnsi" w:cstheme="majorHAnsi"/>
          <w:sz w:val="24"/>
          <w:szCs w:val="24"/>
          <w:vertAlign w:val="superscript"/>
        </w:rPr>
        <w:footnoteReference w:id="39"/>
      </w:r>
      <w:r w:rsidR="00A85FB0">
        <w:rPr>
          <w:rFonts w:asciiTheme="majorHAnsi" w:hAnsiTheme="majorHAnsi" w:cstheme="majorHAnsi"/>
          <w:sz w:val="24"/>
          <w:szCs w:val="24"/>
        </w:rPr>
        <w:t xml:space="preserve"> </w:t>
      </w:r>
      <w:r w:rsidR="00F47E5D" w:rsidRPr="00EC47D6">
        <w:rPr>
          <w:rFonts w:asciiTheme="majorHAnsi" w:hAnsiTheme="majorHAnsi" w:cstheme="majorHAnsi"/>
          <w:sz w:val="24"/>
          <w:szCs w:val="24"/>
        </w:rPr>
        <w:t>This may be a challenge for students who have not</w:t>
      </w:r>
      <w:r w:rsidR="0066642C">
        <w:rPr>
          <w:rFonts w:asciiTheme="majorHAnsi" w:hAnsiTheme="majorHAnsi" w:cstheme="majorHAnsi"/>
          <w:sz w:val="24"/>
          <w:szCs w:val="24"/>
        </w:rPr>
        <w:t xml:space="preserve"> hitherto</w:t>
      </w:r>
      <w:r w:rsidR="00F47E5D" w:rsidRPr="00EC47D6">
        <w:rPr>
          <w:rFonts w:asciiTheme="majorHAnsi" w:hAnsiTheme="majorHAnsi" w:cstheme="majorHAnsi"/>
          <w:sz w:val="24"/>
          <w:szCs w:val="24"/>
        </w:rPr>
        <w:t xml:space="preserve"> positively recognised themselves in the learning process. </w:t>
      </w:r>
      <w:r w:rsidR="00446B81" w:rsidRPr="00EC47D6">
        <w:rPr>
          <w:rFonts w:asciiTheme="majorHAnsi" w:hAnsiTheme="majorHAnsi" w:cstheme="majorHAnsi"/>
          <w:sz w:val="24"/>
          <w:szCs w:val="24"/>
        </w:rPr>
        <w:t xml:space="preserve">Legal Essentials incorporated tasks to support the development of meta-cognition, </w:t>
      </w:r>
      <w:r w:rsidR="0066642C">
        <w:rPr>
          <w:rFonts w:asciiTheme="majorHAnsi" w:hAnsiTheme="majorHAnsi" w:cstheme="majorHAnsi"/>
          <w:sz w:val="24"/>
          <w:szCs w:val="24"/>
        </w:rPr>
        <w:t>helping</w:t>
      </w:r>
      <w:r w:rsidR="00446B81" w:rsidRPr="00EC47D6">
        <w:rPr>
          <w:rFonts w:asciiTheme="majorHAnsi" w:hAnsiTheme="majorHAnsi" w:cstheme="majorHAnsi"/>
          <w:sz w:val="24"/>
          <w:szCs w:val="24"/>
        </w:rPr>
        <w:t xml:space="preserve"> students recognise </w:t>
      </w:r>
      <w:r w:rsidR="008F137A">
        <w:rPr>
          <w:rFonts w:asciiTheme="majorHAnsi" w:hAnsiTheme="majorHAnsi" w:cstheme="majorHAnsi"/>
          <w:sz w:val="24"/>
          <w:szCs w:val="24"/>
        </w:rPr>
        <w:t xml:space="preserve">themselves and their actions </w:t>
      </w:r>
      <w:r w:rsidR="00446B81" w:rsidRPr="00EC47D6">
        <w:rPr>
          <w:rFonts w:asciiTheme="majorHAnsi" w:hAnsiTheme="majorHAnsi" w:cstheme="majorHAnsi"/>
          <w:sz w:val="24"/>
          <w:szCs w:val="24"/>
        </w:rPr>
        <w:t>within the transition process</w:t>
      </w:r>
      <w:r w:rsidR="00446B81">
        <w:rPr>
          <w:rFonts w:asciiTheme="majorHAnsi" w:hAnsiTheme="majorHAnsi" w:cstheme="majorHAnsi"/>
          <w:sz w:val="24"/>
          <w:szCs w:val="24"/>
        </w:rPr>
        <w:t xml:space="preserve">. </w:t>
      </w:r>
      <w:r w:rsidR="00446B81" w:rsidRPr="00EC47D6">
        <w:rPr>
          <w:rFonts w:asciiTheme="majorHAnsi" w:hAnsiTheme="majorHAnsi" w:cstheme="majorHAnsi"/>
          <w:sz w:val="24"/>
          <w:szCs w:val="24"/>
        </w:rPr>
        <w:t xml:space="preserve">The </w:t>
      </w:r>
      <w:r w:rsidR="004A713D">
        <w:rPr>
          <w:rFonts w:asciiTheme="majorHAnsi" w:hAnsiTheme="majorHAnsi" w:cstheme="majorHAnsi"/>
          <w:sz w:val="24"/>
          <w:szCs w:val="24"/>
        </w:rPr>
        <w:t xml:space="preserve">extended </w:t>
      </w:r>
      <w:r w:rsidR="002036EB">
        <w:rPr>
          <w:rFonts w:asciiTheme="majorHAnsi" w:hAnsiTheme="majorHAnsi" w:cstheme="majorHAnsi"/>
          <w:sz w:val="24"/>
          <w:szCs w:val="24"/>
        </w:rPr>
        <w:t>induction</w:t>
      </w:r>
      <w:r w:rsidR="00446B81" w:rsidRPr="00EC47D6">
        <w:rPr>
          <w:rFonts w:asciiTheme="majorHAnsi" w:hAnsiTheme="majorHAnsi" w:cstheme="majorHAnsi"/>
          <w:sz w:val="24"/>
          <w:szCs w:val="24"/>
        </w:rPr>
        <w:t xml:space="preserve"> encourag</w:t>
      </w:r>
      <w:r w:rsidR="002036EB">
        <w:rPr>
          <w:rFonts w:asciiTheme="majorHAnsi" w:hAnsiTheme="majorHAnsi" w:cstheme="majorHAnsi"/>
          <w:sz w:val="24"/>
          <w:szCs w:val="24"/>
        </w:rPr>
        <w:t>es</w:t>
      </w:r>
      <w:r w:rsidR="00446B81" w:rsidRPr="00EC47D6">
        <w:rPr>
          <w:rFonts w:asciiTheme="majorHAnsi" w:hAnsiTheme="majorHAnsi" w:cstheme="majorHAnsi"/>
          <w:sz w:val="24"/>
          <w:szCs w:val="24"/>
        </w:rPr>
        <w:t xml:space="preserve"> students to reflect on their previous participation and activities in the learning process, providing opportunities for s</w:t>
      </w:r>
      <w:r w:rsidR="003A2BCE">
        <w:rPr>
          <w:rFonts w:asciiTheme="majorHAnsi" w:hAnsiTheme="majorHAnsi" w:cstheme="majorHAnsi"/>
          <w:sz w:val="24"/>
          <w:szCs w:val="24"/>
        </w:rPr>
        <w:t>elf-</w:t>
      </w:r>
      <w:r w:rsidR="00446B81" w:rsidRPr="00EC47D6">
        <w:rPr>
          <w:rFonts w:asciiTheme="majorHAnsi" w:hAnsiTheme="majorHAnsi" w:cstheme="majorHAnsi"/>
          <w:sz w:val="24"/>
          <w:szCs w:val="24"/>
        </w:rPr>
        <w:t>evaluation early in the modul</w:t>
      </w:r>
      <w:r w:rsidR="003A2BCE">
        <w:rPr>
          <w:rFonts w:asciiTheme="majorHAnsi" w:hAnsiTheme="majorHAnsi" w:cstheme="majorHAnsi"/>
          <w:sz w:val="24"/>
          <w:szCs w:val="24"/>
        </w:rPr>
        <w:t xml:space="preserve">e (see </w:t>
      </w:r>
      <w:r w:rsidR="00ED6CE2">
        <w:rPr>
          <w:rFonts w:asciiTheme="majorHAnsi" w:hAnsiTheme="majorHAnsi" w:cstheme="majorHAnsi"/>
          <w:sz w:val="24"/>
          <w:szCs w:val="24"/>
        </w:rPr>
        <w:t>further, section 5).</w:t>
      </w:r>
      <w:r w:rsidR="00446B81">
        <w:rPr>
          <w:rFonts w:asciiTheme="majorHAnsi" w:hAnsiTheme="majorHAnsi" w:cstheme="majorHAnsi"/>
          <w:sz w:val="24"/>
          <w:szCs w:val="24"/>
        </w:rPr>
        <w:t xml:space="preserve"> </w:t>
      </w:r>
      <w:r w:rsidR="00446B81" w:rsidRPr="00EC47D6">
        <w:rPr>
          <w:rFonts w:asciiTheme="majorHAnsi" w:hAnsiTheme="majorHAnsi" w:cstheme="majorHAnsi"/>
          <w:sz w:val="24"/>
          <w:szCs w:val="24"/>
        </w:rPr>
        <w:t>Th</w:t>
      </w:r>
      <w:r w:rsidR="0051244D">
        <w:rPr>
          <w:rFonts w:asciiTheme="majorHAnsi" w:hAnsiTheme="majorHAnsi" w:cstheme="majorHAnsi"/>
          <w:sz w:val="24"/>
          <w:szCs w:val="24"/>
        </w:rPr>
        <w:t>e aim is to</w:t>
      </w:r>
      <w:r w:rsidR="00446B81" w:rsidRPr="00EC47D6">
        <w:rPr>
          <w:rFonts w:asciiTheme="majorHAnsi" w:hAnsiTheme="majorHAnsi" w:cstheme="majorHAnsi"/>
          <w:sz w:val="24"/>
          <w:szCs w:val="24"/>
        </w:rPr>
        <w:t xml:space="preserve"> mov</w:t>
      </w:r>
      <w:r w:rsidR="0051244D">
        <w:rPr>
          <w:rFonts w:asciiTheme="majorHAnsi" w:hAnsiTheme="majorHAnsi" w:cstheme="majorHAnsi"/>
          <w:sz w:val="24"/>
          <w:szCs w:val="24"/>
        </w:rPr>
        <w:t>e</w:t>
      </w:r>
      <w:r w:rsidR="00446B81" w:rsidRPr="00EC47D6">
        <w:rPr>
          <w:rFonts w:asciiTheme="majorHAnsi" w:hAnsiTheme="majorHAnsi" w:cstheme="majorHAnsi"/>
          <w:sz w:val="24"/>
          <w:szCs w:val="24"/>
        </w:rPr>
        <w:t xml:space="preserve"> the student towards a positive self-image built on new experiences, and the confidence to accept change and challenge as part of the new learning process</w:t>
      </w:r>
      <w:r w:rsidR="00654288">
        <w:rPr>
          <w:rFonts w:asciiTheme="majorHAnsi" w:hAnsiTheme="majorHAnsi" w:cstheme="majorHAnsi"/>
          <w:sz w:val="24"/>
          <w:szCs w:val="24"/>
        </w:rPr>
        <w:t>.</w:t>
      </w:r>
      <w:r w:rsidR="00446B81" w:rsidRPr="00EC47D6">
        <w:rPr>
          <w:rFonts w:asciiTheme="majorHAnsi" w:hAnsiTheme="majorHAnsi" w:cstheme="majorHAnsi"/>
          <w:sz w:val="24"/>
          <w:szCs w:val="24"/>
          <w:vertAlign w:val="superscript"/>
        </w:rPr>
        <w:footnoteReference w:id="40"/>
      </w:r>
      <w:r w:rsidR="00446B81" w:rsidRPr="00EC47D6">
        <w:rPr>
          <w:rFonts w:asciiTheme="majorHAnsi" w:hAnsiTheme="majorHAnsi" w:cstheme="majorHAnsi"/>
          <w:sz w:val="24"/>
          <w:szCs w:val="24"/>
        </w:rPr>
        <w:t xml:space="preserve">  </w:t>
      </w:r>
      <w:r w:rsidR="0036595E" w:rsidRPr="00EC47D6">
        <w:rPr>
          <w:rFonts w:asciiTheme="majorHAnsi" w:hAnsiTheme="majorHAnsi" w:cstheme="majorHAnsi"/>
          <w:sz w:val="24"/>
          <w:szCs w:val="24"/>
        </w:rPr>
        <w:t xml:space="preserve">The significance </w:t>
      </w:r>
      <w:r w:rsidR="006D74B3">
        <w:rPr>
          <w:rFonts w:asciiTheme="majorHAnsi" w:hAnsiTheme="majorHAnsi" w:cstheme="majorHAnsi"/>
          <w:sz w:val="24"/>
          <w:szCs w:val="24"/>
        </w:rPr>
        <w:t xml:space="preserve">of </w:t>
      </w:r>
      <w:r w:rsidR="0036595E" w:rsidRPr="00EC47D6">
        <w:rPr>
          <w:rFonts w:asciiTheme="majorHAnsi" w:hAnsiTheme="majorHAnsi" w:cstheme="majorHAnsi"/>
          <w:sz w:val="24"/>
          <w:szCs w:val="24"/>
        </w:rPr>
        <w:t xml:space="preserve">this opportunity for change mirrors the signposts towards a </w:t>
      </w:r>
      <w:r w:rsidR="0036595E" w:rsidRPr="00321D44">
        <w:rPr>
          <w:rFonts w:asciiTheme="majorHAnsi" w:hAnsiTheme="majorHAnsi" w:cstheme="majorHAnsi"/>
          <w:sz w:val="24"/>
          <w:szCs w:val="24"/>
        </w:rPr>
        <w:t>growth mindset</w:t>
      </w:r>
      <w:r w:rsidR="00321D44">
        <w:rPr>
          <w:rFonts w:asciiTheme="majorHAnsi" w:hAnsiTheme="majorHAnsi" w:cstheme="majorHAnsi"/>
          <w:sz w:val="24"/>
          <w:szCs w:val="24"/>
        </w:rPr>
        <w:t>.</w:t>
      </w:r>
      <w:r w:rsidR="003B437C" w:rsidRPr="00321D44">
        <w:rPr>
          <w:rFonts w:asciiTheme="majorHAnsi" w:hAnsiTheme="majorHAnsi" w:cstheme="majorHAnsi"/>
          <w:sz w:val="24"/>
          <w:szCs w:val="24"/>
          <w:vertAlign w:val="superscript"/>
        </w:rPr>
        <w:footnoteReference w:id="41"/>
      </w:r>
      <w:r w:rsidR="004B214F">
        <w:rPr>
          <w:rFonts w:asciiTheme="majorHAnsi" w:hAnsiTheme="majorHAnsi" w:cstheme="majorHAnsi"/>
          <w:sz w:val="24"/>
          <w:szCs w:val="24"/>
        </w:rPr>
        <w:t xml:space="preserve"> A </w:t>
      </w:r>
      <w:r w:rsidR="004B214F" w:rsidRPr="00437380">
        <w:rPr>
          <w:rFonts w:asciiTheme="majorHAnsi" w:hAnsiTheme="majorHAnsi" w:cstheme="majorHAnsi"/>
          <w:sz w:val="24"/>
          <w:szCs w:val="24"/>
        </w:rPr>
        <w:t>fixed mindset</w:t>
      </w:r>
      <w:r w:rsidR="004B214F" w:rsidRPr="00437380">
        <w:rPr>
          <w:rStyle w:val="FootnoteReference"/>
          <w:rFonts w:asciiTheme="majorHAnsi" w:hAnsiTheme="majorHAnsi" w:cstheme="majorHAnsi"/>
          <w:sz w:val="24"/>
          <w:szCs w:val="24"/>
        </w:rPr>
        <w:footnoteReference w:id="42"/>
      </w:r>
      <w:r w:rsidR="004B214F" w:rsidRPr="00437380">
        <w:rPr>
          <w:rFonts w:asciiTheme="majorHAnsi" w:hAnsiTheme="majorHAnsi" w:cstheme="majorHAnsi"/>
          <w:sz w:val="24"/>
          <w:szCs w:val="24"/>
        </w:rPr>
        <w:t xml:space="preserve"> at the transition stage</w:t>
      </w:r>
      <w:r w:rsidR="00453EC7">
        <w:rPr>
          <w:rFonts w:asciiTheme="majorHAnsi" w:hAnsiTheme="majorHAnsi" w:cstheme="majorHAnsi"/>
          <w:sz w:val="24"/>
          <w:szCs w:val="24"/>
        </w:rPr>
        <w:t xml:space="preserve"> </w:t>
      </w:r>
      <w:r w:rsidR="002127A7">
        <w:rPr>
          <w:rFonts w:asciiTheme="majorHAnsi" w:hAnsiTheme="majorHAnsi" w:cstheme="majorHAnsi"/>
          <w:sz w:val="24"/>
          <w:szCs w:val="24"/>
        </w:rPr>
        <w:t>creates a sense of low self-efficacy and hopelessness</w:t>
      </w:r>
      <w:r w:rsidR="00317FBB">
        <w:rPr>
          <w:rFonts w:asciiTheme="majorHAnsi" w:hAnsiTheme="majorHAnsi" w:cstheme="majorHAnsi"/>
          <w:sz w:val="24"/>
          <w:szCs w:val="24"/>
        </w:rPr>
        <w:t xml:space="preserve">: “I don’t understand” or “I can’t do it” is seen, not as a temporary hurdle to overcome, but as a </w:t>
      </w:r>
      <w:r w:rsidR="00EC16C8">
        <w:rPr>
          <w:rFonts w:asciiTheme="majorHAnsi" w:hAnsiTheme="majorHAnsi" w:cstheme="majorHAnsi"/>
          <w:sz w:val="24"/>
          <w:szCs w:val="24"/>
        </w:rPr>
        <w:t>permanent obstruction.</w:t>
      </w:r>
      <w:r w:rsidR="00F75C38">
        <w:rPr>
          <w:rFonts w:asciiTheme="majorHAnsi" w:hAnsiTheme="majorHAnsi" w:cstheme="majorHAnsi"/>
          <w:sz w:val="24"/>
          <w:szCs w:val="24"/>
        </w:rPr>
        <w:t xml:space="preserve"> This, understandably,</w:t>
      </w:r>
      <w:r w:rsidR="004B214F" w:rsidRPr="00437380">
        <w:rPr>
          <w:rFonts w:asciiTheme="majorHAnsi" w:hAnsiTheme="majorHAnsi" w:cstheme="majorHAnsi"/>
          <w:sz w:val="24"/>
          <w:szCs w:val="24"/>
        </w:rPr>
        <w:t xml:space="preserve"> has a negative impact on both learning and wellbeing,</w:t>
      </w:r>
      <w:r w:rsidR="00F75C38">
        <w:rPr>
          <w:rFonts w:asciiTheme="majorHAnsi" w:hAnsiTheme="majorHAnsi" w:cstheme="majorHAnsi"/>
          <w:sz w:val="24"/>
          <w:szCs w:val="24"/>
        </w:rPr>
        <w:t xml:space="preserve"> and can </w:t>
      </w:r>
      <w:r w:rsidR="004B214F" w:rsidRPr="00437380">
        <w:rPr>
          <w:rFonts w:asciiTheme="majorHAnsi" w:hAnsiTheme="majorHAnsi" w:cstheme="majorHAnsi"/>
          <w:sz w:val="24"/>
          <w:szCs w:val="24"/>
        </w:rPr>
        <w:t xml:space="preserve">lead to shame, </w:t>
      </w:r>
      <w:r w:rsidR="008151E8" w:rsidRPr="00437380">
        <w:rPr>
          <w:rFonts w:asciiTheme="majorHAnsi" w:hAnsiTheme="majorHAnsi" w:cstheme="majorHAnsi"/>
          <w:sz w:val="24"/>
          <w:szCs w:val="24"/>
        </w:rPr>
        <w:t>anxiety,</w:t>
      </w:r>
      <w:r w:rsidR="004B214F" w:rsidRPr="00437380">
        <w:rPr>
          <w:rFonts w:asciiTheme="majorHAnsi" w:hAnsiTheme="majorHAnsi" w:cstheme="majorHAnsi"/>
          <w:sz w:val="24"/>
          <w:szCs w:val="24"/>
        </w:rPr>
        <w:t xml:space="preserve"> and disengagement.</w:t>
      </w:r>
      <w:r w:rsidR="004B214F">
        <w:rPr>
          <w:rFonts w:asciiTheme="majorHAnsi" w:hAnsiTheme="majorHAnsi" w:cstheme="majorHAnsi"/>
          <w:sz w:val="24"/>
          <w:szCs w:val="24"/>
        </w:rPr>
        <w:t xml:space="preserve"> </w:t>
      </w:r>
      <w:r w:rsidR="00612F82">
        <w:rPr>
          <w:rFonts w:asciiTheme="majorHAnsi" w:hAnsiTheme="majorHAnsi" w:cstheme="majorHAnsi"/>
          <w:sz w:val="24"/>
          <w:szCs w:val="24"/>
        </w:rPr>
        <w:t>M</w:t>
      </w:r>
      <w:r w:rsidR="0036595E" w:rsidRPr="00EC47D6">
        <w:rPr>
          <w:rFonts w:asciiTheme="majorHAnsi" w:hAnsiTheme="majorHAnsi" w:cstheme="majorHAnsi"/>
          <w:sz w:val="24"/>
          <w:szCs w:val="24"/>
        </w:rPr>
        <w:t>odule,</w:t>
      </w:r>
      <w:r w:rsidR="00612F82">
        <w:rPr>
          <w:rFonts w:asciiTheme="majorHAnsi" w:hAnsiTheme="majorHAnsi" w:cstheme="majorHAnsi"/>
          <w:sz w:val="24"/>
          <w:szCs w:val="24"/>
        </w:rPr>
        <w:t xml:space="preserve"> design </w:t>
      </w:r>
      <w:r w:rsidR="0036595E" w:rsidRPr="00EC47D6">
        <w:rPr>
          <w:rFonts w:asciiTheme="majorHAnsi" w:hAnsiTheme="majorHAnsi" w:cstheme="majorHAnsi"/>
          <w:sz w:val="24"/>
          <w:szCs w:val="24"/>
        </w:rPr>
        <w:t xml:space="preserve">was </w:t>
      </w:r>
      <w:r w:rsidR="00612F82">
        <w:rPr>
          <w:rFonts w:asciiTheme="majorHAnsi" w:hAnsiTheme="majorHAnsi" w:cstheme="majorHAnsi"/>
          <w:sz w:val="24"/>
          <w:szCs w:val="24"/>
        </w:rPr>
        <w:t xml:space="preserve">therefore </w:t>
      </w:r>
      <w:r w:rsidR="00F30E85">
        <w:rPr>
          <w:rFonts w:asciiTheme="majorHAnsi" w:hAnsiTheme="majorHAnsi" w:cstheme="majorHAnsi"/>
          <w:sz w:val="24"/>
          <w:szCs w:val="24"/>
        </w:rPr>
        <w:t>underpinned</w:t>
      </w:r>
      <w:r w:rsidR="0036595E" w:rsidRPr="00EC47D6">
        <w:rPr>
          <w:rFonts w:asciiTheme="majorHAnsi" w:hAnsiTheme="majorHAnsi" w:cstheme="majorHAnsi"/>
          <w:sz w:val="24"/>
          <w:szCs w:val="24"/>
        </w:rPr>
        <w:t xml:space="preserve"> by </w:t>
      </w:r>
      <w:r w:rsidR="004700E6">
        <w:rPr>
          <w:rFonts w:asciiTheme="majorHAnsi" w:hAnsiTheme="majorHAnsi" w:cstheme="majorHAnsi"/>
          <w:sz w:val="24"/>
          <w:szCs w:val="24"/>
        </w:rPr>
        <w:t>a</w:t>
      </w:r>
      <w:r w:rsidR="0036595E" w:rsidRPr="00EC47D6">
        <w:rPr>
          <w:rFonts w:asciiTheme="majorHAnsi" w:hAnsiTheme="majorHAnsi" w:cstheme="majorHAnsi"/>
          <w:sz w:val="24"/>
          <w:szCs w:val="24"/>
        </w:rPr>
        <w:t xml:space="preserve"> focus on </w:t>
      </w:r>
      <w:r w:rsidR="00F30E85">
        <w:rPr>
          <w:rFonts w:asciiTheme="majorHAnsi" w:hAnsiTheme="majorHAnsi" w:cstheme="majorHAnsi"/>
          <w:sz w:val="24"/>
          <w:szCs w:val="24"/>
        </w:rPr>
        <w:t xml:space="preserve">active </w:t>
      </w:r>
      <w:r w:rsidR="0036595E" w:rsidRPr="00EC47D6">
        <w:rPr>
          <w:rFonts w:asciiTheme="majorHAnsi" w:hAnsiTheme="majorHAnsi" w:cstheme="majorHAnsi"/>
          <w:sz w:val="24"/>
          <w:szCs w:val="24"/>
        </w:rPr>
        <w:t>participation</w:t>
      </w:r>
      <w:r w:rsidR="003B5389">
        <w:rPr>
          <w:rFonts w:asciiTheme="majorHAnsi" w:hAnsiTheme="majorHAnsi" w:cstheme="majorHAnsi"/>
          <w:sz w:val="24"/>
          <w:szCs w:val="24"/>
        </w:rPr>
        <w:t xml:space="preserve">; a </w:t>
      </w:r>
      <w:r w:rsidR="0036595E" w:rsidRPr="00EC47D6">
        <w:rPr>
          <w:rFonts w:asciiTheme="majorHAnsi" w:hAnsiTheme="majorHAnsi" w:cstheme="majorHAnsi"/>
          <w:sz w:val="24"/>
          <w:szCs w:val="24"/>
        </w:rPr>
        <w:t>move away from teacher</w:t>
      </w:r>
      <w:r w:rsidR="00B677E9">
        <w:rPr>
          <w:rFonts w:asciiTheme="majorHAnsi" w:hAnsiTheme="majorHAnsi" w:cstheme="majorHAnsi"/>
          <w:sz w:val="24"/>
          <w:szCs w:val="24"/>
        </w:rPr>
        <w:t>-</w:t>
      </w:r>
      <w:r w:rsidR="0036595E" w:rsidRPr="00EC47D6">
        <w:rPr>
          <w:rFonts w:asciiTheme="majorHAnsi" w:hAnsiTheme="majorHAnsi" w:cstheme="majorHAnsi"/>
          <w:sz w:val="24"/>
          <w:szCs w:val="24"/>
        </w:rPr>
        <w:t>led learning</w:t>
      </w:r>
      <w:r w:rsidR="0036595E" w:rsidRPr="00EC47D6">
        <w:rPr>
          <w:rFonts w:asciiTheme="majorHAnsi" w:hAnsiTheme="majorHAnsi" w:cstheme="majorHAnsi"/>
          <w:sz w:val="24"/>
          <w:szCs w:val="24"/>
          <w:vertAlign w:val="superscript"/>
        </w:rPr>
        <w:footnoteReference w:id="43"/>
      </w:r>
      <w:r w:rsidR="0036595E" w:rsidRPr="00EC47D6">
        <w:rPr>
          <w:rFonts w:asciiTheme="majorHAnsi" w:hAnsiTheme="majorHAnsi" w:cstheme="majorHAnsi"/>
          <w:sz w:val="24"/>
          <w:szCs w:val="24"/>
        </w:rPr>
        <w:t xml:space="preserve"> towards encouraging exploration</w:t>
      </w:r>
      <w:r w:rsidR="003B5389">
        <w:rPr>
          <w:rFonts w:asciiTheme="majorHAnsi" w:hAnsiTheme="majorHAnsi" w:cstheme="majorHAnsi"/>
          <w:sz w:val="24"/>
          <w:szCs w:val="24"/>
        </w:rPr>
        <w:t>, risk-taking,</w:t>
      </w:r>
      <w:r w:rsidR="0036595E" w:rsidRPr="00EC47D6">
        <w:rPr>
          <w:rFonts w:asciiTheme="majorHAnsi" w:hAnsiTheme="majorHAnsi" w:cstheme="majorHAnsi"/>
          <w:sz w:val="24"/>
          <w:szCs w:val="24"/>
        </w:rPr>
        <w:t xml:space="preserve"> and the making of mistakes</w:t>
      </w:r>
      <w:r w:rsidR="003B5389">
        <w:rPr>
          <w:rFonts w:asciiTheme="majorHAnsi" w:hAnsiTheme="majorHAnsi" w:cstheme="majorHAnsi"/>
          <w:sz w:val="24"/>
          <w:szCs w:val="24"/>
        </w:rPr>
        <w:t xml:space="preserve"> in the process</w:t>
      </w:r>
      <w:r w:rsidR="0036595E" w:rsidRPr="00EC47D6">
        <w:rPr>
          <w:rFonts w:asciiTheme="majorHAnsi" w:hAnsiTheme="majorHAnsi" w:cstheme="majorHAnsi"/>
          <w:sz w:val="24"/>
          <w:szCs w:val="24"/>
        </w:rPr>
        <w:t xml:space="preserve">. This shift in focus </w:t>
      </w:r>
      <w:r w:rsidR="00263598">
        <w:rPr>
          <w:rFonts w:asciiTheme="majorHAnsi" w:hAnsiTheme="majorHAnsi" w:cstheme="majorHAnsi"/>
          <w:sz w:val="24"/>
          <w:szCs w:val="24"/>
        </w:rPr>
        <w:t xml:space="preserve">was also aimed at </w:t>
      </w:r>
      <w:r w:rsidR="0036595E" w:rsidRPr="00EC47D6">
        <w:rPr>
          <w:rFonts w:asciiTheme="majorHAnsi" w:hAnsiTheme="majorHAnsi" w:cstheme="majorHAnsi"/>
          <w:sz w:val="24"/>
          <w:szCs w:val="24"/>
        </w:rPr>
        <w:t xml:space="preserve">reducing </w:t>
      </w:r>
      <w:r w:rsidR="00611A7C">
        <w:rPr>
          <w:rFonts w:asciiTheme="majorHAnsi" w:hAnsiTheme="majorHAnsi" w:cstheme="majorHAnsi"/>
          <w:sz w:val="24"/>
          <w:szCs w:val="24"/>
        </w:rPr>
        <w:t>the anxiety</w:t>
      </w:r>
      <w:r w:rsidR="0036595E" w:rsidRPr="00EC47D6">
        <w:rPr>
          <w:rFonts w:asciiTheme="majorHAnsi" w:hAnsiTheme="majorHAnsi" w:cstheme="majorHAnsi"/>
          <w:sz w:val="24"/>
          <w:szCs w:val="24"/>
        </w:rPr>
        <w:t xml:space="preserve"> about changes to the teaching environment </w:t>
      </w:r>
      <w:r w:rsidR="00263598">
        <w:rPr>
          <w:rFonts w:asciiTheme="majorHAnsi" w:hAnsiTheme="majorHAnsi" w:cstheme="majorHAnsi"/>
          <w:sz w:val="24"/>
          <w:szCs w:val="24"/>
        </w:rPr>
        <w:t xml:space="preserve">and </w:t>
      </w:r>
      <w:r w:rsidR="0036595E" w:rsidRPr="00EC47D6">
        <w:rPr>
          <w:rFonts w:asciiTheme="majorHAnsi" w:hAnsiTheme="majorHAnsi" w:cstheme="majorHAnsi"/>
          <w:sz w:val="24"/>
          <w:szCs w:val="24"/>
        </w:rPr>
        <w:t>study practices.</w:t>
      </w:r>
      <w:r w:rsidR="0036595E" w:rsidRPr="00EC47D6">
        <w:rPr>
          <w:rFonts w:asciiTheme="majorHAnsi" w:hAnsiTheme="majorHAnsi" w:cstheme="majorHAnsi"/>
          <w:sz w:val="24"/>
          <w:szCs w:val="24"/>
          <w:vertAlign w:val="superscript"/>
        </w:rPr>
        <w:footnoteReference w:id="44"/>
      </w:r>
      <w:r w:rsidR="0036595E" w:rsidRPr="00EC47D6">
        <w:rPr>
          <w:rFonts w:asciiTheme="majorHAnsi" w:hAnsiTheme="majorHAnsi" w:cstheme="majorHAnsi"/>
          <w:sz w:val="24"/>
          <w:szCs w:val="24"/>
        </w:rPr>
        <w:t xml:space="preserve"> </w:t>
      </w:r>
      <w:r w:rsidR="00516AB8">
        <w:rPr>
          <w:rFonts w:asciiTheme="majorHAnsi" w:hAnsiTheme="majorHAnsi" w:cstheme="majorHAnsi"/>
          <w:sz w:val="24"/>
          <w:szCs w:val="24"/>
        </w:rPr>
        <w:t xml:space="preserve">During the induction weeks, </w:t>
      </w:r>
      <w:r w:rsidR="0036595E" w:rsidRPr="00EC47D6">
        <w:rPr>
          <w:rFonts w:asciiTheme="majorHAnsi" w:hAnsiTheme="majorHAnsi" w:cstheme="majorHAnsi"/>
          <w:sz w:val="24"/>
          <w:szCs w:val="24"/>
        </w:rPr>
        <w:t xml:space="preserve">purposely positive dialogue </w:t>
      </w:r>
      <w:r w:rsidR="00516AB8">
        <w:rPr>
          <w:rFonts w:asciiTheme="majorHAnsi" w:hAnsiTheme="majorHAnsi" w:cstheme="majorHAnsi"/>
          <w:sz w:val="24"/>
          <w:szCs w:val="24"/>
        </w:rPr>
        <w:t xml:space="preserve">was designed to </w:t>
      </w:r>
      <w:r w:rsidR="0036595E" w:rsidRPr="00EC47D6">
        <w:rPr>
          <w:rFonts w:asciiTheme="majorHAnsi" w:hAnsiTheme="majorHAnsi" w:cstheme="majorHAnsi"/>
          <w:sz w:val="24"/>
          <w:szCs w:val="24"/>
        </w:rPr>
        <w:t>build trust</w:t>
      </w:r>
      <w:r w:rsidR="00516AB8">
        <w:rPr>
          <w:rFonts w:asciiTheme="majorHAnsi" w:hAnsiTheme="majorHAnsi" w:cstheme="majorHAnsi"/>
          <w:sz w:val="24"/>
          <w:szCs w:val="24"/>
        </w:rPr>
        <w:t xml:space="preserve"> in</w:t>
      </w:r>
      <w:r w:rsidR="0036595E" w:rsidRPr="00EC47D6">
        <w:rPr>
          <w:rFonts w:asciiTheme="majorHAnsi" w:hAnsiTheme="majorHAnsi" w:cstheme="majorHAnsi"/>
          <w:sz w:val="24"/>
          <w:szCs w:val="24"/>
        </w:rPr>
        <w:t xml:space="preserve"> </w:t>
      </w:r>
      <w:r w:rsidR="00516AB8">
        <w:rPr>
          <w:rFonts w:asciiTheme="majorHAnsi" w:hAnsiTheme="majorHAnsi" w:cstheme="majorHAnsi"/>
          <w:sz w:val="24"/>
          <w:szCs w:val="24"/>
        </w:rPr>
        <w:t>the Law School community,</w:t>
      </w:r>
      <w:r w:rsidR="0036595E" w:rsidRPr="00EC47D6">
        <w:rPr>
          <w:rFonts w:asciiTheme="majorHAnsi" w:hAnsiTheme="majorHAnsi" w:cstheme="majorHAnsi"/>
          <w:sz w:val="24"/>
          <w:szCs w:val="24"/>
        </w:rPr>
        <w:t xml:space="preserve"> allowing the student to trust that they </w:t>
      </w:r>
      <w:r w:rsidR="00516AB8">
        <w:rPr>
          <w:rFonts w:asciiTheme="majorHAnsi" w:hAnsiTheme="majorHAnsi" w:cstheme="majorHAnsi"/>
          <w:sz w:val="24"/>
          <w:szCs w:val="24"/>
        </w:rPr>
        <w:t>would</w:t>
      </w:r>
      <w:r w:rsidR="0036595E" w:rsidRPr="00EC47D6">
        <w:rPr>
          <w:rFonts w:asciiTheme="majorHAnsi" w:hAnsiTheme="majorHAnsi" w:cstheme="majorHAnsi"/>
          <w:sz w:val="24"/>
          <w:szCs w:val="24"/>
        </w:rPr>
        <w:t xml:space="preserve"> be supported and guided through the </w:t>
      </w:r>
      <w:r w:rsidR="004B214F">
        <w:rPr>
          <w:rFonts w:asciiTheme="majorHAnsi" w:hAnsiTheme="majorHAnsi" w:cstheme="majorHAnsi"/>
          <w:sz w:val="24"/>
          <w:szCs w:val="24"/>
        </w:rPr>
        <w:t xml:space="preserve">initial </w:t>
      </w:r>
      <w:r w:rsidR="0036595E" w:rsidRPr="00EC47D6">
        <w:rPr>
          <w:rFonts w:asciiTheme="majorHAnsi" w:hAnsiTheme="majorHAnsi" w:cstheme="majorHAnsi"/>
          <w:sz w:val="24"/>
          <w:szCs w:val="24"/>
        </w:rPr>
        <w:t>learning process</w:t>
      </w:r>
      <w:r w:rsidR="0036595E" w:rsidRPr="00EC47D6">
        <w:rPr>
          <w:rFonts w:asciiTheme="majorHAnsi" w:hAnsiTheme="majorHAnsi" w:cstheme="majorHAnsi"/>
          <w:sz w:val="24"/>
          <w:szCs w:val="24"/>
          <w:vertAlign w:val="superscript"/>
        </w:rPr>
        <w:footnoteReference w:id="45"/>
      </w:r>
      <w:r w:rsidR="0036595E" w:rsidRPr="00EC47D6">
        <w:rPr>
          <w:rFonts w:asciiTheme="majorHAnsi" w:hAnsiTheme="majorHAnsi" w:cstheme="majorHAnsi"/>
          <w:sz w:val="24"/>
          <w:szCs w:val="24"/>
        </w:rPr>
        <w:t xml:space="preserve"> and </w:t>
      </w:r>
      <w:r w:rsidR="004B214F">
        <w:rPr>
          <w:rFonts w:asciiTheme="majorHAnsi" w:hAnsiTheme="majorHAnsi" w:cstheme="majorHAnsi"/>
          <w:sz w:val="24"/>
          <w:szCs w:val="24"/>
        </w:rPr>
        <w:t>their</w:t>
      </w:r>
      <w:r w:rsidR="0036595E" w:rsidRPr="00EC47D6">
        <w:rPr>
          <w:rFonts w:asciiTheme="majorHAnsi" w:hAnsiTheme="majorHAnsi" w:cstheme="majorHAnsi"/>
          <w:sz w:val="24"/>
          <w:szCs w:val="24"/>
        </w:rPr>
        <w:t xml:space="preserve"> progress</w:t>
      </w:r>
      <w:r w:rsidR="004B214F">
        <w:rPr>
          <w:rFonts w:asciiTheme="majorHAnsi" w:hAnsiTheme="majorHAnsi" w:cstheme="majorHAnsi"/>
          <w:sz w:val="24"/>
          <w:szCs w:val="24"/>
        </w:rPr>
        <w:t>ion</w:t>
      </w:r>
      <w:r w:rsidR="0036595E" w:rsidRPr="00EC47D6">
        <w:rPr>
          <w:rFonts w:asciiTheme="majorHAnsi" w:hAnsiTheme="majorHAnsi" w:cstheme="majorHAnsi"/>
          <w:sz w:val="24"/>
          <w:szCs w:val="24"/>
        </w:rPr>
        <w:t xml:space="preserve"> </w:t>
      </w:r>
      <w:r w:rsidR="004B214F">
        <w:rPr>
          <w:rFonts w:asciiTheme="majorHAnsi" w:hAnsiTheme="majorHAnsi" w:cstheme="majorHAnsi"/>
          <w:sz w:val="24"/>
          <w:szCs w:val="24"/>
        </w:rPr>
        <w:t>to</w:t>
      </w:r>
      <w:r w:rsidR="0036595E" w:rsidRPr="00EC47D6">
        <w:rPr>
          <w:rFonts w:asciiTheme="majorHAnsi" w:hAnsiTheme="majorHAnsi" w:cstheme="majorHAnsi"/>
          <w:sz w:val="24"/>
          <w:szCs w:val="24"/>
        </w:rPr>
        <w:t xml:space="preserve"> other course modules</w:t>
      </w:r>
      <w:proofErr w:type="gramStart"/>
      <w:r w:rsidR="0036595E" w:rsidRPr="00EC47D6">
        <w:rPr>
          <w:rFonts w:asciiTheme="majorHAnsi" w:hAnsiTheme="majorHAnsi" w:cstheme="majorHAnsi"/>
          <w:sz w:val="24"/>
          <w:szCs w:val="24"/>
        </w:rPr>
        <w:t xml:space="preserve">.  </w:t>
      </w:r>
      <w:proofErr w:type="gramEnd"/>
      <w:r w:rsidR="00FA1DD2">
        <w:rPr>
          <w:rFonts w:asciiTheme="majorHAnsi" w:hAnsiTheme="majorHAnsi" w:cstheme="majorHAnsi"/>
          <w:sz w:val="24"/>
          <w:szCs w:val="24"/>
        </w:rPr>
        <w:t xml:space="preserve">Recognising also that </w:t>
      </w:r>
      <w:r w:rsidR="007E0D29">
        <w:rPr>
          <w:rFonts w:asciiTheme="majorHAnsi" w:hAnsiTheme="majorHAnsi" w:cstheme="majorHAnsi"/>
          <w:sz w:val="24"/>
          <w:szCs w:val="24"/>
        </w:rPr>
        <w:t xml:space="preserve">Law students </w:t>
      </w:r>
      <w:r w:rsidR="00FA1DD2">
        <w:rPr>
          <w:rFonts w:asciiTheme="majorHAnsi" w:hAnsiTheme="majorHAnsi" w:cstheme="majorHAnsi"/>
          <w:sz w:val="24"/>
          <w:szCs w:val="24"/>
        </w:rPr>
        <w:t>tend to</w:t>
      </w:r>
      <w:r w:rsidR="007E0D29">
        <w:rPr>
          <w:rFonts w:asciiTheme="majorHAnsi" w:hAnsiTheme="majorHAnsi" w:cstheme="majorHAnsi"/>
          <w:sz w:val="24"/>
          <w:szCs w:val="24"/>
        </w:rPr>
        <w:t xml:space="preserve"> tak</w:t>
      </w:r>
      <w:r w:rsidR="00FA1DD2">
        <w:rPr>
          <w:rFonts w:asciiTheme="majorHAnsi" w:hAnsiTheme="majorHAnsi" w:cstheme="majorHAnsi"/>
          <w:sz w:val="24"/>
          <w:szCs w:val="24"/>
        </w:rPr>
        <w:t>e</w:t>
      </w:r>
      <w:r w:rsidR="007E0D29">
        <w:rPr>
          <w:rFonts w:asciiTheme="majorHAnsi" w:hAnsiTheme="majorHAnsi" w:cstheme="majorHAnsi"/>
          <w:sz w:val="24"/>
          <w:szCs w:val="24"/>
        </w:rPr>
        <w:t xml:space="preserve"> </w:t>
      </w:r>
      <w:r w:rsidR="00AA5C56">
        <w:rPr>
          <w:rFonts w:asciiTheme="majorHAnsi" w:hAnsiTheme="majorHAnsi" w:cstheme="majorHAnsi"/>
          <w:sz w:val="24"/>
          <w:szCs w:val="24"/>
        </w:rPr>
        <w:t>an instrumental, extrinsically motivated approach to their studies</w:t>
      </w:r>
      <w:r w:rsidR="009C16D5">
        <w:rPr>
          <w:rFonts w:asciiTheme="majorHAnsi" w:hAnsiTheme="majorHAnsi" w:cstheme="majorHAnsi"/>
          <w:sz w:val="24"/>
          <w:szCs w:val="24"/>
        </w:rPr>
        <w:t>,</w:t>
      </w:r>
      <w:r w:rsidR="00AA5C56">
        <w:rPr>
          <w:rStyle w:val="FootnoteReference"/>
          <w:rFonts w:asciiTheme="majorHAnsi" w:hAnsiTheme="majorHAnsi" w:cstheme="majorHAnsi"/>
          <w:sz w:val="24"/>
          <w:szCs w:val="24"/>
        </w:rPr>
        <w:footnoteReference w:id="46"/>
      </w:r>
      <w:r w:rsidR="007E0D29">
        <w:rPr>
          <w:rFonts w:asciiTheme="majorHAnsi" w:hAnsiTheme="majorHAnsi" w:cstheme="majorHAnsi"/>
          <w:sz w:val="24"/>
          <w:szCs w:val="24"/>
        </w:rPr>
        <w:t xml:space="preserve"> </w:t>
      </w:r>
      <w:r w:rsidR="009C16D5">
        <w:rPr>
          <w:rFonts w:asciiTheme="majorHAnsi" w:hAnsiTheme="majorHAnsi" w:cstheme="majorHAnsi"/>
          <w:sz w:val="24"/>
          <w:szCs w:val="24"/>
        </w:rPr>
        <w:t xml:space="preserve">Legal Essentials has also drawn on </w:t>
      </w:r>
      <w:r w:rsidR="00AB5248">
        <w:rPr>
          <w:rFonts w:asciiTheme="majorHAnsi" w:hAnsiTheme="majorHAnsi" w:cstheme="majorHAnsi"/>
          <w:sz w:val="24"/>
          <w:szCs w:val="24"/>
        </w:rPr>
        <w:t>s</w:t>
      </w:r>
      <w:r w:rsidR="00192554" w:rsidRPr="002A7F40">
        <w:rPr>
          <w:rFonts w:asciiTheme="majorHAnsi" w:hAnsiTheme="majorHAnsi" w:cstheme="majorHAnsi"/>
          <w:sz w:val="24"/>
          <w:szCs w:val="24"/>
        </w:rPr>
        <w:t>elf-determination theory</w:t>
      </w:r>
      <w:r w:rsidR="005252C6">
        <w:rPr>
          <w:rFonts w:asciiTheme="majorHAnsi" w:hAnsiTheme="majorHAnsi" w:cstheme="majorHAnsi"/>
          <w:sz w:val="24"/>
          <w:szCs w:val="24"/>
        </w:rPr>
        <w:t xml:space="preserve"> to </w:t>
      </w:r>
      <w:r w:rsidR="004658B0">
        <w:rPr>
          <w:rFonts w:asciiTheme="majorHAnsi" w:hAnsiTheme="majorHAnsi" w:cstheme="majorHAnsi"/>
          <w:sz w:val="24"/>
          <w:szCs w:val="24"/>
        </w:rPr>
        <w:t>support and develop</w:t>
      </w:r>
      <w:r w:rsidR="00192554">
        <w:rPr>
          <w:rFonts w:asciiTheme="majorHAnsi" w:hAnsiTheme="majorHAnsi" w:cstheme="majorHAnsi"/>
          <w:sz w:val="24"/>
          <w:szCs w:val="24"/>
        </w:rPr>
        <w:t xml:space="preserve"> students’ sense of autonomy, </w:t>
      </w:r>
      <w:r w:rsidR="008151E8">
        <w:rPr>
          <w:rFonts w:asciiTheme="majorHAnsi" w:hAnsiTheme="majorHAnsi" w:cstheme="majorHAnsi"/>
          <w:sz w:val="24"/>
          <w:szCs w:val="24"/>
        </w:rPr>
        <w:t>relatedness,</w:t>
      </w:r>
      <w:r w:rsidR="00192554">
        <w:rPr>
          <w:rFonts w:asciiTheme="majorHAnsi" w:hAnsiTheme="majorHAnsi" w:cstheme="majorHAnsi"/>
          <w:sz w:val="24"/>
          <w:szCs w:val="24"/>
        </w:rPr>
        <w:t xml:space="preserve"> and competence in the learning process</w:t>
      </w:r>
      <w:r w:rsidR="00815BF5">
        <w:rPr>
          <w:rFonts w:asciiTheme="majorHAnsi" w:hAnsiTheme="majorHAnsi" w:cstheme="majorHAnsi"/>
          <w:sz w:val="24"/>
          <w:szCs w:val="24"/>
        </w:rPr>
        <w:t xml:space="preserve"> (see further, section 5)</w:t>
      </w:r>
      <w:r w:rsidR="00192554">
        <w:rPr>
          <w:rFonts w:asciiTheme="majorHAnsi" w:hAnsiTheme="majorHAnsi" w:cstheme="majorHAnsi"/>
          <w:sz w:val="24"/>
          <w:szCs w:val="24"/>
        </w:rPr>
        <w:t>.</w:t>
      </w:r>
      <w:r w:rsidR="00192554">
        <w:rPr>
          <w:rStyle w:val="FootnoteReference"/>
          <w:rFonts w:asciiTheme="majorHAnsi" w:hAnsiTheme="majorHAnsi" w:cstheme="majorHAnsi"/>
          <w:sz w:val="24"/>
          <w:szCs w:val="24"/>
        </w:rPr>
        <w:footnoteReference w:id="47"/>
      </w:r>
      <w:r w:rsidR="00192554">
        <w:rPr>
          <w:rFonts w:asciiTheme="majorHAnsi" w:hAnsiTheme="majorHAnsi" w:cstheme="majorHAnsi"/>
          <w:sz w:val="24"/>
          <w:szCs w:val="24"/>
        </w:rPr>
        <w:t xml:space="preserve"> </w:t>
      </w:r>
      <w:r w:rsidR="007E0D29">
        <w:rPr>
          <w:rFonts w:asciiTheme="majorHAnsi" w:hAnsiTheme="majorHAnsi" w:cstheme="majorHAnsi"/>
          <w:sz w:val="24"/>
          <w:szCs w:val="24"/>
        </w:rPr>
        <w:t xml:space="preserve"> </w:t>
      </w:r>
    </w:p>
    <w:p w14:paraId="18F39A8D" w14:textId="6CABF9AF" w:rsidR="00D0643B" w:rsidRDefault="002A3F9C" w:rsidP="004D1239">
      <w:pPr>
        <w:spacing w:line="240" w:lineRule="auto"/>
        <w:jc w:val="both"/>
        <w:rPr>
          <w:rFonts w:asciiTheme="majorHAnsi" w:hAnsiTheme="majorHAnsi" w:cstheme="majorHAnsi"/>
          <w:b/>
          <w:bCs/>
          <w:sz w:val="24"/>
          <w:szCs w:val="24"/>
        </w:rPr>
      </w:pPr>
      <w:r>
        <w:rPr>
          <w:rFonts w:asciiTheme="majorHAnsi" w:hAnsiTheme="majorHAnsi" w:cstheme="majorHAnsi"/>
          <w:b/>
          <w:bCs/>
          <w:sz w:val="24"/>
          <w:szCs w:val="24"/>
        </w:rPr>
        <w:t>4</w:t>
      </w:r>
      <w:r w:rsidR="00B37EAA">
        <w:rPr>
          <w:rFonts w:asciiTheme="majorHAnsi" w:hAnsiTheme="majorHAnsi" w:cstheme="majorHAnsi"/>
          <w:b/>
          <w:bCs/>
          <w:sz w:val="24"/>
          <w:szCs w:val="24"/>
        </w:rPr>
        <w:t xml:space="preserve">. </w:t>
      </w:r>
      <w:r w:rsidR="00896970">
        <w:rPr>
          <w:rFonts w:asciiTheme="majorHAnsi" w:hAnsiTheme="majorHAnsi" w:cstheme="majorHAnsi"/>
          <w:b/>
          <w:bCs/>
          <w:sz w:val="24"/>
          <w:szCs w:val="24"/>
        </w:rPr>
        <w:t>Session</w:t>
      </w:r>
      <w:r w:rsidR="00D0643B">
        <w:rPr>
          <w:rFonts w:asciiTheme="majorHAnsi" w:hAnsiTheme="majorHAnsi" w:cstheme="majorHAnsi"/>
          <w:b/>
          <w:bCs/>
          <w:sz w:val="24"/>
          <w:szCs w:val="24"/>
        </w:rPr>
        <w:t xml:space="preserve"> Design for Wellbeing</w:t>
      </w:r>
    </w:p>
    <w:p w14:paraId="53B48BB9" w14:textId="129E351D" w:rsidR="00AF1A88" w:rsidRPr="00632FF1" w:rsidRDefault="009515B4" w:rsidP="004D1239">
      <w:pPr>
        <w:spacing w:line="240" w:lineRule="auto"/>
        <w:jc w:val="both"/>
        <w:rPr>
          <w:rFonts w:asciiTheme="majorHAnsi" w:hAnsiTheme="majorHAnsi" w:cstheme="majorHAnsi"/>
          <w:sz w:val="24"/>
          <w:szCs w:val="24"/>
        </w:rPr>
      </w:pPr>
      <w:r>
        <w:rPr>
          <w:rFonts w:asciiTheme="majorHAnsi" w:hAnsiTheme="majorHAnsi" w:cstheme="majorHAnsi"/>
          <w:i/>
          <w:iCs/>
          <w:sz w:val="24"/>
          <w:szCs w:val="24"/>
        </w:rPr>
        <w:t xml:space="preserve">Pilot: </w:t>
      </w:r>
      <w:r w:rsidR="00C000E2" w:rsidRPr="00D0643B">
        <w:rPr>
          <w:rFonts w:asciiTheme="majorHAnsi" w:hAnsiTheme="majorHAnsi" w:cstheme="majorHAnsi"/>
          <w:i/>
          <w:iCs/>
          <w:sz w:val="24"/>
          <w:szCs w:val="24"/>
        </w:rPr>
        <w:t xml:space="preserve">Wellbeing </w:t>
      </w:r>
      <w:r w:rsidR="00D0643B" w:rsidRPr="00D0643B">
        <w:rPr>
          <w:rFonts w:asciiTheme="majorHAnsi" w:hAnsiTheme="majorHAnsi" w:cstheme="majorHAnsi"/>
          <w:i/>
          <w:iCs/>
          <w:sz w:val="24"/>
          <w:szCs w:val="24"/>
        </w:rPr>
        <w:t>Awareness</w:t>
      </w:r>
    </w:p>
    <w:p w14:paraId="008A695D" w14:textId="77777777" w:rsidR="00AA0247" w:rsidRDefault="009D41BB" w:rsidP="007B2368">
      <w:pPr>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Before Legal Essentials was implemented, </w:t>
      </w:r>
      <w:r w:rsidR="004E1D53">
        <w:rPr>
          <w:rFonts w:asciiTheme="majorHAnsi" w:hAnsiTheme="majorHAnsi" w:cstheme="majorHAnsi"/>
          <w:sz w:val="24"/>
          <w:szCs w:val="24"/>
        </w:rPr>
        <w:t>we de</w:t>
      </w:r>
      <w:r w:rsidR="00351DF9">
        <w:rPr>
          <w:rFonts w:asciiTheme="majorHAnsi" w:hAnsiTheme="majorHAnsi" w:cstheme="majorHAnsi"/>
          <w:sz w:val="24"/>
          <w:szCs w:val="24"/>
        </w:rPr>
        <w:t>veloped</w:t>
      </w:r>
      <w:r w:rsidR="004E1D53">
        <w:rPr>
          <w:rFonts w:asciiTheme="majorHAnsi" w:hAnsiTheme="majorHAnsi" w:cstheme="majorHAnsi"/>
          <w:sz w:val="24"/>
          <w:szCs w:val="24"/>
        </w:rPr>
        <w:t xml:space="preserve"> a</w:t>
      </w:r>
      <w:r w:rsidR="007129B4">
        <w:rPr>
          <w:rFonts w:asciiTheme="majorHAnsi" w:hAnsiTheme="majorHAnsi" w:cstheme="majorHAnsi"/>
          <w:sz w:val="24"/>
          <w:szCs w:val="24"/>
        </w:rPr>
        <w:t>n hour-long</w:t>
      </w:r>
      <w:r w:rsidR="004E1D53">
        <w:rPr>
          <w:rFonts w:asciiTheme="majorHAnsi" w:hAnsiTheme="majorHAnsi" w:cstheme="majorHAnsi"/>
          <w:sz w:val="24"/>
          <w:szCs w:val="24"/>
        </w:rPr>
        <w:t xml:space="preserve"> pilot session </w:t>
      </w:r>
      <w:r w:rsidR="00570333">
        <w:rPr>
          <w:rFonts w:asciiTheme="majorHAnsi" w:hAnsiTheme="majorHAnsi" w:cstheme="majorHAnsi"/>
          <w:sz w:val="24"/>
          <w:szCs w:val="24"/>
        </w:rPr>
        <w:t>on wellbeing awareness called “It’s OK not to be OK”</w:t>
      </w:r>
      <w:r w:rsidR="003140CD">
        <w:rPr>
          <w:rFonts w:asciiTheme="majorHAnsi" w:hAnsiTheme="majorHAnsi" w:cstheme="majorHAnsi"/>
          <w:sz w:val="24"/>
          <w:szCs w:val="24"/>
        </w:rPr>
        <w:t>,</w:t>
      </w:r>
      <w:r w:rsidR="00167A26">
        <w:rPr>
          <w:rStyle w:val="FootnoteReference"/>
          <w:rFonts w:asciiTheme="majorHAnsi" w:hAnsiTheme="majorHAnsi" w:cstheme="majorHAnsi"/>
          <w:sz w:val="24"/>
          <w:szCs w:val="24"/>
        </w:rPr>
        <w:footnoteReference w:id="48"/>
      </w:r>
      <w:r w:rsidR="00351DF9">
        <w:rPr>
          <w:rFonts w:asciiTheme="majorHAnsi" w:hAnsiTheme="majorHAnsi" w:cstheme="majorHAnsi"/>
          <w:sz w:val="24"/>
          <w:szCs w:val="24"/>
        </w:rPr>
        <w:t xml:space="preserve"> </w:t>
      </w:r>
      <w:r w:rsidR="003140CD">
        <w:rPr>
          <w:rFonts w:asciiTheme="majorHAnsi" w:hAnsiTheme="majorHAnsi" w:cstheme="majorHAnsi"/>
          <w:sz w:val="24"/>
          <w:szCs w:val="24"/>
        </w:rPr>
        <w:t xml:space="preserve">to be </w:t>
      </w:r>
      <w:r w:rsidR="00351DF9" w:rsidRPr="007C4F14">
        <w:rPr>
          <w:rFonts w:asciiTheme="majorHAnsi" w:hAnsiTheme="majorHAnsi" w:cstheme="majorHAnsi"/>
          <w:sz w:val="24"/>
          <w:szCs w:val="24"/>
        </w:rPr>
        <w:t>delivered to the first</w:t>
      </w:r>
      <w:r w:rsidR="007129B4">
        <w:rPr>
          <w:rFonts w:asciiTheme="majorHAnsi" w:hAnsiTheme="majorHAnsi" w:cstheme="majorHAnsi"/>
          <w:sz w:val="24"/>
          <w:szCs w:val="24"/>
        </w:rPr>
        <w:t>-</w:t>
      </w:r>
      <w:r w:rsidR="00351DF9" w:rsidRPr="007C4F14">
        <w:rPr>
          <w:rFonts w:asciiTheme="majorHAnsi" w:hAnsiTheme="majorHAnsi" w:cstheme="majorHAnsi"/>
          <w:sz w:val="24"/>
          <w:szCs w:val="24"/>
        </w:rPr>
        <w:t>year</w:t>
      </w:r>
      <w:r w:rsidR="007129B4">
        <w:rPr>
          <w:rFonts w:asciiTheme="majorHAnsi" w:hAnsiTheme="majorHAnsi" w:cstheme="majorHAnsi"/>
          <w:sz w:val="24"/>
          <w:szCs w:val="24"/>
        </w:rPr>
        <w:t xml:space="preserve"> cohort</w:t>
      </w:r>
      <w:r w:rsidR="00351DF9" w:rsidRPr="007C4F14">
        <w:rPr>
          <w:rFonts w:asciiTheme="majorHAnsi" w:hAnsiTheme="majorHAnsi" w:cstheme="majorHAnsi"/>
          <w:sz w:val="24"/>
          <w:szCs w:val="24"/>
        </w:rPr>
        <w:t xml:space="preserve"> </w:t>
      </w:r>
      <w:r w:rsidR="00EE1450">
        <w:rPr>
          <w:rFonts w:asciiTheme="majorHAnsi" w:hAnsiTheme="majorHAnsi" w:cstheme="majorHAnsi"/>
          <w:sz w:val="24"/>
          <w:szCs w:val="24"/>
        </w:rPr>
        <w:lastRenderedPageBreak/>
        <w:t>midway through the first semester.</w:t>
      </w:r>
      <w:r w:rsidR="00553E35">
        <w:rPr>
          <w:rFonts w:asciiTheme="majorHAnsi" w:hAnsiTheme="majorHAnsi" w:cstheme="majorHAnsi"/>
          <w:sz w:val="24"/>
          <w:szCs w:val="24"/>
        </w:rPr>
        <w:t xml:space="preserve"> </w:t>
      </w:r>
      <w:r w:rsidR="00653C9C">
        <w:rPr>
          <w:rFonts w:asciiTheme="majorHAnsi" w:hAnsiTheme="majorHAnsi" w:cstheme="majorHAnsi"/>
          <w:sz w:val="24"/>
          <w:szCs w:val="24"/>
        </w:rPr>
        <w:t>T</w:t>
      </w:r>
      <w:r w:rsidR="00653C9C" w:rsidRPr="007129B4">
        <w:rPr>
          <w:rFonts w:asciiTheme="majorHAnsi" w:hAnsiTheme="majorHAnsi" w:cstheme="majorHAnsi"/>
          <w:sz w:val="24"/>
          <w:szCs w:val="24"/>
        </w:rPr>
        <w:t>he session</w:t>
      </w:r>
      <w:r w:rsidR="00653C9C">
        <w:rPr>
          <w:rFonts w:asciiTheme="majorHAnsi" w:hAnsiTheme="majorHAnsi" w:cstheme="majorHAnsi"/>
          <w:sz w:val="24"/>
          <w:szCs w:val="24"/>
        </w:rPr>
        <w:t xml:space="preserve"> aimed</w:t>
      </w:r>
      <w:r w:rsidR="00653C9C" w:rsidRPr="007129B4">
        <w:rPr>
          <w:rFonts w:asciiTheme="majorHAnsi" w:hAnsiTheme="majorHAnsi" w:cstheme="majorHAnsi"/>
          <w:sz w:val="24"/>
          <w:szCs w:val="24"/>
        </w:rPr>
        <w:t xml:space="preserve"> </w:t>
      </w:r>
      <w:r w:rsidR="00653C9C">
        <w:rPr>
          <w:rFonts w:asciiTheme="majorHAnsi" w:hAnsiTheme="majorHAnsi" w:cstheme="majorHAnsi"/>
          <w:sz w:val="24"/>
          <w:szCs w:val="24"/>
        </w:rPr>
        <w:t>t</w:t>
      </w:r>
      <w:r w:rsidR="00653C9C" w:rsidRPr="007129B4">
        <w:rPr>
          <w:rFonts w:asciiTheme="majorHAnsi" w:hAnsiTheme="majorHAnsi" w:cstheme="majorHAnsi"/>
          <w:sz w:val="24"/>
          <w:szCs w:val="24"/>
        </w:rPr>
        <w:t>o raise awareness that studying Law can be psychologically</w:t>
      </w:r>
      <w:r w:rsidR="00653C9C">
        <w:rPr>
          <w:rFonts w:asciiTheme="majorHAnsi" w:hAnsiTheme="majorHAnsi" w:cstheme="majorHAnsi"/>
          <w:sz w:val="24"/>
          <w:szCs w:val="24"/>
        </w:rPr>
        <w:t xml:space="preserve"> and emotionally</w:t>
      </w:r>
      <w:r w:rsidR="00653C9C" w:rsidRPr="007129B4">
        <w:rPr>
          <w:rFonts w:asciiTheme="majorHAnsi" w:hAnsiTheme="majorHAnsi" w:cstheme="majorHAnsi"/>
          <w:sz w:val="24"/>
          <w:szCs w:val="24"/>
        </w:rPr>
        <w:t xml:space="preserve"> challenging;</w:t>
      </w:r>
      <w:r w:rsidR="00653C9C">
        <w:rPr>
          <w:rFonts w:asciiTheme="majorHAnsi" w:hAnsiTheme="majorHAnsi" w:cstheme="majorHAnsi"/>
          <w:sz w:val="24"/>
          <w:szCs w:val="24"/>
        </w:rPr>
        <w:t xml:space="preserve"> t</w:t>
      </w:r>
      <w:r w:rsidR="00653C9C" w:rsidRPr="007129B4">
        <w:rPr>
          <w:rFonts w:asciiTheme="majorHAnsi" w:hAnsiTheme="majorHAnsi" w:cstheme="majorHAnsi"/>
          <w:sz w:val="24"/>
          <w:szCs w:val="24"/>
        </w:rPr>
        <w:t>o remove stigma attached to mental health</w:t>
      </w:r>
      <w:r w:rsidR="00653C9C">
        <w:rPr>
          <w:rFonts w:asciiTheme="majorHAnsi" w:hAnsiTheme="majorHAnsi" w:cstheme="majorHAnsi"/>
          <w:sz w:val="24"/>
          <w:szCs w:val="24"/>
        </w:rPr>
        <w:t xml:space="preserve"> difficulties</w:t>
      </w:r>
      <w:r w:rsidR="00653C9C" w:rsidRPr="007129B4">
        <w:rPr>
          <w:rFonts w:asciiTheme="majorHAnsi" w:hAnsiTheme="majorHAnsi" w:cstheme="majorHAnsi"/>
          <w:sz w:val="24"/>
          <w:szCs w:val="24"/>
        </w:rPr>
        <w:t>; and</w:t>
      </w:r>
      <w:r w:rsidR="00653C9C">
        <w:rPr>
          <w:rFonts w:asciiTheme="majorHAnsi" w:hAnsiTheme="majorHAnsi" w:cstheme="majorHAnsi"/>
          <w:sz w:val="24"/>
          <w:szCs w:val="24"/>
        </w:rPr>
        <w:t xml:space="preserve"> t</w:t>
      </w:r>
      <w:r w:rsidR="00653C9C" w:rsidRPr="007129B4">
        <w:rPr>
          <w:rFonts w:asciiTheme="majorHAnsi" w:hAnsiTheme="majorHAnsi" w:cstheme="majorHAnsi"/>
          <w:sz w:val="24"/>
          <w:szCs w:val="24"/>
        </w:rPr>
        <w:t xml:space="preserve">o </w:t>
      </w:r>
      <w:r w:rsidR="00653C9C">
        <w:rPr>
          <w:rFonts w:asciiTheme="majorHAnsi" w:hAnsiTheme="majorHAnsi" w:cstheme="majorHAnsi"/>
          <w:sz w:val="24"/>
          <w:szCs w:val="24"/>
        </w:rPr>
        <w:t>encourage</w:t>
      </w:r>
      <w:r w:rsidR="00653C9C" w:rsidRPr="007129B4">
        <w:rPr>
          <w:rFonts w:asciiTheme="majorHAnsi" w:hAnsiTheme="majorHAnsi" w:cstheme="majorHAnsi"/>
          <w:sz w:val="24"/>
          <w:szCs w:val="24"/>
        </w:rPr>
        <w:t xml:space="preserve"> students </w:t>
      </w:r>
      <w:r w:rsidR="00653C9C">
        <w:rPr>
          <w:rFonts w:asciiTheme="majorHAnsi" w:hAnsiTheme="majorHAnsi" w:cstheme="majorHAnsi"/>
          <w:sz w:val="24"/>
          <w:szCs w:val="24"/>
        </w:rPr>
        <w:t xml:space="preserve">to </w:t>
      </w:r>
      <w:r w:rsidR="00653C9C" w:rsidRPr="007129B4">
        <w:rPr>
          <w:rFonts w:asciiTheme="majorHAnsi" w:hAnsiTheme="majorHAnsi" w:cstheme="majorHAnsi"/>
          <w:sz w:val="24"/>
          <w:szCs w:val="24"/>
        </w:rPr>
        <w:t>see the Law School as a supportive community</w:t>
      </w:r>
      <w:r w:rsidR="00653C9C">
        <w:rPr>
          <w:rFonts w:asciiTheme="majorHAnsi" w:hAnsiTheme="majorHAnsi" w:cstheme="majorHAnsi"/>
          <w:sz w:val="24"/>
          <w:szCs w:val="24"/>
        </w:rPr>
        <w:t xml:space="preserve">. </w:t>
      </w:r>
      <w:r w:rsidR="00AA0247">
        <w:rPr>
          <w:rFonts w:asciiTheme="majorHAnsi" w:hAnsiTheme="majorHAnsi" w:cstheme="majorHAnsi"/>
          <w:sz w:val="24"/>
          <w:szCs w:val="24"/>
        </w:rPr>
        <w:t xml:space="preserve">During the session, we used Mentimeter to discover how students were feeling and how they were coping (or not). </w:t>
      </w:r>
      <w:r w:rsidR="00026864">
        <w:rPr>
          <w:rFonts w:asciiTheme="majorHAnsi" w:hAnsiTheme="majorHAnsi" w:cstheme="majorHAnsi"/>
          <w:sz w:val="24"/>
          <w:szCs w:val="24"/>
        </w:rPr>
        <w:t>W</w:t>
      </w:r>
      <w:r w:rsidR="00026864" w:rsidRPr="007129B4">
        <w:rPr>
          <w:rFonts w:asciiTheme="majorHAnsi" w:hAnsiTheme="majorHAnsi" w:cstheme="majorHAnsi"/>
          <w:sz w:val="24"/>
          <w:szCs w:val="24"/>
        </w:rPr>
        <w:t>e used Mentimeter</w:t>
      </w:r>
      <w:r w:rsidR="00026864">
        <w:rPr>
          <w:rFonts w:asciiTheme="majorHAnsi" w:hAnsiTheme="majorHAnsi" w:cstheme="majorHAnsi"/>
          <w:sz w:val="24"/>
          <w:szCs w:val="24"/>
        </w:rPr>
        <w:t xml:space="preserve"> so that s</w:t>
      </w:r>
      <w:r w:rsidR="00026864" w:rsidRPr="007129B4">
        <w:rPr>
          <w:rFonts w:asciiTheme="majorHAnsi" w:hAnsiTheme="majorHAnsi" w:cstheme="majorHAnsi"/>
          <w:sz w:val="24"/>
          <w:szCs w:val="24"/>
        </w:rPr>
        <w:t>tudents could contribute anonymously</w:t>
      </w:r>
      <w:r w:rsidR="00026864">
        <w:rPr>
          <w:rFonts w:asciiTheme="majorHAnsi" w:hAnsiTheme="majorHAnsi" w:cstheme="majorHAnsi"/>
          <w:sz w:val="24"/>
          <w:szCs w:val="24"/>
        </w:rPr>
        <w:t xml:space="preserve"> – and we could respond – in </w:t>
      </w:r>
      <w:r w:rsidR="00026864" w:rsidRPr="007129B4">
        <w:rPr>
          <w:rFonts w:asciiTheme="majorHAnsi" w:hAnsiTheme="majorHAnsi" w:cstheme="majorHAnsi"/>
          <w:sz w:val="24"/>
          <w:szCs w:val="24"/>
        </w:rPr>
        <w:t>real time</w:t>
      </w:r>
      <w:r w:rsidR="00026864">
        <w:rPr>
          <w:rFonts w:asciiTheme="majorHAnsi" w:hAnsiTheme="majorHAnsi" w:cstheme="majorHAnsi"/>
          <w:sz w:val="24"/>
          <w:szCs w:val="24"/>
        </w:rPr>
        <w:t xml:space="preserve">. </w:t>
      </w:r>
      <w:r w:rsidR="00351DF9" w:rsidRPr="007C4F14">
        <w:rPr>
          <w:rFonts w:asciiTheme="majorHAnsi" w:hAnsiTheme="majorHAnsi" w:cstheme="majorHAnsi"/>
          <w:sz w:val="24"/>
          <w:szCs w:val="24"/>
        </w:rPr>
        <w:t xml:space="preserve">We also had a </w:t>
      </w:r>
      <w:r w:rsidR="00351DF9" w:rsidRPr="00351DF9">
        <w:rPr>
          <w:rFonts w:asciiTheme="majorHAnsi" w:hAnsiTheme="majorHAnsi" w:cstheme="majorHAnsi"/>
          <w:sz w:val="24"/>
          <w:szCs w:val="24"/>
        </w:rPr>
        <w:t>discussion panel</w:t>
      </w:r>
      <w:r w:rsidR="00351DF9" w:rsidRPr="007C4F14">
        <w:rPr>
          <w:rFonts w:asciiTheme="majorHAnsi" w:hAnsiTheme="majorHAnsi" w:cstheme="majorHAnsi"/>
          <w:sz w:val="24"/>
          <w:szCs w:val="24"/>
        </w:rPr>
        <w:t xml:space="preserve"> made up of lecturers, our Learning Support specialist, and a PhD student who</w:t>
      </w:r>
      <w:r w:rsidR="00351DF9">
        <w:rPr>
          <w:rFonts w:asciiTheme="majorHAnsi" w:hAnsiTheme="majorHAnsi" w:cstheme="majorHAnsi"/>
          <w:sz w:val="24"/>
          <w:szCs w:val="24"/>
        </w:rPr>
        <w:t xml:space="preserve"> ha</w:t>
      </w:r>
      <w:r w:rsidR="00351DF9" w:rsidRPr="007C4F14">
        <w:rPr>
          <w:rFonts w:asciiTheme="majorHAnsi" w:hAnsiTheme="majorHAnsi" w:cstheme="majorHAnsi"/>
          <w:sz w:val="24"/>
          <w:szCs w:val="24"/>
        </w:rPr>
        <w:t xml:space="preserve">d also been a Keele undergraduate. </w:t>
      </w:r>
      <w:r w:rsidR="00BF1EF6" w:rsidRPr="007129B4">
        <w:rPr>
          <w:rFonts w:asciiTheme="majorHAnsi" w:hAnsiTheme="majorHAnsi" w:cstheme="majorHAnsi"/>
          <w:sz w:val="24"/>
          <w:szCs w:val="24"/>
        </w:rPr>
        <w:t>The aim was to normalise th</w:t>
      </w:r>
      <w:r w:rsidR="00BF1EF6">
        <w:rPr>
          <w:rFonts w:asciiTheme="majorHAnsi" w:hAnsiTheme="majorHAnsi" w:cstheme="majorHAnsi"/>
          <w:sz w:val="24"/>
          <w:szCs w:val="24"/>
        </w:rPr>
        <w:t xml:space="preserve">e challenges facing </w:t>
      </w:r>
      <w:r w:rsidR="003908C5">
        <w:rPr>
          <w:rFonts w:asciiTheme="majorHAnsi" w:hAnsiTheme="majorHAnsi" w:cstheme="majorHAnsi"/>
          <w:sz w:val="24"/>
          <w:szCs w:val="24"/>
        </w:rPr>
        <w:t>students</w:t>
      </w:r>
      <w:r w:rsidR="00D56BAF">
        <w:rPr>
          <w:rFonts w:asciiTheme="majorHAnsi" w:hAnsiTheme="majorHAnsi" w:cstheme="majorHAnsi"/>
          <w:sz w:val="24"/>
          <w:szCs w:val="24"/>
        </w:rPr>
        <w:t xml:space="preserve"> and to show that these challenges </w:t>
      </w:r>
      <w:r w:rsidR="00CC0905">
        <w:rPr>
          <w:rFonts w:asciiTheme="majorHAnsi" w:hAnsiTheme="majorHAnsi" w:cstheme="majorHAnsi"/>
          <w:sz w:val="24"/>
          <w:szCs w:val="24"/>
        </w:rPr>
        <w:t>can be survived</w:t>
      </w:r>
      <w:r w:rsidR="00BF1EF6" w:rsidRPr="007129B4">
        <w:rPr>
          <w:rFonts w:asciiTheme="majorHAnsi" w:hAnsiTheme="majorHAnsi" w:cstheme="majorHAnsi"/>
          <w:sz w:val="24"/>
          <w:szCs w:val="24"/>
        </w:rPr>
        <w:t xml:space="preserve">. </w:t>
      </w:r>
      <w:r w:rsidR="00CE1FCE">
        <w:rPr>
          <w:rFonts w:asciiTheme="majorHAnsi" w:hAnsiTheme="majorHAnsi" w:cstheme="majorHAnsi"/>
          <w:sz w:val="24"/>
          <w:szCs w:val="24"/>
        </w:rPr>
        <w:t xml:space="preserve">We used the panel discussion as a means of </w:t>
      </w:r>
      <w:r w:rsidR="00CE1FCE" w:rsidRPr="007129B4">
        <w:rPr>
          <w:rFonts w:asciiTheme="majorHAnsi" w:hAnsiTheme="majorHAnsi" w:cstheme="majorHAnsi"/>
          <w:sz w:val="24"/>
          <w:szCs w:val="24"/>
        </w:rPr>
        <w:t>model</w:t>
      </w:r>
      <w:r w:rsidR="00CE1FCE">
        <w:rPr>
          <w:rFonts w:asciiTheme="majorHAnsi" w:hAnsiTheme="majorHAnsi" w:cstheme="majorHAnsi"/>
          <w:sz w:val="24"/>
          <w:szCs w:val="24"/>
        </w:rPr>
        <w:t>ling</w:t>
      </w:r>
      <w:r w:rsidR="00CE1FCE" w:rsidRPr="007129B4">
        <w:rPr>
          <w:rFonts w:asciiTheme="majorHAnsi" w:hAnsiTheme="majorHAnsi" w:cstheme="majorHAnsi"/>
          <w:sz w:val="24"/>
          <w:szCs w:val="24"/>
        </w:rPr>
        <w:t xml:space="preserve"> openness</w:t>
      </w:r>
      <w:r w:rsidR="006856DB">
        <w:rPr>
          <w:rFonts w:asciiTheme="majorHAnsi" w:hAnsiTheme="majorHAnsi" w:cstheme="majorHAnsi"/>
          <w:sz w:val="24"/>
          <w:szCs w:val="24"/>
        </w:rPr>
        <w:t>; panel members shared their own experiences</w:t>
      </w:r>
      <w:r w:rsidR="00CE1FCE" w:rsidRPr="007129B4">
        <w:rPr>
          <w:rFonts w:asciiTheme="majorHAnsi" w:hAnsiTheme="majorHAnsi" w:cstheme="majorHAnsi"/>
          <w:sz w:val="24"/>
          <w:szCs w:val="24"/>
        </w:rPr>
        <w:t xml:space="preserve"> </w:t>
      </w:r>
      <w:r w:rsidR="00CE1FCE">
        <w:rPr>
          <w:rFonts w:asciiTheme="majorHAnsi" w:hAnsiTheme="majorHAnsi" w:cstheme="majorHAnsi"/>
          <w:sz w:val="24"/>
          <w:szCs w:val="24"/>
        </w:rPr>
        <w:t>and thereby</w:t>
      </w:r>
      <w:r w:rsidR="00CE1FCE" w:rsidRPr="007129B4">
        <w:rPr>
          <w:rFonts w:asciiTheme="majorHAnsi" w:hAnsiTheme="majorHAnsi" w:cstheme="majorHAnsi"/>
          <w:sz w:val="24"/>
          <w:szCs w:val="24"/>
        </w:rPr>
        <w:t xml:space="preserve"> g</w:t>
      </w:r>
      <w:r w:rsidR="006856DB">
        <w:rPr>
          <w:rFonts w:asciiTheme="majorHAnsi" w:hAnsiTheme="majorHAnsi" w:cstheme="majorHAnsi"/>
          <w:sz w:val="24"/>
          <w:szCs w:val="24"/>
        </w:rPr>
        <w:t>ave</w:t>
      </w:r>
      <w:r w:rsidR="00CE1FCE" w:rsidRPr="007129B4">
        <w:rPr>
          <w:rFonts w:asciiTheme="majorHAnsi" w:hAnsiTheme="majorHAnsi" w:cstheme="majorHAnsi"/>
          <w:sz w:val="24"/>
          <w:szCs w:val="24"/>
        </w:rPr>
        <w:t xml:space="preserve"> students a </w:t>
      </w:r>
      <w:r w:rsidR="00CE1FCE">
        <w:rPr>
          <w:rFonts w:asciiTheme="majorHAnsi" w:hAnsiTheme="majorHAnsi" w:cstheme="majorHAnsi"/>
          <w:sz w:val="24"/>
          <w:szCs w:val="24"/>
        </w:rPr>
        <w:t>real-life</w:t>
      </w:r>
      <w:r w:rsidR="00CE1FCE" w:rsidRPr="007129B4">
        <w:rPr>
          <w:rFonts w:asciiTheme="majorHAnsi" w:hAnsiTheme="majorHAnsi" w:cstheme="majorHAnsi"/>
          <w:sz w:val="24"/>
          <w:szCs w:val="24"/>
        </w:rPr>
        <w:t xml:space="preserve"> </w:t>
      </w:r>
      <w:r w:rsidR="006856DB">
        <w:rPr>
          <w:rFonts w:asciiTheme="majorHAnsi" w:hAnsiTheme="majorHAnsi" w:cstheme="majorHAnsi"/>
          <w:sz w:val="24"/>
          <w:szCs w:val="24"/>
        </w:rPr>
        <w:t>illustration</w:t>
      </w:r>
      <w:r w:rsidR="00CE1FCE" w:rsidRPr="007129B4">
        <w:rPr>
          <w:rFonts w:asciiTheme="majorHAnsi" w:hAnsiTheme="majorHAnsi" w:cstheme="majorHAnsi"/>
          <w:sz w:val="24"/>
          <w:szCs w:val="24"/>
        </w:rPr>
        <w:t xml:space="preserve"> of </w:t>
      </w:r>
      <w:r w:rsidR="006856DB">
        <w:rPr>
          <w:rFonts w:asciiTheme="majorHAnsi" w:hAnsiTheme="majorHAnsi" w:cstheme="majorHAnsi"/>
          <w:sz w:val="24"/>
          <w:szCs w:val="24"/>
        </w:rPr>
        <w:t xml:space="preserve">a supportive </w:t>
      </w:r>
      <w:r w:rsidR="00E379F3">
        <w:rPr>
          <w:rFonts w:asciiTheme="majorHAnsi" w:hAnsiTheme="majorHAnsi" w:cstheme="majorHAnsi"/>
          <w:sz w:val="24"/>
          <w:szCs w:val="24"/>
        </w:rPr>
        <w:t xml:space="preserve">academic </w:t>
      </w:r>
      <w:r w:rsidR="00CE1FCE" w:rsidRPr="007129B4">
        <w:rPr>
          <w:rFonts w:asciiTheme="majorHAnsi" w:hAnsiTheme="majorHAnsi" w:cstheme="majorHAnsi"/>
          <w:sz w:val="24"/>
          <w:szCs w:val="24"/>
        </w:rPr>
        <w:t>community</w:t>
      </w:r>
      <w:r w:rsidR="00CE1FCE">
        <w:rPr>
          <w:rFonts w:asciiTheme="majorHAnsi" w:hAnsiTheme="majorHAnsi" w:cstheme="majorHAnsi"/>
          <w:sz w:val="24"/>
          <w:szCs w:val="24"/>
        </w:rPr>
        <w:t xml:space="preserve">. </w:t>
      </w:r>
    </w:p>
    <w:p w14:paraId="0420B47F" w14:textId="26D73A58" w:rsidR="00E71DE1" w:rsidRDefault="00E379F3" w:rsidP="007B2368">
      <w:pPr>
        <w:spacing w:line="240" w:lineRule="auto"/>
        <w:jc w:val="both"/>
        <w:rPr>
          <w:rFonts w:asciiTheme="majorHAnsi" w:hAnsiTheme="majorHAnsi" w:cstheme="majorHAnsi"/>
          <w:sz w:val="24"/>
          <w:szCs w:val="24"/>
        </w:rPr>
      </w:pPr>
      <w:r>
        <w:rPr>
          <w:rFonts w:asciiTheme="majorHAnsi" w:hAnsiTheme="majorHAnsi" w:cstheme="majorHAnsi"/>
          <w:sz w:val="24"/>
          <w:szCs w:val="24"/>
        </w:rPr>
        <w:t>Student</w:t>
      </w:r>
      <w:r w:rsidR="00C54E4B">
        <w:rPr>
          <w:rFonts w:asciiTheme="majorHAnsi" w:hAnsiTheme="majorHAnsi" w:cstheme="majorHAnsi"/>
          <w:sz w:val="24"/>
          <w:szCs w:val="24"/>
        </w:rPr>
        <w:t>s’</w:t>
      </w:r>
      <w:r>
        <w:rPr>
          <w:rFonts w:asciiTheme="majorHAnsi" w:hAnsiTheme="majorHAnsi" w:cstheme="majorHAnsi"/>
          <w:sz w:val="24"/>
          <w:szCs w:val="24"/>
        </w:rPr>
        <w:t xml:space="preserve"> responses</w:t>
      </w:r>
      <w:r w:rsidR="00AA0247">
        <w:rPr>
          <w:rFonts w:asciiTheme="majorHAnsi" w:hAnsiTheme="majorHAnsi" w:cstheme="majorHAnsi"/>
          <w:sz w:val="24"/>
          <w:szCs w:val="24"/>
        </w:rPr>
        <w:t xml:space="preserve"> </w:t>
      </w:r>
      <w:r w:rsidR="007B2368" w:rsidRPr="007C4F14">
        <w:rPr>
          <w:rFonts w:asciiTheme="majorHAnsi" w:hAnsiTheme="majorHAnsi" w:cstheme="majorHAnsi"/>
          <w:sz w:val="24"/>
          <w:szCs w:val="24"/>
        </w:rPr>
        <w:t xml:space="preserve">confirmed the research </w:t>
      </w:r>
      <w:r w:rsidR="00C54E4B">
        <w:rPr>
          <w:rFonts w:asciiTheme="majorHAnsi" w:hAnsiTheme="majorHAnsi" w:cstheme="majorHAnsi"/>
          <w:sz w:val="24"/>
          <w:szCs w:val="24"/>
        </w:rPr>
        <w:t>findings</w:t>
      </w:r>
      <w:r>
        <w:rPr>
          <w:rFonts w:asciiTheme="majorHAnsi" w:hAnsiTheme="majorHAnsi" w:cstheme="majorHAnsi"/>
          <w:sz w:val="24"/>
          <w:szCs w:val="24"/>
        </w:rPr>
        <w:t xml:space="preserve">: </w:t>
      </w:r>
      <w:r w:rsidR="007B2368" w:rsidRPr="007C4F14">
        <w:rPr>
          <w:rFonts w:asciiTheme="majorHAnsi" w:hAnsiTheme="majorHAnsi" w:cstheme="majorHAnsi"/>
          <w:sz w:val="24"/>
          <w:szCs w:val="24"/>
        </w:rPr>
        <w:t>55% had already experienced a decline</w:t>
      </w:r>
      <w:r>
        <w:rPr>
          <w:rFonts w:asciiTheme="majorHAnsi" w:hAnsiTheme="majorHAnsi" w:cstheme="majorHAnsi"/>
          <w:sz w:val="24"/>
          <w:szCs w:val="24"/>
        </w:rPr>
        <w:t xml:space="preserve"> in their mental health</w:t>
      </w:r>
      <w:r w:rsidR="007F5292">
        <w:rPr>
          <w:rFonts w:asciiTheme="majorHAnsi" w:hAnsiTheme="majorHAnsi" w:cstheme="majorHAnsi"/>
          <w:sz w:val="24"/>
          <w:szCs w:val="24"/>
        </w:rPr>
        <w:t xml:space="preserve"> by week 6</w:t>
      </w:r>
      <w:r>
        <w:rPr>
          <w:rFonts w:asciiTheme="majorHAnsi" w:hAnsiTheme="majorHAnsi" w:cstheme="majorHAnsi"/>
          <w:sz w:val="24"/>
          <w:szCs w:val="24"/>
        </w:rPr>
        <w:t>, with</w:t>
      </w:r>
      <w:r w:rsidR="00F5069F">
        <w:rPr>
          <w:rFonts w:asciiTheme="majorHAnsi" w:hAnsiTheme="majorHAnsi" w:cstheme="majorHAnsi"/>
          <w:sz w:val="24"/>
          <w:szCs w:val="24"/>
        </w:rPr>
        <w:t xml:space="preserve"> </w:t>
      </w:r>
      <w:r w:rsidR="007B2368" w:rsidRPr="007C4F14">
        <w:rPr>
          <w:rFonts w:asciiTheme="majorHAnsi" w:hAnsiTheme="majorHAnsi" w:cstheme="majorHAnsi"/>
          <w:sz w:val="24"/>
          <w:szCs w:val="24"/>
        </w:rPr>
        <w:t xml:space="preserve">“friends”, “workload” and </w:t>
      </w:r>
      <w:r>
        <w:rPr>
          <w:rFonts w:asciiTheme="majorHAnsi" w:hAnsiTheme="majorHAnsi" w:cstheme="majorHAnsi"/>
          <w:sz w:val="24"/>
          <w:szCs w:val="24"/>
        </w:rPr>
        <w:t>“</w:t>
      </w:r>
      <w:r w:rsidR="006064EF">
        <w:rPr>
          <w:rFonts w:asciiTheme="majorHAnsi" w:hAnsiTheme="majorHAnsi" w:cstheme="majorHAnsi"/>
          <w:sz w:val="24"/>
          <w:szCs w:val="24"/>
        </w:rPr>
        <w:t>s</w:t>
      </w:r>
      <w:r w:rsidR="007B2368" w:rsidRPr="007C4F14">
        <w:rPr>
          <w:rFonts w:asciiTheme="majorHAnsi" w:hAnsiTheme="majorHAnsi" w:cstheme="majorHAnsi"/>
          <w:sz w:val="24"/>
          <w:szCs w:val="24"/>
        </w:rPr>
        <w:t xml:space="preserve">tress” </w:t>
      </w:r>
      <w:r>
        <w:rPr>
          <w:rFonts w:asciiTheme="majorHAnsi" w:hAnsiTheme="majorHAnsi" w:cstheme="majorHAnsi"/>
          <w:sz w:val="24"/>
          <w:szCs w:val="24"/>
        </w:rPr>
        <w:t xml:space="preserve">cited </w:t>
      </w:r>
      <w:r w:rsidR="00AC2AF5">
        <w:rPr>
          <w:rFonts w:asciiTheme="majorHAnsi" w:hAnsiTheme="majorHAnsi" w:cstheme="majorHAnsi"/>
          <w:sz w:val="24"/>
          <w:szCs w:val="24"/>
        </w:rPr>
        <w:t>as</w:t>
      </w:r>
      <w:r w:rsidR="007B2368" w:rsidRPr="007C4F14">
        <w:rPr>
          <w:rFonts w:asciiTheme="majorHAnsi" w:hAnsiTheme="majorHAnsi" w:cstheme="majorHAnsi"/>
          <w:sz w:val="24"/>
          <w:szCs w:val="24"/>
        </w:rPr>
        <w:t xml:space="preserve"> the most common </w:t>
      </w:r>
      <w:r>
        <w:rPr>
          <w:rFonts w:asciiTheme="majorHAnsi" w:hAnsiTheme="majorHAnsi" w:cstheme="majorHAnsi"/>
          <w:sz w:val="24"/>
          <w:szCs w:val="24"/>
        </w:rPr>
        <w:t>causes</w:t>
      </w:r>
      <w:r w:rsidR="007B2368" w:rsidRPr="007C4F14">
        <w:rPr>
          <w:rFonts w:asciiTheme="majorHAnsi" w:hAnsiTheme="majorHAnsi" w:cstheme="majorHAnsi"/>
          <w:sz w:val="24"/>
          <w:szCs w:val="24"/>
        </w:rPr>
        <w:t xml:space="preserve">. </w:t>
      </w:r>
      <w:r>
        <w:rPr>
          <w:rFonts w:asciiTheme="majorHAnsi" w:hAnsiTheme="majorHAnsi" w:cstheme="majorHAnsi"/>
          <w:sz w:val="24"/>
          <w:szCs w:val="24"/>
        </w:rPr>
        <w:t xml:space="preserve">As a result, students commonly felt </w:t>
      </w:r>
      <w:r w:rsidR="007B2368" w:rsidRPr="007C4F14">
        <w:rPr>
          <w:rFonts w:asciiTheme="majorHAnsi" w:hAnsiTheme="majorHAnsi" w:cstheme="majorHAnsi"/>
          <w:sz w:val="24"/>
          <w:szCs w:val="24"/>
        </w:rPr>
        <w:t xml:space="preserve">“frustrated”, </w:t>
      </w:r>
      <w:r w:rsidR="006064EF">
        <w:rPr>
          <w:rFonts w:asciiTheme="majorHAnsi" w:hAnsiTheme="majorHAnsi" w:cstheme="majorHAnsi"/>
          <w:sz w:val="24"/>
          <w:szCs w:val="24"/>
        </w:rPr>
        <w:t>‘s</w:t>
      </w:r>
      <w:r w:rsidR="007B2368" w:rsidRPr="007C4F14">
        <w:rPr>
          <w:rFonts w:asciiTheme="majorHAnsi" w:hAnsiTheme="majorHAnsi" w:cstheme="majorHAnsi"/>
          <w:sz w:val="24"/>
          <w:szCs w:val="24"/>
        </w:rPr>
        <w:t xml:space="preserve">uicidal”, and “low”. </w:t>
      </w:r>
      <w:r w:rsidR="00E44029">
        <w:rPr>
          <w:rFonts w:asciiTheme="majorHAnsi" w:hAnsiTheme="majorHAnsi" w:cstheme="majorHAnsi"/>
          <w:sz w:val="24"/>
          <w:szCs w:val="24"/>
        </w:rPr>
        <w:t>In response to th</w:t>
      </w:r>
      <w:r w:rsidR="00DA507A">
        <w:rPr>
          <w:rFonts w:asciiTheme="majorHAnsi" w:hAnsiTheme="majorHAnsi" w:cstheme="majorHAnsi"/>
          <w:sz w:val="24"/>
          <w:szCs w:val="24"/>
        </w:rPr>
        <w:t xml:space="preserve">ese worrying </w:t>
      </w:r>
      <w:r w:rsidR="002F3187">
        <w:rPr>
          <w:rFonts w:asciiTheme="majorHAnsi" w:hAnsiTheme="majorHAnsi" w:cstheme="majorHAnsi"/>
          <w:sz w:val="24"/>
          <w:szCs w:val="24"/>
        </w:rPr>
        <w:t>answers</w:t>
      </w:r>
      <w:r w:rsidR="00DA507A">
        <w:rPr>
          <w:rFonts w:asciiTheme="majorHAnsi" w:hAnsiTheme="majorHAnsi" w:cstheme="majorHAnsi"/>
          <w:sz w:val="24"/>
          <w:szCs w:val="24"/>
        </w:rPr>
        <w:t>,</w:t>
      </w:r>
      <w:r w:rsidR="00E44029">
        <w:rPr>
          <w:rFonts w:asciiTheme="majorHAnsi" w:hAnsiTheme="majorHAnsi" w:cstheme="majorHAnsi"/>
          <w:sz w:val="24"/>
          <w:szCs w:val="24"/>
        </w:rPr>
        <w:t xml:space="preserve"> </w:t>
      </w:r>
      <w:r w:rsidR="00DA507A">
        <w:rPr>
          <w:rFonts w:asciiTheme="majorHAnsi" w:hAnsiTheme="majorHAnsi" w:cstheme="majorHAnsi"/>
          <w:sz w:val="24"/>
          <w:szCs w:val="24"/>
        </w:rPr>
        <w:t>the panel had to show</w:t>
      </w:r>
      <w:r w:rsidR="002F3187">
        <w:rPr>
          <w:rFonts w:asciiTheme="majorHAnsi" w:hAnsiTheme="majorHAnsi" w:cstheme="majorHAnsi"/>
          <w:sz w:val="24"/>
          <w:szCs w:val="24"/>
        </w:rPr>
        <w:t xml:space="preserve"> we acknowledged their </w:t>
      </w:r>
      <w:r w:rsidR="007B2368" w:rsidRPr="007C4F14">
        <w:rPr>
          <w:rFonts w:asciiTheme="majorHAnsi" w:hAnsiTheme="majorHAnsi" w:cstheme="majorHAnsi"/>
          <w:sz w:val="24"/>
          <w:szCs w:val="24"/>
        </w:rPr>
        <w:t xml:space="preserve">distress and </w:t>
      </w:r>
      <w:r w:rsidR="00F71378" w:rsidRPr="007C4F14">
        <w:rPr>
          <w:rFonts w:asciiTheme="majorHAnsi" w:hAnsiTheme="majorHAnsi" w:cstheme="majorHAnsi"/>
          <w:sz w:val="24"/>
          <w:szCs w:val="24"/>
        </w:rPr>
        <w:t>were not</w:t>
      </w:r>
      <w:r w:rsidR="007B2368" w:rsidRPr="007C4F14">
        <w:rPr>
          <w:rFonts w:asciiTheme="majorHAnsi" w:hAnsiTheme="majorHAnsi" w:cstheme="majorHAnsi"/>
          <w:sz w:val="24"/>
          <w:szCs w:val="24"/>
        </w:rPr>
        <w:t xml:space="preserve"> going to shy away from difficult topics</w:t>
      </w:r>
      <w:r w:rsidR="002F3187">
        <w:rPr>
          <w:rFonts w:asciiTheme="majorHAnsi" w:hAnsiTheme="majorHAnsi" w:cstheme="majorHAnsi"/>
          <w:sz w:val="24"/>
          <w:szCs w:val="24"/>
        </w:rPr>
        <w:t>;</w:t>
      </w:r>
      <w:r w:rsidR="007B2368" w:rsidRPr="007C4F14">
        <w:rPr>
          <w:rFonts w:asciiTheme="majorHAnsi" w:hAnsiTheme="majorHAnsi" w:cstheme="majorHAnsi"/>
          <w:sz w:val="24"/>
          <w:szCs w:val="24"/>
        </w:rPr>
        <w:t xml:space="preserve"> </w:t>
      </w:r>
      <w:r w:rsidR="002F3187">
        <w:rPr>
          <w:rFonts w:asciiTheme="majorHAnsi" w:hAnsiTheme="majorHAnsi" w:cstheme="majorHAnsi"/>
          <w:sz w:val="24"/>
          <w:szCs w:val="24"/>
        </w:rPr>
        <w:t xml:space="preserve">the students had revealed their vulnerability and </w:t>
      </w:r>
      <w:r w:rsidR="007B2368" w:rsidRPr="007C4F14">
        <w:rPr>
          <w:rFonts w:asciiTheme="majorHAnsi" w:hAnsiTheme="majorHAnsi" w:cstheme="majorHAnsi"/>
          <w:sz w:val="24"/>
          <w:szCs w:val="24"/>
        </w:rPr>
        <w:t>we</w:t>
      </w:r>
      <w:r w:rsidR="00F72ACF">
        <w:rPr>
          <w:rFonts w:asciiTheme="majorHAnsi" w:hAnsiTheme="majorHAnsi" w:cstheme="majorHAnsi"/>
          <w:sz w:val="24"/>
          <w:szCs w:val="24"/>
        </w:rPr>
        <w:t xml:space="preserve"> had to give them a sense of safety and optimism.</w:t>
      </w:r>
      <w:r w:rsidR="007B2368" w:rsidRPr="007C4F14">
        <w:rPr>
          <w:rFonts w:asciiTheme="majorHAnsi" w:hAnsiTheme="majorHAnsi" w:cstheme="majorHAnsi"/>
          <w:sz w:val="24"/>
          <w:szCs w:val="24"/>
        </w:rPr>
        <w:t xml:space="preserve"> We shar</w:t>
      </w:r>
      <w:r w:rsidR="00E954F6">
        <w:rPr>
          <w:rFonts w:asciiTheme="majorHAnsi" w:hAnsiTheme="majorHAnsi" w:cstheme="majorHAnsi"/>
          <w:sz w:val="24"/>
          <w:szCs w:val="24"/>
        </w:rPr>
        <w:t>ed</w:t>
      </w:r>
      <w:r w:rsidR="007B2368" w:rsidRPr="007C4F14">
        <w:rPr>
          <w:rFonts w:asciiTheme="majorHAnsi" w:hAnsiTheme="majorHAnsi" w:cstheme="majorHAnsi"/>
          <w:sz w:val="24"/>
          <w:szCs w:val="24"/>
        </w:rPr>
        <w:t xml:space="preserve"> our own experiences of </w:t>
      </w:r>
      <w:r w:rsidR="00E954F6">
        <w:rPr>
          <w:rFonts w:asciiTheme="majorHAnsi" w:hAnsiTheme="majorHAnsi" w:cstheme="majorHAnsi"/>
          <w:sz w:val="24"/>
          <w:szCs w:val="24"/>
        </w:rPr>
        <w:t xml:space="preserve">similar </w:t>
      </w:r>
      <w:r w:rsidR="00436E56">
        <w:rPr>
          <w:rFonts w:asciiTheme="majorHAnsi" w:hAnsiTheme="majorHAnsi" w:cstheme="majorHAnsi"/>
          <w:sz w:val="24"/>
          <w:szCs w:val="24"/>
        </w:rPr>
        <w:t>feelings</w:t>
      </w:r>
      <w:r w:rsidR="00436E56" w:rsidRPr="007C4F14">
        <w:rPr>
          <w:rFonts w:asciiTheme="majorHAnsi" w:hAnsiTheme="majorHAnsi" w:cstheme="majorHAnsi"/>
          <w:sz w:val="24"/>
          <w:szCs w:val="24"/>
        </w:rPr>
        <w:t xml:space="preserve"> and</w:t>
      </w:r>
      <w:r w:rsidR="007B2368" w:rsidRPr="007C4F14">
        <w:rPr>
          <w:rFonts w:asciiTheme="majorHAnsi" w:hAnsiTheme="majorHAnsi" w:cstheme="majorHAnsi"/>
          <w:sz w:val="24"/>
          <w:szCs w:val="24"/>
        </w:rPr>
        <w:t xml:space="preserve"> </w:t>
      </w:r>
      <w:r w:rsidR="00E954F6">
        <w:rPr>
          <w:rFonts w:asciiTheme="majorHAnsi" w:hAnsiTheme="majorHAnsi" w:cstheme="majorHAnsi"/>
          <w:sz w:val="24"/>
          <w:szCs w:val="24"/>
        </w:rPr>
        <w:t xml:space="preserve">talked about </w:t>
      </w:r>
      <w:r w:rsidR="007B2368" w:rsidRPr="007C4F14">
        <w:rPr>
          <w:rFonts w:asciiTheme="majorHAnsi" w:hAnsiTheme="majorHAnsi" w:cstheme="majorHAnsi"/>
          <w:sz w:val="24"/>
          <w:szCs w:val="24"/>
        </w:rPr>
        <w:t>how we got through them. Importantly, we shared how we</w:t>
      </w:r>
      <w:r w:rsidR="00B95C60">
        <w:rPr>
          <w:rFonts w:asciiTheme="majorHAnsi" w:hAnsiTheme="majorHAnsi" w:cstheme="majorHAnsi"/>
          <w:sz w:val="24"/>
          <w:szCs w:val="24"/>
        </w:rPr>
        <w:t xml:space="preserve"> ha</w:t>
      </w:r>
      <w:r w:rsidR="007B2368" w:rsidRPr="007C4F14">
        <w:rPr>
          <w:rFonts w:asciiTheme="majorHAnsi" w:hAnsiTheme="majorHAnsi" w:cstheme="majorHAnsi"/>
          <w:sz w:val="24"/>
          <w:szCs w:val="24"/>
        </w:rPr>
        <w:t>d experienced failure as academics</w:t>
      </w:r>
      <w:r w:rsidR="00436E56">
        <w:rPr>
          <w:rFonts w:asciiTheme="majorHAnsi" w:hAnsiTheme="majorHAnsi" w:cstheme="majorHAnsi"/>
          <w:sz w:val="24"/>
          <w:szCs w:val="24"/>
        </w:rPr>
        <w:t xml:space="preserve">, to show that setbacks </w:t>
      </w:r>
      <w:r w:rsidR="00FB5D67">
        <w:rPr>
          <w:rFonts w:asciiTheme="majorHAnsi" w:hAnsiTheme="majorHAnsi" w:cstheme="majorHAnsi"/>
          <w:sz w:val="24"/>
          <w:szCs w:val="24"/>
        </w:rPr>
        <w:t>were not a measure of their potential – they were, indeed, part of life</w:t>
      </w:r>
      <w:r w:rsidR="007B2368" w:rsidRPr="007C4F14">
        <w:rPr>
          <w:rFonts w:asciiTheme="majorHAnsi" w:hAnsiTheme="majorHAnsi" w:cstheme="majorHAnsi"/>
          <w:sz w:val="24"/>
          <w:szCs w:val="24"/>
        </w:rPr>
        <w:t xml:space="preserve">. </w:t>
      </w:r>
      <w:r w:rsidR="00E71DE1">
        <w:rPr>
          <w:rFonts w:asciiTheme="majorHAnsi" w:hAnsiTheme="majorHAnsi" w:cstheme="majorHAnsi"/>
          <w:sz w:val="24"/>
          <w:szCs w:val="24"/>
        </w:rPr>
        <w:t>W</w:t>
      </w:r>
      <w:r w:rsidR="00EF6F91" w:rsidRPr="007C4F14">
        <w:rPr>
          <w:rFonts w:asciiTheme="majorHAnsi" w:hAnsiTheme="majorHAnsi" w:cstheme="majorHAnsi"/>
          <w:sz w:val="24"/>
          <w:szCs w:val="24"/>
        </w:rPr>
        <w:t xml:space="preserve">e emphasised how important it was to </w:t>
      </w:r>
      <w:r w:rsidR="00E71DE1">
        <w:rPr>
          <w:rFonts w:asciiTheme="majorHAnsi" w:hAnsiTheme="majorHAnsi" w:cstheme="majorHAnsi"/>
          <w:sz w:val="24"/>
          <w:szCs w:val="24"/>
        </w:rPr>
        <w:t xml:space="preserve">be kind to themselves and to </w:t>
      </w:r>
      <w:r w:rsidR="00EF6F91" w:rsidRPr="007C4F14">
        <w:rPr>
          <w:rFonts w:asciiTheme="majorHAnsi" w:hAnsiTheme="majorHAnsi" w:cstheme="majorHAnsi"/>
          <w:sz w:val="24"/>
          <w:szCs w:val="24"/>
        </w:rPr>
        <w:t xml:space="preserve">seek </w:t>
      </w:r>
      <w:r w:rsidR="00EF6F91" w:rsidRPr="00663DEB">
        <w:rPr>
          <w:rFonts w:asciiTheme="majorHAnsi" w:hAnsiTheme="majorHAnsi" w:cstheme="majorHAnsi"/>
          <w:sz w:val="24"/>
          <w:szCs w:val="24"/>
        </w:rPr>
        <w:t>support</w:t>
      </w:r>
      <w:r w:rsidR="00EF6F91" w:rsidRPr="007C4F14">
        <w:rPr>
          <w:rFonts w:asciiTheme="majorHAnsi" w:hAnsiTheme="majorHAnsi" w:cstheme="majorHAnsi"/>
          <w:sz w:val="24"/>
          <w:szCs w:val="24"/>
        </w:rPr>
        <w:t xml:space="preserve"> – and we </w:t>
      </w:r>
      <w:r w:rsidR="00EF6F91">
        <w:rPr>
          <w:rFonts w:asciiTheme="majorHAnsi" w:hAnsiTheme="majorHAnsi" w:cstheme="majorHAnsi"/>
          <w:sz w:val="24"/>
          <w:szCs w:val="24"/>
        </w:rPr>
        <w:t xml:space="preserve">gave them clear signposts to sources of this support. </w:t>
      </w:r>
    </w:p>
    <w:p w14:paraId="6D743393" w14:textId="7F8366B4" w:rsidR="007B2368" w:rsidRPr="00D0643B" w:rsidRDefault="007B2368" w:rsidP="007B2368">
      <w:pPr>
        <w:spacing w:line="240" w:lineRule="auto"/>
        <w:jc w:val="both"/>
        <w:rPr>
          <w:rFonts w:asciiTheme="majorHAnsi" w:hAnsiTheme="majorHAnsi" w:cstheme="majorHAnsi"/>
          <w:sz w:val="24"/>
          <w:szCs w:val="24"/>
          <w:u w:val="single"/>
        </w:rPr>
      </w:pPr>
      <w:r w:rsidRPr="00D0643B">
        <w:rPr>
          <w:rFonts w:asciiTheme="majorHAnsi" w:hAnsiTheme="majorHAnsi" w:cstheme="majorHAnsi"/>
          <w:sz w:val="24"/>
          <w:szCs w:val="24"/>
          <w:u w:val="single"/>
        </w:rPr>
        <w:t>Benefits</w:t>
      </w:r>
      <w:r w:rsidR="00E678BC" w:rsidRPr="00D0643B">
        <w:rPr>
          <w:rFonts w:asciiTheme="majorHAnsi" w:hAnsiTheme="majorHAnsi" w:cstheme="majorHAnsi"/>
          <w:sz w:val="24"/>
          <w:szCs w:val="24"/>
          <w:u w:val="single"/>
        </w:rPr>
        <w:t xml:space="preserve"> </w:t>
      </w:r>
    </w:p>
    <w:p w14:paraId="07DC3094" w14:textId="4A926BA1" w:rsidR="005D5D14" w:rsidRDefault="00F80DD0" w:rsidP="007B2368">
      <w:pPr>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Students told us that they would take away </w:t>
      </w:r>
      <w:r w:rsidR="008167EF">
        <w:rPr>
          <w:rFonts w:asciiTheme="majorHAnsi" w:hAnsiTheme="majorHAnsi" w:cstheme="majorHAnsi"/>
          <w:sz w:val="24"/>
          <w:szCs w:val="24"/>
        </w:rPr>
        <w:t>messages such as</w:t>
      </w:r>
      <w:r w:rsidR="000675B9" w:rsidRPr="007C4F14">
        <w:rPr>
          <w:rFonts w:asciiTheme="majorHAnsi" w:hAnsiTheme="majorHAnsi" w:cstheme="majorHAnsi"/>
          <w:sz w:val="24"/>
          <w:szCs w:val="24"/>
        </w:rPr>
        <w:t xml:space="preserve"> “help”, “talk to people”, “coping strategies”, “</w:t>
      </w:r>
      <w:r w:rsidR="008167EF">
        <w:rPr>
          <w:rFonts w:asciiTheme="majorHAnsi" w:hAnsiTheme="majorHAnsi" w:cstheme="majorHAnsi"/>
          <w:sz w:val="24"/>
          <w:szCs w:val="24"/>
        </w:rPr>
        <w:t xml:space="preserve">you’re </w:t>
      </w:r>
      <w:r w:rsidR="000675B9" w:rsidRPr="007C4F14">
        <w:rPr>
          <w:rFonts w:asciiTheme="majorHAnsi" w:hAnsiTheme="majorHAnsi" w:cstheme="majorHAnsi"/>
          <w:sz w:val="24"/>
          <w:szCs w:val="24"/>
        </w:rPr>
        <w:t>not alone”, “it</w:t>
      </w:r>
      <w:r w:rsidR="000675B9">
        <w:rPr>
          <w:rFonts w:asciiTheme="majorHAnsi" w:hAnsiTheme="majorHAnsi" w:cstheme="majorHAnsi"/>
          <w:sz w:val="24"/>
          <w:szCs w:val="24"/>
        </w:rPr>
        <w:t>’s</w:t>
      </w:r>
      <w:r w:rsidR="000675B9" w:rsidRPr="007C4F14">
        <w:rPr>
          <w:rFonts w:asciiTheme="majorHAnsi" w:hAnsiTheme="majorHAnsi" w:cstheme="majorHAnsi"/>
          <w:sz w:val="24"/>
          <w:szCs w:val="24"/>
        </w:rPr>
        <w:t xml:space="preserve"> OK not to be OK”; and – </w:t>
      </w:r>
      <w:r w:rsidR="000675B9">
        <w:rPr>
          <w:rFonts w:asciiTheme="majorHAnsi" w:hAnsiTheme="majorHAnsi" w:cstheme="majorHAnsi"/>
          <w:sz w:val="24"/>
          <w:szCs w:val="24"/>
        </w:rPr>
        <w:t>our</w:t>
      </w:r>
      <w:r w:rsidR="000675B9" w:rsidRPr="007C4F14">
        <w:rPr>
          <w:rFonts w:asciiTheme="majorHAnsi" w:hAnsiTheme="majorHAnsi" w:cstheme="majorHAnsi"/>
          <w:sz w:val="24"/>
          <w:szCs w:val="24"/>
        </w:rPr>
        <w:t xml:space="preserve"> personal favourite – “everyone has shit”! </w:t>
      </w:r>
      <w:r w:rsidR="00E678BC">
        <w:rPr>
          <w:rFonts w:asciiTheme="majorHAnsi" w:hAnsiTheme="majorHAnsi" w:cstheme="majorHAnsi"/>
          <w:sz w:val="24"/>
          <w:szCs w:val="24"/>
        </w:rPr>
        <w:t>The session was a g</w:t>
      </w:r>
      <w:r w:rsidR="007B2368" w:rsidRPr="00E678BC">
        <w:rPr>
          <w:rFonts w:asciiTheme="majorHAnsi" w:hAnsiTheme="majorHAnsi" w:cstheme="majorHAnsi"/>
          <w:sz w:val="24"/>
          <w:szCs w:val="24"/>
        </w:rPr>
        <w:t>ood example of student-led teaching</w:t>
      </w:r>
      <w:r w:rsidR="00E678BC">
        <w:rPr>
          <w:rFonts w:asciiTheme="majorHAnsi" w:hAnsiTheme="majorHAnsi" w:cstheme="majorHAnsi"/>
          <w:sz w:val="24"/>
          <w:szCs w:val="24"/>
        </w:rPr>
        <w:t xml:space="preserve"> and co-creation</w:t>
      </w:r>
      <w:r w:rsidR="00C46B10">
        <w:rPr>
          <w:rFonts w:asciiTheme="majorHAnsi" w:hAnsiTheme="majorHAnsi" w:cstheme="majorHAnsi"/>
          <w:sz w:val="24"/>
          <w:szCs w:val="24"/>
        </w:rPr>
        <w:t xml:space="preserve"> of learning</w:t>
      </w:r>
      <w:r w:rsidR="007B2368" w:rsidRPr="00E678BC">
        <w:rPr>
          <w:rFonts w:asciiTheme="majorHAnsi" w:hAnsiTheme="majorHAnsi" w:cstheme="majorHAnsi"/>
          <w:sz w:val="24"/>
          <w:szCs w:val="24"/>
        </w:rPr>
        <w:t>.</w:t>
      </w:r>
      <w:r w:rsidR="007B2368" w:rsidRPr="007C4F14">
        <w:rPr>
          <w:rFonts w:asciiTheme="majorHAnsi" w:hAnsiTheme="majorHAnsi" w:cstheme="majorHAnsi"/>
          <w:sz w:val="24"/>
          <w:szCs w:val="24"/>
        </w:rPr>
        <w:t xml:space="preserve"> We designed the session with a framework based on </w:t>
      </w:r>
      <w:r w:rsidR="00A07652">
        <w:rPr>
          <w:rFonts w:asciiTheme="majorHAnsi" w:hAnsiTheme="majorHAnsi" w:cstheme="majorHAnsi"/>
          <w:sz w:val="24"/>
          <w:szCs w:val="24"/>
        </w:rPr>
        <w:t xml:space="preserve">research into </w:t>
      </w:r>
      <w:r w:rsidR="007B2368" w:rsidRPr="007C4F14">
        <w:rPr>
          <w:rFonts w:asciiTheme="majorHAnsi" w:hAnsiTheme="majorHAnsi" w:cstheme="majorHAnsi"/>
          <w:sz w:val="24"/>
          <w:szCs w:val="24"/>
        </w:rPr>
        <w:t xml:space="preserve">legal education, but </w:t>
      </w:r>
      <w:r w:rsidR="00803A4F">
        <w:rPr>
          <w:rFonts w:asciiTheme="majorHAnsi" w:hAnsiTheme="majorHAnsi" w:cstheme="majorHAnsi"/>
          <w:sz w:val="24"/>
          <w:szCs w:val="24"/>
        </w:rPr>
        <w:t xml:space="preserve">most of the discussion </w:t>
      </w:r>
      <w:r w:rsidR="007B2368" w:rsidRPr="007C4F14">
        <w:rPr>
          <w:rFonts w:asciiTheme="majorHAnsi" w:hAnsiTheme="majorHAnsi" w:cstheme="majorHAnsi"/>
          <w:sz w:val="24"/>
          <w:szCs w:val="24"/>
        </w:rPr>
        <w:t>was driven by students</w:t>
      </w:r>
      <w:r w:rsidR="0085703E">
        <w:rPr>
          <w:rFonts w:asciiTheme="majorHAnsi" w:hAnsiTheme="majorHAnsi" w:cstheme="majorHAnsi"/>
          <w:sz w:val="24"/>
          <w:szCs w:val="24"/>
        </w:rPr>
        <w:t>’</w:t>
      </w:r>
      <w:r w:rsidR="007B2368" w:rsidRPr="007C4F14">
        <w:rPr>
          <w:rFonts w:asciiTheme="majorHAnsi" w:hAnsiTheme="majorHAnsi" w:cstheme="majorHAnsi"/>
          <w:sz w:val="24"/>
          <w:szCs w:val="24"/>
        </w:rPr>
        <w:t xml:space="preserve"> answers to the </w:t>
      </w:r>
      <w:r w:rsidR="00803A4F">
        <w:rPr>
          <w:rFonts w:asciiTheme="majorHAnsi" w:hAnsiTheme="majorHAnsi" w:cstheme="majorHAnsi"/>
          <w:sz w:val="24"/>
          <w:szCs w:val="24"/>
        </w:rPr>
        <w:t>poll</w:t>
      </w:r>
      <w:r w:rsidR="007B2368" w:rsidRPr="007C4F14">
        <w:rPr>
          <w:rFonts w:asciiTheme="majorHAnsi" w:hAnsiTheme="majorHAnsi" w:cstheme="majorHAnsi"/>
          <w:sz w:val="24"/>
          <w:szCs w:val="24"/>
        </w:rPr>
        <w:t xml:space="preserve">. </w:t>
      </w:r>
      <w:r w:rsidR="007B2368" w:rsidRPr="00C46B10">
        <w:rPr>
          <w:rFonts w:asciiTheme="majorHAnsi" w:hAnsiTheme="majorHAnsi" w:cstheme="majorHAnsi"/>
          <w:sz w:val="24"/>
          <w:szCs w:val="24"/>
        </w:rPr>
        <w:t xml:space="preserve">Some students </w:t>
      </w:r>
      <w:proofErr w:type="gramStart"/>
      <w:r w:rsidR="007B2368" w:rsidRPr="00C46B10">
        <w:rPr>
          <w:rFonts w:asciiTheme="majorHAnsi" w:hAnsiTheme="majorHAnsi" w:cstheme="majorHAnsi"/>
          <w:sz w:val="24"/>
          <w:szCs w:val="24"/>
        </w:rPr>
        <w:t>actually asked</w:t>
      </w:r>
      <w:proofErr w:type="gramEnd"/>
      <w:r w:rsidR="007B2368" w:rsidRPr="00C46B10">
        <w:rPr>
          <w:rFonts w:asciiTheme="majorHAnsi" w:hAnsiTheme="majorHAnsi" w:cstheme="majorHAnsi"/>
          <w:sz w:val="24"/>
          <w:szCs w:val="24"/>
        </w:rPr>
        <w:t xml:space="preserve"> questions </w:t>
      </w:r>
      <w:r w:rsidR="00C46B10">
        <w:rPr>
          <w:rFonts w:asciiTheme="majorHAnsi" w:hAnsiTheme="majorHAnsi" w:cstheme="majorHAnsi"/>
          <w:sz w:val="24"/>
          <w:szCs w:val="24"/>
        </w:rPr>
        <w:t>during the session</w:t>
      </w:r>
      <w:r w:rsidR="00E87BEF">
        <w:rPr>
          <w:rFonts w:asciiTheme="majorHAnsi" w:hAnsiTheme="majorHAnsi" w:cstheme="majorHAnsi"/>
          <w:sz w:val="24"/>
          <w:szCs w:val="24"/>
        </w:rPr>
        <w:t xml:space="preserve"> and </w:t>
      </w:r>
      <w:r w:rsidR="00B6370A">
        <w:rPr>
          <w:rFonts w:asciiTheme="majorHAnsi" w:hAnsiTheme="majorHAnsi" w:cstheme="majorHAnsi"/>
          <w:sz w:val="24"/>
          <w:szCs w:val="24"/>
        </w:rPr>
        <w:t>shar</w:t>
      </w:r>
      <w:r w:rsidR="00E87BEF">
        <w:rPr>
          <w:rFonts w:asciiTheme="majorHAnsi" w:hAnsiTheme="majorHAnsi" w:cstheme="majorHAnsi"/>
          <w:sz w:val="24"/>
          <w:szCs w:val="24"/>
        </w:rPr>
        <w:t>ed</w:t>
      </w:r>
      <w:r w:rsidR="00B6370A">
        <w:rPr>
          <w:rFonts w:asciiTheme="majorHAnsi" w:hAnsiTheme="majorHAnsi" w:cstheme="majorHAnsi"/>
          <w:sz w:val="24"/>
          <w:szCs w:val="24"/>
        </w:rPr>
        <w:t xml:space="preserve"> their</w:t>
      </w:r>
      <w:r w:rsidR="00E87BEF">
        <w:rPr>
          <w:rFonts w:asciiTheme="majorHAnsi" w:hAnsiTheme="majorHAnsi" w:cstheme="majorHAnsi"/>
          <w:sz w:val="24"/>
          <w:szCs w:val="24"/>
        </w:rPr>
        <w:t xml:space="preserve"> own</w:t>
      </w:r>
      <w:r w:rsidR="00B6370A">
        <w:rPr>
          <w:rFonts w:asciiTheme="majorHAnsi" w:hAnsiTheme="majorHAnsi" w:cstheme="majorHAnsi"/>
          <w:sz w:val="24"/>
          <w:szCs w:val="24"/>
        </w:rPr>
        <w:t xml:space="preserve"> </w:t>
      </w:r>
      <w:r w:rsidR="007B2368" w:rsidRPr="007C4F14">
        <w:rPr>
          <w:rFonts w:asciiTheme="majorHAnsi" w:hAnsiTheme="majorHAnsi" w:cstheme="majorHAnsi"/>
          <w:sz w:val="24"/>
          <w:szCs w:val="24"/>
        </w:rPr>
        <w:t>feeling</w:t>
      </w:r>
      <w:r w:rsidR="00B6370A">
        <w:rPr>
          <w:rFonts w:asciiTheme="majorHAnsi" w:hAnsiTheme="majorHAnsi" w:cstheme="majorHAnsi"/>
          <w:sz w:val="24"/>
          <w:szCs w:val="24"/>
        </w:rPr>
        <w:t>s</w:t>
      </w:r>
      <w:r w:rsidR="007B2368" w:rsidRPr="007C4F14">
        <w:rPr>
          <w:rFonts w:asciiTheme="majorHAnsi" w:hAnsiTheme="majorHAnsi" w:cstheme="majorHAnsi"/>
          <w:sz w:val="24"/>
          <w:szCs w:val="24"/>
        </w:rPr>
        <w:t xml:space="preserve"> and difficulties</w:t>
      </w:r>
      <w:r w:rsidR="00B6370A">
        <w:rPr>
          <w:rFonts w:asciiTheme="majorHAnsi" w:hAnsiTheme="majorHAnsi" w:cstheme="majorHAnsi"/>
          <w:sz w:val="24"/>
          <w:szCs w:val="24"/>
        </w:rPr>
        <w:t>.</w:t>
      </w:r>
      <w:r w:rsidR="007B2368" w:rsidRPr="007C4F14">
        <w:rPr>
          <w:rFonts w:asciiTheme="majorHAnsi" w:hAnsiTheme="majorHAnsi" w:cstheme="majorHAnsi"/>
          <w:sz w:val="24"/>
          <w:szCs w:val="24"/>
        </w:rPr>
        <w:t xml:space="preserve"> This showed that they felt </w:t>
      </w:r>
      <w:r w:rsidR="007B2368" w:rsidRPr="00B6370A">
        <w:rPr>
          <w:rFonts w:asciiTheme="majorHAnsi" w:hAnsiTheme="majorHAnsi" w:cstheme="majorHAnsi"/>
          <w:sz w:val="24"/>
          <w:szCs w:val="24"/>
        </w:rPr>
        <w:t>safe</w:t>
      </w:r>
      <w:r w:rsidR="007B2368" w:rsidRPr="007C4F14">
        <w:rPr>
          <w:rFonts w:asciiTheme="majorHAnsi" w:hAnsiTheme="majorHAnsi" w:cstheme="majorHAnsi"/>
          <w:sz w:val="24"/>
          <w:szCs w:val="24"/>
        </w:rPr>
        <w:t xml:space="preserve"> in the environment we</w:t>
      </w:r>
      <w:r w:rsidR="00B6370A">
        <w:rPr>
          <w:rFonts w:asciiTheme="majorHAnsi" w:hAnsiTheme="majorHAnsi" w:cstheme="majorHAnsi"/>
          <w:sz w:val="24"/>
          <w:szCs w:val="24"/>
        </w:rPr>
        <w:t xml:space="preserve"> ha</w:t>
      </w:r>
      <w:r w:rsidR="007B2368" w:rsidRPr="007C4F14">
        <w:rPr>
          <w:rFonts w:asciiTheme="majorHAnsi" w:hAnsiTheme="majorHAnsi" w:cstheme="majorHAnsi"/>
          <w:sz w:val="24"/>
          <w:szCs w:val="24"/>
        </w:rPr>
        <w:t xml:space="preserve">d created. By using Mentimeter to allow anonymity, and by showing students that their peers – and their teachers – had similar feelings, it seemed to give some of them the </w:t>
      </w:r>
      <w:r w:rsidR="007B2368" w:rsidRPr="00B6370A">
        <w:rPr>
          <w:rFonts w:asciiTheme="majorHAnsi" w:hAnsiTheme="majorHAnsi" w:cstheme="majorHAnsi"/>
          <w:sz w:val="24"/>
          <w:szCs w:val="24"/>
        </w:rPr>
        <w:t>confidence</w:t>
      </w:r>
      <w:r w:rsidR="007B2368" w:rsidRPr="007C4F14">
        <w:rPr>
          <w:rFonts w:asciiTheme="majorHAnsi" w:hAnsiTheme="majorHAnsi" w:cstheme="majorHAnsi"/>
          <w:sz w:val="24"/>
          <w:szCs w:val="24"/>
        </w:rPr>
        <w:t xml:space="preserve"> to share their </w:t>
      </w:r>
      <w:r w:rsidR="00B6370A">
        <w:rPr>
          <w:rFonts w:asciiTheme="majorHAnsi" w:hAnsiTheme="majorHAnsi" w:cstheme="majorHAnsi"/>
          <w:sz w:val="24"/>
          <w:szCs w:val="24"/>
        </w:rPr>
        <w:t>struggles</w:t>
      </w:r>
      <w:r w:rsidR="007B2368" w:rsidRPr="007C4F14">
        <w:rPr>
          <w:rFonts w:asciiTheme="majorHAnsi" w:hAnsiTheme="majorHAnsi" w:cstheme="majorHAnsi"/>
          <w:sz w:val="24"/>
          <w:szCs w:val="24"/>
        </w:rPr>
        <w:t xml:space="preserve"> out loud.</w:t>
      </w:r>
      <w:r w:rsidR="00782036">
        <w:rPr>
          <w:rFonts w:asciiTheme="majorHAnsi" w:hAnsiTheme="majorHAnsi" w:cstheme="majorHAnsi"/>
          <w:sz w:val="24"/>
          <w:szCs w:val="24"/>
        </w:rPr>
        <w:t xml:space="preserve"> </w:t>
      </w:r>
      <w:r w:rsidR="00E87BEF">
        <w:rPr>
          <w:rFonts w:asciiTheme="majorHAnsi" w:hAnsiTheme="majorHAnsi" w:cstheme="majorHAnsi"/>
          <w:sz w:val="24"/>
          <w:szCs w:val="24"/>
        </w:rPr>
        <w:t xml:space="preserve">The session </w:t>
      </w:r>
      <w:r w:rsidR="00B6370A">
        <w:rPr>
          <w:rFonts w:asciiTheme="majorHAnsi" w:hAnsiTheme="majorHAnsi" w:cstheme="majorHAnsi"/>
          <w:sz w:val="24"/>
          <w:szCs w:val="24"/>
        </w:rPr>
        <w:t>was also a good example of modelling “community”</w:t>
      </w:r>
      <w:r w:rsidR="00E12ACD">
        <w:rPr>
          <w:rFonts w:asciiTheme="majorHAnsi" w:hAnsiTheme="majorHAnsi" w:cstheme="majorHAnsi"/>
          <w:sz w:val="24"/>
          <w:szCs w:val="24"/>
        </w:rPr>
        <w:t xml:space="preserve"> by</w:t>
      </w:r>
      <w:r w:rsidR="00B6370A">
        <w:rPr>
          <w:rFonts w:asciiTheme="majorHAnsi" w:hAnsiTheme="majorHAnsi" w:cstheme="majorHAnsi"/>
          <w:sz w:val="24"/>
          <w:szCs w:val="24"/>
        </w:rPr>
        <w:t xml:space="preserve"> </w:t>
      </w:r>
      <w:r w:rsidR="00E12ACD">
        <w:rPr>
          <w:rFonts w:asciiTheme="majorHAnsi" w:hAnsiTheme="majorHAnsi" w:cstheme="majorHAnsi"/>
          <w:sz w:val="24"/>
          <w:szCs w:val="24"/>
        </w:rPr>
        <w:t>showing students</w:t>
      </w:r>
      <w:r w:rsidR="007B2368" w:rsidRPr="007C4F14">
        <w:rPr>
          <w:rFonts w:asciiTheme="majorHAnsi" w:hAnsiTheme="majorHAnsi" w:cstheme="majorHAnsi"/>
          <w:sz w:val="24"/>
          <w:szCs w:val="24"/>
        </w:rPr>
        <w:t xml:space="preserve"> what a </w:t>
      </w:r>
      <w:r w:rsidR="00AC2AF5">
        <w:rPr>
          <w:rFonts w:asciiTheme="majorHAnsi" w:hAnsiTheme="majorHAnsi" w:cstheme="majorHAnsi"/>
          <w:sz w:val="24"/>
          <w:szCs w:val="24"/>
        </w:rPr>
        <w:t xml:space="preserve">collaborative and </w:t>
      </w:r>
      <w:r w:rsidR="007B2368" w:rsidRPr="007C4F14">
        <w:rPr>
          <w:rFonts w:asciiTheme="majorHAnsi" w:hAnsiTheme="majorHAnsi" w:cstheme="majorHAnsi"/>
          <w:sz w:val="24"/>
          <w:szCs w:val="24"/>
        </w:rPr>
        <w:t>supportive learning community looks like.</w:t>
      </w:r>
      <w:r w:rsidR="001412D3">
        <w:rPr>
          <w:rFonts w:asciiTheme="majorHAnsi" w:hAnsiTheme="majorHAnsi" w:cstheme="majorHAnsi"/>
          <w:sz w:val="24"/>
          <w:szCs w:val="24"/>
        </w:rPr>
        <w:t xml:space="preserve"> </w:t>
      </w:r>
      <w:r w:rsidR="007B2368" w:rsidRPr="007C4F14">
        <w:rPr>
          <w:rFonts w:asciiTheme="majorHAnsi" w:hAnsiTheme="majorHAnsi" w:cstheme="majorHAnsi"/>
          <w:sz w:val="24"/>
          <w:szCs w:val="24"/>
        </w:rPr>
        <w:t xml:space="preserve">Following the session, our Learning Support specialist reported an increase in students being willing to disclose difficult feelings, as part of their academic skills discussions. </w:t>
      </w:r>
      <w:r w:rsidR="001412D3">
        <w:rPr>
          <w:rFonts w:asciiTheme="majorHAnsi" w:hAnsiTheme="majorHAnsi" w:cstheme="majorHAnsi"/>
          <w:sz w:val="24"/>
          <w:szCs w:val="24"/>
        </w:rPr>
        <w:t>W</w:t>
      </w:r>
      <w:r w:rsidR="007B2368" w:rsidRPr="007C4F14">
        <w:rPr>
          <w:rFonts w:asciiTheme="majorHAnsi" w:hAnsiTheme="majorHAnsi" w:cstheme="majorHAnsi"/>
          <w:sz w:val="24"/>
          <w:szCs w:val="24"/>
        </w:rPr>
        <w:t xml:space="preserve">e had similar feedback from personal tutors. This helped to inform </w:t>
      </w:r>
      <w:r w:rsidR="005D5D14">
        <w:rPr>
          <w:rFonts w:asciiTheme="majorHAnsi" w:hAnsiTheme="majorHAnsi" w:cstheme="majorHAnsi"/>
          <w:sz w:val="24"/>
          <w:szCs w:val="24"/>
        </w:rPr>
        <w:t>our</w:t>
      </w:r>
      <w:r w:rsidR="007B2368" w:rsidRPr="007C4F14">
        <w:rPr>
          <w:rFonts w:asciiTheme="majorHAnsi" w:hAnsiTheme="majorHAnsi" w:cstheme="majorHAnsi"/>
          <w:sz w:val="24"/>
          <w:szCs w:val="24"/>
        </w:rPr>
        <w:t xml:space="preserve"> planning for </w:t>
      </w:r>
      <w:r w:rsidR="005D5D14">
        <w:rPr>
          <w:rFonts w:asciiTheme="majorHAnsi" w:hAnsiTheme="majorHAnsi" w:cstheme="majorHAnsi"/>
          <w:sz w:val="24"/>
          <w:szCs w:val="24"/>
        </w:rPr>
        <w:t>the</w:t>
      </w:r>
      <w:r w:rsidR="007B2368" w:rsidRPr="007C4F14">
        <w:rPr>
          <w:rFonts w:asciiTheme="majorHAnsi" w:hAnsiTheme="majorHAnsi" w:cstheme="majorHAnsi"/>
          <w:sz w:val="24"/>
          <w:szCs w:val="24"/>
        </w:rPr>
        <w:t xml:space="preserve"> </w:t>
      </w:r>
      <w:r w:rsidR="007B2368" w:rsidRPr="008F54DD">
        <w:rPr>
          <w:rFonts w:asciiTheme="majorHAnsi" w:hAnsiTheme="majorHAnsi" w:cstheme="majorHAnsi"/>
          <w:sz w:val="24"/>
          <w:szCs w:val="24"/>
        </w:rPr>
        <w:t xml:space="preserve">Legal Essentials </w:t>
      </w:r>
      <w:r w:rsidR="007B2368" w:rsidRPr="007C4F14">
        <w:rPr>
          <w:rFonts w:asciiTheme="majorHAnsi" w:hAnsiTheme="majorHAnsi" w:cstheme="majorHAnsi"/>
          <w:sz w:val="24"/>
          <w:szCs w:val="24"/>
        </w:rPr>
        <w:t xml:space="preserve">module – treating </w:t>
      </w:r>
      <w:r w:rsidR="005D5D14">
        <w:rPr>
          <w:rFonts w:asciiTheme="majorHAnsi" w:hAnsiTheme="majorHAnsi" w:cstheme="majorHAnsi"/>
          <w:sz w:val="24"/>
          <w:szCs w:val="24"/>
        </w:rPr>
        <w:t>first-</w:t>
      </w:r>
      <w:r w:rsidR="007B2368" w:rsidRPr="007C4F14">
        <w:rPr>
          <w:rFonts w:asciiTheme="majorHAnsi" w:hAnsiTheme="majorHAnsi" w:cstheme="majorHAnsi"/>
          <w:sz w:val="24"/>
          <w:szCs w:val="24"/>
        </w:rPr>
        <w:t xml:space="preserve">year induction and skills training </w:t>
      </w:r>
      <w:r w:rsidR="006A1D8A">
        <w:rPr>
          <w:rFonts w:asciiTheme="majorHAnsi" w:hAnsiTheme="majorHAnsi" w:cstheme="majorHAnsi"/>
          <w:sz w:val="24"/>
          <w:szCs w:val="24"/>
        </w:rPr>
        <w:t xml:space="preserve">holistically, as a </w:t>
      </w:r>
      <w:r w:rsidR="007B2368" w:rsidRPr="007C4F14">
        <w:rPr>
          <w:rFonts w:asciiTheme="majorHAnsi" w:hAnsiTheme="majorHAnsi" w:cstheme="majorHAnsi"/>
          <w:sz w:val="24"/>
          <w:szCs w:val="24"/>
        </w:rPr>
        <w:t xml:space="preserve">process involving the “whole student”. </w:t>
      </w:r>
    </w:p>
    <w:p w14:paraId="5AD7B4EC" w14:textId="63A42053" w:rsidR="007B2368" w:rsidRPr="00D0643B" w:rsidRDefault="00E12ACD" w:rsidP="007B2368">
      <w:pPr>
        <w:spacing w:line="240" w:lineRule="auto"/>
        <w:contextualSpacing/>
        <w:jc w:val="both"/>
        <w:rPr>
          <w:rFonts w:asciiTheme="majorHAnsi" w:hAnsiTheme="majorHAnsi" w:cstheme="majorHAnsi"/>
          <w:sz w:val="24"/>
          <w:szCs w:val="24"/>
          <w:u w:val="single"/>
        </w:rPr>
      </w:pPr>
      <w:r>
        <w:rPr>
          <w:rFonts w:asciiTheme="majorHAnsi" w:hAnsiTheme="majorHAnsi" w:cstheme="majorHAnsi"/>
          <w:sz w:val="24"/>
          <w:szCs w:val="24"/>
          <w:u w:val="single"/>
        </w:rPr>
        <w:t>Limitations</w:t>
      </w:r>
      <w:r w:rsidR="005D5D14" w:rsidRPr="00D0643B">
        <w:rPr>
          <w:rFonts w:asciiTheme="majorHAnsi" w:hAnsiTheme="majorHAnsi" w:cstheme="majorHAnsi"/>
          <w:sz w:val="24"/>
          <w:szCs w:val="24"/>
          <w:u w:val="single"/>
        </w:rPr>
        <w:t xml:space="preserve"> </w:t>
      </w:r>
    </w:p>
    <w:p w14:paraId="411633DC" w14:textId="77777777" w:rsidR="00A53671" w:rsidRDefault="00A53671" w:rsidP="007D72A5">
      <w:pPr>
        <w:spacing w:line="240" w:lineRule="auto"/>
        <w:contextualSpacing/>
        <w:jc w:val="both"/>
        <w:rPr>
          <w:rFonts w:asciiTheme="majorHAnsi" w:hAnsiTheme="majorHAnsi" w:cstheme="majorHAnsi"/>
          <w:i/>
          <w:iCs/>
          <w:sz w:val="24"/>
          <w:szCs w:val="24"/>
        </w:rPr>
      </w:pPr>
    </w:p>
    <w:p w14:paraId="0B041EB5" w14:textId="27FFEBB3" w:rsidR="007B2368" w:rsidRDefault="001021D9" w:rsidP="007D72A5">
      <w:pPr>
        <w:spacing w:line="240" w:lineRule="auto"/>
        <w:contextualSpacing/>
        <w:jc w:val="both"/>
        <w:rPr>
          <w:rFonts w:asciiTheme="majorHAnsi" w:hAnsiTheme="majorHAnsi" w:cstheme="majorHAnsi"/>
          <w:sz w:val="24"/>
          <w:szCs w:val="24"/>
        </w:rPr>
      </w:pPr>
      <w:r>
        <w:rPr>
          <w:rFonts w:asciiTheme="majorHAnsi" w:hAnsiTheme="majorHAnsi" w:cstheme="majorHAnsi"/>
          <w:sz w:val="24"/>
          <w:szCs w:val="24"/>
        </w:rPr>
        <w:t>A</w:t>
      </w:r>
      <w:r w:rsidR="004B74C0">
        <w:rPr>
          <w:rFonts w:asciiTheme="majorHAnsi" w:hAnsiTheme="majorHAnsi" w:cstheme="majorHAnsi"/>
          <w:sz w:val="24"/>
          <w:szCs w:val="24"/>
        </w:rPr>
        <w:t xml:space="preserve">ttendance </w:t>
      </w:r>
      <w:r w:rsidR="00A16198">
        <w:rPr>
          <w:rFonts w:asciiTheme="majorHAnsi" w:hAnsiTheme="majorHAnsi" w:cstheme="majorHAnsi"/>
          <w:sz w:val="24"/>
          <w:szCs w:val="24"/>
        </w:rPr>
        <w:t xml:space="preserve">at the session </w:t>
      </w:r>
      <w:r w:rsidR="000F60CA">
        <w:rPr>
          <w:rFonts w:asciiTheme="majorHAnsi" w:hAnsiTheme="majorHAnsi" w:cstheme="majorHAnsi"/>
          <w:sz w:val="24"/>
          <w:szCs w:val="24"/>
        </w:rPr>
        <w:t xml:space="preserve">was </w:t>
      </w:r>
      <w:r w:rsidR="00523772">
        <w:rPr>
          <w:rFonts w:asciiTheme="majorHAnsi" w:hAnsiTheme="majorHAnsi" w:cstheme="majorHAnsi"/>
          <w:sz w:val="24"/>
          <w:szCs w:val="24"/>
        </w:rPr>
        <w:t xml:space="preserve">less than 50%. </w:t>
      </w:r>
      <w:r w:rsidR="00C63591">
        <w:rPr>
          <w:rFonts w:asciiTheme="majorHAnsi" w:hAnsiTheme="majorHAnsi" w:cstheme="majorHAnsi"/>
          <w:sz w:val="24"/>
          <w:szCs w:val="24"/>
        </w:rPr>
        <w:t>The only slot available to us was a</w:t>
      </w:r>
      <w:r w:rsidR="007D72A5">
        <w:rPr>
          <w:rFonts w:asciiTheme="majorHAnsi" w:hAnsiTheme="majorHAnsi" w:cstheme="majorHAnsi"/>
          <w:i/>
          <w:iCs/>
          <w:sz w:val="24"/>
          <w:szCs w:val="24"/>
        </w:rPr>
        <w:t xml:space="preserve"> </w:t>
      </w:r>
      <w:r w:rsidR="007B2368" w:rsidRPr="007C4F14">
        <w:rPr>
          <w:rFonts w:asciiTheme="majorHAnsi" w:hAnsiTheme="majorHAnsi" w:cstheme="majorHAnsi"/>
          <w:sz w:val="24"/>
          <w:szCs w:val="24"/>
        </w:rPr>
        <w:t>Friday morning</w:t>
      </w:r>
      <w:r w:rsidR="00C63591">
        <w:rPr>
          <w:rFonts w:asciiTheme="majorHAnsi" w:hAnsiTheme="majorHAnsi" w:cstheme="majorHAnsi"/>
          <w:sz w:val="24"/>
          <w:szCs w:val="24"/>
        </w:rPr>
        <w:t xml:space="preserve">, which may have been a disincentive, particularly as </w:t>
      </w:r>
      <w:r w:rsidR="006C43B0">
        <w:rPr>
          <w:rFonts w:asciiTheme="majorHAnsi" w:hAnsiTheme="majorHAnsi" w:cstheme="majorHAnsi"/>
          <w:sz w:val="24"/>
          <w:szCs w:val="24"/>
        </w:rPr>
        <w:t>students knew it did not count towards assessment. In addition to this instrumental approach, it is likely that many students simply thought,</w:t>
      </w:r>
      <w:r w:rsidR="007B2368" w:rsidRPr="007C4F14">
        <w:rPr>
          <w:rFonts w:asciiTheme="majorHAnsi" w:hAnsiTheme="majorHAnsi" w:cstheme="majorHAnsi"/>
          <w:sz w:val="24"/>
          <w:szCs w:val="24"/>
        </w:rPr>
        <w:t xml:space="preserve"> </w:t>
      </w:r>
      <w:r w:rsidR="006C43B0">
        <w:rPr>
          <w:rFonts w:asciiTheme="majorHAnsi" w:hAnsiTheme="majorHAnsi" w:cstheme="majorHAnsi"/>
          <w:sz w:val="24"/>
          <w:szCs w:val="24"/>
        </w:rPr>
        <w:t>“</w:t>
      </w:r>
      <w:r w:rsidR="007B2368" w:rsidRPr="007C4F14">
        <w:rPr>
          <w:rFonts w:asciiTheme="majorHAnsi" w:hAnsiTheme="majorHAnsi" w:cstheme="majorHAnsi"/>
          <w:sz w:val="24"/>
          <w:szCs w:val="24"/>
        </w:rPr>
        <w:t>I</w:t>
      </w:r>
      <w:r w:rsidR="0085703E">
        <w:rPr>
          <w:rFonts w:asciiTheme="majorHAnsi" w:hAnsiTheme="majorHAnsi" w:cstheme="majorHAnsi"/>
          <w:sz w:val="24"/>
          <w:szCs w:val="24"/>
        </w:rPr>
        <w:t>’</w:t>
      </w:r>
      <w:r w:rsidR="007B2368" w:rsidRPr="007C4F14">
        <w:rPr>
          <w:rFonts w:asciiTheme="majorHAnsi" w:hAnsiTheme="majorHAnsi" w:cstheme="majorHAnsi"/>
          <w:sz w:val="24"/>
          <w:szCs w:val="24"/>
        </w:rPr>
        <w:t>m already OK, thanks</w:t>
      </w:r>
      <w:r w:rsidR="006C43B0">
        <w:rPr>
          <w:rFonts w:asciiTheme="majorHAnsi" w:hAnsiTheme="majorHAnsi" w:cstheme="majorHAnsi"/>
          <w:sz w:val="24"/>
          <w:szCs w:val="24"/>
        </w:rPr>
        <w:t>”</w:t>
      </w:r>
      <w:r w:rsidR="007D72A5">
        <w:rPr>
          <w:rFonts w:asciiTheme="majorHAnsi" w:hAnsiTheme="majorHAnsi" w:cstheme="majorHAnsi"/>
          <w:i/>
          <w:iCs/>
          <w:sz w:val="24"/>
          <w:szCs w:val="24"/>
        </w:rPr>
        <w:t xml:space="preserve">. </w:t>
      </w:r>
      <w:r w:rsidR="006C43B0">
        <w:rPr>
          <w:rFonts w:asciiTheme="majorHAnsi" w:hAnsiTheme="majorHAnsi" w:cstheme="majorHAnsi"/>
          <w:sz w:val="24"/>
          <w:szCs w:val="24"/>
        </w:rPr>
        <w:t xml:space="preserve">During the session, there was a </w:t>
      </w:r>
      <w:r w:rsidR="007863BB">
        <w:rPr>
          <w:rFonts w:asciiTheme="majorHAnsi" w:hAnsiTheme="majorHAnsi" w:cstheme="majorHAnsi"/>
          <w:sz w:val="24"/>
          <w:szCs w:val="24"/>
        </w:rPr>
        <w:t xml:space="preserve">small reduction in the </w:t>
      </w:r>
      <w:r w:rsidR="007863BB">
        <w:rPr>
          <w:rFonts w:asciiTheme="majorHAnsi" w:hAnsiTheme="majorHAnsi" w:cstheme="majorHAnsi"/>
          <w:sz w:val="24"/>
          <w:szCs w:val="24"/>
        </w:rPr>
        <w:lastRenderedPageBreak/>
        <w:t xml:space="preserve">number of responses to our questions. </w:t>
      </w:r>
      <w:r w:rsidR="00D012F2">
        <w:rPr>
          <w:rFonts w:asciiTheme="majorHAnsi" w:hAnsiTheme="majorHAnsi" w:cstheme="majorHAnsi"/>
          <w:sz w:val="24"/>
          <w:szCs w:val="24"/>
        </w:rPr>
        <w:t>S</w:t>
      </w:r>
      <w:r w:rsidR="00380AED">
        <w:rPr>
          <w:rFonts w:asciiTheme="majorHAnsi" w:hAnsiTheme="majorHAnsi" w:cstheme="majorHAnsi"/>
          <w:sz w:val="24"/>
          <w:szCs w:val="24"/>
        </w:rPr>
        <w:t>tudents may have found it difficult to articulate their feelings; or they may have felt inhibited in doing so</w:t>
      </w:r>
      <w:r w:rsidR="00D012F2">
        <w:rPr>
          <w:rFonts w:asciiTheme="majorHAnsi" w:hAnsiTheme="majorHAnsi" w:cstheme="majorHAnsi"/>
          <w:sz w:val="24"/>
          <w:szCs w:val="24"/>
        </w:rPr>
        <w:t>. Some of the responses were immature</w:t>
      </w:r>
      <w:r w:rsidR="00E349DD">
        <w:rPr>
          <w:rFonts w:asciiTheme="majorHAnsi" w:hAnsiTheme="majorHAnsi" w:cstheme="majorHAnsi"/>
          <w:sz w:val="24"/>
          <w:szCs w:val="24"/>
        </w:rPr>
        <w:t>, but the</w:t>
      </w:r>
      <w:r w:rsidR="00E349DD">
        <w:rPr>
          <w:rFonts w:asciiTheme="majorHAnsi" w:hAnsiTheme="majorHAnsi" w:cstheme="majorHAnsi"/>
          <w:i/>
          <w:iCs/>
          <w:sz w:val="24"/>
          <w:szCs w:val="24"/>
        </w:rPr>
        <w:t xml:space="preserve"> </w:t>
      </w:r>
      <w:r w:rsidR="00E349DD" w:rsidRPr="00E349DD">
        <w:rPr>
          <w:rFonts w:asciiTheme="majorHAnsi" w:hAnsiTheme="majorHAnsi" w:cstheme="majorHAnsi"/>
          <w:sz w:val="24"/>
          <w:szCs w:val="24"/>
        </w:rPr>
        <w:t xml:space="preserve">research </w:t>
      </w:r>
      <w:r w:rsidR="007B2368" w:rsidRPr="007C4F14">
        <w:rPr>
          <w:rFonts w:asciiTheme="majorHAnsi" w:hAnsiTheme="majorHAnsi" w:cstheme="majorHAnsi"/>
          <w:sz w:val="24"/>
          <w:szCs w:val="24"/>
        </w:rPr>
        <w:t xml:space="preserve">on </w:t>
      </w:r>
      <w:r w:rsidR="00C272B6">
        <w:rPr>
          <w:rFonts w:asciiTheme="majorHAnsi" w:hAnsiTheme="majorHAnsi" w:cstheme="majorHAnsi"/>
          <w:sz w:val="24"/>
          <w:szCs w:val="24"/>
        </w:rPr>
        <w:t>s</w:t>
      </w:r>
      <w:r w:rsidR="007B2368" w:rsidRPr="007C4F14">
        <w:rPr>
          <w:rFonts w:asciiTheme="majorHAnsi" w:hAnsiTheme="majorHAnsi" w:cstheme="majorHAnsi"/>
          <w:sz w:val="24"/>
          <w:szCs w:val="24"/>
        </w:rPr>
        <w:t xml:space="preserve">tudent </w:t>
      </w:r>
      <w:r w:rsidR="00C272B6">
        <w:rPr>
          <w:rFonts w:asciiTheme="majorHAnsi" w:hAnsiTheme="majorHAnsi" w:cstheme="majorHAnsi"/>
          <w:sz w:val="24"/>
          <w:szCs w:val="24"/>
        </w:rPr>
        <w:t>r</w:t>
      </w:r>
      <w:r w:rsidR="007B2368" w:rsidRPr="007C4F14">
        <w:rPr>
          <w:rFonts w:asciiTheme="majorHAnsi" w:hAnsiTheme="majorHAnsi" w:cstheme="majorHAnsi"/>
          <w:sz w:val="24"/>
          <w:szCs w:val="24"/>
        </w:rPr>
        <w:t xml:space="preserve">esponse </w:t>
      </w:r>
      <w:r w:rsidR="00C272B6">
        <w:rPr>
          <w:rFonts w:asciiTheme="majorHAnsi" w:hAnsiTheme="majorHAnsi" w:cstheme="majorHAnsi"/>
          <w:sz w:val="24"/>
          <w:szCs w:val="24"/>
        </w:rPr>
        <w:t>s</w:t>
      </w:r>
      <w:r w:rsidR="007B2368" w:rsidRPr="007C4F14">
        <w:rPr>
          <w:rFonts w:asciiTheme="majorHAnsi" w:hAnsiTheme="majorHAnsi" w:cstheme="majorHAnsi"/>
          <w:sz w:val="24"/>
          <w:szCs w:val="24"/>
        </w:rPr>
        <w:t xml:space="preserve">ystems </w:t>
      </w:r>
      <w:r w:rsidR="00C272B6">
        <w:rPr>
          <w:rFonts w:asciiTheme="majorHAnsi" w:hAnsiTheme="majorHAnsi" w:cstheme="majorHAnsi"/>
          <w:sz w:val="24"/>
          <w:szCs w:val="24"/>
        </w:rPr>
        <w:t xml:space="preserve">such as Mentimeter </w:t>
      </w:r>
      <w:r w:rsidR="007B2368" w:rsidRPr="007C4F14">
        <w:rPr>
          <w:rFonts w:asciiTheme="majorHAnsi" w:hAnsiTheme="majorHAnsi" w:cstheme="majorHAnsi"/>
          <w:sz w:val="24"/>
          <w:szCs w:val="24"/>
        </w:rPr>
        <w:t>had warned us to expect this</w:t>
      </w:r>
      <w:r w:rsidR="00E349DD">
        <w:rPr>
          <w:rFonts w:asciiTheme="majorHAnsi" w:hAnsiTheme="majorHAnsi" w:cstheme="majorHAnsi"/>
          <w:sz w:val="24"/>
          <w:szCs w:val="24"/>
        </w:rPr>
        <w:t>.</w:t>
      </w:r>
      <w:r w:rsidR="00036B04">
        <w:rPr>
          <w:rStyle w:val="FootnoteReference"/>
          <w:rFonts w:asciiTheme="majorHAnsi" w:hAnsiTheme="majorHAnsi" w:cstheme="majorHAnsi"/>
          <w:sz w:val="24"/>
          <w:szCs w:val="24"/>
        </w:rPr>
        <w:footnoteReference w:id="49"/>
      </w:r>
      <w:r w:rsidR="00E349DD">
        <w:rPr>
          <w:rFonts w:asciiTheme="majorHAnsi" w:hAnsiTheme="majorHAnsi" w:cstheme="majorHAnsi"/>
          <w:sz w:val="24"/>
          <w:szCs w:val="24"/>
        </w:rPr>
        <w:t xml:space="preserve"> </w:t>
      </w:r>
      <w:r w:rsidR="00307860">
        <w:rPr>
          <w:rFonts w:asciiTheme="majorHAnsi" w:hAnsiTheme="majorHAnsi" w:cstheme="majorHAnsi"/>
          <w:sz w:val="24"/>
          <w:szCs w:val="24"/>
        </w:rPr>
        <w:t>It is possible that such responses were driven by</w:t>
      </w:r>
      <w:r w:rsidR="007B2368" w:rsidRPr="007C4F14">
        <w:rPr>
          <w:rFonts w:asciiTheme="majorHAnsi" w:hAnsiTheme="majorHAnsi" w:cstheme="majorHAnsi"/>
          <w:i/>
          <w:iCs/>
          <w:sz w:val="24"/>
          <w:szCs w:val="24"/>
        </w:rPr>
        <w:t xml:space="preserve"> </w:t>
      </w:r>
      <w:r w:rsidR="00307860">
        <w:rPr>
          <w:rFonts w:asciiTheme="majorHAnsi" w:hAnsiTheme="majorHAnsi" w:cstheme="majorHAnsi"/>
          <w:sz w:val="24"/>
          <w:szCs w:val="24"/>
        </w:rPr>
        <w:t>e</w:t>
      </w:r>
      <w:r w:rsidR="007B2368" w:rsidRPr="007C4F14">
        <w:rPr>
          <w:rFonts w:asciiTheme="majorHAnsi" w:hAnsiTheme="majorHAnsi" w:cstheme="majorHAnsi"/>
          <w:sz w:val="24"/>
          <w:szCs w:val="24"/>
        </w:rPr>
        <w:t>mbarrassment</w:t>
      </w:r>
      <w:r w:rsidR="005221B6">
        <w:rPr>
          <w:rFonts w:asciiTheme="majorHAnsi" w:hAnsiTheme="majorHAnsi" w:cstheme="majorHAnsi"/>
          <w:sz w:val="24"/>
          <w:szCs w:val="24"/>
        </w:rPr>
        <w:t xml:space="preserve"> or shame.</w:t>
      </w:r>
      <w:r w:rsidR="007B2368">
        <w:rPr>
          <w:rFonts w:asciiTheme="majorHAnsi" w:hAnsiTheme="majorHAnsi" w:cstheme="majorHAnsi"/>
          <w:i/>
          <w:iCs/>
          <w:sz w:val="24"/>
          <w:szCs w:val="24"/>
        </w:rPr>
        <w:t xml:space="preserve"> </w:t>
      </w:r>
      <w:r w:rsidR="007B2368" w:rsidRPr="0057290C">
        <w:rPr>
          <w:rFonts w:asciiTheme="majorHAnsi" w:hAnsiTheme="majorHAnsi" w:cstheme="majorHAnsi"/>
          <w:sz w:val="24"/>
          <w:szCs w:val="24"/>
        </w:rPr>
        <w:t>We chose not to indulge these, and instead we focused on the meaningful responses.</w:t>
      </w:r>
    </w:p>
    <w:p w14:paraId="2001EC53" w14:textId="77777777" w:rsidR="00301E9F" w:rsidRDefault="00301E9F" w:rsidP="007D72A5">
      <w:pPr>
        <w:spacing w:line="240" w:lineRule="auto"/>
        <w:contextualSpacing/>
        <w:jc w:val="both"/>
        <w:rPr>
          <w:rFonts w:asciiTheme="majorHAnsi" w:hAnsiTheme="majorHAnsi" w:cstheme="majorHAnsi"/>
          <w:sz w:val="24"/>
          <w:szCs w:val="24"/>
        </w:rPr>
      </w:pPr>
    </w:p>
    <w:p w14:paraId="6649604A" w14:textId="77777777" w:rsidR="00301E9F" w:rsidRDefault="00301E9F" w:rsidP="00301E9F">
      <w:pPr>
        <w:spacing w:line="240" w:lineRule="auto"/>
        <w:contextualSpacing/>
        <w:jc w:val="both"/>
        <w:rPr>
          <w:rFonts w:asciiTheme="majorHAnsi" w:hAnsiTheme="majorHAnsi" w:cstheme="majorHAnsi"/>
          <w:sz w:val="24"/>
          <w:szCs w:val="24"/>
        </w:rPr>
      </w:pPr>
      <w:r w:rsidRPr="00743E79">
        <w:rPr>
          <w:rFonts w:asciiTheme="majorHAnsi" w:hAnsiTheme="majorHAnsi" w:cstheme="majorHAnsi"/>
          <w:i/>
          <w:iCs/>
          <w:sz w:val="24"/>
          <w:szCs w:val="24"/>
        </w:rPr>
        <w:t>It’s OK not to be OK</w:t>
      </w:r>
      <w:r>
        <w:rPr>
          <w:rFonts w:asciiTheme="majorHAnsi" w:hAnsiTheme="majorHAnsi" w:cstheme="majorHAnsi"/>
          <w:sz w:val="24"/>
          <w:szCs w:val="24"/>
        </w:rPr>
        <w:t xml:space="preserve"> was delivered again as a standalone session in the first year of Legal Essentials (2019-20). Students’ responses to the questions were broadly similar, confirming that the challenges to Law student wellbeing at transition are ongoing. Delivery in the 2020-21 academic year was of course affected by the move to online teaching during the pandemic. As there was no synchronous large-group teaching, and the session design required a large group to provide the safety of anonymity, we tried instead to integrate wellbeing messages into other module sessions, as the following examples illustrate.</w:t>
      </w:r>
    </w:p>
    <w:p w14:paraId="05AAE44D" w14:textId="08051413" w:rsidR="00E8327B" w:rsidRDefault="00E8327B" w:rsidP="007D72A5">
      <w:pPr>
        <w:spacing w:line="240" w:lineRule="auto"/>
        <w:contextualSpacing/>
        <w:jc w:val="both"/>
        <w:rPr>
          <w:rFonts w:asciiTheme="majorHAnsi" w:hAnsiTheme="majorHAnsi" w:cstheme="majorHAnsi"/>
          <w:sz w:val="24"/>
          <w:szCs w:val="24"/>
        </w:rPr>
      </w:pPr>
    </w:p>
    <w:p w14:paraId="45DFD5EC" w14:textId="339A6D62" w:rsidR="00E8327B" w:rsidRPr="00C93A6C" w:rsidRDefault="002A3F9C" w:rsidP="007D72A5">
      <w:pPr>
        <w:spacing w:line="240" w:lineRule="auto"/>
        <w:contextualSpacing/>
        <w:jc w:val="both"/>
        <w:rPr>
          <w:rFonts w:asciiTheme="majorHAnsi" w:hAnsiTheme="majorHAnsi" w:cstheme="majorHAnsi"/>
          <w:b/>
          <w:bCs/>
          <w:sz w:val="24"/>
          <w:szCs w:val="24"/>
        </w:rPr>
      </w:pPr>
      <w:r>
        <w:rPr>
          <w:rFonts w:asciiTheme="majorHAnsi" w:hAnsiTheme="majorHAnsi" w:cstheme="majorHAnsi"/>
          <w:b/>
          <w:bCs/>
          <w:sz w:val="24"/>
          <w:szCs w:val="24"/>
        </w:rPr>
        <w:t>5</w:t>
      </w:r>
      <w:r w:rsidR="00C93A6C">
        <w:rPr>
          <w:rFonts w:asciiTheme="majorHAnsi" w:hAnsiTheme="majorHAnsi" w:cstheme="majorHAnsi"/>
          <w:b/>
          <w:bCs/>
          <w:sz w:val="24"/>
          <w:szCs w:val="24"/>
        </w:rPr>
        <w:t xml:space="preserve">. </w:t>
      </w:r>
      <w:r w:rsidR="00E8327B" w:rsidRPr="00C93A6C">
        <w:rPr>
          <w:rFonts w:asciiTheme="majorHAnsi" w:hAnsiTheme="majorHAnsi" w:cstheme="majorHAnsi"/>
          <w:b/>
          <w:bCs/>
          <w:sz w:val="24"/>
          <w:szCs w:val="24"/>
        </w:rPr>
        <w:t>Integrating Wellbeing</w:t>
      </w:r>
      <w:r w:rsidR="001C11FB">
        <w:rPr>
          <w:rFonts w:asciiTheme="majorHAnsi" w:hAnsiTheme="majorHAnsi" w:cstheme="majorHAnsi"/>
          <w:b/>
          <w:bCs/>
          <w:sz w:val="24"/>
          <w:szCs w:val="24"/>
        </w:rPr>
        <w:t xml:space="preserve"> into Curriculum Design</w:t>
      </w:r>
    </w:p>
    <w:p w14:paraId="1310ABAB" w14:textId="01966903" w:rsidR="006A6BF2" w:rsidRDefault="006A6BF2" w:rsidP="004D1239">
      <w:pPr>
        <w:spacing w:line="240" w:lineRule="auto"/>
        <w:contextualSpacing/>
        <w:jc w:val="both"/>
        <w:rPr>
          <w:rFonts w:asciiTheme="majorHAnsi" w:hAnsiTheme="majorHAnsi" w:cstheme="majorHAnsi"/>
          <w:sz w:val="24"/>
          <w:szCs w:val="24"/>
        </w:rPr>
      </w:pPr>
    </w:p>
    <w:p w14:paraId="024739D0" w14:textId="59502BF3" w:rsidR="006A6BF2" w:rsidRPr="00C93A6C" w:rsidRDefault="00197635" w:rsidP="004D1239">
      <w:pPr>
        <w:spacing w:line="240" w:lineRule="auto"/>
        <w:contextualSpacing/>
        <w:jc w:val="both"/>
        <w:rPr>
          <w:rFonts w:asciiTheme="majorHAnsi" w:hAnsiTheme="majorHAnsi" w:cstheme="majorHAnsi"/>
          <w:i/>
          <w:iCs/>
          <w:sz w:val="24"/>
          <w:szCs w:val="24"/>
        </w:rPr>
      </w:pPr>
      <w:r>
        <w:rPr>
          <w:rFonts w:asciiTheme="majorHAnsi" w:hAnsiTheme="majorHAnsi" w:cstheme="majorHAnsi"/>
          <w:i/>
          <w:iCs/>
          <w:sz w:val="24"/>
          <w:szCs w:val="24"/>
        </w:rPr>
        <w:t xml:space="preserve">(i) </w:t>
      </w:r>
      <w:r w:rsidR="006A6BF2" w:rsidRPr="00C93A6C">
        <w:rPr>
          <w:rFonts w:asciiTheme="majorHAnsi" w:hAnsiTheme="majorHAnsi" w:cstheme="majorHAnsi"/>
          <w:i/>
          <w:iCs/>
          <w:sz w:val="24"/>
          <w:szCs w:val="24"/>
        </w:rPr>
        <w:t>Skills Development</w:t>
      </w:r>
    </w:p>
    <w:p w14:paraId="16D0B0F3" w14:textId="77777777" w:rsidR="006A6BF2" w:rsidRDefault="006A6BF2" w:rsidP="004D1239">
      <w:pPr>
        <w:spacing w:line="240" w:lineRule="auto"/>
        <w:contextualSpacing/>
        <w:jc w:val="both"/>
        <w:rPr>
          <w:rFonts w:asciiTheme="majorHAnsi" w:hAnsiTheme="majorHAnsi" w:cstheme="majorHAnsi"/>
          <w:sz w:val="24"/>
          <w:szCs w:val="24"/>
        </w:rPr>
      </w:pPr>
    </w:p>
    <w:p w14:paraId="55327846" w14:textId="21716DDB" w:rsidR="00EE1219" w:rsidRDefault="006A6BF2" w:rsidP="00AD216A">
      <w:pPr>
        <w:spacing w:line="240" w:lineRule="auto"/>
        <w:contextualSpacing/>
        <w:jc w:val="both"/>
        <w:rPr>
          <w:rFonts w:asciiTheme="majorHAnsi" w:hAnsiTheme="majorHAnsi" w:cstheme="majorHAnsi"/>
          <w:sz w:val="24"/>
          <w:szCs w:val="24"/>
        </w:rPr>
      </w:pPr>
      <w:r>
        <w:rPr>
          <w:rFonts w:asciiTheme="majorHAnsi" w:hAnsiTheme="majorHAnsi" w:cstheme="majorHAnsi"/>
          <w:sz w:val="24"/>
          <w:szCs w:val="24"/>
        </w:rPr>
        <w:t xml:space="preserve">Legal Essentials </w:t>
      </w:r>
      <w:r w:rsidR="00A86281">
        <w:rPr>
          <w:rFonts w:asciiTheme="majorHAnsi" w:hAnsiTheme="majorHAnsi" w:cstheme="majorHAnsi"/>
          <w:sz w:val="24"/>
          <w:szCs w:val="24"/>
        </w:rPr>
        <w:t xml:space="preserve">takes a holistic approach to </w:t>
      </w:r>
      <w:r>
        <w:rPr>
          <w:rFonts w:asciiTheme="majorHAnsi" w:hAnsiTheme="majorHAnsi" w:cstheme="majorHAnsi"/>
          <w:sz w:val="24"/>
          <w:szCs w:val="24"/>
        </w:rPr>
        <w:t xml:space="preserve">legal skills </w:t>
      </w:r>
      <w:r w:rsidR="00A86281">
        <w:rPr>
          <w:rFonts w:asciiTheme="majorHAnsi" w:hAnsiTheme="majorHAnsi" w:cstheme="majorHAnsi"/>
          <w:sz w:val="24"/>
          <w:szCs w:val="24"/>
        </w:rPr>
        <w:t>and</w:t>
      </w:r>
      <w:r>
        <w:rPr>
          <w:rFonts w:asciiTheme="majorHAnsi" w:hAnsiTheme="majorHAnsi" w:cstheme="majorHAnsi"/>
          <w:sz w:val="24"/>
          <w:szCs w:val="24"/>
        </w:rPr>
        <w:t xml:space="preserve"> </w:t>
      </w:r>
      <w:r w:rsidR="00A86281">
        <w:rPr>
          <w:rFonts w:asciiTheme="majorHAnsi" w:hAnsiTheme="majorHAnsi" w:cstheme="majorHAnsi"/>
          <w:sz w:val="24"/>
          <w:szCs w:val="24"/>
        </w:rPr>
        <w:t>reminds students that they</w:t>
      </w:r>
      <w:r>
        <w:rPr>
          <w:rFonts w:asciiTheme="majorHAnsi" w:hAnsiTheme="majorHAnsi" w:cstheme="majorHAnsi"/>
          <w:sz w:val="24"/>
          <w:szCs w:val="24"/>
        </w:rPr>
        <w:t xml:space="preserve"> </w:t>
      </w:r>
      <w:r w:rsidR="00313C70">
        <w:rPr>
          <w:rFonts w:asciiTheme="majorHAnsi" w:hAnsiTheme="majorHAnsi" w:cstheme="majorHAnsi"/>
          <w:sz w:val="24"/>
          <w:szCs w:val="24"/>
        </w:rPr>
        <w:t xml:space="preserve">bring </w:t>
      </w:r>
      <w:r w:rsidR="000E008B">
        <w:rPr>
          <w:rFonts w:asciiTheme="majorHAnsi" w:hAnsiTheme="majorHAnsi" w:cstheme="majorHAnsi"/>
          <w:sz w:val="24"/>
          <w:szCs w:val="24"/>
        </w:rPr>
        <w:t xml:space="preserve">acquired academic skills </w:t>
      </w:r>
      <w:r w:rsidR="00313C70">
        <w:rPr>
          <w:rFonts w:asciiTheme="majorHAnsi" w:hAnsiTheme="majorHAnsi" w:cstheme="majorHAnsi"/>
          <w:sz w:val="24"/>
          <w:szCs w:val="24"/>
        </w:rPr>
        <w:t xml:space="preserve">with them on transition to HE. </w:t>
      </w:r>
      <w:r w:rsidR="00DF17AA">
        <w:rPr>
          <w:rFonts w:asciiTheme="majorHAnsi" w:hAnsiTheme="majorHAnsi" w:cstheme="majorHAnsi"/>
          <w:sz w:val="24"/>
          <w:szCs w:val="24"/>
        </w:rPr>
        <w:t xml:space="preserve">For example, in </w:t>
      </w:r>
      <w:r w:rsidR="00CF7883">
        <w:rPr>
          <w:rFonts w:asciiTheme="majorHAnsi" w:hAnsiTheme="majorHAnsi" w:cstheme="majorHAnsi"/>
          <w:sz w:val="24"/>
          <w:szCs w:val="24"/>
        </w:rPr>
        <w:t xml:space="preserve">a </w:t>
      </w:r>
      <w:r w:rsidR="00DF17AA">
        <w:rPr>
          <w:rFonts w:asciiTheme="majorHAnsi" w:hAnsiTheme="majorHAnsi" w:cstheme="majorHAnsi"/>
          <w:sz w:val="24"/>
          <w:szCs w:val="24"/>
        </w:rPr>
        <w:t xml:space="preserve">week 1 </w:t>
      </w:r>
      <w:r w:rsidR="00CF7883">
        <w:rPr>
          <w:rFonts w:asciiTheme="majorHAnsi" w:hAnsiTheme="majorHAnsi" w:cstheme="majorHAnsi"/>
          <w:sz w:val="24"/>
          <w:szCs w:val="24"/>
        </w:rPr>
        <w:t xml:space="preserve">seminar, </w:t>
      </w:r>
      <w:r w:rsidR="00DF17AA">
        <w:rPr>
          <w:rFonts w:asciiTheme="majorHAnsi" w:hAnsiTheme="majorHAnsi" w:cstheme="majorHAnsi"/>
          <w:sz w:val="24"/>
          <w:szCs w:val="24"/>
        </w:rPr>
        <w:t xml:space="preserve">we </w:t>
      </w:r>
      <w:r w:rsidR="00B8561D">
        <w:rPr>
          <w:rFonts w:asciiTheme="majorHAnsi" w:hAnsiTheme="majorHAnsi" w:cstheme="majorHAnsi"/>
          <w:sz w:val="24"/>
          <w:szCs w:val="24"/>
        </w:rPr>
        <w:t xml:space="preserve">ask students to </w:t>
      </w:r>
      <w:r w:rsidR="00CF7883">
        <w:rPr>
          <w:rFonts w:asciiTheme="majorHAnsi" w:hAnsiTheme="majorHAnsi" w:cstheme="majorHAnsi"/>
          <w:sz w:val="24"/>
          <w:szCs w:val="24"/>
        </w:rPr>
        <w:t>reflect on and share</w:t>
      </w:r>
      <w:r w:rsidR="00B8561D">
        <w:rPr>
          <w:rFonts w:asciiTheme="majorHAnsi" w:hAnsiTheme="majorHAnsi" w:cstheme="majorHAnsi"/>
          <w:sz w:val="24"/>
          <w:szCs w:val="24"/>
        </w:rPr>
        <w:t xml:space="preserve"> </w:t>
      </w:r>
      <w:r w:rsidR="00F2231B">
        <w:rPr>
          <w:rFonts w:asciiTheme="majorHAnsi" w:hAnsiTheme="majorHAnsi" w:cstheme="majorHAnsi"/>
          <w:sz w:val="24"/>
          <w:szCs w:val="24"/>
        </w:rPr>
        <w:t xml:space="preserve">their existing </w:t>
      </w:r>
      <w:r w:rsidR="00C56F06">
        <w:rPr>
          <w:rFonts w:asciiTheme="majorHAnsi" w:hAnsiTheme="majorHAnsi" w:cstheme="majorHAnsi"/>
          <w:sz w:val="24"/>
          <w:szCs w:val="24"/>
        </w:rPr>
        <w:t>characteristics and qualities</w:t>
      </w:r>
      <w:r w:rsidR="00F2231B">
        <w:rPr>
          <w:rFonts w:asciiTheme="majorHAnsi" w:hAnsiTheme="majorHAnsi" w:cstheme="majorHAnsi"/>
          <w:sz w:val="24"/>
          <w:szCs w:val="24"/>
        </w:rPr>
        <w:t xml:space="preserve"> – academic and </w:t>
      </w:r>
      <w:r w:rsidR="007E6A47">
        <w:rPr>
          <w:rFonts w:asciiTheme="majorHAnsi" w:hAnsiTheme="majorHAnsi" w:cstheme="majorHAnsi"/>
          <w:sz w:val="24"/>
          <w:szCs w:val="24"/>
        </w:rPr>
        <w:t xml:space="preserve">personal – along with </w:t>
      </w:r>
      <w:r w:rsidR="001D0306">
        <w:rPr>
          <w:rFonts w:asciiTheme="majorHAnsi" w:hAnsiTheme="majorHAnsi" w:cstheme="majorHAnsi"/>
          <w:sz w:val="24"/>
          <w:szCs w:val="24"/>
        </w:rPr>
        <w:t xml:space="preserve">those </w:t>
      </w:r>
      <w:r w:rsidR="007E6A47">
        <w:rPr>
          <w:rFonts w:asciiTheme="majorHAnsi" w:hAnsiTheme="majorHAnsi" w:cstheme="majorHAnsi"/>
          <w:sz w:val="24"/>
          <w:szCs w:val="24"/>
        </w:rPr>
        <w:t>they w</w:t>
      </w:r>
      <w:r w:rsidR="008269DD">
        <w:rPr>
          <w:rFonts w:asciiTheme="majorHAnsi" w:hAnsiTheme="majorHAnsi" w:cstheme="majorHAnsi"/>
          <w:sz w:val="24"/>
          <w:szCs w:val="24"/>
        </w:rPr>
        <w:t>ant to</w:t>
      </w:r>
      <w:r w:rsidR="001D0306">
        <w:rPr>
          <w:rFonts w:asciiTheme="majorHAnsi" w:hAnsiTheme="majorHAnsi" w:cstheme="majorHAnsi"/>
          <w:sz w:val="24"/>
          <w:szCs w:val="24"/>
        </w:rPr>
        <w:t xml:space="preserve"> develop. </w:t>
      </w:r>
      <w:r w:rsidR="000D7EAA">
        <w:rPr>
          <w:rFonts w:asciiTheme="majorHAnsi" w:hAnsiTheme="majorHAnsi" w:cstheme="majorHAnsi"/>
          <w:sz w:val="24"/>
          <w:szCs w:val="24"/>
        </w:rPr>
        <w:t xml:space="preserve">We devised a </w:t>
      </w:r>
      <w:r w:rsidR="005F1F08">
        <w:rPr>
          <w:rFonts w:asciiTheme="majorHAnsi" w:hAnsiTheme="majorHAnsi" w:cstheme="majorHAnsi"/>
          <w:sz w:val="24"/>
          <w:szCs w:val="24"/>
        </w:rPr>
        <w:t xml:space="preserve">skills </w:t>
      </w:r>
      <w:r w:rsidR="000D7EAA">
        <w:rPr>
          <w:rFonts w:asciiTheme="majorHAnsi" w:hAnsiTheme="majorHAnsi" w:cstheme="majorHAnsi"/>
          <w:sz w:val="24"/>
          <w:szCs w:val="24"/>
        </w:rPr>
        <w:t xml:space="preserve">template to aid </w:t>
      </w:r>
      <w:r w:rsidR="0075132B">
        <w:rPr>
          <w:rFonts w:asciiTheme="majorHAnsi" w:hAnsiTheme="majorHAnsi" w:cstheme="majorHAnsi"/>
          <w:sz w:val="24"/>
          <w:szCs w:val="24"/>
        </w:rPr>
        <w:t>thinking and discussion</w:t>
      </w:r>
      <w:r w:rsidR="00803A94">
        <w:rPr>
          <w:rFonts w:asciiTheme="majorHAnsi" w:hAnsiTheme="majorHAnsi" w:cstheme="majorHAnsi"/>
          <w:sz w:val="24"/>
          <w:szCs w:val="24"/>
        </w:rPr>
        <w:t>, and we shared our</w:t>
      </w:r>
      <w:r w:rsidR="00C922C7">
        <w:rPr>
          <w:rFonts w:asciiTheme="majorHAnsi" w:hAnsiTheme="majorHAnsi" w:cstheme="majorHAnsi"/>
          <w:sz w:val="24"/>
          <w:szCs w:val="24"/>
        </w:rPr>
        <w:t xml:space="preserve"> own experiences</w:t>
      </w:r>
      <w:r w:rsidR="00CD613A">
        <w:rPr>
          <w:rFonts w:asciiTheme="majorHAnsi" w:hAnsiTheme="majorHAnsi" w:cstheme="majorHAnsi"/>
          <w:sz w:val="24"/>
          <w:szCs w:val="24"/>
        </w:rPr>
        <w:t xml:space="preserve"> of personal and academic skills development</w:t>
      </w:r>
      <w:r w:rsidR="00C922C7">
        <w:rPr>
          <w:rFonts w:asciiTheme="majorHAnsi" w:hAnsiTheme="majorHAnsi" w:cstheme="majorHAnsi"/>
          <w:sz w:val="24"/>
          <w:szCs w:val="24"/>
        </w:rPr>
        <w:t xml:space="preserve"> – past and present – as examples</w:t>
      </w:r>
      <w:r w:rsidR="0075132B">
        <w:rPr>
          <w:rFonts w:asciiTheme="majorHAnsi" w:hAnsiTheme="majorHAnsi" w:cstheme="majorHAnsi"/>
          <w:sz w:val="24"/>
          <w:szCs w:val="24"/>
        </w:rPr>
        <w:t xml:space="preserve">. </w:t>
      </w:r>
      <w:r w:rsidR="001D0306">
        <w:rPr>
          <w:rFonts w:asciiTheme="majorHAnsi" w:hAnsiTheme="majorHAnsi" w:cstheme="majorHAnsi"/>
          <w:sz w:val="24"/>
          <w:szCs w:val="24"/>
        </w:rPr>
        <w:t>This</w:t>
      </w:r>
      <w:r w:rsidR="0078678D">
        <w:rPr>
          <w:rFonts w:asciiTheme="majorHAnsi" w:hAnsiTheme="majorHAnsi" w:cstheme="majorHAnsi"/>
          <w:sz w:val="24"/>
          <w:szCs w:val="24"/>
        </w:rPr>
        <w:t xml:space="preserve"> enabled us to deliver the messages </w:t>
      </w:r>
      <w:r w:rsidR="009647FE">
        <w:rPr>
          <w:rFonts w:asciiTheme="majorHAnsi" w:hAnsiTheme="majorHAnsi" w:cstheme="majorHAnsi"/>
          <w:sz w:val="24"/>
          <w:szCs w:val="24"/>
        </w:rPr>
        <w:t xml:space="preserve">from the </w:t>
      </w:r>
      <w:r w:rsidR="002050AC">
        <w:rPr>
          <w:rFonts w:asciiTheme="majorHAnsi" w:hAnsiTheme="majorHAnsi" w:cstheme="majorHAnsi"/>
          <w:sz w:val="24"/>
          <w:szCs w:val="24"/>
        </w:rPr>
        <w:t xml:space="preserve">original </w:t>
      </w:r>
      <w:r w:rsidR="009647FE">
        <w:rPr>
          <w:rFonts w:asciiTheme="majorHAnsi" w:hAnsiTheme="majorHAnsi" w:cstheme="majorHAnsi"/>
          <w:sz w:val="24"/>
          <w:szCs w:val="24"/>
        </w:rPr>
        <w:t>themes</w:t>
      </w:r>
      <w:r w:rsidR="002050AC">
        <w:rPr>
          <w:rFonts w:asciiTheme="majorHAnsi" w:hAnsiTheme="majorHAnsi" w:cstheme="majorHAnsi"/>
          <w:sz w:val="24"/>
          <w:szCs w:val="24"/>
        </w:rPr>
        <w:t xml:space="preserve"> of </w:t>
      </w:r>
      <w:r w:rsidR="002050AC" w:rsidRPr="00C07083">
        <w:rPr>
          <w:rFonts w:asciiTheme="majorHAnsi" w:hAnsiTheme="majorHAnsi" w:cstheme="majorHAnsi"/>
          <w:i/>
          <w:iCs/>
          <w:sz w:val="24"/>
          <w:szCs w:val="24"/>
        </w:rPr>
        <w:t xml:space="preserve">It’s OK not to be </w:t>
      </w:r>
      <w:r w:rsidR="00C07083" w:rsidRPr="00C07083">
        <w:rPr>
          <w:rFonts w:asciiTheme="majorHAnsi" w:hAnsiTheme="majorHAnsi" w:cstheme="majorHAnsi"/>
          <w:i/>
          <w:iCs/>
          <w:sz w:val="24"/>
          <w:szCs w:val="24"/>
        </w:rPr>
        <w:t>OK</w:t>
      </w:r>
      <w:r w:rsidR="009647FE">
        <w:rPr>
          <w:rFonts w:asciiTheme="majorHAnsi" w:hAnsiTheme="majorHAnsi" w:cstheme="majorHAnsi"/>
          <w:sz w:val="24"/>
          <w:szCs w:val="24"/>
        </w:rPr>
        <w:t>: l</w:t>
      </w:r>
      <w:r w:rsidR="009647FE" w:rsidRPr="007129B4">
        <w:rPr>
          <w:rFonts w:asciiTheme="majorHAnsi" w:hAnsiTheme="majorHAnsi" w:cstheme="majorHAnsi"/>
          <w:sz w:val="24"/>
          <w:szCs w:val="24"/>
        </w:rPr>
        <w:t xml:space="preserve">ife and study – getting the balance right; </w:t>
      </w:r>
      <w:r w:rsidR="009647FE">
        <w:rPr>
          <w:rFonts w:asciiTheme="majorHAnsi" w:hAnsiTheme="majorHAnsi" w:cstheme="majorHAnsi"/>
          <w:sz w:val="24"/>
          <w:szCs w:val="24"/>
        </w:rPr>
        <w:t>c</w:t>
      </w:r>
      <w:r w:rsidR="009647FE" w:rsidRPr="007129B4">
        <w:rPr>
          <w:rFonts w:asciiTheme="majorHAnsi" w:hAnsiTheme="majorHAnsi" w:cstheme="majorHAnsi"/>
          <w:sz w:val="24"/>
          <w:szCs w:val="24"/>
        </w:rPr>
        <w:t xml:space="preserve">oping when things go wrong; </w:t>
      </w:r>
      <w:r w:rsidR="009647FE">
        <w:rPr>
          <w:rFonts w:asciiTheme="majorHAnsi" w:hAnsiTheme="majorHAnsi" w:cstheme="majorHAnsi"/>
          <w:sz w:val="24"/>
          <w:szCs w:val="24"/>
        </w:rPr>
        <w:t>r</w:t>
      </w:r>
      <w:r w:rsidR="009647FE" w:rsidRPr="007129B4">
        <w:rPr>
          <w:rFonts w:asciiTheme="majorHAnsi" w:hAnsiTheme="majorHAnsi" w:cstheme="majorHAnsi"/>
          <w:sz w:val="24"/>
          <w:szCs w:val="24"/>
        </w:rPr>
        <w:t xml:space="preserve">ecognising when you are not OK; and </w:t>
      </w:r>
      <w:r w:rsidR="009647FE">
        <w:rPr>
          <w:rFonts w:asciiTheme="majorHAnsi" w:hAnsiTheme="majorHAnsi" w:cstheme="majorHAnsi"/>
          <w:sz w:val="24"/>
          <w:szCs w:val="24"/>
        </w:rPr>
        <w:t>s</w:t>
      </w:r>
      <w:r w:rsidR="009647FE" w:rsidRPr="007129B4">
        <w:rPr>
          <w:rFonts w:asciiTheme="majorHAnsi" w:hAnsiTheme="majorHAnsi" w:cstheme="majorHAnsi"/>
          <w:sz w:val="24"/>
          <w:szCs w:val="24"/>
        </w:rPr>
        <w:t>upport for wellbeing.</w:t>
      </w:r>
      <w:r w:rsidR="002050AC">
        <w:rPr>
          <w:rFonts w:asciiTheme="majorHAnsi" w:hAnsiTheme="majorHAnsi" w:cstheme="majorHAnsi"/>
          <w:sz w:val="24"/>
          <w:szCs w:val="24"/>
        </w:rPr>
        <w:t xml:space="preserve"> </w:t>
      </w:r>
      <w:r w:rsidR="00BA3E21">
        <w:rPr>
          <w:rFonts w:asciiTheme="majorHAnsi" w:hAnsiTheme="majorHAnsi" w:cstheme="majorHAnsi"/>
          <w:sz w:val="24"/>
          <w:szCs w:val="24"/>
        </w:rPr>
        <w:t>We revisited th</w:t>
      </w:r>
      <w:r w:rsidR="00CF7883">
        <w:rPr>
          <w:rFonts w:asciiTheme="majorHAnsi" w:hAnsiTheme="majorHAnsi" w:cstheme="majorHAnsi"/>
          <w:sz w:val="24"/>
          <w:szCs w:val="24"/>
        </w:rPr>
        <w:t xml:space="preserve">is </w:t>
      </w:r>
      <w:r w:rsidR="002D1296">
        <w:rPr>
          <w:rFonts w:asciiTheme="majorHAnsi" w:hAnsiTheme="majorHAnsi" w:cstheme="majorHAnsi"/>
          <w:sz w:val="24"/>
          <w:szCs w:val="24"/>
        </w:rPr>
        <w:t>discussion</w:t>
      </w:r>
      <w:r w:rsidR="0075132B">
        <w:rPr>
          <w:rFonts w:asciiTheme="majorHAnsi" w:hAnsiTheme="majorHAnsi" w:cstheme="majorHAnsi"/>
          <w:sz w:val="24"/>
          <w:szCs w:val="24"/>
        </w:rPr>
        <w:t xml:space="preserve"> in </w:t>
      </w:r>
      <w:r w:rsidR="0080515E">
        <w:rPr>
          <w:rFonts w:asciiTheme="majorHAnsi" w:hAnsiTheme="majorHAnsi" w:cstheme="majorHAnsi"/>
          <w:sz w:val="24"/>
          <w:szCs w:val="24"/>
        </w:rPr>
        <w:t>week 8 as our final seminar</w:t>
      </w:r>
      <w:r w:rsidR="00DD735A">
        <w:rPr>
          <w:rFonts w:asciiTheme="majorHAnsi" w:hAnsiTheme="majorHAnsi" w:cstheme="majorHAnsi"/>
          <w:sz w:val="24"/>
          <w:szCs w:val="24"/>
        </w:rPr>
        <w:t>:</w:t>
      </w:r>
      <w:r w:rsidR="00803A94">
        <w:rPr>
          <w:rFonts w:asciiTheme="majorHAnsi" w:hAnsiTheme="majorHAnsi" w:cstheme="majorHAnsi"/>
          <w:sz w:val="24"/>
          <w:szCs w:val="24"/>
        </w:rPr>
        <w:t xml:space="preserve"> we asked students to reflect </w:t>
      </w:r>
      <w:r w:rsidR="00C922C7">
        <w:rPr>
          <w:rFonts w:asciiTheme="majorHAnsi" w:hAnsiTheme="majorHAnsi" w:cstheme="majorHAnsi"/>
          <w:sz w:val="24"/>
          <w:szCs w:val="24"/>
        </w:rPr>
        <w:t xml:space="preserve">on their </w:t>
      </w:r>
      <w:r w:rsidR="002E3361">
        <w:rPr>
          <w:rFonts w:asciiTheme="majorHAnsi" w:hAnsiTheme="majorHAnsi" w:cstheme="majorHAnsi"/>
          <w:sz w:val="24"/>
          <w:szCs w:val="24"/>
        </w:rPr>
        <w:t>development</w:t>
      </w:r>
      <w:r w:rsidR="00DD735A">
        <w:rPr>
          <w:rFonts w:asciiTheme="majorHAnsi" w:hAnsiTheme="majorHAnsi" w:cstheme="majorHAnsi"/>
          <w:sz w:val="24"/>
          <w:szCs w:val="24"/>
        </w:rPr>
        <w:t xml:space="preserve">; celebrated any “wins” (academic or personal) </w:t>
      </w:r>
      <w:r w:rsidR="002E3361">
        <w:rPr>
          <w:rFonts w:asciiTheme="majorHAnsi" w:hAnsiTheme="majorHAnsi" w:cstheme="majorHAnsi"/>
          <w:sz w:val="24"/>
          <w:szCs w:val="24"/>
        </w:rPr>
        <w:t xml:space="preserve">and signposted them to sources of support </w:t>
      </w:r>
      <w:r w:rsidR="00727F20">
        <w:rPr>
          <w:rFonts w:asciiTheme="majorHAnsi" w:hAnsiTheme="majorHAnsi" w:cstheme="majorHAnsi"/>
          <w:sz w:val="24"/>
          <w:szCs w:val="24"/>
        </w:rPr>
        <w:t>where necessary.</w:t>
      </w:r>
    </w:p>
    <w:p w14:paraId="45FB9311" w14:textId="77777777" w:rsidR="0060671F" w:rsidRDefault="0060671F" w:rsidP="00AD216A">
      <w:pPr>
        <w:spacing w:line="240" w:lineRule="auto"/>
        <w:contextualSpacing/>
        <w:jc w:val="both"/>
        <w:rPr>
          <w:rFonts w:asciiTheme="majorHAnsi" w:hAnsiTheme="majorHAnsi" w:cstheme="majorHAnsi"/>
          <w:i/>
          <w:iCs/>
          <w:sz w:val="24"/>
          <w:szCs w:val="24"/>
        </w:rPr>
      </w:pPr>
    </w:p>
    <w:p w14:paraId="0D90BA1A" w14:textId="73B2E4D6" w:rsidR="007D41CD" w:rsidRDefault="001F3A19" w:rsidP="00AD216A">
      <w:pPr>
        <w:spacing w:line="240" w:lineRule="auto"/>
        <w:contextualSpacing/>
        <w:jc w:val="both"/>
        <w:rPr>
          <w:rFonts w:asciiTheme="majorHAnsi" w:hAnsiTheme="majorHAnsi" w:cstheme="majorHAnsi"/>
          <w:sz w:val="24"/>
          <w:szCs w:val="24"/>
        </w:rPr>
      </w:pPr>
      <w:r>
        <w:rPr>
          <w:rFonts w:asciiTheme="majorHAnsi" w:hAnsiTheme="majorHAnsi" w:cstheme="majorHAnsi"/>
          <w:i/>
          <w:iCs/>
          <w:sz w:val="24"/>
          <w:szCs w:val="24"/>
        </w:rPr>
        <w:t>(i</w:t>
      </w:r>
      <w:r w:rsidR="00197635">
        <w:rPr>
          <w:rFonts w:asciiTheme="majorHAnsi" w:hAnsiTheme="majorHAnsi" w:cstheme="majorHAnsi"/>
          <w:i/>
          <w:iCs/>
          <w:sz w:val="24"/>
          <w:szCs w:val="24"/>
        </w:rPr>
        <w:t>i</w:t>
      </w:r>
      <w:r>
        <w:rPr>
          <w:rFonts w:asciiTheme="majorHAnsi" w:hAnsiTheme="majorHAnsi" w:cstheme="majorHAnsi"/>
          <w:i/>
          <w:iCs/>
          <w:sz w:val="24"/>
          <w:szCs w:val="24"/>
        </w:rPr>
        <w:t xml:space="preserve">) </w:t>
      </w:r>
      <w:r w:rsidR="00AF1A88" w:rsidRPr="00AF1A88">
        <w:rPr>
          <w:rFonts w:asciiTheme="majorHAnsi" w:hAnsiTheme="majorHAnsi" w:cstheme="majorHAnsi"/>
          <w:i/>
          <w:iCs/>
          <w:sz w:val="24"/>
          <w:szCs w:val="24"/>
        </w:rPr>
        <w:t>Induction Project</w:t>
      </w:r>
      <w:r w:rsidR="005B3683">
        <w:rPr>
          <w:rFonts w:asciiTheme="majorHAnsi" w:hAnsiTheme="majorHAnsi" w:cstheme="majorHAnsi"/>
          <w:i/>
          <w:iCs/>
          <w:sz w:val="24"/>
          <w:szCs w:val="24"/>
        </w:rPr>
        <w:t>: “It’s Not Fair!”</w:t>
      </w:r>
    </w:p>
    <w:p w14:paraId="0AE924D5" w14:textId="2D36AE5C" w:rsidR="007D41CD" w:rsidRDefault="007D41CD" w:rsidP="00AD216A">
      <w:pPr>
        <w:spacing w:line="240" w:lineRule="auto"/>
        <w:contextualSpacing/>
        <w:jc w:val="both"/>
        <w:rPr>
          <w:rFonts w:asciiTheme="majorHAnsi" w:hAnsiTheme="majorHAnsi" w:cstheme="majorHAnsi"/>
          <w:sz w:val="24"/>
          <w:szCs w:val="24"/>
        </w:rPr>
      </w:pPr>
    </w:p>
    <w:p w14:paraId="67D61577" w14:textId="6E420EDA" w:rsidR="00062C14" w:rsidRDefault="007D41CD" w:rsidP="002A2246">
      <w:pPr>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This project was </w:t>
      </w:r>
      <w:r w:rsidR="00F7030E">
        <w:rPr>
          <w:rFonts w:asciiTheme="majorHAnsi" w:hAnsiTheme="majorHAnsi" w:cstheme="majorHAnsi"/>
          <w:sz w:val="24"/>
          <w:szCs w:val="24"/>
        </w:rPr>
        <w:t xml:space="preserve">designed in response to </w:t>
      </w:r>
      <w:r w:rsidR="0035067D">
        <w:rPr>
          <w:rFonts w:asciiTheme="majorHAnsi" w:hAnsiTheme="majorHAnsi" w:cstheme="majorHAnsi"/>
          <w:sz w:val="24"/>
          <w:szCs w:val="24"/>
        </w:rPr>
        <w:t xml:space="preserve">the move to online learning in </w:t>
      </w:r>
      <w:r w:rsidR="00506B10">
        <w:rPr>
          <w:rFonts w:asciiTheme="majorHAnsi" w:hAnsiTheme="majorHAnsi" w:cstheme="majorHAnsi"/>
          <w:sz w:val="24"/>
          <w:szCs w:val="24"/>
        </w:rPr>
        <w:t xml:space="preserve">2020-21 and took place during the </w:t>
      </w:r>
      <w:r w:rsidR="00197635">
        <w:rPr>
          <w:rFonts w:asciiTheme="majorHAnsi" w:hAnsiTheme="majorHAnsi" w:cstheme="majorHAnsi"/>
          <w:sz w:val="24"/>
          <w:szCs w:val="24"/>
        </w:rPr>
        <w:t>first three weeks of the module</w:t>
      </w:r>
      <w:r w:rsidR="00506B10">
        <w:rPr>
          <w:rFonts w:asciiTheme="majorHAnsi" w:hAnsiTheme="majorHAnsi" w:cstheme="majorHAnsi"/>
          <w:sz w:val="24"/>
          <w:szCs w:val="24"/>
        </w:rPr>
        <w:t xml:space="preserve">. </w:t>
      </w:r>
      <w:r w:rsidR="00197635">
        <w:rPr>
          <w:rFonts w:asciiTheme="majorHAnsi" w:hAnsiTheme="majorHAnsi" w:cstheme="majorHAnsi"/>
          <w:sz w:val="24"/>
          <w:szCs w:val="24"/>
        </w:rPr>
        <w:t>It</w:t>
      </w:r>
      <w:r w:rsidR="002A2246" w:rsidRPr="00007D7E">
        <w:rPr>
          <w:rFonts w:asciiTheme="majorHAnsi" w:hAnsiTheme="majorHAnsi" w:cstheme="majorHAnsi"/>
          <w:sz w:val="24"/>
          <w:szCs w:val="24"/>
        </w:rPr>
        <w:t xml:space="preserve"> aim</w:t>
      </w:r>
      <w:r w:rsidR="00545918">
        <w:rPr>
          <w:rFonts w:asciiTheme="majorHAnsi" w:hAnsiTheme="majorHAnsi" w:cstheme="majorHAnsi"/>
          <w:sz w:val="24"/>
          <w:szCs w:val="24"/>
        </w:rPr>
        <w:t>ed</w:t>
      </w:r>
      <w:r w:rsidR="002A2246" w:rsidRPr="00007D7E">
        <w:rPr>
          <w:rFonts w:asciiTheme="majorHAnsi" w:hAnsiTheme="majorHAnsi" w:cstheme="majorHAnsi"/>
          <w:sz w:val="24"/>
          <w:szCs w:val="24"/>
        </w:rPr>
        <w:t xml:space="preserve"> to acclimatise students to online learning and – through supported group work – to develop their sense of belonging to the Law School community. </w:t>
      </w:r>
      <w:r w:rsidR="006D354E">
        <w:rPr>
          <w:rFonts w:asciiTheme="majorHAnsi" w:hAnsiTheme="majorHAnsi" w:cstheme="majorHAnsi"/>
          <w:sz w:val="24"/>
          <w:szCs w:val="24"/>
        </w:rPr>
        <w:t>S</w:t>
      </w:r>
      <w:r w:rsidR="002A2246" w:rsidRPr="00007D7E">
        <w:rPr>
          <w:rFonts w:asciiTheme="majorHAnsi" w:hAnsiTheme="majorHAnsi" w:cstheme="majorHAnsi"/>
          <w:sz w:val="24"/>
          <w:szCs w:val="24"/>
        </w:rPr>
        <w:t xml:space="preserve">tudents </w:t>
      </w:r>
      <w:r w:rsidR="006D354E">
        <w:rPr>
          <w:rFonts w:asciiTheme="majorHAnsi" w:hAnsiTheme="majorHAnsi" w:cstheme="majorHAnsi"/>
          <w:sz w:val="24"/>
          <w:szCs w:val="24"/>
        </w:rPr>
        <w:t xml:space="preserve">worked in small groups to </w:t>
      </w:r>
      <w:r w:rsidR="005805FA">
        <w:rPr>
          <w:rFonts w:asciiTheme="majorHAnsi" w:hAnsiTheme="majorHAnsi" w:cstheme="majorHAnsi"/>
          <w:sz w:val="24"/>
          <w:szCs w:val="24"/>
        </w:rPr>
        <w:t xml:space="preserve">devise and </w:t>
      </w:r>
      <w:r w:rsidR="002A2246" w:rsidRPr="00007D7E">
        <w:rPr>
          <w:rFonts w:asciiTheme="majorHAnsi" w:hAnsiTheme="majorHAnsi" w:cstheme="majorHAnsi"/>
          <w:sz w:val="24"/>
          <w:szCs w:val="24"/>
        </w:rPr>
        <w:t>present arguments on a legal issue</w:t>
      </w:r>
      <w:r w:rsidR="007274AC">
        <w:rPr>
          <w:rFonts w:asciiTheme="majorHAnsi" w:hAnsiTheme="majorHAnsi" w:cstheme="majorHAnsi"/>
          <w:sz w:val="24"/>
          <w:szCs w:val="24"/>
        </w:rPr>
        <w:t xml:space="preserve"> that made them feel “It’s not fair!”</w:t>
      </w:r>
      <w:r w:rsidR="002A2246" w:rsidRPr="00007D7E">
        <w:rPr>
          <w:rFonts w:asciiTheme="majorHAnsi" w:hAnsiTheme="majorHAnsi" w:cstheme="majorHAnsi"/>
          <w:sz w:val="24"/>
          <w:szCs w:val="24"/>
        </w:rPr>
        <w:t>: a law that they would like to introduce, repeal</w:t>
      </w:r>
      <w:r w:rsidR="005805FA">
        <w:rPr>
          <w:rFonts w:asciiTheme="majorHAnsi" w:hAnsiTheme="majorHAnsi" w:cstheme="majorHAnsi"/>
          <w:sz w:val="24"/>
          <w:szCs w:val="24"/>
        </w:rPr>
        <w:t>,</w:t>
      </w:r>
      <w:r w:rsidR="002A2246" w:rsidRPr="00007D7E">
        <w:rPr>
          <w:rFonts w:asciiTheme="majorHAnsi" w:hAnsiTheme="majorHAnsi" w:cstheme="majorHAnsi"/>
          <w:sz w:val="24"/>
          <w:szCs w:val="24"/>
        </w:rPr>
        <w:t xml:space="preserve"> or </w:t>
      </w:r>
      <w:r w:rsidR="00545918">
        <w:rPr>
          <w:rFonts w:asciiTheme="majorHAnsi" w:hAnsiTheme="majorHAnsi" w:cstheme="majorHAnsi"/>
          <w:sz w:val="24"/>
          <w:szCs w:val="24"/>
        </w:rPr>
        <w:t>amend</w:t>
      </w:r>
      <w:r w:rsidR="002A2246" w:rsidRPr="00007D7E">
        <w:rPr>
          <w:rFonts w:asciiTheme="majorHAnsi" w:hAnsiTheme="majorHAnsi" w:cstheme="majorHAnsi"/>
          <w:sz w:val="24"/>
          <w:szCs w:val="24"/>
        </w:rPr>
        <w:t xml:space="preserve">. </w:t>
      </w:r>
      <w:r w:rsidR="00BD6AD2">
        <w:rPr>
          <w:rFonts w:asciiTheme="majorHAnsi" w:hAnsiTheme="majorHAnsi" w:cstheme="majorHAnsi"/>
          <w:sz w:val="24"/>
          <w:szCs w:val="24"/>
        </w:rPr>
        <w:t>Popular</w:t>
      </w:r>
      <w:r w:rsidR="00545918">
        <w:rPr>
          <w:rFonts w:asciiTheme="majorHAnsi" w:hAnsiTheme="majorHAnsi" w:cstheme="majorHAnsi"/>
          <w:sz w:val="24"/>
          <w:szCs w:val="24"/>
        </w:rPr>
        <w:t xml:space="preserve"> topics included</w:t>
      </w:r>
      <w:r w:rsidR="00660186">
        <w:rPr>
          <w:rFonts w:asciiTheme="majorHAnsi" w:hAnsiTheme="majorHAnsi" w:cstheme="majorHAnsi"/>
          <w:sz w:val="24"/>
          <w:szCs w:val="24"/>
        </w:rPr>
        <w:t xml:space="preserve"> legalisation of drugs and prison abolition</w:t>
      </w:r>
      <w:r w:rsidR="002A2246">
        <w:rPr>
          <w:rFonts w:asciiTheme="majorHAnsi" w:hAnsiTheme="majorHAnsi" w:cstheme="majorHAnsi"/>
          <w:i/>
          <w:iCs/>
          <w:sz w:val="24"/>
          <w:szCs w:val="24"/>
        </w:rPr>
        <w:t>.</w:t>
      </w:r>
      <w:r w:rsidR="00062C14">
        <w:rPr>
          <w:rFonts w:asciiTheme="majorHAnsi" w:hAnsiTheme="majorHAnsi" w:cstheme="majorHAnsi"/>
          <w:i/>
          <w:iCs/>
          <w:sz w:val="24"/>
          <w:szCs w:val="24"/>
        </w:rPr>
        <w:t xml:space="preserve"> </w:t>
      </w:r>
      <w:r w:rsidR="00BD6AD2">
        <w:rPr>
          <w:rFonts w:asciiTheme="majorHAnsi" w:hAnsiTheme="majorHAnsi" w:cstheme="majorHAnsi"/>
          <w:sz w:val="24"/>
          <w:szCs w:val="24"/>
        </w:rPr>
        <w:t>E</w:t>
      </w:r>
      <w:r w:rsidR="002A2246" w:rsidRPr="00007D7E">
        <w:rPr>
          <w:rFonts w:asciiTheme="majorHAnsi" w:hAnsiTheme="majorHAnsi" w:cstheme="majorHAnsi"/>
          <w:sz w:val="24"/>
          <w:szCs w:val="24"/>
        </w:rPr>
        <w:t>mphasis w</w:t>
      </w:r>
      <w:r w:rsidR="00BD6AD2">
        <w:rPr>
          <w:rFonts w:asciiTheme="majorHAnsi" w:hAnsiTheme="majorHAnsi" w:cstheme="majorHAnsi"/>
          <w:sz w:val="24"/>
          <w:szCs w:val="24"/>
        </w:rPr>
        <w:t>as placed</w:t>
      </w:r>
      <w:r w:rsidR="002A2246" w:rsidRPr="00007D7E">
        <w:rPr>
          <w:rFonts w:asciiTheme="majorHAnsi" w:hAnsiTheme="majorHAnsi" w:cstheme="majorHAnsi"/>
          <w:sz w:val="24"/>
          <w:szCs w:val="24"/>
        </w:rPr>
        <w:t xml:space="preserve"> on students working together to create interesting arguments. They </w:t>
      </w:r>
      <w:r w:rsidR="00BD6AD2">
        <w:rPr>
          <w:rFonts w:asciiTheme="majorHAnsi" w:hAnsiTheme="majorHAnsi" w:cstheme="majorHAnsi"/>
          <w:sz w:val="24"/>
          <w:szCs w:val="24"/>
        </w:rPr>
        <w:t xml:space="preserve">were not </w:t>
      </w:r>
      <w:r w:rsidR="002A2246" w:rsidRPr="00007D7E">
        <w:rPr>
          <w:rFonts w:asciiTheme="majorHAnsi" w:hAnsiTheme="majorHAnsi" w:cstheme="majorHAnsi"/>
          <w:sz w:val="24"/>
          <w:szCs w:val="24"/>
        </w:rPr>
        <w:t xml:space="preserve">required to undertake formal legal research, although </w:t>
      </w:r>
      <w:r w:rsidR="00F71EA2">
        <w:rPr>
          <w:rFonts w:asciiTheme="majorHAnsi" w:hAnsiTheme="majorHAnsi" w:cstheme="majorHAnsi"/>
          <w:sz w:val="24"/>
          <w:szCs w:val="24"/>
        </w:rPr>
        <w:t xml:space="preserve">research </w:t>
      </w:r>
      <w:r w:rsidR="002A2246" w:rsidRPr="00007D7E">
        <w:rPr>
          <w:rFonts w:asciiTheme="majorHAnsi" w:hAnsiTheme="majorHAnsi" w:cstheme="majorHAnsi"/>
          <w:sz w:val="24"/>
          <w:szCs w:val="24"/>
        </w:rPr>
        <w:t xml:space="preserve">advice </w:t>
      </w:r>
      <w:r w:rsidR="00F71EA2">
        <w:rPr>
          <w:rFonts w:asciiTheme="majorHAnsi" w:hAnsiTheme="majorHAnsi" w:cstheme="majorHAnsi"/>
          <w:sz w:val="24"/>
          <w:szCs w:val="24"/>
        </w:rPr>
        <w:t>was</w:t>
      </w:r>
      <w:r w:rsidR="002A2246" w:rsidRPr="00007D7E">
        <w:rPr>
          <w:rFonts w:asciiTheme="majorHAnsi" w:hAnsiTheme="majorHAnsi" w:cstheme="majorHAnsi"/>
          <w:sz w:val="24"/>
          <w:szCs w:val="24"/>
        </w:rPr>
        <w:t xml:space="preserve"> </w:t>
      </w:r>
      <w:r w:rsidR="00F71EA2">
        <w:rPr>
          <w:rFonts w:asciiTheme="majorHAnsi" w:hAnsiTheme="majorHAnsi" w:cstheme="majorHAnsi"/>
          <w:sz w:val="24"/>
          <w:szCs w:val="24"/>
        </w:rPr>
        <w:t>available</w:t>
      </w:r>
      <w:r w:rsidR="002A2246" w:rsidRPr="00007D7E">
        <w:rPr>
          <w:rFonts w:asciiTheme="majorHAnsi" w:hAnsiTheme="majorHAnsi" w:cstheme="majorHAnsi"/>
          <w:sz w:val="24"/>
          <w:szCs w:val="24"/>
        </w:rPr>
        <w:t xml:space="preserve"> </w:t>
      </w:r>
      <w:r w:rsidR="004A47F8">
        <w:rPr>
          <w:rFonts w:asciiTheme="majorHAnsi" w:hAnsiTheme="majorHAnsi" w:cstheme="majorHAnsi"/>
          <w:sz w:val="24"/>
          <w:szCs w:val="24"/>
        </w:rPr>
        <w:t xml:space="preserve">from our Library colleague </w:t>
      </w:r>
      <w:r w:rsidR="006E4F92">
        <w:rPr>
          <w:rFonts w:asciiTheme="majorHAnsi" w:hAnsiTheme="majorHAnsi" w:cstheme="majorHAnsi"/>
          <w:sz w:val="24"/>
          <w:szCs w:val="24"/>
        </w:rPr>
        <w:t xml:space="preserve">had </w:t>
      </w:r>
      <w:r w:rsidR="002A2246" w:rsidRPr="00007D7E">
        <w:rPr>
          <w:rFonts w:asciiTheme="majorHAnsi" w:hAnsiTheme="majorHAnsi" w:cstheme="majorHAnsi"/>
          <w:sz w:val="24"/>
          <w:szCs w:val="24"/>
        </w:rPr>
        <w:t>they wish</w:t>
      </w:r>
      <w:r w:rsidR="006E4F92">
        <w:rPr>
          <w:rFonts w:asciiTheme="majorHAnsi" w:hAnsiTheme="majorHAnsi" w:cstheme="majorHAnsi"/>
          <w:sz w:val="24"/>
          <w:szCs w:val="24"/>
        </w:rPr>
        <w:t>ed</w:t>
      </w:r>
      <w:r w:rsidR="002A2246" w:rsidRPr="00007D7E">
        <w:rPr>
          <w:rFonts w:asciiTheme="majorHAnsi" w:hAnsiTheme="majorHAnsi" w:cstheme="majorHAnsi"/>
          <w:sz w:val="24"/>
          <w:szCs w:val="24"/>
        </w:rPr>
        <w:t xml:space="preserve"> to do so. </w:t>
      </w:r>
      <w:r w:rsidR="002820DE">
        <w:rPr>
          <w:rFonts w:asciiTheme="majorHAnsi" w:hAnsiTheme="majorHAnsi" w:cstheme="majorHAnsi"/>
          <w:sz w:val="24"/>
          <w:szCs w:val="24"/>
        </w:rPr>
        <w:t xml:space="preserve">Mindful of </w:t>
      </w:r>
      <w:r w:rsidR="00CA5BD1">
        <w:rPr>
          <w:rFonts w:asciiTheme="majorHAnsi" w:hAnsiTheme="majorHAnsi" w:cstheme="majorHAnsi"/>
          <w:sz w:val="24"/>
          <w:szCs w:val="24"/>
        </w:rPr>
        <w:t xml:space="preserve">programmes like “Thinking like a lawyer” </w:t>
      </w:r>
      <w:r w:rsidR="007765FE">
        <w:rPr>
          <w:rFonts w:asciiTheme="majorHAnsi" w:hAnsiTheme="majorHAnsi" w:cstheme="majorHAnsi"/>
          <w:sz w:val="24"/>
          <w:szCs w:val="24"/>
        </w:rPr>
        <w:t>being criticised for having</w:t>
      </w:r>
      <w:r w:rsidR="00C30703">
        <w:rPr>
          <w:rFonts w:asciiTheme="majorHAnsi" w:hAnsiTheme="majorHAnsi" w:cstheme="majorHAnsi"/>
          <w:sz w:val="24"/>
          <w:szCs w:val="24"/>
        </w:rPr>
        <w:t xml:space="preserve"> </w:t>
      </w:r>
      <w:r w:rsidR="00C548DD">
        <w:rPr>
          <w:rFonts w:asciiTheme="majorHAnsi" w:hAnsiTheme="majorHAnsi" w:cstheme="majorHAnsi"/>
          <w:sz w:val="24"/>
          <w:szCs w:val="24"/>
        </w:rPr>
        <w:t>‘</w:t>
      </w:r>
      <w:r w:rsidR="00C30703">
        <w:rPr>
          <w:rFonts w:asciiTheme="majorHAnsi" w:hAnsiTheme="majorHAnsi" w:cstheme="majorHAnsi"/>
          <w:sz w:val="24"/>
          <w:szCs w:val="24"/>
        </w:rPr>
        <w:t>pessimistic and depersonalizing</w:t>
      </w:r>
      <w:r w:rsidR="00C548DD">
        <w:rPr>
          <w:rFonts w:asciiTheme="majorHAnsi" w:hAnsiTheme="majorHAnsi" w:cstheme="majorHAnsi"/>
          <w:sz w:val="24"/>
          <w:szCs w:val="24"/>
        </w:rPr>
        <w:t>’</w:t>
      </w:r>
      <w:r w:rsidR="00C30703">
        <w:rPr>
          <w:rStyle w:val="FootnoteReference"/>
          <w:rFonts w:asciiTheme="majorHAnsi" w:hAnsiTheme="majorHAnsi" w:cstheme="majorHAnsi"/>
          <w:sz w:val="24"/>
          <w:szCs w:val="24"/>
        </w:rPr>
        <w:footnoteReference w:id="50"/>
      </w:r>
      <w:r w:rsidR="00C30703">
        <w:rPr>
          <w:rFonts w:asciiTheme="majorHAnsi" w:hAnsiTheme="majorHAnsi" w:cstheme="majorHAnsi"/>
          <w:sz w:val="24"/>
          <w:szCs w:val="24"/>
        </w:rPr>
        <w:t xml:space="preserve"> effects and</w:t>
      </w:r>
      <w:r w:rsidR="00141E55">
        <w:rPr>
          <w:rFonts w:asciiTheme="majorHAnsi" w:hAnsiTheme="majorHAnsi" w:cstheme="majorHAnsi"/>
          <w:sz w:val="24"/>
          <w:szCs w:val="24"/>
        </w:rPr>
        <w:t xml:space="preserve"> valorising the </w:t>
      </w:r>
      <w:r w:rsidR="00C30703">
        <w:rPr>
          <w:rFonts w:asciiTheme="majorHAnsi" w:hAnsiTheme="majorHAnsi" w:cstheme="majorHAnsi"/>
          <w:sz w:val="24"/>
          <w:szCs w:val="24"/>
        </w:rPr>
        <w:t>adversarial</w:t>
      </w:r>
      <w:r w:rsidR="00141E55">
        <w:rPr>
          <w:rFonts w:asciiTheme="majorHAnsi" w:hAnsiTheme="majorHAnsi" w:cstheme="majorHAnsi"/>
          <w:sz w:val="24"/>
          <w:szCs w:val="24"/>
        </w:rPr>
        <w:t xml:space="preserve"> </w:t>
      </w:r>
      <w:r w:rsidR="00141E55">
        <w:rPr>
          <w:rFonts w:asciiTheme="majorHAnsi" w:hAnsiTheme="majorHAnsi" w:cstheme="majorHAnsi"/>
          <w:sz w:val="24"/>
          <w:szCs w:val="24"/>
        </w:rPr>
        <w:lastRenderedPageBreak/>
        <w:t>approach,</w:t>
      </w:r>
      <w:r w:rsidR="00C30703">
        <w:rPr>
          <w:rStyle w:val="FootnoteReference"/>
          <w:rFonts w:asciiTheme="majorHAnsi" w:hAnsiTheme="majorHAnsi" w:cstheme="majorHAnsi"/>
          <w:sz w:val="24"/>
          <w:szCs w:val="24"/>
        </w:rPr>
        <w:footnoteReference w:id="51"/>
      </w:r>
      <w:r w:rsidR="00C30703">
        <w:rPr>
          <w:rFonts w:asciiTheme="majorHAnsi" w:hAnsiTheme="majorHAnsi" w:cstheme="majorHAnsi"/>
          <w:sz w:val="24"/>
          <w:szCs w:val="24"/>
        </w:rPr>
        <w:t xml:space="preserve"> </w:t>
      </w:r>
      <w:r w:rsidR="002A2246" w:rsidRPr="00007D7E">
        <w:rPr>
          <w:rFonts w:asciiTheme="majorHAnsi" w:hAnsiTheme="majorHAnsi" w:cstheme="majorHAnsi"/>
          <w:sz w:val="24"/>
          <w:szCs w:val="24"/>
        </w:rPr>
        <w:t>teams w</w:t>
      </w:r>
      <w:r w:rsidR="006E4F92">
        <w:rPr>
          <w:rFonts w:asciiTheme="majorHAnsi" w:hAnsiTheme="majorHAnsi" w:cstheme="majorHAnsi"/>
          <w:sz w:val="24"/>
          <w:szCs w:val="24"/>
        </w:rPr>
        <w:t>ere</w:t>
      </w:r>
      <w:r w:rsidR="002A2246" w:rsidRPr="00007D7E">
        <w:rPr>
          <w:rFonts w:asciiTheme="majorHAnsi" w:hAnsiTheme="majorHAnsi" w:cstheme="majorHAnsi"/>
          <w:sz w:val="24"/>
          <w:szCs w:val="24"/>
        </w:rPr>
        <w:t xml:space="preserve"> </w:t>
      </w:r>
      <w:r w:rsidR="002A2246" w:rsidRPr="00007D7E">
        <w:rPr>
          <w:rFonts w:asciiTheme="majorHAnsi" w:hAnsiTheme="majorHAnsi" w:cstheme="majorHAnsi"/>
          <w:sz w:val="24"/>
          <w:szCs w:val="24"/>
          <w:u w:val="single"/>
        </w:rPr>
        <w:t>not</w:t>
      </w:r>
      <w:r w:rsidR="002A2246" w:rsidRPr="00007D7E">
        <w:rPr>
          <w:rFonts w:asciiTheme="majorHAnsi" w:hAnsiTheme="majorHAnsi" w:cstheme="majorHAnsi"/>
          <w:sz w:val="24"/>
          <w:szCs w:val="24"/>
        </w:rPr>
        <w:t xml:space="preserve"> required to argue against each other; the ethos </w:t>
      </w:r>
      <w:r w:rsidR="006E4F92">
        <w:rPr>
          <w:rFonts w:asciiTheme="majorHAnsi" w:hAnsiTheme="majorHAnsi" w:cstheme="majorHAnsi"/>
          <w:sz w:val="24"/>
          <w:szCs w:val="24"/>
        </w:rPr>
        <w:t>wa</w:t>
      </w:r>
      <w:r w:rsidR="002A2246" w:rsidRPr="00007D7E">
        <w:rPr>
          <w:rFonts w:asciiTheme="majorHAnsi" w:hAnsiTheme="majorHAnsi" w:cstheme="majorHAnsi"/>
          <w:sz w:val="24"/>
          <w:szCs w:val="24"/>
        </w:rPr>
        <w:t xml:space="preserve">s co-operative rather than adversarial. </w:t>
      </w:r>
    </w:p>
    <w:p w14:paraId="77066D3A" w14:textId="56F0C0F6" w:rsidR="00D71053" w:rsidRPr="00C81B9C" w:rsidRDefault="00D34F57" w:rsidP="00D71053">
      <w:pPr>
        <w:spacing w:line="240" w:lineRule="auto"/>
        <w:jc w:val="both"/>
        <w:rPr>
          <w:rFonts w:asciiTheme="majorHAnsi" w:hAnsiTheme="majorHAnsi" w:cstheme="majorHAnsi"/>
          <w:sz w:val="24"/>
          <w:szCs w:val="24"/>
        </w:rPr>
      </w:pPr>
      <w:r>
        <w:rPr>
          <w:rFonts w:asciiTheme="majorHAnsi" w:hAnsiTheme="majorHAnsi" w:cstheme="majorHAnsi"/>
          <w:sz w:val="24"/>
          <w:szCs w:val="24"/>
        </w:rPr>
        <w:t>Th</w:t>
      </w:r>
      <w:r w:rsidR="001F3A19">
        <w:rPr>
          <w:rFonts w:asciiTheme="majorHAnsi" w:hAnsiTheme="majorHAnsi" w:cstheme="majorHAnsi"/>
          <w:sz w:val="24"/>
          <w:szCs w:val="24"/>
        </w:rPr>
        <w:t xml:space="preserve">is </w:t>
      </w:r>
      <w:r>
        <w:rPr>
          <w:rFonts w:asciiTheme="majorHAnsi" w:hAnsiTheme="majorHAnsi" w:cstheme="majorHAnsi"/>
          <w:sz w:val="24"/>
          <w:szCs w:val="24"/>
        </w:rPr>
        <w:t>was a</w:t>
      </w:r>
      <w:r w:rsidR="005310FF">
        <w:rPr>
          <w:rFonts w:asciiTheme="majorHAnsi" w:hAnsiTheme="majorHAnsi" w:cstheme="majorHAnsi"/>
          <w:sz w:val="24"/>
          <w:szCs w:val="24"/>
        </w:rPr>
        <w:t>nother</w:t>
      </w:r>
      <w:r>
        <w:rPr>
          <w:rFonts w:asciiTheme="majorHAnsi" w:hAnsiTheme="majorHAnsi" w:cstheme="majorHAnsi"/>
          <w:sz w:val="24"/>
          <w:szCs w:val="24"/>
        </w:rPr>
        <w:t xml:space="preserve"> good example of </w:t>
      </w:r>
      <w:r w:rsidRPr="007765FE">
        <w:rPr>
          <w:rFonts w:asciiTheme="majorHAnsi" w:hAnsiTheme="majorHAnsi" w:cstheme="majorHAnsi"/>
          <w:sz w:val="24"/>
          <w:szCs w:val="24"/>
        </w:rPr>
        <w:t xml:space="preserve">co-created teaching and </w:t>
      </w:r>
      <w:proofErr w:type="gramStart"/>
      <w:r w:rsidRPr="007765FE">
        <w:rPr>
          <w:rFonts w:asciiTheme="majorHAnsi" w:hAnsiTheme="majorHAnsi" w:cstheme="majorHAnsi"/>
          <w:sz w:val="24"/>
          <w:szCs w:val="24"/>
        </w:rPr>
        <w:t>learning</w:t>
      </w:r>
      <w:r>
        <w:rPr>
          <w:rFonts w:asciiTheme="majorHAnsi" w:hAnsiTheme="majorHAnsi" w:cstheme="majorHAnsi"/>
          <w:sz w:val="24"/>
          <w:szCs w:val="24"/>
        </w:rPr>
        <w:t>;</w:t>
      </w:r>
      <w:proofErr w:type="gramEnd"/>
      <w:r>
        <w:rPr>
          <w:rFonts w:asciiTheme="majorHAnsi" w:hAnsiTheme="majorHAnsi" w:cstheme="majorHAnsi"/>
          <w:sz w:val="24"/>
          <w:szCs w:val="24"/>
        </w:rPr>
        <w:t xml:space="preserve"> of building</w:t>
      </w:r>
      <w:r w:rsidRPr="007765FE">
        <w:rPr>
          <w:rFonts w:asciiTheme="majorHAnsi" w:hAnsiTheme="majorHAnsi" w:cstheme="majorHAnsi"/>
          <w:sz w:val="24"/>
          <w:szCs w:val="24"/>
        </w:rPr>
        <w:t xml:space="preserve"> communities of practice </w:t>
      </w:r>
      <w:r>
        <w:rPr>
          <w:rFonts w:asciiTheme="majorHAnsi" w:hAnsiTheme="majorHAnsi" w:cstheme="majorHAnsi"/>
          <w:sz w:val="24"/>
          <w:szCs w:val="24"/>
        </w:rPr>
        <w:t xml:space="preserve">through </w:t>
      </w:r>
      <w:r w:rsidRPr="007765FE">
        <w:rPr>
          <w:rFonts w:asciiTheme="majorHAnsi" w:hAnsiTheme="majorHAnsi" w:cstheme="majorHAnsi"/>
          <w:sz w:val="24"/>
          <w:szCs w:val="24"/>
        </w:rPr>
        <w:t xml:space="preserve">small group activities. </w:t>
      </w:r>
      <w:r>
        <w:rPr>
          <w:rFonts w:asciiTheme="majorHAnsi" w:hAnsiTheme="majorHAnsi" w:cstheme="majorHAnsi"/>
          <w:sz w:val="24"/>
          <w:szCs w:val="24"/>
        </w:rPr>
        <w:t>We wanted students to take risks and be creative in their ideas and arguments, and we did not want to place any barriers to their engagement, such as a requirement</w:t>
      </w:r>
      <w:r w:rsidRPr="007765FE">
        <w:rPr>
          <w:rFonts w:asciiTheme="majorHAnsi" w:hAnsiTheme="majorHAnsi" w:cstheme="majorHAnsi"/>
          <w:sz w:val="24"/>
          <w:szCs w:val="24"/>
        </w:rPr>
        <w:t xml:space="preserve"> for specific skills or expertise</w:t>
      </w:r>
      <w:r>
        <w:rPr>
          <w:rFonts w:asciiTheme="majorHAnsi" w:hAnsiTheme="majorHAnsi" w:cstheme="majorHAnsi"/>
          <w:sz w:val="24"/>
          <w:szCs w:val="24"/>
        </w:rPr>
        <w:t>.</w:t>
      </w:r>
      <w:r w:rsidRPr="007765FE">
        <w:rPr>
          <w:rStyle w:val="FootnoteReference"/>
          <w:rFonts w:asciiTheme="majorHAnsi" w:hAnsiTheme="majorHAnsi" w:cstheme="majorHAnsi"/>
          <w:sz w:val="24"/>
          <w:szCs w:val="24"/>
        </w:rPr>
        <w:footnoteReference w:id="52"/>
      </w:r>
      <w:r w:rsidRPr="007765FE">
        <w:rPr>
          <w:rFonts w:asciiTheme="majorHAnsi" w:hAnsiTheme="majorHAnsi" w:cstheme="majorHAnsi"/>
          <w:sz w:val="24"/>
          <w:szCs w:val="24"/>
        </w:rPr>
        <w:t xml:space="preserve">  </w:t>
      </w:r>
      <w:r>
        <w:rPr>
          <w:rFonts w:asciiTheme="majorHAnsi" w:hAnsiTheme="majorHAnsi" w:cstheme="majorHAnsi"/>
          <w:sz w:val="24"/>
          <w:szCs w:val="24"/>
        </w:rPr>
        <w:t>However, students exceeded our expectations; they all undertook some research</w:t>
      </w:r>
      <w:r w:rsidR="000E2D44">
        <w:rPr>
          <w:rFonts w:asciiTheme="majorHAnsi" w:hAnsiTheme="majorHAnsi" w:cstheme="majorHAnsi"/>
          <w:sz w:val="24"/>
          <w:szCs w:val="24"/>
        </w:rPr>
        <w:t xml:space="preserve">; </w:t>
      </w:r>
      <w:r>
        <w:rPr>
          <w:rFonts w:asciiTheme="majorHAnsi" w:hAnsiTheme="majorHAnsi" w:cstheme="majorHAnsi"/>
          <w:sz w:val="24"/>
          <w:szCs w:val="24"/>
        </w:rPr>
        <w:t>all used visual aids in their presentations</w:t>
      </w:r>
      <w:r w:rsidR="000E2D44">
        <w:rPr>
          <w:rFonts w:asciiTheme="majorHAnsi" w:hAnsiTheme="majorHAnsi" w:cstheme="majorHAnsi"/>
          <w:sz w:val="24"/>
          <w:szCs w:val="24"/>
        </w:rPr>
        <w:t xml:space="preserve">; and all </w:t>
      </w:r>
      <w:r w:rsidR="00D71053">
        <w:rPr>
          <w:rFonts w:asciiTheme="majorHAnsi" w:hAnsiTheme="majorHAnsi" w:cstheme="majorHAnsi"/>
          <w:sz w:val="24"/>
          <w:szCs w:val="24"/>
        </w:rPr>
        <w:t xml:space="preserve">team </w:t>
      </w:r>
      <w:r w:rsidR="000E2D44">
        <w:rPr>
          <w:rFonts w:asciiTheme="majorHAnsi" w:hAnsiTheme="majorHAnsi" w:cstheme="majorHAnsi"/>
          <w:sz w:val="24"/>
          <w:szCs w:val="24"/>
        </w:rPr>
        <w:t>members took part in some way</w:t>
      </w:r>
      <w:r w:rsidR="00D71053">
        <w:rPr>
          <w:rFonts w:asciiTheme="majorHAnsi" w:hAnsiTheme="majorHAnsi" w:cstheme="majorHAnsi"/>
          <w:sz w:val="24"/>
          <w:szCs w:val="24"/>
        </w:rPr>
        <w:t xml:space="preserve"> – even if it was simply managing the slideshow</w:t>
      </w:r>
      <w:r>
        <w:rPr>
          <w:rFonts w:asciiTheme="majorHAnsi" w:hAnsiTheme="majorHAnsi" w:cstheme="majorHAnsi"/>
          <w:sz w:val="24"/>
          <w:szCs w:val="24"/>
        </w:rPr>
        <w:t xml:space="preserve">. </w:t>
      </w:r>
      <w:r w:rsidR="00C80022">
        <w:rPr>
          <w:rFonts w:asciiTheme="majorHAnsi" w:hAnsiTheme="majorHAnsi" w:cstheme="majorHAnsi"/>
          <w:sz w:val="24"/>
          <w:szCs w:val="24"/>
        </w:rPr>
        <w:t>Following each presentation, other members of the seminar group were invited to ask questions</w:t>
      </w:r>
      <w:r w:rsidR="009F3729">
        <w:rPr>
          <w:rFonts w:asciiTheme="majorHAnsi" w:hAnsiTheme="majorHAnsi" w:cstheme="majorHAnsi"/>
          <w:sz w:val="24"/>
          <w:szCs w:val="24"/>
        </w:rPr>
        <w:t xml:space="preserve"> and/or make comments on the arguments presented, leading to some interesting discussions. </w:t>
      </w:r>
      <w:r w:rsidR="000808AE">
        <w:rPr>
          <w:rFonts w:asciiTheme="majorHAnsi" w:hAnsiTheme="majorHAnsi" w:cstheme="majorHAnsi"/>
          <w:sz w:val="24"/>
          <w:szCs w:val="24"/>
        </w:rPr>
        <w:t xml:space="preserve">And following the seminar, students </w:t>
      </w:r>
      <w:r w:rsidR="00C56B79">
        <w:rPr>
          <w:rFonts w:asciiTheme="majorHAnsi" w:hAnsiTheme="majorHAnsi" w:cstheme="majorHAnsi"/>
          <w:sz w:val="24"/>
          <w:szCs w:val="24"/>
        </w:rPr>
        <w:t xml:space="preserve">completed a </w:t>
      </w:r>
      <w:r w:rsidR="009B5B50">
        <w:rPr>
          <w:rFonts w:asciiTheme="majorHAnsi" w:hAnsiTheme="majorHAnsi" w:cstheme="majorHAnsi"/>
          <w:sz w:val="24"/>
          <w:szCs w:val="24"/>
        </w:rPr>
        <w:t xml:space="preserve">template </w:t>
      </w:r>
      <w:r w:rsidR="00C56B79">
        <w:rPr>
          <w:rFonts w:asciiTheme="majorHAnsi" w:hAnsiTheme="majorHAnsi" w:cstheme="majorHAnsi"/>
          <w:sz w:val="24"/>
          <w:szCs w:val="24"/>
        </w:rPr>
        <w:t xml:space="preserve">giving constructive feedback on each other’s presentations, </w:t>
      </w:r>
      <w:r w:rsidR="009B5B50">
        <w:rPr>
          <w:rFonts w:asciiTheme="majorHAnsi" w:hAnsiTheme="majorHAnsi" w:cstheme="majorHAnsi"/>
          <w:sz w:val="24"/>
          <w:szCs w:val="24"/>
        </w:rPr>
        <w:t>for sha</w:t>
      </w:r>
      <w:r w:rsidR="00C56B79">
        <w:rPr>
          <w:rFonts w:asciiTheme="majorHAnsi" w:hAnsiTheme="majorHAnsi" w:cstheme="majorHAnsi"/>
          <w:sz w:val="24"/>
          <w:szCs w:val="24"/>
        </w:rPr>
        <w:t>ring within their seminar group.</w:t>
      </w:r>
      <w:r w:rsidR="00342D88">
        <w:rPr>
          <w:rFonts w:asciiTheme="majorHAnsi" w:hAnsiTheme="majorHAnsi" w:cstheme="majorHAnsi"/>
          <w:sz w:val="24"/>
          <w:szCs w:val="24"/>
        </w:rPr>
        <w:t xml:space="preserve"> </w:t>
      </w:r>
      <w:r w:rsidR="00D71053">
        <w:rPr>
          <w:rFonts w:asciiTheme="majorHAnsi" w:hAnsiTheme="majorHAnsi" w:cstheme="majorHAnsi"/>
          <w:sz w:val="24"/>
          <w:szCs w:val="24"/>
        </w:rPr>
        <w:t xml:space="preserve">The </w:t>
      </w:r>
      <w:r w:rsidR="0006707F">
        <w:rPr>
          <w:rFonts w:asciiTheme="majorHAnsi" w:hAnsiTheme="majorHAnsi" w:cstheme="majorHAnsi"/>
          <w:sz w:val="24"/>
          <w:szCs w:val="24"/>
        </w:rPr>
        <w:t xml:space="preserve">project gave us an insight into the kinds of issues that students were interested in, and we were able to </w:t>
      </w:r>
      <w:r w:rsidR="00542A98">
        <w:rPr>
          <w:rFonts w:asciiTheme="majorHAnsi" w:hAnsiTheme="majorHAnsi" w:cstheme="majorHAnsi"/>
          <w:sz w:val="24"/>
          <w:szCs w:val="24"/>
        </w:rPr>
        <w:t>reflect their interests in the rest of the module and in the assessment. For e</w:t>
      </w:r>
      <w:r w:rsidR="00335AD8">
        <w:rPr>
          <w:rFonts w:asciiTheme="majorHAnsi" w:hAnsiTheme="majorHAnsi" w:cstheme="majorHAnsi"/>
          <w:sz w:val="24"/>
          <w:szCs w:val="24"/>
        </w:rPr>
        <w:t xml:space="preserve">xample, in view of the popularity of the </w:t>
      </w:r>
      <w:r w:rsidR="00335AD8" w:rsidRPr="00335AD8">
        <w:rPr>
          <w:rFonts w:asciiTheme="majorHAnsi" w:hAnsiTheme="majorHAnsi" w:cstheme="majorHAnsi"/>
          <w:i/>
          <w:iCs/>
          <w:sz w:val="24"/>
          <w:szCs w:val="24"/>
        </w:rPr>
        <w:t>Prison Abolition</w:t>
      </w:r>
      <w:r w:rsidR="00335AD8">
        <w:rPr>
          <w:rFonts w:asciiTheme="majorHAnsi" w:hAnsiTheme="majorHAnsi" w:cstheme="majorHAnsi"/>
          <w:sz w:val="24"/>
          <w:szCs w:val="24"/>
        </w:rPr>
        <w:t xml:space="preserve"> topic, one of the</w:t>
      </w:r>
      <w:r w:rsidR="000A6FF6">
        <w:rPr>
          <w:rFonts w:asciiTheme="majorHAnsi" w:hAnsiTheme="majorHAnsi" w:cstheme="majorHAnsi"/>
          <w:sz w:val="24"/>
          <w:szCs w:val="24"/>
        </w:rPr>
        <w:t xml:space="preserve"> sub</w:t>
      </w:r>
      <w:r w:rsidR="00B6608F">
        <w:rPr>
          <w:rFonts w:asciiTheme="majorHAnsi" w:hAnsiTheme="majorHAnsi" w:cstheme="majorHAnsi"/>
          <w:sz w:val="24"/>
          <w:szCs w:val="24"/>
        </w:rPr>
        <w:t>sequent</w:t>
      </w:r>
      <w:r w:rsidR="00335AD8">
        <w:rPr>
          <w:rFonts w:asciiTheme="majorHAnsi" w:hAnsiTheme="majorHAnsi" w:cstheme="majorHAnsi"/>
          <w:sz w:val="24"/>
          <w:szCs w:val="24"/>
        </w:rPr>
        <w:t xml:space="preserve"> Critical Analysis sessions was centred on a</w:t>
      </w:r>
      <w:r w:rsidR="00363222">
        <w:rPr>
          <w:rFonts w:asciiTheme="majorHAnsi" w:hAnsiTheme="majorHAnsi" w:cstheme="majorHAnsi"/>
          <w:sz w:val="24"/>
          <w:szCs w:val="24"/>
        </w:rPr>
        <w:t xml:space="preserve">n abolitionist article, and </w:t>
      </w:r>
      <w:r w:rsidR="004A6CD7">
        <w:rPr>
          <w:rFonts w:asciiTheme="majorHAnsi" w:hAnsiTheme="majorHAnsi" w:cstheme="majorHAnsi"/>
          <w:sz w:val="24"/>
          <w:szCs w:val="24"/>
        </w:rPr>
        <w:t xml:space="preserve">one of their Critical Writing assessment choices was an article on </w:t>
      </w:r>
      <w:r w:rsidR="000A6FF6">
        <w:rPr>
          <w:rFonts w:asciiTheme="majorHAnsi" w:hAnsiTheme="majorHAnsi" w:cstheme="majorHAnsi"/>
          <w:sz w:val="24"/>
          <w:szCs w:val="24"/>
        </w:rPr>
        <w:t xml:space="preserve">prison reform. </w:t>
      </w:r>
      <w:r w:rsidR="00542A98">
        <w:rPr>
          <w:rFonts w:asciiTheme="majorHAnsi" w:hAnsiTheme="majorHAnsi" w:cstheme="majorHAnsi"/>
          <w:sz w:val="24"/>
          <w:szCs w:val="24"/>
        </w:rPr>
        <w:t>Th</w:t>
      </w:r>
      <w:r w:rsidR="000A6FF6">
        <w:rPr>
          <w:rFonts w:asciiTheme="majorHAnsi" w:hAnsiTheme="majorHAnsi" w:cstheme="majorHAnsi"/>
          <w:sz w:val="24"/>
          <w:szCs w:val="24"/>
        </w:rPr>
        <w:t xml:space="preserve">is meant that we could relate the </w:t>
      </w:r>
      <w:r w:rsidR="00D71053" w:rsidRPr="00007D7E">
        <w:rPr>
          <w:rFonts w:asciiTheme="majorHAnsi" w:hAnsiTheme="majorHAnsi" w:cstheme="majorHAnsi"/>
          <w:sz w:val="24"/>
          <w:szCs w:val="24"/>
        </w:rPr>
        <w:t>Induction project to their wider learning</w:t>
      </w:r>
      <w:r w:rsidR="000A6FF6">
        <w:rPr>
          <w:rFonts w:asciiTheme="majorHAnsi" w:hAnsiTheme="majorHAnsi" w:cstheme="majorHAnsi"/>
          <w:sz w:val="24"/>
          <w:szCs w:val="24"/>
        </w:rPr>
        <w:t xml:space="preserve"> across the module</w:t>
      </w:r>
      <w:r w:rsidR="00D71053" w:rsidRPr="00007D7E">
        <w:rPr>
          <w:rFonts w:asciiTheme="majorHAnsi" w:hAnsiTheme="majorHAnsi" w:cstheme="majorHAnsi"/>
          <w:sz w:val="24"/>
          <w:szCs w:val="24"/>
        </w:rPr>
        <w:t xml:space="preserve">. </w:t>
      </w:r>
    </w:p>
    <w:p w14:paraId="24B4CA71" w14:textId="4F218065" w:rsidR="008F669C" w:rsidRDefault="001F3A19" w:rsidP="00436396">
      <w:pPr>
        <w:spacing w:line="240" w:lineRule="auto"/>
        <w:jc w:val="both"/>
        <w:rPr>
          <w:rFonts w:asciiTheme="majorHAnsi" w:hAnsiTheme="majorHAnsi" w:cstheme="majorHAnsi"/>
          <w:i/>
          <w:iCs/>
          <w:sz w:val="24"/>
          <w:szCs w:val="24"/>
        </w:rPr>
      </w:pPr>
      <w:r>
        <w:rPr>
          <w:rFonts w:asciiTheme="majorHAnsi" w:hAnsiTheme="majorHAnsi" w:cstheme="majorHAnsi"/>
          <w:i/>
          <w:iCs/>
          <w:sz w:val="24"/>
          <w:szCs w:val="24"/>
        </w:rPr>
        <w:t>(ii</w:t>
      </w:r>
      <w:r w:rsidR="002F59F9">
        <w:rPr>
          <w:rFonts w:asciiTheme="majorHAnsi" w:hAnsiTheme="majorHAnsi" w:cstheme="majorHAnsi"/>
          <w:i/>
          <w:iCs/>
          <w:sz w:val="24"/>
          <w:szCs w:val="24"/>
        </w:rPr>
        <w:t>i</w:t>
      </w:r>
      <w:r>
        <w:rPr>
          <w:rFonts w:asciiTheme="majorHAnsi" w:hAnsiTheme="majorHAnsi" w:cstheme="majorHAnsi"/>
          <w:i/>
          <w:iCs/>
          <w:sz w:val="24"/>
          <w:szCs w:val="24"/>
        </w:rPr>
        <w:t xml:space="preserve">) </w:t>
      </w:r>
      <w:r w:rsidR="004C1BDE" w:rsidRPr="004C1BDE">
        <w:rPr>
          <w:rFonts w:asciiTheme="majorHAnsi" w:hAnsiTheme="majorHAnsi" w:cstheme="majorHAnsi"/>
          <w:i/>
          <w:iCs/>
          <w:sz w:val="24"/>
          <w:szCs w:val="24"/>
        </w:rPr>
        <w:t>What sort of lawyer am I?</w:t>
      </w:r>
    </w:p>
    <w:p w14:paraId="5A51DF43" w14:textId="5299BF54" w:rsidR="00436396" w:rsidRPr="008F669C" w:rsidRDefault="008F669C" w:rsidP="00436396">
      <w:pPr>
        <w:spacing w:line="240" w:lineRule="auto"/>
        <w:jc w:val="both"/>
        <w:rPr>
          <w:rFonts w:asciiTheme="majorHAnsi" w:hAnsiTheme="majorHAnsi" w:cstheme="majorHAnsi"/>
          <w:i/>
          <w:iCs/>
          <w:sz w:val="24"/>
          <w:szCs w:val="24"/>
        </w:rPr>
      </w:pPr>
      <w:r>
        <w:rPr>
          <w:rFonts w:asciiTheme="majorHAnsi" w:hAnsiTheme="majorHAnsi" w:cstheme="majorHAnsi"/>
          <w:sz w:val="24"/>
          <w:szCs w:val="24"/>
        </w:rPr>
        <w:t>R</w:t>
      </w:r>
      <w:r w:rsidR="00252F79">
        <w:rPr>
          <w:rFonts w:asciiTheme="majorHAnsi" w:hAnsiTheme="majorHAnsi" w:cstheme="majorHAnsi"/>
          <w:sz w:val="24"/>
          <w:szCs w:val="24"/>
        </w:rPr>
        <w:t>esearch suggest</w:t>
      </w:r>
      <w:r w:rsidR="002F59F9">
        <w:rPr>
          <w:rFonts w:asciiTheme="majorHAnsi" w:hAnsiTheme="majorHAnsi" w:cstheme="majorHAnsi"/>
          <w:sz w:val="24"/>
          <w:szCs w:val="24"/>
        </w:rPr>
        <w:t>s</w:t>
      </w:r>
      <w:r w:rsidR="00252F79">
        <w:rPr>
          <w:rFonts w:asciiTheme="majorHAnsi" w:hAnsiTheme="majorHAnsi" w:cstheme="majorHAnsi"/>
          <w:sz w:val="24"/>
          <w:szCs w:val="24"/>
        </w:rPr>
        <w:t xml:space="preserve"> that </w:t>
      </w:r>
      <w:r w:rsidR="00436396">
        <w:rPr>
          <w:rFonts w:asciiTheme="majorHAnsi" w:hAnsiTheme="majorHAnsi" w:cstheme="majorHAnsi"/>
          <w:sz w:val="24"/>
          <w:szCs w:val="24"/>
        </w:rPr>
        <w:t xml:space="preserve">the first year of </w:t>
      </w:r>
      <w:r w:rsidR="00252F79">
        <w:rPr>
          <w:rFonts w:asciiTheme="majorHAnsi" w:hAnsiTheme="majorHAnsi" w:cstheme="majorHAnsi"/>
          <w:sz w:val="24"/>
          <w:szCs w:val="24"/>
        </w:rPr>
        <w:t>the Law degree</w:t>
      </w:r>
      <w:r w:rsidR="00436396">
        <w:rPr>
          <w:rFonts w:asciiTheme="majorHAnsi" w:hAnsiTheme="majorHAnsi" w:cstheme="majorHAnsi"/>
          <w:sz w:val="24"/>
          <w:szCs w:val="24"/>
        </w:rPr>
        <w:t xml:space="preserve"> should be used to encourage students to develop a </w:t>
      </w:r>
      <w:r w:rsidR="00C548DD">
        <w:rPr>
          <w:rFonts w:asciiTheme="majorHAnsi" w:hAnsiTheme="majorHAnsi" w:cstheme="majorHAnsi"/>
          <w:sz w:val="24"/>
          <w:szCs w:val="24"/>
        </w:rPr>
        <w:t>'</w:t>
      </w:r>
      <w:r w:rsidR="00436396">
        <w:rPr>
          <w:rFonts w:asciiTheme="majorHAnsi" w:hAnsiTheme="majorHAnsi" w:cstheme="majorHAnsi"/>
          <w:sz w:val="24"/>
          <w:szCs w:val="24"/>
        </w:rPr>
        <w:t>positive professional identity</w:t>
      </w:r>
      <w:r w:rsidR="00C548DD">
        <w:rPr>
          <w:rFonts w:asciiTheme="majorHAnsi" w:hAnsiTheme="majorHAnsi" w:cstheme="majorHAnsi"/>
          <w:sz w:val="24"/>
          <w:szCs w:val="24"/>
        </w:rPr>
        <w:t>’</w:t>
      </w:r>
      <w:r w:rsidR="00252F79">
        <w:rPr>
          <w:rFonts w:asciiTheme="majorHAnsi" w:hAnsiTheme="majorHAnsi" w:cstheme="majorHAnsi"/>
          <w:sz w:val="24"/>
          <w:szCs w:val="24"/>
        </w:rPr>
        <w:t>.</w:t>
      </w:r>
      <w:r w:rsidR="00436396">
        <w:rPr>
          <w:rStyle w:val="FootnoteReference"/>
          <w:rFonts w:asciiTheme="majorHAnsi" w:hAnsiTheme="majorHAnsi" w:cstheme="majorHAnsi"/>
          <w:sz w:val="24"/>
          <w:szCs w:val="24"/>
        </w:rPr>
        <w:footnoteReference w:id="53"/>
      </w:r>
      <w:r w:rsidR="00436396">
        <w:rPr>
          <w:rFonts w:asciiTheme="majorHAnsi" w:hAnsiTheme="majorHAnsi" w:cstheme="majorHAnsi"/>
          <w:sz w:val="24"/>
          <w:szCs w:val="24"/>
        </w:rPr>
        <w:t xml:space="preserve"> </w:t>
      </w:r>
      <w:r w:rsidR="00323A09">
        <w:rPr>
          <w:rFonts w:asciiTheme="majorHAnsi" w:hAnsiTheme="majorHAnsi" w:cstheme="majorHAnsi"/>
          <w:sz w:val="24"/>
          <w:szCs w:val="24"/>
        </w:rPr>
        <w:t>This positive identity can, in turn,</w:t>
      </w:r>
      <w:r w:rsidR="00436396">
        <w:rPr>
          <w:rFonts w:asciiTheme="majorHAnsi" w:hAnsiTheme="majorHAnsi" w:cstheme="majorHAnsi"/>
          <w:sz w:val="24"/>
          <w:szCs w:val="24"/>
        </w:rPr>
        <w:t xml:space="preserve"> increase intrinsic motivation and develop students</w:t>
      </w:r>
      <w:r w:rsidR="00323A09">
        <w:rPr>
          <w:rFonts w:asciiTheme="majorHAnsi" w:hAnsiTheme="majorHAnsi" w:cstheme="majorHAnsi"/>
          <w:sz w:val="24"/>
          <w:szCs w:val="24"/>
        </w:rPr>
        <w:t>’</w:t>
      </w:r>
      <w:r w:rsidR="00436396">
        <w:rPr>
          <w:rFonts w:asciiTheme="majorHAnsi" w:hAnsiTheme="majorHAnsi" w:cstheme="majorHAnsi"/>
          <w:sz w:val="24"/>
          <w:szCs w:val="24"/>
        </w:rPr>
        <w:t xml:space="preserve"> understanding of the broader role of legal education in society.</w:t>
      </w:r>
      <w:r w:rsidR="00436396">
        <w:rPr>
          <w:rStyle w:val="FootnoteReference"/>
          <w:rFonts w:asciiTheme="majorHAnsi" w:hAnsiTheme="majorHAnsi" w:cstheme="majorHAnsi"/>
          <w:sz w:val="24"/>
          <w:szCs w:val="24"/>
        </w:rPr>
        <w:footnoteReference w:id="54"/>
      </w:r>
      <w:r w:rsidR="00436396">
        <w:rPr>
          <w:rFonts w:asciiTheme="majorHAnsi" w:hAnsiTheme="majorHAnsi" w:cstheme="majorHAnsi"/>
          <w:sz w:val="24"/>
          <w:szCs w:val="24"/>
        </w:rPr>
        <w:t xml:space="preserve"> </w:t>
      </w:r>
      <w:r w:rsidR="00AF54B3">
        <w:rPr>
          <w:rFonts w:asciiTheme="majorHAnsi" w:hAnsiTheme="majorHAnsi" w:cstheme="majorHAnsi"/>
          <w:sz w:val="24"/>
          <w:szCs w:val="24"/>
        </w:rPr>
        <w:t xml:space="preserve">Students had </w:t>
      </w:r>
      <w:r w:rsidR="00DF5B4A">
        <w:rPr>
          <w:rFonts w:asciiTheme="majorHAnsi" w:hAnsiTheme="majorHAnsi" w:cstheme="majorHAnsi"/>
          <w:sz w:val="24"/>
          <w:szCs w:val="24"/>
        </w:rPr>
        <w:t>evaluated positively a session given</w:t>
      </w:r>
      <w:commentRangeStart w:id="8"/>
      <w:commentRangeStart w:id="9"/>
      <w:r w:rsidR="00AF54B3">
        <w:rPr>
          <w:rFonts w:asciiTheme="majorHAnsi" w:hAnsiTheme="majorHAnsi" w:cstheme="majorHAnsi"/>
          <w:sz w:val="24"/>
          <w:szCs w:val="24"/>
        </w:rPr>
        <w:t xml:space="preserve"> </w:t>
      </w:r>
      <w:commentRangeEnd w:id="8"/>
      <w:r w:rsidR="00345228">
        <w:rPr>
          <w:rStyle w:val="CommentReference"/>
        </w:rPr>
        <w:commentReference w:id="8"/>
      </w:r>
      <w:commentRangeEnd w:id="9"/>
      <w:r w:rsidR="00DF5B4A">
        <w:rPr>
          <w:rStyle w:val="CommentReference"/>
        </w:rPr>
        <w:commentReference w:id="9"/>
      </w:r>
      <w:r w:rsidR="00AF54B3">
        <w:rPr>
          <w:rFonts w:asciiTheme="majorHAnsi" w:hAnsiTheme="majorHAnsi" w:cstheme="majorHAnsi"/>
          <w:sz w:val="24"/>
          <w:szCs w:val="24"/>
        </w:rPr>
        <w:t xml:space="preserve">the previous year that included a panel of </w:t>
      </w:r>
      <w:r w:rsidR="00212BCC">
        <w:rPr>
          <w:rFonts w:asciiTheme="majorHAnsi" w:hAnsiTheme="majorHAnsi" w:cstheme="majorHAnsi"/>
          <w:sz w:val="24"/>
          <w:szCs w:val="24"/>
        </w:rPr>
        <w:t xml:space="preserve">legal and law-related professionals, but for logistical reasons it was not possible to replicate this </w:t>
      </w:r>
      <w:r w:rsidR="00F955B6">
        <w:rPr>
          <w:rFonts w:asciiTheme="majorHAnsi" w:hAnsiTheme="majorHAnsi" w:cstheme="majorHAnsi"/>
          <w:sz w:val="24"/>
          <w:szCs w:val="24"/>
        </w:rPr>
        <w:t xml:space="preserve">in the pivot to </w:t>
      </w:r>
      <w:r w:rsidR="00212BCC">
        <w:rPr>
          <w:rFonts w:asciiTheme="majorHAnsi" w:hAnsiTheme="majorHAnsi" w:cstheme="majorHAnsi"/>
          <w:sz w:val="24"/>
          <w:szCs w:val="24"/>
        </w:rPr>
        <w:t>online</w:t>
      </w:r>
      <w:r w:rsidR="00F955B6">
        <w:rPr>
          <w:rFonts w:asciiTheme="majorHAnsi" w:hAnsiTheme="majorHAnsi" w:cstheme="majorHAnsi"/>
          <w:sz w:val="24"/>
          <w:szCs w:val="24"/>
        </w:rPr>
        <w:t xml:space="preserve"> delivery</w:t>
      </w:r>
      <w:r w:rsidR="00212BCC">
        <w:rPr>
          <w:rFonts w:asciiTheme="majorHAnsi" w:hAnsiTheme="majorHAnsi" w:cstheme="majorHAnsi"/>
          <w:sz w:val="24"/>
          <w:szCs w:val="24"/>
        </w:rPr>
        <w:t xml:space="preserve"> </w:t>
      </w:r>
      <w:r w:rsidR="00F955B6">
        <w:rPr>
          <w:rFonts w:asciiTheme="majorHAnsi" w:hAnsiTheme="majorHAnsi" w:cstheme="majorHAnsi"/>
          <w:sz w:val="24"/>
          <w:szCs w:val="24"/>
        </w:rPr>
        <w:t>during</w:t>
      </w:r>
      <w:r w:rsidR="00212BCC">
        <w:rPr>
          <w:rFonts w:asciiTheme="majorHAnsi" w:hAnsiTheme="majorHAnsi" w:cstheme="majorHAnsi"/>
          <w:sz w:val="24"/>
          <w:szCs w:val="24"/>
        </w:rPr>
        <w:t xml:space="preserve"> 2020-21. Instead, </w:t>
      </w:r>
      <w:r w:rsidR="008148A3">
        <w:rPr>
          <w:rFonts w:asciiTheme="majorHAnsi" w:hAnsiTheme="majorHAnsi" w:cstheme="majorHAnsi"/>
          <w:sz w:val="24"/>
          <w:szCs w:val="24"/>
        </w:rPr>
        <w:t xml:space="preserve">one of the team liaised with a diverse group of </w:t>
      </w:r>
      <w:r w:rsidR="00F955B6">
        <w:rPr>
          <w:rFonts w:asciiTheme="majorHAnsi" w:hAnsiTheme="majorHAnsi" w:cstheme="majorHAnsi"/>
          <w:sz w:val="24"/>
          <w:szCs w:val="24"/>
        </w:rPr>
        <w:t xml:space="preserve">legal </w:t>
      </w:r>
      <w:r w:rsidR="008148A3">
        <w:rPr>
          <w:rFonts w:asciiTheme="majorHAnsi" w:hAnsiTheme="majorHAnsi" w:cstheme="majorHAnsi"/>
          <w:sz w:val="24"/>
          <w:szCs w:val="24"/>
        </w:rPr>
        <w:t xml:space="preserve">professionals </w:t>
      </w:r>
      <w:r w:rsidR="005B3683">
        <w:rPr>
          <w:rFonts w:asciiTheme="majorHAnsi" w:hAnsiTheme="majorHAnsi" w:cstheme="majorHAnsi"/>
          <w:sz w:val="24"/>
          <w:szCs w:val="24"/>
        </w:rPr>
        <w:t>to record semi-structured videos for the students</w:t>
      </w:r>
      <w:r w:rsidR="00EE4F31">
        <w:rPr>
          <w:rFonts w:asciiTheme="majorHAnsi" w:hAnsiTheme="majorHAnsi" w:cstheme="majorHAnsi"/>
          <w:sz w:val="24"/>
          <w:szCs w:val="24"/>
        </w:rPr>
        <w:t xml:space="preserve"> to watch asynchronously</w:t>
      </w:r>
      <w:r w:rsidR="005B3683">
        <w:rPr>
          <w:rFonts w:asciiTheme="majorHAnsi" w:hAnsiTheme="majorHAnsi" w:cstheme="majorHAnsi"/>
          <w:sz w:val="24"/>
          <w:szCs w:val="24"/>
        </w:rPr>
        <w:t xml:space="preserve">. We </w:t>
      </w:r>
      <w:r w:rsidR="00342D88">
        <w:rPr>
          <w:rFonts w:asciiTheme="majorHAnsi" w:hAnsiTheme="majorHAnsi" w:cstheme="majorHAnsi"/>
          <w:sz w:val="24"/>
          <w:szCs w:val="24"/>
        </w:rPr>
        <w:t>a</w:t>
      </w:r>
      <w:r w:rsidR="00EE4F31">
        <w:rPr>
          <w:rFonts w:asciiTheme="majorHAnsi" w:hAnsiTheme="majorHAnsi" w:cstheme="majorHAnsi"/>
          <w:sz w:val="24"/>
          <w:szCs w:val="24"/>
        </w:rPr>
        <w:t xml:space="preserve">sked </w:t>
      </w:r>
      <w:r w:rsidR="0024093B">
        <w:rPr>
          <w:rFonts w:asciiTheme="majorHAnsi" w:hAnsiTheme="majorHAnsi" w:cstheme="majorHAnsi"/>
          <w:sz w:val="24"/>
          <w:szCs w:val="24"/>
        </w:rPr>
        <w:t>students</w:t>
      </w:r>
      <w:r w:rsidR="00EE4F31">
        <w:rPr>
          <w:rFonts w:asciiTheme="majorHAnsi" w:hAnsiTheme="majorHAnsi" w:cstheme="majorHAnsi"/>
          <w:sz w:val="24"/>
          <w:szCs w:val="24"/>
        </w:rPr>
        <w:t xml:space="preserve"> to </w:t>
      </w:r>
      <w:r w:rsidR="00D732E7">
        <w:rPr>
          <w:rFonts w:asciiTheme="majorHAnsi" w:hAnsiTheme="majorHAnsi" w:cstheme="majorHAnsi"/>
          <w:sz w:val="24"/>
          <w:szCs w:val="24"/>
        </w:rPr>
        <w:t>consider</w:t>
      </w:r>
      <w:r w:rsidR="00342D88">
        <w:rPr>
          <w:rFonts w:asciiTheme="majorHAnsi" w:hAnsiTheme="majorHAnsi" w:cstheme="majorHAnsi"/>
          <w:sz w:val="24"/>
          <w:szCs w:val="24"/>
        </w:rPr>
        <w:t xml:space="preserve"> </w:t>
      </w:r>
      <w:r w:rsidR="00EE4F31">
        <w:rPr>
          <w:rFonts w:asciiTheme="majorHAnsi" w:hAnsiTheme="majorHAnsi" w:cstheme="majorHAnsi"/>
          <w:sz w:val="24"/>
          <w:szCs w:val="24"/>
        </w:rPr>
        <w:t>which professional</w:t>
      </w:r>
      <w:r w:rsidR="00342D88">
        <w:rPr>
          <w:rFonts w:asciiTheme="majorHAnsi" w:hAnsiTheme="majorHAnsi" w:cstheme="majorHAnsi"/>
          <w:sz w:val="24"/>
          <w:szCs w:val="24"/>
        </w:rPr>
        <w:t>(</w:t>
      </w:r>
      <w:r w:rsidR="00EE4F31">
        <w:rPr>
          <w:rFonts w:asciiTheme="majorHAnsi" w:hAnsiTheme="majorHAnsi" w:cstheme="majorHAnsi"/>
          <w:sz w:val="24"/>
          <w:szCs w:val="24"/>
        </w:rPr>
        <w:t>s</w:t>
      </w:r>
      <w:r w:rsidR="00342D88">
        <w:rPr>
          <w:rFonts w:asciiTheme="majorHAnsi" w:hAnsiTheme="majorHAnsi" w:cstheme="majorHAnsi"/>
          <w:sz w:val="24"/>
          <w:szCs w:val="24"/>
        </w:rPr>
        <w:t>)</w:t>
      </w:r>
      <w:r w:rsidR="00EE4F31">
        <w:rPr>
          <w:rFonts w:asciiTheme="majorHAnsi" w:hAnsiTheme="majorHAnsi" w:cstheme="majorHAnsi"/>
          <w:sz w:val="24"/>
          <w:szCs w:val="24"/>
        </w:rPr>
        <w:t xml:space="preserve"> they most related to, and why</w:t>
      </w:r>
      <w:r w:rsidR="0024093B">
        <w:rPr>
          <w:rFonts w:asciiTheme="majorHAnsi" w:hAnsiTheme="majorHAnsi" w:cstheme="majorHAnsi"/>
          <w:sz w:val="24"/>
          <w:szCs w:val="24"/>
        </w:rPr>
        <w:t>;</w:t>
      </w:r>
      <w:r w:rsidR="00D732E7">
        <w:rPr>
          <w:rFonts w:asciiTheme="majorHAnsi" w:hAnsiTheme="majorHAnsi" w:cstheme="majorHAnsi"/>
          <w:sz w:val="24"/>
          <w:szCs w:val="24"/>
        </w:rPr>
        <w:t xml:space="preserve"> </w:t>
      </w:r>
      <w:r w:rsidR="00975181">
        <w:rPr>
          <w:rFonts w:asciiTheme="majorHAnsi" w:hAnsiTheme="majorHAnsi" w:cstheme="majorHAnsi"/>
          <w:sz w:val="24"/>
          <w:szCs w:val="24"/>
        </w:rPr>
        <w:t xml:space="preserve">and </w:t>
      </w:r>
      <w:r w:rsidR="00D732E7">
        <w:rPr>
          <w:rFonts w:asciiTheme="majorHAnsi" w:hAnsiTheme="majorHAnsi" w:cstheme="majorHAnsi"/>
          <w:sz w:val="24"/>
          <w:szCs w:val="24"/>
        </w:rPr>
        <w:t xml:space="preserve">what </w:t>
      </w:r>
      <w:r w:rsidR="00BB0A71">
        <w:rPr>
          <w:rFonts w:asciiTheme="majorHAnsi" w:hAnsiTheme="majorHAnsi" w:cstheme="majorHAnsi"/>
          <w:sz w:val="24"/>
          <w:szCs w:val="24"/>
        </w:rPr>
        <w:t>key messages they t</w:t>
      </w:r>
      <w:r w:rsidR="00975181">
        <w:rPr>
          <w:rFonts w:asciiTheme="majorHAnsi" w:hAnsiTheme="majorHAnsi" w:cstheme="majorHAnsi"/>
          <w:sz w:val="24"/>
          <w:szCs w:val="24"/>
        </w:rPr>
        <w:t>ook</w:t>
      </w:r>
      <w:r w:rsidR="00BB0A71">
        <w:rPr>
          <w:rFonts w:asciiTheme="majorHAnsi" w:hAnsiTheme="majorHAnsi" w:cstheme="majorHAnsi"/>
          <w:sz w:val="24"/>
          <w:szCs w:val="24"/>
        </w:rPr>
        <w:t xml:space="preserve"> from the videos</w:t>
      </w:r>
      <w:r w:rsidR="00975181">
        <w:rPr>
          <w:rFonts w:asciiTheme="majorHAnsi" w:hAnsiTheme="majorHAnsi" w:cstheme="majorHAnsi"/>
          <w:sz w:val="24"/>
          <w:szCs w:val="24"/>
        </w:rPr>
        <w:t xml:space="preserve">. </w:t>
      </w:r>
      <w:r w:rsidR="00992CCC">
        <w:rPr>
          <w:rFonts w:asciiTheme="majorHAnsi" w:hAnsiTheme="majorHAnsi" w:cstheme="majorHAnsi"/>
          <w:sz w:val="24"/>
          <w:szCs w:val="24"/>
        </w:rPr>
        <w:t xml:space="preserve">It was interesting – for us and the students – to note that all the professionals mentioned “authenticity” as being </w:t>
      </w:r>
      <w:r w:rsidR="00007C76">
        <w:rPr>
          <w:rFonts w:asciiTheme="majorHAnsi" w:hAnsiTheme="majorHAnsi" w:cstheme="majorHAnsi"/>
          <w:sz w:val="24"/>
          <w:szCs w:val="24"/>
        </w:rPr>
        <w:t>an important factor in their</w:t>
      </w:r>
      <w:r w:rsidR="006C34CD">
        <w:rPr>
          <w:rFonts w:asciiTheme="majorHAnsi" w:hAnsiTheme="majorHAnsi" w:cstheme="majorHAnsi"/>
          <w:sz w:val="24"/>
          <w:szCs w:val="24"/>
        </w:rPr>
        <w:t xml:space="preserve"> success and happiness.</w:t>
      </w:r>
      <w:r w:rsidR="00007C76">
        <w:rPr>
          <w:rFonts w:asciiTheme="majorHAnsi" w:hAnsiTheme="majorHAnsi" w:cstheme="majorHAnsi"/>
          <w:sz w:val="24"/>
          <w:szCs w:val="24"/>
        </w:rPr>
        <w:t xml:space="preserve"> </w:t>
      </w:r>
      <w:r w:rsidR="00342D88">
        <w:rPr>
          <w:rFonts w:asciiTheme="majorHAnsi" w:hAnsiTheme="majorHAnsi" w:cstheme="majorHAnsi"/>
          <w:sz w:val="24"/>
          <w:szCs w:val="24"/>
        </w:rPr>
        <w:t>T</w:t>
      </w:r>
      <w:r w:rsidR="000A6CE8">
        <w:rPr>
          <w:rFonts w:asciiTheme="majorHAnsi" w:hAnsiTheme="majorHAnsi" w:cstheme="majorHAnsi"/>
          <w:sz w:val="24"/>
          <w:szCs w:val="24"/>
        </w:rPr>
        <w:t>his was an important message for the</w:t>
      </w:r>
      <w:r w:rsidR="00D14361">
        <w:rPr>
          <w:rFonts w:asciiTheme="majorHAnsi" w:hAnsiTheme="majorHAnsi" w:cstheme="majorHAnsi"/>
          <w:sz w:val="24"/>
          <w:szCs w:val="24"/>
        </w:rPr>
        <w:t xml:space="preserve"> students to hear,</w:t>
      </w:r>
      <w:r w:rsidR="000A6CE8">
        <w:rPr>
          <w:rFonts w:asciiTheme="majorHAnsi" w:hAnsiTheme="majorHAnsi" w:cstheme="majorHAnsi"/>
          <w:sz w:val="24"/>
          <w:szCs w:val="24"/>
        </w:rPr>
        <w:t xml:space="preserve"> </w:t>
      </w:r>
      <w:r w:rsidR="00DF5B4A">
        <w:rPr>
          <w:rFonts w:asciiTheme="majorHAnsi" w:hAnsiTheme="majorHAnsi" w:cstheme="majorHAnsi"/>
          <w:sz w:val="24"/>
          <w:szCs w:val="24"/>
        </w:rPr>
        <w:t xml:space="preserve">and it may have </w:t>
      </w:r>
      <w:commentRangeStart w:id="10"/>
      <w:commentRangeStart w:id="11"/>
      <w:r w:rsidR="007B5AF2">
        <w:rPr>
          <w:rFonts w:asciiTheme="majorHAnsi" w:hAnsiTheme="majorHAnsi" w:cstheme="majorHAnsi"/>
          <w:sz w:val="24"/>
          <w:szCs w:val="24"/>
        </w:rPr>
        <w:t xml:space="preserve">helped them see the </w:t>
      </w:r>
      <w:r w:rsidR="006C34CD">
        <w:rPr>
          <w:rFonts w:asciiTheme="majorHAnsi" w:hAnsiTheme="majorHAnsi" w:cstheme="majorHAnsi"/>
          <w:sz w:val="24"/>
          <w:szCs w:val="24"/>
        </w:rPr>
        <w:t xml:space="preserve">link </w:t>
      </w:r>
      <w:r w:rsidR="007B5AF2">
        <w:rPr>
          <w:rFonts w:asciiTheme="majorHAnsi" w:hAnsiTheme="majorHAnsi" w:cstheme="majorHAnsi"/>
          <w:sz w:val="24"/>
          <w:szCs w:val="24"/>
        </w:rPr>
        <w:t>between work and</w:t>
      </w:r>
      <w:r w:rsidR="006C34CD">
        <w:rPr>
          <w:rFonts w:asciiTheme="majorHAnsi" w:hAnsiTheme="majorHAnsi" w:cstheme="majorHAnsi"/>
          <w:sz w:val="24"/>
          <w:szCs w:val="24"/>
        </w:rPr>
        <w:t xml:space="preserve"> wellbeing</w:t>
      </w:r>
      <w:commentRangeEnd w:id="10"/>
      <w:r w:rsidR="00CE757E">
        <w:rPr>
          <w:rStyle w:val="CommentReference"/>
        </w:rPr>
        <w:commentReference w:id="10"/>
      </w:r>
      <w:commentRangeEnd w:id="11"/>
      <w:r w:rsidR="00DF5B4A">
        <w:rPr>
          <w:rStyle w:val="CommentReference"/>
        </w:rPr>
        <w:commentReference w:id="11"/>
      </w:r>
      <w:r w:rsidR="006C34CD">
        <w:rPr>
          <w:rFonts w:asciiTheme="majorHAnsi" w:hAnsiTheme="majorHAnsi" w:cstheme="majorHAnsi"/>
          <w:sz w:val="24"/>
          <w:szCs w:val="24"/>
        </w:rPr>
        <w:t>.</w:t>
      </w:r>
    </w:p>
    <w:p w14:paraId="4929EC90" w14:textId="03977132" w:rsidR="007F25C3" w:rsidRDefault="002A3F9C" w:rsidP="00AF1A88">
      <w:pPr>
        <w:spacing w:line="240" w:lineRule="auto"/>
        <w:jc w:val="both"/>
        <w:rPr>
          <w:rFonts w:asciiTheme="majorHAnsi" w:hAnsiTheme="majorHAnsi" w:cstheme="majorHAnsi"/>
          <w:b/>
          <w:bCs/>
          <w:sz w:val="24"/>
          <w:szCs w:val="24"/>
        </w:rPr>
      </w:pPr>
      <w:r>
        <w:rPr>
          <w:rFonts w:asciiTheme="majorHAnsi" w:hAnsiTheme="majorHAnsi" w:cstheme="majorHAnsi"/>
          <w:b/>
          <w:bCs/>
          <w:sz w:val="24"/>
          <w:szCs w:val="24"/>
        </w:rPr>
        <w:t>6</w:t>
      </w:r>
      <w:r w:rsidR="003B42B3">
        <w:rPr>
          <w:rFonts w:asciiTheme="majorHAnsi" w:hAnsiTheme="majorHAnsi" w:cstheme="majorHAnsi"/>
          <w:b/>
          <w:bCs/>
          <w:sz w:val="24"/>
          <w:szCs w:val="24"/>
        </w:rPr>
        <w:t xml:space="preserve">. </w:t>
      </w:r>
      <w:r w:rsidRPr="009F4789">
        <w:rPr>
          <w:rFonts w:asciiTheme="majorHAnsi" w:hAnsiTheme="majorHAnsi" w:cstheme="majorHAnsi"/>
          <w:b/>
          <w:bCs/>
          <w:sz w:val="24"/>
          <w:szCs w:val="24"/>
        </w:rPr>
        <w:t xml:space="preserve">Research </w:t>
      </w:r>
      <w:r>
        <w:rPr>
          <w:rFonts w:asciiTheme="majorHAnsi" w:hAnsiTheme="majorHAnsi" w:cstheme="majorHAnsi"/>
          <w:b/>
          <w:bCs/>
          <w:sz w:val="24"/>
          <w:szCs w:val="24"/>
        </w:rPr>
        <w:t xml:space="preserve">goals, </w:t>
      </w:r>
      <w:r w:rsidRPr="009F4789">
        <w:rPr>
          <w:rFonts w:asciiTheme="majorHAnsi" w:hAnsiTheme="majorHAnsi" w:cstheme="majorHAnsi"/>
          <w:b/>
          <w:bCs/>
          <w:sz w:val="24"/>
          <w:szCs w:val="24"/>
        </w:rPr>
        <w:t xml:space="preserve">methodology and </w:t>
      </w:r>
      <w:r w:rsidR="00097392">
        <w:rPr>
          <w:rFonts w:asciiTheme="majorHAnsi" w:hAnsiTheme="majorHAnsi" w:cstheme="majorHAnsi"/>
          <w:b/>
          <w:bCs/>
          <w:sz w:val="24"/>
          <w:szCs w:val="24"/>
        </w:rPr>
        <w:t>results</w:t>
      </w:r>
      <w:r>
        <w:rPr>
          <w:rFonts w:asciiTheme="majorHAnsi" w:hAnsiTheme="majorHAnsi" w:cstheme="majorHAnsi"/>
          <w:b/>
          <w:bCs/>
          <w:sz w:val="24"/>
          <w:szCs w:val="24"/>
        </w:rPr>
        <w:t xml:space="preserve"> </w:t>
      </w:r>
    </w:p>
    <w:p w14:paraId="3C1437ED" w14:textId="2D387AB8" w:rsidR="00342D88" w:rsidRPr="00342D88" w:rsidRDefault="00342D88" w:rsidP="0090442F">
      <w:pPr>
        <w:spacing w:line="240" w:lineRule="auto"/>
        <w:jc w:val="both"/>
        <w:rPr>
          <w:rFonts w:asciiTheme="majorHAnsi" w:hAnsiTheme="majorHAnsi" w:cstheme="majorHAnsi"/>
          <w:i/>
          <w:iCs/>
          <w:sz w:val="24"/>
          <w:szCs w:val="24"/>
        </w:rPr>
      </w:pPr>
      <w:r w:rsidRPr="00342D88">
        <w:rPr>
          <w:rFonts w:asciiTheme="majorHAnsi" w:hAnsiTheme="majorHAnsi" w:cstheme="majorHAnsi"/>
          <w:i/>
          <w:iCs/>
          <w:sz w:val="24"/>
          <w:szCs w:val="24"/>
        </w:rPr>
        <w:t>Research goals</w:t>
      </w:r>
    </w:p>
    <w:p w14:paraId="3F5A5FBD" w14:textId="78DE2C96" w:rsidR="003108E6" w:rsidRDefault="00B10ADE" w:rsidP="0090442F">
      <w:pPr>
        <w:spacing w:line="240" w:lineRule="auto"/>
        <w:jc w:val="both"/>
        <w:rPr>
          <w:rFonts w:asciiTheme="majorHAnsi" w:hAnsiTheme="majorHAnsi" w:cstheme="majorHAnsi"/>
          <w:sz w:val="24"/>
          <w:szCs w:val="24"/>
        </w:rPr>
      </w:pPr>
      <w:r>
        <w:rPr>
          <w:rFonts w:asciiTheme="majorHAnsi" w:hAnsiTheme="majorHAnsi" w:cstheme="majorHAnsi"/>
          <w:sz w:val="24"/>
          <w:szCs w:val="24"/>
        </w:rPr>
        <w:t>We</w:t>
      </w:r>
      <w:r w:rsidR="00030020">
        <w:rPr>
          <w:rFonts w:asciiTheme="majorHAnsi" w:hAnsiTheme="majorHAnsi" w:cstheme="majorHAnsi"/>
          <w:sz w:val="24"/>
          <w:szCs w:val="24"/>
        </w:rPr>
        <w:t xml:space="preserve"> collected data on </w:t>
      </w:r>
      <w:r>
        <w:rPr>
          <w:rFonts w:asciiTheme="majorHAnsi" w:hAnsiTheme="majorHAnsi" w:cstheme="majorHAnsi"/>
          <w:sz w:val="24"/>
          <w:szCs w:val="24"/>
        </w:rPr>
        <w:t xml:space="preserve">the first year of delivery </w:t>
      </w:r>
      <w:r w:rsidR="0085293E">
        <w:rPr>
          <w:rFonts w:asciiTheme="majorHAnsi" w:hAnsiTheme="majorHAnsi" w:cstheme="majorHAnsi"/>
          <w:sz w:val="24"/>
          <w:szCs w:val="24"/>
        </w:rPr>
        <w:t>of Legal Essential</w:t>
      </w:r>
      <w:r w:rsidR="00C75C4B">
        <w:rPr>
          <w:rFonts w:asciiTheme="majorHAnsi" w:hAnsiTheme="majorHAnsi" w:cstheme="majorHAnsi"/>
          <w:sz w:val="24"/>
          <w:szCs w:val="24"/>
        </w:rPr>
        <w:t>s in 2019-20</w:t>
      </w:r>
      <w:r>
        <w:rPr>
          <w:rFonts w:asciiTheme="majorHAnsi" w:hAnsiTheme="majorHAnsi" w:cstheme="majorHAnsi"/>
          <w:sz w:val="24"/>
          <w:szCs w:val="24"/>
        </w:rPr>
        <w:t>. Our aim was to</w:t>
      </w:r>
      <w:r w:rsidR="0085293E">
        <w:rPr>
          <w:rFonts w:asciiTheme="majorHAnsi" w:hAnsiTheme="majorHAnsi" w:cstheme="majorHAnsi"/>
          <w:sz w:val="24"/>
          <w:szCs w:val="24"/>
        </w:rPr>
        <w:t xml:space="preserve"> </w:t>
      </w:r>
      <w:r w:rsidR="00030020">
        <w:rPr>
          <w:rFonts w:asciiTheme="majorHAnsi" w:hAnsiTheme="majorHAnsi" w:cstheme="majorHAnsi"/>
          <w:sz w:val="24"/>
          <w:szCs w:val="24"/>
        </w:rPr>
        <w:t xml:space="preserve">understand </w:t>
      </w:r>
      <w:r w:rsidR="003108E6" w:rsidRPr="003108E6">
        <w:rPr>
          <w:rFonts w:asciiTheme="majorHAnsi" w:hAnsiTheme="majorHAnsi" w:cstheme="majorHAnsi"/>
          <w:sz w:val="24"/>
          <w:szCs w:val="24"/>
        </w:rPr>
        <w:t>student</w:t>
      </w:r>
      <w:r w:rsidR="00030020">
        <w:rPr>
          <w:rFonts w:asciiTheme="majorHAnsi" w:hAnsiTheme="majorHAnsi" w:cstheme="majorHAnsi"/>
          <w:sz w:val="24"/>
          <w:szCs w:val="24"/>
        </w:rPr>
        <w:t>s’</w:t>
      </w:r>
      <w:r w:rsidR="0085293E">
        <w:rPr>
          <w:rFonts w:asciiTheme="majorHAnsi" w:hAnsiTheme="majorHAnsi" w:cstheme="majorHAnsi"/>
          <w:sz w:val="24"/>
          <w:szCs w:val="24"/>
        </w:rPr>
        <w:t xml:space="preserve"> </w:t>
      </w:r>
      <w:r w:rsidR="003108E6" w:rsidRPr="003108E6">
        <w:rPr>
          <w:rFonts w:asciiTheme="majorHAnsi" w:hAnsiTheme="majorHAnsi" w:cstheme="majorHAnsi"/>
          <w:sz w:val="24"/>
          <w:szCs w:val="24"/>
        </w:rPr>
        <w:t>experience</w:t>
      </w:r>
      <w:r w:rsidR="0085293E">
        <w:rPr>
          <w:rFonts w:asciiTheme="majorHAnsi" w:hAnsiTheme="majorHAnsi" w:cstheme="majorHAnsi"/>
          <w:sz w:val="24"/>
          <w:szCs w:val="24"/>
        </w:rPr>
        <w:t xml:space="preserve"> </w:t>
      </w:r>
      <w:r w:rsidR="00030020">
        <w:rPr>
          <w:rFonts w:asciiTheme="majorHAnsi" w:hAnsiTheme="majorHAnsi" w:cstheme="majorHAnsi"/>
          <w:sz w:val="24"/>
          <w:szCs w:val="24"/>
        </w:rPr>
        <w:t>of</w:t>
      </w:r>
      <w:r w:rsidR="00C11B81">
        <w:rPr>
          <w:rFonts w:asciiTheme="majorHAnsi" w:hAnsiTheme="majorHAnsi" w:cstheme="majorHAnsi"/>
          <w:sz w:val="24"/>
          <w:szCs w:val="24"/>
        </w:rPr>
        <w:t xml:space="preserve"> </w:t>
      </w:r>
      <w:r w:rsidR="0085293E">
        <w:rPr>
          <w:rFonts w:asciiTheme="majorHAnsi" w:hAnsiTheme="majorHAnsi" w:cstheme="majorHAnsi"/>
          <w:sz w:val="24"/>
          <w:szCs w:val="24"/>
        </w:rPr>
        <w:t>transition</w:t>
      </w:r>
      <w:r w:rsidR="00030020">
        <w:rPr>
          <w:rFonts w:asciiTheme="majorHAnsi" w:hAnsiTheme="majorHAnsi" w:cstheme="majorHAnsi"/>
          <w:sz w:val="24"/>
          <w:szCs w:val="24"/>
        </w:rPr>
        <w:t xml:space="preserve"> to </w:t>
      </w:r>
      <w:r w:rsidR="00C11B81">
        <w:rPr>
          <w:rFonts w:asciiTheme="majorHAnsi" w:hAnsiTheme="majorHAnsi" w:cstheme="majorHAnsi"/>
          <w:sz w:val="24"/>
          <w:szCs w:val="24"/>
        </w:rPr>
        <w:t>HE,</w:t>
      </w:r>
      <w:r w:rsidR="003108E6" w:rsidRPr="003108E6">
        <w:rPr>
          <w:rFonts w:asciiTheme="majorHAnsi" w:hAnsiTheme="majorHAnsi" w:cstheme="majorHAnsi"/>
          <w:sz w:val="24"/>
          <w:szCs w:val="24"/>
        </w:rPr>
        <w:t xml:space="preserve"> rather than </w:t>
      </w:r>
      <w:r w:rsidR="00C11B81">
        <w:rPr>
          <w:rFonts w:asciiTheme="majorHAnsi" w:hAnsiTheme="majorHAnsi" w:cstheme="majorHAnsi"/>
          <w:sz w:val="24"/>
          <w:szCs w:val="24"/>
        </w:rPr>
        <w:t xml:space="preserve">simply </w:t>
      </w:r>
      <w:r>
        <w:rPr>
          <w:rFonts w:asciiTheme="majorHAnsi" w:hAnsiTheme="majorHAnsi" w:cstheme="majorHAnsi"/>
          <w:sz w:val="24"/>
          <w:szCs w:val="24"/>
        </w:rPr>
        <w:t xml:space="preserve">to </w:t>
      </w:r>
      <w:r w:rsidR="0085293E">
        <w:rPr>
          <w:rFonts w:asciiTheme="majorHAnsi" w:hAnsiTheme="majorHAnsi" w:cstheme="majorHAnsi"/>
          <w:sz w:val="24"/>
          <w:szCs w:val="24"/>
        </w:rPr>
        <w:t xml:space="preserve">assess </w:t>
      </w:r>
      <w:r w:rsidR="00C11B81">
        <w:rPr>
          <w:rFonts w:asciiTheme="majorHAnsi" w:hAnsiTheme="majorHAnsi" w:cstheme="majorHAnsi"/>
          <w:sz w:val="24"/>
          <w:szCs w:val="24"/>
        </w:rPr>
        <w:t>module</w:t>
      </w:r>
      <w:r w:rsidR="0085293E">
        <w:rPr>
          <w:rFonts w:asciiTheme="majorHAnsi" w:hAnsiTheme="majorHAnsi" w:cstheme="majorHAnsi"/>
          <w:sz w:val="24"/>
          <w:szCs w:val="24"/>
        </w:rPr>
        <w:t xml:space="preserve"> d</w:t>
      </w:r>
      <w:r w:rsidR="003108E6" w:rsidRPr="003108E6">
        <w:rPr>
          <w:rFonts w:asciiTheme="majorHAnsi" w:hAnsiTheme="majorHAnsi" w:cstheme="majorHAnsi"/>
          <w:sz w:val="24"/>
          <w:szCs w:val="24"/>
        </w:rPr>
        <w:t>elivery</w:t>
      </w:r>
      <w:r w:rsidR="0085293E">
        <w:rPr>
          <w:rFonts w:asciiTheme="majorHAnsi" w:hAnsiTheme="majorHAnsi" w:cstheme="majorHAnsi"/>
          <w:sz w:val="24"/>
          <w:szCs w:val="24"/>
        </w:rPr>
        <w:t xml:space="preserve"> module resources</w:t>
      </w:r>
      <w:r w:rsidR="002C7592">
        <w:rPr>
          <w:rFonts w:asciiTheme="majorHAnsi" w:hAnsiTheme="majorHAnsi" w:cstheme="majorHAnsi"/>
          <w:sz w:val="24"/>
          <w:szCs w:val="24"/>
        </w:rPr>
        <w:t xml:space="preserve">. </w:t>
      </w:r>
      <w:r w:rsidR="00C11B81">
        <w:rPr>
          <w:rFonts w:asciiTheme="majorHAnsi" w:hAnsiTheme="majorHAnsi" w:cstheme="majorHAnsi"/>
          <w:sz w:val="24"/>
          <w:szCs w:val="24"/>
        </w:rPr>
        <w:t>We did not want to simply</w:t>
      </w:r>
      <w:r w:rsidR="0085293E">
        <w:rPr>
          <w:rFonts w:asciiTheme="majorHAnsi" w:hAnsiTheme="majorHAnsi" w:cstheme="majorHAnsi"/>
          <w:sz w:val="24"/>
          <w:szCs w:val="24"/>
        </w:rPr>
        <w:t xml:space="preserve"> duplicat</w:t>
      </w:r>
      <w:r w:rsidR="00C11B81">
        <w:rPr>
          <w:rFonts w:asciiTheme="majorHAnsi" w:hAnsiTheme="majorHAnsi" w:cstheme="majorHAnsi"/>
          <w:sz w:val="24"/>
          <w:szCs w:val="24"/>
        </w:rPr>
        <w:t>e</w:t>
      </w:r>
      <w:r w:rsidR="0085293E">
        <w:rPr>
          <w:rFonts w:asciiTheme="majorHAnsi" w:hAnsiTheme="majorHAnsi" w:cstheme="majorHAnsi"/>
          <w:sz w:val="24"/>
          <w:szCs w:val="24"/>
        </w:rPr>
        <w:t xml:space="preserve"> </w:t>
      </w:r>
      <w:r w:rsidR="0049727A">
        <w:rPr>
          <w:rFonts w:asciiTheme="majorHAnsi" w:hAnsiTheme="majorHAnsi" w:cstheme="majorHAnsi"/>
          <w:sz w:val="24"/>
          <w:szCs w:val="24"/>
        </w:rPr>
        <w:t xml:space="preserve">the existing school survey </w:t>
      </w:r>
      <w:r w:rsidR="0049727A">
        <w:rPr>
          <w:rFonts w:asciiTheme="majorHAnsi" w:hAnsiTheme="majorHAnsi" w:cstheme="majorHAnsi"/>
          <w:sz w:val="24"/>
          <w:szCs w:val="24"/>
        </w:rPr>
        <w:lastRenderedPageBreak/>
        <w:t>which gathers data on the general student experience</w:t>
      </w:r>
      <w:r w:rsidR="0085293E">
        <w:rPr>
          <w:rFonts w:asciiTheme="majorHAnsi" w:hAnsiTheme="majorHAnsi" w:cstheme="majorHAnsi"/>
          <w:sz w:val="24"/>
          <w:szCs w:val="24"/>
        </w:rPr>
        <w:t xml:space="preserve">, </w:t>
      </w:r>
      <w:r w:rsidR="008151E8">
        <w:rPr>
          <w:rFonts w:asciiTheme="majorHAnsi" w:hAnsiTheme="majorHAnsi" w:cstheme="majorHAnsi"/>
          <w:sz w:val="24"/>
          <w:szCs w:val="24"/>
        </w:rPr>
        <w:t>teaching,</w:t>
      </w:r>
      <w:r w:rsidR="0085293E">
        <w:rPr>
          <w:rFonts w:asciiTheme="majorHAnsi" w:hAnsiTheme="majorHAnsi" w:cstheme="majorHAnsi"/>
          <w:sz w:val="24"/>
          <w:szCs w:val="24"/>
        </w:rPr>
        <w:t xml:space="preserve"> and </w:t>
      </w:r>
      <w:r w:rsidR="0049727A">
        <w:rPr>
          <w:rFonts w:asciiTheme="majorHAnsi" w:hAnsiTheme="majorHAnsi" w:cstheme="majorHAnsi"/>
          <w:sz w:val="24"/>
          <w:szCs w:val="24"/>
        </w:rPr>
        <w:t xml:space="preserve">delivery of modules. </w:t>
      </w:r>
      <w:r w:rsidR="000B1298">
        <w:rPr>
          <w:rFonts w:asciiTheme="majorHAnsi" w:hAnsiTheme="majorHAnsi" w:cstheme="majorHAnsi"/>
          <w:sz w:val="24"/>
          <w:szCs w:val="24"/>
        </w:rPr>
        <w:t xml:space="preserve">Our survey questions </w:t>
      </w:r>
      <w:r w:rsidR="00D3599D">
        <w:rPr>
          <w:rFonts w:asciiTheme="majorHAnsi" w:hAnsiTheme="majorHAnsi" w:cstheme="majorHAnsi"/>
          <w:sz w:val="24"/>
          <w:szCs w:val="24"/>
        </w:rPr>
        <w:t xml:space="preserve">aimed instead at </w:t>
      </w:r>
      <w:r w:rsidR="0049727A">
        <w:rPr>
          <w:rFonts w:asciiTheme="majorHAnsi" w:hAnsiTheme="majorHAnsi" w:cstheme="majorHAnsi"/>
          <w:sz w:val="24"/>
          <w:szCs w:val="24"/>
        </w:rPr>
        <w:t>focus</w:t>
      </w:r>
      <w:r w:rsidR="00D3599D">
        <w:rPr>
          <w:rFonts w:asciiTheme="majorHAnsi" w:hAnsiTheme="majorHAnsi" w:cstheme="majorHAnsi"/>
          <w:sz w:val="24"/>
          <w:szCs w:val="24"/>
        </w:rPr>
        <w:t>ing</w:t>
      </w:r>
      <w:r w:rsidR="0049727A">
        <w:rPr>
          <w:rFonts w:asciiTheme="majorHAnsi" w:hAnsiTheme="majorHAnsi" w:cstheme="majorHAnsi"/>
          <w:sz w:val="24"/>
          <w:szCs w:val="24"/>
        </w:rPr>
        <w:t xml:space="preserve"> </w:t>
      </w:r>
      <w:r w:rsidR="00105D97">
        <w:rPr>
          <w:rFonts w:asciiTheme="majorHAnsi" w:hAnsiTheme="majorHAnsi" w:cstheme="majorHAnsi"/>
          <w:sz w:val="24"/>
          <w:szCs w:val="24"/>
        </w:rPr>
        <w:t xml:space="preserve">students </w:t>
      </w:r>
      <w:r w:rsidR="0049727A">
        <w:rPr>
          <w:rFonts w:asciiTheme="majorHAnsi" w:hAnsiTheme="majorHAnsi" w:cstheme="majorHAnsi"/>
          <w:sz w:val="24"/>
          <w:szCs w:val="24"/>
        </w:rPr>
        <w:t>on the utility or helpfulness of each teaching session</w:t>
      </w:r>
      <w:r w:rsidR="000B1298">
        <w:rPr>
          <w:rFonts w:asciiTheme="majorHAnsi" w:hAnsiTheme="majorHAnsi" w:cstheme="majorHAnsi"/>
          <w:sz w:val="24"/>
          <w:szCs w:val="24"/>
        </w:rPr>
        <w:t>.</w:t>
      </w:r>
      <w:r w:rsidR="00D3599D">
        <w:rPr>
          <w:rStyle w:val="FootnoteReference"/>
          <w:rFonts w:asciiTheme="majorHAnsi" w:hAnsiTheme="majorHAnsi" w:cstheme="majorHAnsi"/>
          <w:sz w:val="24"/>
          <w:szCs w:val="24"/>
        </w:rPr>
        <w:footnoteReference w:id="55"/>
      </w:r>
      <w:r w:rsidR="00D3599D">
        <w:rPr>
          <w:rFonts w:asciiTheme="majorHAnsi" w:hAnsiTheme="majorHAnsi" w:cstheme="majorHAnsi"/>
          <w:sz w:val="24"/>
          <w:szCs w:val="24"/>
        </w:rPr>
        <w:t xml:space="preserve"> </w:t>
      </w:r>
      <w:r w:rsidR="000B1298">
        <w:rPr>
          <w:rFonts w:asciiTheme="majorHAnsi" w:hAnsiTheme="majorHAnsi" w:cstheme="majorHAnsi"/>
          <w:sz w:val="24"/>
          <w:szCs w:val="24"/>
        </w:rPr>
        <w:t xml:space="preserve"> We</w:t>
      </w:r>
      <w:r w:rsidR="00105D97">
        <w:rPr>
          <w:rFonts w:asciiTheme="majorHAnsi" w:hAnsiTheme="majorHAnsi" w:cstheme="majorHAnsi"/>
          <w:sz w:val="24"/>
          <w:szCs w:val="24"/>
        </w:rPr>
        <w:t xml:space="preserve"> </w:t>
      </w:r>
      <w:r w:rsidR="000B1298">
        <w:rPr>
          <w:rFonts w:asciiTheme="majorHAnsi" w:hAnsiTheme="majorHAnsi" w:cstheme="majorHAnsi"/>
          <w:sz w:val="24"/>
          <w:szCs w:val="24"/>
        </w:rPr>
        <w:t>asked students to</w:t>
      </w:r>
      <w:r w:rsidR="00105D97">
        <w:rPr>
          <w:rFonts w:asciiTheme="majorHAnsi" w:hAnsiTheme="majorHAnsi" w:cstheme="majorHAnsi"/>
          <w:sz w:val="24"/>
          <w:szCs w:val="24"/>
        </w:rPr>
        <w:t xml:space="preserve"> evaluat</w:t>
      </w:r>
      <w:r w:rsidR="000B1298">
        <w:rPr>
          <w:rFonts w:asciiTheme="majorHAnsi" w:hAnsiTheme="majorHAnsi" w:cstheme="majorHAnsi"/>
          <w:sz w:val="24"/>
          <w:szCs w:val="24"/>
        </w:rPr>
        <w:t>e</w:t>
      </w:r>
      <w:r w:rsidR="00105D97">
        <w:rPr>
          <w:rFonts w:asciiTheme="majorHAnsi" w:hAnsiTheme="majorHAnsi" w:cstheme="majorHAnsi"/>
          <w:sz w:val="24"/>
          <w:szCs w:val="24"/>
        </w:rPr>
        <w:t xml:space="preserve"> </w:t>
      </w:r>
      <w:r w:rsidR="000B1298">
        <w:rPr>
          <w:rFonts w:asciiTheme="majorHAnsi" w:hAnsiTheme="majorHAnsi" w:cstheme="majorHAnsi"/>
          <w:sz w:val="24"/>
          <w:szCs w:val="24"/>
        </w:rPr>
        <w:t>their own</w:t>
      </w:r>
      <w:r w:rsidR="00105D97">
        <w:rPr>
          <w:rFonts w:asciiTheme="majorHAnsi" w:hAnsiTheme="majorHAnsi" w:cstheme="majorHAnsi"/>
          <w:sz w:val="24"/>
          <w:szCs w:val="24"/>
        </w:rPr>
        <w:t xml:space="preserve"> d</w:t>
      </w:r>
      <w:r w:rsidR="0049727A">
        <w:rPr>
          <w:rFonts w:asciiTheme="majorHAnsi" w:hAnsiTheme="majorHAnsi" w:cstheme="majorHAnsi"/>
          <w:sz w:val="24"/>
          <w:szCs w:val="24"/>
        </w:rPr>
        <w:t xml:space="preserve">eveloping </w:t>
      </w:r>
      <w:r w:rsidR="00D75777">
        <w:rPr>
          <w:rFonts w:asciiTheme="majorHAnsi" w:hAnsiTheme="majorHAnsi" w:cstheme="majorHAnsi"/>
          <w:sz w:val="24"/>
          <w:szCs w:val="24"/>
        </w:rPr>
        <w:t xml:space="preserve">knowledge </w:t>
      </w:r>
      <w:r w:rsidR="00C75C4B">
        <w:rPr>
          <w:rFonts w:asciiTheme="majorHAnsi" w:hAnsiTheme="majorHAnsi" w:cstheme="majorHAnsi"/>
          <w:sz w:val="24"/>
          <w:szCs w:val="24"/>
        </w:rPr>
        <w:t xml:space="preserve">and </w:t>
      </w:r>
      <w:r w:rsidR="0049727A">
        <w:rPr>
          <w:rFonts w:asciiTheme="majorHAnsi" w:hAnsiTheme="majorHAnsi" w:cstheme="majorHAnsi"/>
          <w:sz w:val="24"/>
          <w:szCs w:val="24"/>
        </w:rPr>
        <w:t>skills</w:t>
      </w:r>
      <w:r w:rsidR="00C75C4B">
        <w:rPr>
          <w:rFonts w:asciiTheme="majorHAnsi" w:hAnsiTheme="majorHAnsi" w:cstheme="majorHAnsi"/>
          <w:sz w:val="24"/>
          <w:szCs w:val="24"/>
        </w:rPr>
        <w:t>;</w:t>
      </w:r>
      <w:r w:rsidR="0049727A">
        <w:rPr>
          <w:rFonts w:asciiTheme="majorHAnsi" w:hAnsiTheme="majorHAnsi" w:cstheme="majorHAnsi"/>
          <w:sz w:val="24"/>
          <w:szCs w:val="24"/>
        </w:rPr>
        <w:t xml:space="preserve"> </w:t>
      </w:r>
      <w:r w:rsidR="000B1298">
        <w:rPr>
          <w:rFonts w:asciiTheme="majorHAnsi" w:hAnsiTheme="majorHAnsi" w:cstheme="majorHAnsi"/>
          <w:sz w:val="24"/>
          <w:szCs w:val="24"/>
        </w:rPr>
        <w:t xml:space="preserve">the extent to which they felt </w:t>
      </w:r>
      <w:r w:rsidR="0049727A">
        <w:rPr>
          <w:rFonts w:asciiTheme="majorHAnsi" w:hAnsiTheme="majorHAnsi" w:cstheme="majorHAnsi"/>
          <w:sz w:val="24"/>
          <w:szCs w:val="24"/>
        </w:rPr>
        <w:t xml:space="preserve">part of the </w:t>
      </w:r>
      <w:r w:rsidR="00D75777">
        <w:rPr>
          <w:rFonts w:asciiTheme="majorHAnsi" w:hAnsiTheme="majorHAnsi" w:cstheme="majorHAnsi"/>
          <w:sz w:val="24"/>
          <w:szCs w:val="24"/>
        </w:rPr>
        <w:t xml:space="preserve">Law School </w:t>
      </w:r>
      <w:r w:rsidR="0049727A">
        <w:rPr>
          <w:rFonts w:asciiTheme="majorHAnsi" w:hAnsiTheme="majorHAnsi" w:cstheme="majorHAnsi"/>
          <w:sz w:val="24"/>
          <w:szCs w:val="24"/>
        </w:rPr>
        <w:t>community</w:t>
      </w:r>
      <w:r w:rsidR="00C75C4B">
        <w:rPr>
          <w:rFonts w:asciiTheme="majorHAnsi" w:hAnsiTheme="majorHAnsi" w:cstheme="majorHAnsi"/>
          <w:sz w:val="24"/>
          <w:szCs w:val="24"/>
        </w:rPr>
        <w:t>; and how confident they felt in</w:t>
      </w:r>
      <w:r w:rsidR="0049727A">
        <w:rPr>
          <w:rFonts w:asciiTheme="majorHAnsi" w:hAnsiTheme="majorHAnsi" w:cstheme="majorHAnsi"/>
          <w:sz w:val="24"/>
          <w:szCs w:val="24"/>
        </w:rPr>
        <w:t xml:space="preserve"> </w:t>
      </w:r>
      <w:r w:rsidR="00C75C4B">
        <w:rPr>
          <w:rFonts w:asciiTheme="majorHAnsi" w:hAnsiTheme="majorHAnsi" w:cstheme="majorHAnsi"/>
          <w:sz w:val="24"/>
          <w:szCs w:val="24"/>
        </w:rPr>
        <w:t xml:space="preserve">navigating sources of </w:t>
      </w:r>
      <w:r w:rsidR="00105D97">
        <w:rPr>
          <w:rFonts w:asciiTheme="majorHAnsi" w:hAnsiTheme="majorHAnsi" w:cstheme="majorHAnsi"/>
          <w:sz w:val="24"/>
          <w:szCs w:val="24"/>
        </w:rPr>
        <w:t>support</w:t>
      </w:r>
      <w:r w:rsidR="0049727A">
        <w:rPr>
          <w:rFonts w:asciiTheme="majorHAnsi" w:hAnsiTheme="majorHAnsi" w:cstheme="majorHAnsi"/>
          <w:sz w:val="24"/>
          <w:szCs w:val="24"/>
        </w:rPr>
        <w:t xml:space="preserve">. </w:t>
      </w:r>
    </w:p>
    <w:p w14:paraId="79AD81C0" w14:textId="0AF369BC" w:rsidR="005F57EB" w:rsidRPr="005F57EB" w:rsidRDefault="005F57EB" w:rsidP="0090442F">
      <w:pPr>
        <w:spacing w:line="240" w:lineRule="auto"/>
        <w:jc w:val="both"/>
        <w:rPr>
          <w:rFonts w:asciiTheme="majorHAnsi" w:hAnsiTheme="majorHAnsi" w:cstheme="majorHAnsi"/>
          <w:i/>
          <w:iCs/>
          <w:sz w:val="24"/>
          <w:szCs w:val="24"/>
        </w:rPr>
      </w:pPr>
      <w:r>
        <w:rPr>
          <w:rFonts w:asciiTheme="majorHAnsi" w:hAnsiTheme="majorHAnsi" w:cstheme="majorHAnsi"/>
          <w:i/>
          <w:iCs/>
          <w:sz w:val="24"/>
          <w:szCs w:val="24"/>
        </w:rPr>
        <w:t xml:space="preserve">Research method </w:t>
      </w:r>
    </w:p>
    <w:p w14:paraId="1BFA0F84" w14:textId="372C0500" w:rsidR="0090442F" w:rsidRDefault="0085293E" w:rsidP="0090442F">
      <w:pPr>
        <w:spacing w:line="240" w:lineRule="auto"/>
        <w:jc w:val="both"/>
        <w:rPr>
          <w:rFonts w:asciiTheme="majorHAnsi" w:hAnsiTheme="majorHAnsi" w:cstheme="majorHAnsi"/>
          <w:sz w:val="24"/>
          <w:szCs w:val="24"/>
        </w:rPr>
      </w:pPr>
      <w:r>
        <w:rPr>
          <w:rFonts w:asciiTheme="majorHAnsi" w:hAnsiTheme="majorHAnsi" w:cstheme="majorHAnsi"/>
          <w:sz w:val="24"/>
          <w:szCs w:val="24"/>
        </w:rPr>
        <w:t>W</w:t>
      </w:r>
      <w:r w:rsidR="003108E6">
        <w:rPr>
          <w:rFonts w:asciiTheme="majorHAnsi" w:hAnsiTheme="majorHAnsi" w:cstheme="majorHAnsi"/>
          <w:sz w:val="24"/>
          <w:szCs w:val="24"/>
        </w:rPr>
        <w:t>e asked students to evaluate the</w:t>
      </w:r>
      <w:r w:rsidR="00631D0E">
        <w:rPr>
          <w:rFonts w:asciiTheme="majorHAnsi" w:hAnsiTheme="majorHAnsi" w:cstheme="majorHAnsi"/>
          <w:sz w:val="24"/>
          <w:szCs w:val="24"/>
        </w:rPr>
        <w:t>ir own experience of the</w:t>
      </w:r>
      <w:r w:rsidR="003108E6">
        <w:rPr>
          <w:rFonts w:asciiTheme="majorHAnsi" w:hAnsiTheme="majorHAnsi" w:cstheme="majorHAnsi"/>
          <w:sz w:val="24"/>
          <w:szCs w:val="24"/>
        </w:rPr>
        <w:t xml:space="preserve"> 3-week extended induction by means of </w:t>
      </w:r>
      <w:r w:rsidR="003108E6" w:rsidRPr="0090442F">
        <w:rPr>
          <w:rFonts w:asciiTheme="majorHAnsi" w:hAnsiTheme="majorHAnsi" w:cstheme="majorHAnsi"/>
          <w:sz w:val="24"/>
          <w:szCs w:val="24"/>
        </w:rPr>
        <w:t xml:space="preserve">a </w:t>
      </w:r>
      <w:r w:rsidR="003108E6">
        <w:rPr>
          <w:rFonts w:asciiTheme="majorHAnsi" w:hAnsiTheme="majorHAnsi" w:cstheme="majorHAnsi"/>
          <w:sz w:val="24"/>
          <w:szCs w:val="24"/>
        </w:rPr>
        <w:t>brief</w:t>
      </w:r>
      <w:r w:rsidR="002C7592">
        <w:rPr>
          <w:rStyle w:val="FootnoteReference"/>
          <w:rFonts w:asciiTheme="majorHAnsi" w:hAnsiTheme="majorHAnsi" w:cstheme="majorHAnsi"/>
          <w:sz w:val="24"/>
          <w:szCs w:val="24"/>
        </w:rPr>
        <w:footnoteReference w:id="56"/>
      </w:r>
      <w:r w:rsidR="002C7592">
        <w:rPr>
          <w:rFonts w:asciiTheme="majorHAnsi" w:hAnsiTheme="majorHAnsi" w:cstheme="majorHAnsi"/>
          <w:sz w:val="24"/>
          <w:szCs w:val="24"/>
        </w:rPr>
        <w:t xml:space="preserve"> </w:t>
      </w:r>
      <w:r w:rsidR="0075649D">
        <w:rPr>
          <w:rFonts w:asciiTheme="majorHAnsi" w:hAnsiTheme="majorHAnsi" w:cstheme="majorHAnsi"/>
          <w:sz w:val="24"/>
          <w:szCs w:val="24"/>
        </w:rPr>
        <w:t>self-administered</w:t>
      </w:r>
      <w:r w:rsidR="002C7592">
        <w:rPr>
          <w:rStyle w:val="FootnoteReference"/>
          <w:rFonts w:asciiTheme="majorHAnsi" w:hAnsiTheme="majorHAnsi" w:cstheme="majorHAnsi"/>
          <w:sz w:val="24"/>
          <w:szCs w:val="24"/>
        </w:rPr>
        <w:footnoteReference w:id="57"/>
      </w:r>
      <w:r w:rsidR="003108E6">
        <w:rPr>
          <w:rFonts w:asciiTheme="majorHAnsi" w:hAnsiTheme="majorHAnsi" w:cstheme="majorHAnsi"/>
          <w:sz w:val="24"/>
          <w:szCs w:val="24"/>
        </w:rPr>
        <w:t xml:space="preserve"> online </w:t>
      </w:r>
      <w:r w:rsidR="003108E6" w:rsidRPr="0090442F">
        <w:rPr>
          <w:rFonts w:asciiTheme="majorHAnsi" w:hAnsiTheme="majorHAnsi" w:cstheme="majorHAnsi"/>
          <w:sz w:val="24"/>
          <w:szCs w:val="24"/>
        </w:rPr>
        <w:t>questionnaire</w:t>
      </w:r>
      <w:r w:rsidR="003108E6">
        <w:rPr>
          <w:rFonts w:asciiTheme="majorHAnsi" w:hAnsiTheme="majorHAnsi" w:cstheme="majorHAnsi"/>
          <w:sz w:val="24"/>
          <w:szCs w:val="24"/>
        </w:rPr>
        <w:t>,</w:t>
      </w:r>
      <w:r w:rsidR="003108E6" w:rsidRPr="0090442F">
        <w:rPr>
          <w:rFonts w:asciiTheme="majorHAnsi" w:hAnsiTheme="majorHAnsi" w:cstheme="majorHAnsi"/>
          <w:sz w:val="24"/>
          <w:szCs w:val="24"/>
          <w:vertAlign w:val="superscript"/>
        </w:rPr>
        <w:footnoteReference w:id="58"/>
      </w:r>
      <w:r w:rsidR="003108E6" w:rsidRPr="0090442F">
        <w:rPr>
          <w:rFonts w:asciiTheme="majorHAnsi" w:hAnsiTheme="majorHAnsi" w:cstheme="majorHAnsi"/>
          <w:sz w:val="24"/>
          <w:szCs w:val="24"/>
        </w:rPr>
        <w:t xml:space="preserve"> </w:t>
      </w:r>
      <w:r w:rsidR="003108E6">
        <w:rPr>
          <w:rFonts w:asciiTheme="majorHAnsi" w:hAnsiTheme="majorHAnsi" w:cstheme="majorHAnsi"/>
          <w:sz w:val="24"/>
          <w:szCs w:val="24"/>
        </w:rPr>
        <w:t>before the</w:t>
      </w:r>
      <w:r w:rsidR="00C75C4B">
        <w:rPr>
          <w:rFonts w:asciiTheme="majorHAnsi" w:hAnsiTheme="majorHAnsi" w:cstheme="majorHAnsi"/>
          <w:sz w:val="24"/>
          <w:szCs w:val="24"/>
        </w:rPr>
        <w:t>ir</w:t>
      </w:r>
      <w:r w:rsidR="003108E6">
        <w:rPr>
          <w:rFonts w:asciiTheme="majorHAnsi" w:hAnsiTheme="majorHAnsi" w:cstheme="majorHAnsi"/>
          <w:sz w:val="24"/>
          <w:szCs w:val="24"/>
        </w:rPr>
        <w:t xml:space="preserve"> core modules commenced in week 4. </w:t>
      </w:r>
      <w:r w:rsidR="00EF6989">
        <w:rPr>
          <w:rFonts w:asciiTheme="majorHAnsi" w:hAnsiTheme="majorHAnsi" w:cstheme="majorHAnsi"/>
          <w:sz w:val="24"/>
          <w:szCs w:val="24"/>
        </w:rPr>
        <w:t xml:space="preserve">The questions comprised short statements with a numerical evaluation to indicate levels of agreement or disagreement. </w:t>
      </w:r>
      <w:r w:rsidR="00413283">
        <w:rPr>
          <w:rFonts w:asciiTheme="majorHAnsi" w:hAnsiTheme="majorHAnsi" w:cstheme="majorHAnsi"/>
          <w:sz w:val="24"/>
          <w:szCs w:val="24"/>
        </w:rPr>
        <w:t xml:space="preserve">Our questionnaire was </w:t>
      </w:r>
      <w:r w:rsidR="007E0856">
        <w:rPr>
          <w:rFonts w:asciiTheme="majorHAnsi" w:hAnsiTheme="majorHAnsi" w:cstheme="majorHAnsi"/>
          <w:sz w:val="24"/>
          <w:szCs w:val="24"/>
        </w:rPr>
        <w:t>design</w:t>
      </w:r>
      <w:r w:rsidR="00413283">
        <w:rPr>
          <w:rFonts w:asciiTheme="majorHAnsi" w:hAnsiTheme="majorHAnsi" w:cstheme="majorHAnsi"/>
          <w:sz w:val="24"/>
          <w:szCs w:val="24"/>
        </w:rPr>
        <w:t>ed</w:t>
      </w:r>
      <w:r w:rsidR="007E0856">
        <w:rPr>
          <w:rFonts w:asciiTheme="majorHAnsi" w:hAnsiTheme="majorHAnsi" w:cstheme="majorHAnsi"/>
          <w:sz w:val="24"/>
          <w:szCs w:val="24"/>
        </w:rPr>
        <w:t xml:space="preserve"> </w:t>
      </w:r>
      <w:r w:rsidR="0075649D">
        <w:rPr>
          <w:rFonts w:asciiTheme="majorHAnsi" w:hAnsiTheme="majorHAnsi" w:cstheme="majorHAnsi"/>
          <w:sz w:val="24"/>
          <w:szCs w:val="24"/>
        </w:rPr>
        <w:t xml:space="preserve">to </w:t>
      </w:r>
      <w:r w:rsidR="00413283">
        <w:rPr>
          <w:rFonts w:asciiTheme="majorHAnsi" w:hAnsiTheme="majorHAnsi" w:cstheme="majorHAnsi"/>
          <w:sz w:val="24"/>
          <w:szCs w:val="24"/>
        </w:rPr>
        <w:t>capture both</w:t>
      </w:r>
      <w:r w:rsidR="007E0856">
        <w:rPr>
          <w:rFonts w:asciiTheme="majorHAnsi" w:hAnsiTheme="majorHAnsi" w:cstheme="majorHAnsi"/>
          <w:sz w:val="24"/>
          <w:szCs w:val="24"/>
        </w:rPr>
        <w:t xml:space="preserve"> </w:t>
      </w:r>
      <w:r w:rsidR="00413283">
        <w:rPr>
          <w:rFonts w:asciiTheme="majorHAnsi" w:hAnsiTheme="majorHAnsi" w:cstheme="majorHAnsi"/>
          <w:sz w:val="24"/>
          <w:szCs w:val="24"/>
        </w:rPr>
        <w:t>quantitative data in the form of numerical scores</w:t>
      </w:r>
      <w:r w:rsidR="00413283">
        <w:rPr>
          <w:rStyle w:val="FootnoteReference"/>
          <w:rFonts w:asciiTheme="majorHAnsi" w:hAnsiTheme="majorHAnsi" w:cstheme="majorHAnsi"/>
          <w:sz w:val="24"/>
          <w:szCs w:val="24"/>
        </w:rPr>
        <w:footnoteReference w:id="59"/>
      </w:r>
      <w:r w:rsidR="00413283">
        <w:rPr>
          <w:rFonts w:asciiTheme="majorHAnsi" w:hAnsiTheme="majorHAnsi" w:cstheme="majorHAnsi"/>
          <w:sz w:val="24"/>
          <w:szCs w:val="24"/>
        </w:rPr>
        <w:t xml:space="preserve"> and </w:t>
      </w:r>
      <w:r w:rsidR="0075649D">
        <w:rPr>
          <w:rFonts w:asciiTheme="majorHAnsi" w:hAnsiTheme="majorHAnsi" w:cstheme="majorHAnsi"/>
          <w:sz w:val="24"/>
          <w:szCs w:val="24"/>
        </w:rPr>
        <w:t xml:space="preserve">qualitative feedback </w:t>
      </w:r>
      <w:r w:rsidR="00413283">
        <w:rPr>
          <w:rFonts w:asciiTheme="majorHAnsi" w:hAnsiTheme="majorHAnsi" w:cstheme="majorHAnsi"/>
          <w:sz w:val="24"/>
          <w:szCs w:val="24"/>
        </w:rPr>
        <w:t>through</w:t>
      </w:r>
      <w:r w:rsidR="0075649D">
        <w:rPr>
          <w:rFonts w:asciiTheme="majorHAnsi" w:hAnsiTheme="majorHAnsi" w:cstheme="majorHAnsi"/>
          <w:sz w:val="24"/>
          <w:szCs w:val="24"/>
        </w:rPr>
        <w:t xml:space="preserve"> individual comments</w:t>
      </w:r>
      <w:r w:rsidR="00413283">
        <w:rPr>
          <w:rFonts w:asciiTheme="majorHAnsi" w:hAnsiTheme="majorHAnsi" w:cstheme="majorHAnsi"/>
          <w:sz w:val="24"/>
          <w:szCs w:val="24"/>
        </w:rPr>
        <w:t>.</w:t>
      </w:r>
      <w:r w:rsidR="0075649D">
        <w:rPr>
          <w:rFonts w:asciiTheme="majorHAnsi" w:hAnsiTheme="majorHAnsi" w:cstheme="majorHAnsi"/>
          <w:sz w:val="24"/>
          <w:szCs w:val="24"/>
        </w:rPr>
        <w:t xml:space="preserve"> </w:t>
      </w:r>
      <w:r w:rsidR="00EF6989">
        <w:rPr>
          <w:rFonts w:asciiTheme="majorHAnsi" w:hAnsiTheme="majorHAnsi" w:cstheme="majorHAnsi"/>
          <w:sz w:val="24"/>
          <w:szCs w:val="24"/>
        </w:rPr>
        <w:t>We chose a questionnaire as the most efficient way of collecting data, although in future it would be useful to combine this method with a focus group to capture richer data.</w:t>
      </w:r>
      <w:r w:rsidR="00EF6989">
        <w:rPr>
          <w:rStyle w:val="FootnoteReference"/>
          <w:rFonts w:asciiTheme="majorHAnsi" w:hAnsiTheme="majorHAnsi" w:cstheme="majorHAnsi"/>
          <w:sz w:val="24"/>
          <w:szCs w:val="24"/>
        </w:rPr>
        <w:footnoteReference w:id="60"/>
      </w:r>
      <w:r w:rsidR="00EF6989">
        <w:rPr>
          <w:rFonts w:asciiTheme="majorHAnsi" w:hAnsiTheme="majorHAnsi" w:cstheme="majorHAnsi"/>
          <w:sz w:val="24"/>
          <w:szCs w:val="24"/>
        </w:rPr>
        <w:t xml:space="preserve"> </w:t>
      </w:r>
      <w:r w:rsidR="0075649D">
        <w:rPr>
          <w:rFonts w:asciiTheme="majorHAnsi" w:hAnsiTheme="majorHAnsi" w:cstheme="majorHAnsi"/>
          <w:sz w:val="24"/>
          <w:szCs w:val="24"/>
        </w:rPr>
        <w:t>The benefit of using the online survey included easier administration and distribution, as well as the data being automatically complied.</w:t>
      </w:r>
      <w:r w:rsidR="0075649D">
        <w:rPr>
          <w:rStyle w:val="FootnoteReference"/>
          <w:rFonts w:asciiTheme="majorHAnsi" w:hAnsiTheme="majorHAnsi" w:cstheme="majorHAnsi"/>
          <w:sz w:val="24"/>
          <w:szCs w:val="24"/>
        </w:rPr>
        <w:footnoteReference w:id="61"/>
      </w:r>
      <w:r w:rsidR="0075649D">
        <w:rPr>
          <w:rFonts w:asciiTheme="majorHAnsi" w:hAnsiTheme="majorHAnsi" w:cstheme="majorHAnsi"/>
          <w:sz w:val="24"/>
          <w:szCs w:val="24"/>
        </w:rPr>
        <w:t xml:space="preserve"> </w:t>
      </w:r>
      <w:r w:rsidR="0096646B">
        <w:rPr>
          <w:rFonts w:asciiTheme="majorHAnsi" w:hAnsiTheme="majorHAnsi" w:cstheme="majorHAnsi"/>
          <w:sz w:val="24"/>
          <w:szCs w:val="24"/>
        </w:rPr>
        <w:t xml:space="preserve">The online </w:t>
      </w:r>
      <w:r w:rsidR="00BC7D5A">
        <w:rPr>
          <w:rFonts w:asciiTheme="majorHAnsi" w:hAnsiTheme="majorHAnsi" w:cstheme="majorHAnsi"/>
          <w:sz w:val="24"/>
          <w:szCs w:val="24"/>
        </w:rPr>
        <w:t>aspect</w:t>
      </w:r>
      <w:r w:rsidR="0096646B">
        <w:rPr>
          <w:rFonts w:asciiTheme="majorHAnsi" w:hAnsiTheme="majorHAnsi" w:cstheme="majorHAnsi"/>
          <w:sz w:val="24"/>
          <w:szCs w:val="24"/>
        </w:rPr>
        <w:t xml:space="preserve"> </w:t>
      </w:r>
      <w:r w:rsidR="001A2FA7">
        <w:rPr>
          <w:rFonts w:asciiTheme="majorHAnsi" w:hAnsiTheme="majorHAnsi" w:cstheme="majorHAnsi"/>
          <w:sz w:val="24"/>
          <w:szCs w:val="24"/>
        </w:rPr>
        <w:t xml:space="preserve">helped ensure the survey was anonymous, and </w:t>
      </w:r>
      <w:r w:rsidR="0096646B">
        <w:rPr>
          <w:rFonts w:asciiTheme="majorHAnsi" w:hAnsiTheme="majorHAnsi" w:cstheme="majorHAnsi"/>
          <w:sz w:val="24"/>
          <w:szCs w:val="24"/>
        </w:rPr>
        <w:t xml:space="preserve">meant </w:t>
      </w:r>
      <w:r w:rsidR="001A2FA7">
        <w:rPr>
          <w:rFonts w:asciiTheme="majorHAnsi" w:hAnsiTheme="majorHAnsi" w:cstheme="majorHAnsi"/>
          <w:sz w:val="24"/>
          <w:szCs w:val="24"/>
        </w:rPr>
        <w:t xml:space="preserve">students could choose </w:t>
      </w:r>
      <w:r w:rsidR="00105D97">
        <w:rPr>
          <w:rFonts w:asciiTheme="majorHAnsi" w:hAnsiTheme="majorHAnsi" w:cstheme="majorHAnsi"/>
          <w:sz w:val="24"/>
          <w:szCs w:val="24"/>
        </w:rPr>
        <w:t xml:space="preserve">whether or not they </w:t>
      </w:r>
      <w:r w:rsidR="001A2FA7">
        <w:rPr>
          <w:rFonts w:asciiTheme="majorHAnsi" w:hAnsiTheme="majorHAnsi" w:cstheme="majorHAnsi"/>
          <w:sz w:val="24"/>
          <w:szCs w:val="24"/>
        </w:rPr>
        <w:t>participate</w:t>
      </w:r>
      <w:r w:rsidR="00105D97">
        <w:rPr>
          <w:rFonts w:asciiTheme="majorHAnsi" w:hAnsiTheme="majorHAnsi" w:cstheme="majorHAnsi"/>
          <w:sz w:val="24"/>
          <w:szCs w:val="24"/>
        </w:rPr>
        <w:t>d,</w:t>
      </w:r>
      <w:r w:rsidR="001A2FA7">
        <w:rPr>
          <w:rStyle w:val="FootnoteReference"/>
          <w:rFonts w:asciiTheme="majorHAnsi" w:hAnsiTheme="majorHAnsi" w:cstheme="majorHAnsi"/>
          <w:sz w:val="24"/>
          <w:szCs w:val="24"/>
        </w:rPr>
        <w:footnoteReference w:id="62"/>
      </w:r>
      <w:r w:rsidR="0096646B">
        <w:rPr>
          <w:rFonts w:asciiTheme="majorHAnsi" w:hAnsiTheme="majorHAnsi" w:cstheme="majorHAnsi"/>
          <w:sz w:val="24"/>
          <w:szCs w:val="24"/>
        </w:rPr>
        <w:t xml:space="preserve"> thereby limiting</w:t>
      </w:r>
      <w:r w:rsidR="00105D97">
        <w:rPr>
          <w:rFonts w:asciiTheme="majorHAnsi" w:hAnsiTheme="majorHAnsi" w:cstheme="majorHAnsi"/>
          <w:sz w:val="24"/>
          <w:szCs w:val="24"/>
        </w:rPr>
        <w:t xml:space="preserve"> any effects that </w:t>
      </w:r>
      <w:r w:rsidR="00EF6989">
        <w:rPr>
          <w:rFonts w:asciiTheme="majorHAnsi" w:hAnsiTheme="majorHAnsi" w:cstheme="majorHAnsi"/>
          <w:sz w:val="24"/>
          <w:szCs w:val="24"/>
        </w:rPr>
        <w:t xml:space="preserve">staff </w:t>
      </w:r>
      <w:r w:rsidR="00105D97">
        <w:rPr>
          <w:rFonts w:asciiTheme="majorHAnsi" w:hAnsiTheme="majorHAnsi" w:cstheme="majorHAnsi"/>
          <w:sz w:val="24"/>
          <w:szCs w:val="24"/>
        </w:rPr>
        <w:t>may have ha</w:t>
      </w:r>
      <w:r w:rsidR="0096646B">
        <w:rPr>
          <w:rFonts w:asciiTheme="majorHAnsi" w:hAnsiTheme="majorHAnsi" w:cstheme="majorHAnsi"/>
          <w:sz w:val="24"/>
          <w:szCs w:val="24"/>
        </w:rPr>
        <w:t>d</w:t>
      </w:r>
      <w:r w:rsidR="00105D97">
        <w:rPr>
          <w:rFonts w:asciiTheme="majorHAnsi" w:hAnsiTheme="majorHAnsi" w:cstheme="majorHAnsi"/>
          <w:sz w:val="24"/>
          <w:szCs w:val="24"/>
        </w:rPr>
        <w:t xml:space="preserve"> on the survey process.</w:t>
      </w:r>
      <w:r w:rsidR="00105D97">
        <w:rPr>
          <w:rStyle w:val="FootnoteReference"/>
          <w:rFonts w:asciiTheme="majorHAnsi" w:hAnsiTheme="majorHAnsi" w:cstheme="majorHAnsi"/>
          <w:sz w:val="24"/>
          <w:szCs w:val="24"/>
        </w:rPr>
        <w:footnoteReference w:id="63"/>
      </w:r>
      <w:r w:rsidR="007E0856">
        <w:rPr>
          <w:rFonts w:asciiTheme="majorHAnsi" w:hAnsiTheme="majorHAnsi" w:cstheme="majorHAnsi"/>
          <w:sz w:val="24"/>
          <w:szCs w:val="24"/>
        </w:rPr>
        <w:t xml:space="preserve"> </w:t>
      </w:r>
      <w:r w:rsidR="00835E84">
        <w:rPr>
          <w:rFonts w:asciiTheme="majorHAnsi" w:hAnsiTheme="majorHAnsi" w:cstheme="majorHAnsi"/>
          <w:sz w:val="24"/>
          <w:szCs w:val="24"/>
        </w:rPr>
        <w:t>We</w:t>
      </w:r>
      <w:r w:rsidR="0090442F" w:rsidRPr="0090442F">
        <w:rPr>
          <w:rFonts w:asciiTheme="majorHAnsi" w:hAnsiTheme="majorHAnsi" w:cstheme="majorHAnsi"/>
          <w:sz w:val="24"/>
          <w:szCs w:val="24"/>
        </w:rPr>
        <w:t xml:space="preserve"> </w:t>
      </w:r>
      <w:r w:rsidR="00435BD1">
        <w:rPr>
          <w:rFonts w:asciiTheme="majorHAnsi" w:hAnsiTheme="majorHAnsi" w:cstheme="majorHAnsi"/>
          <w:sz w:val="24"/>
          <w:szCs w:val="24"/>
        </w:rPr>
        <w:t xml:space="preserve">reminded students </w:t>
      </w:r>
      <w:r w:rsidR="0090442F" w:rsidRPr="0090442F">
        <w:rPr>
          <w:rFonts w:asciiTheme="majorHAnsi" w:hAnsiTheme="majorHAnsi" w:cstheme="majorHAnsi"/>
          <w:sz w:val="24"/>
          <w:szCs w:val="24"/>
        </w:rPr>
        <w:t xml:space="preserve">that </w:t>
      </w:r>
      <w:r w:rsidR="00435BD1">
        <w:rPr>
          <w:rFonts w:asciiTheme="majorHAnsi" w:hAnsiTheme="majorHAnsi" w:cstheme="majorHAnsi"/>
          <w:sz w:val="24"/>
          <w:szCs w:val="24"/>
        </w:rPr>
        <w:t>the survey</w:t>
      </w:r>
      <w:r w:rsidR="0090442F" w:rsidRPr="0090442F">
        <w:rPr>
          <w:rFonts w:asciiTheme="majorHAnsi" w:hAnsiTheme="majorHAnsi" w:cstheme="majorHAnsi"/>
          <w:sz w:val="24"/>
          <w:szCs w:val="24"/>
        </w:rPr>
        <w:t xml:space="preserve"> was part of a </w:t>
      </w:r>
      <w:r w:rsidR="008D7801">
        <w:rPr>
          <w:rFonts w:asciiTheme="majorHAnsi" w:hAnsiTheme="majorHAnsi" w:cstheme="majorHAnsi"/>
          <w:sz w:val="24"/>
          <w:szCs w:val="24"/>
        </w:rPr>
        <w:t>teaching and learning</w:t>
      </w:r>
      <w:r w:rsidR="0090442F" w:rsidRPr="0090442F">
        <w:rPr>
          <w:rFonts w:asciiTheme="majorHAnsi" w:hAnsiTheme="majorHAnsi" w:cstheme="majorHAnsi"/>
          <w:sz w:val="24"/>
          <w:szCs w:val="24"/>
        </w:rPr>
        <w:t xml:space="preserve"> design </w:t>
      </w:r>
      <w:r w:rsidR="005762D7">
        <w:rPr>
          <w:rFonts w:asciiTheme="majorHAnsi" w:hAnsiTheme="majorHAnsi" w:cstheme="majorHAnsi"/>
          <w:sz w:val="24"/>
          <w:szCs w:val="24"/>
        </w:rPr>
        <w:t xml:space="preserve">research </w:t>
      </w:r>
      <w:r w:rsidR="0090442F" w:rsidRPr="0090442F">
        <w:rPr>
          <w:rFonts w:asciiTheme="majorHAnsi" w:hAnsiTheme="majorHAnsi" w:cstheme="majorHAnsi"/>
          <w:sz w:val="24"/>
          <w:szCs w:val="24"/>
        </w:rPr>
        <w:t xml:space="preserve">project. </w:t>
      </w:r>
      <w:r w:rsidR="00B90BCC">
        <w:rPr>
          <w:rFonts w:asciiTheme="majorHAnsi" w:hAnsiTheme="majorHAnsi" w:cstheme="majorHAnsi"/>
          <w:sz w:val="24"/>
          <w:szCs w:val="24"/>
        </w:rPr>
        <w:t>We</w:t>
      </w:r>
      <w:r w:rsidR="00DC63A9">
        <w:rPr>
          <w:rFonts w:asciiTheme="majorHAnsi" w:hAnsiTheme="majorHAnsi" w:cstheme="majorHAnsi"/>
          <w:sz w:val="24"/>
          <w:szCs w:val="24"/>
        </w:rPr>
        <w:t xml:space="preserve"> </w:t>
      </w:r>
      <w:r w:rsidR="00435BD1">
        <w:rPr>
          <w:rFonts w:asciiTheme="majorHAnsi" w:hAnsiTheme="majorHAnsi" w:cstheme="majorHAnsi"/>
          <w:sz w:val="24"/>
          <w:szCs w:val="24"/>
        </w:rPr>
        <w:t xml:space="preserve">had </w:t>
      </w:r>
      <w:r w:rsidR="00DC63A9">
        <w:rPr>
          <w:rFonts w:asciiTheme="majorHAnsi" w:hAnsiTheme="majorHAnsi" w:cstheme="majorHAnsi"/>
          <w:sz w:val="24"/>
          <w:szCs w:val="24"/>
        </w:rPr>
        <w:t xml:space="preserve">explained </w:t>
      </w:r>
      <w:r w:rsidR="007E0856">
        <w:rPr>
          <w:rFonts w:asciiTheme="majorHAnsi" w:hAnsiTheme="majorHAnsi" w:cstheme="majorHAnsi"/>
          <w:sz w:val="24"/>
          <w:szCs w:val="24"/>
        </w:rPr>
        <w:t xml:space="preserve">the research as a team at </w:t>
      </w:r>
      <w:r w:rsidR="0090442F" w:rsidRPr="0090442F">
        <w:rPr>
          <w:rFonts w:asciiTheme="majorHAnsi" w:hAnsiTheme="majorHAnsi" w:cstheme="majorHAnsi"/>
          <w:sz w:val="24"/>
          <w:szCs w:val="24"/>
        </w:rPr>
        <w:t>the beginning of the induction</w:t>
      </w:r>
      <w:r w:rsidR="007E0856">
        <w:rPr>
          <w:rFonts w:asciiTheme="majorHAnsi" w:hAnsiTheme="majorHAnsi" w:cstheme="majorHAnsi"/>
          <w:sz w:val="24"/>
          <w:szCs w:val="24"/>
        </w:rPr>
        <w:t xml:space="preserve"> process</w:t>
      </w:r>
      <w:r w:rsidR="005762D7">
        <w:rPr>
          <w:rFonts w:asciiTheme="majorHAnsi" w:hAnsiTheme="majorHAnsi" w:cstheme="majorHAnsi"/>
          <w:sz w:val="24"/>
          <w:szCs w:val="24"/>
        </w:rPr>
        <w:t>,</w:t>
      </w:r>
      <w:r w:rsidR="0090442F" w:rsidRPr="0090442F">
        <w:rPr>
          <w:rFonts w:asciiTheme="majorHAnsi" w:hAnsiTheme="majorHAnsi" w:cstheme="majorHAnsi"/>
          <w:sz w:val="24"/>
          <w:szCs w:val="24"/>
        </w:rPr>
        <w:t xml:space="preserve"> and again at the point of questionnaire release, requesting consent to use the anonymous responses. The </w:t>
      </w:r>
      <w:r w:rsidR="00835E84">
        <w:rPr>
          <w:rFonts w:asciiTheme="majorHAnsi" w:hAnsiTheme="majorHAnsi" w:cstheme="majorHAnsi"/>
          <w:sz w:val="24"/>
          <w:szCs w:val="24"/>
        </w:rPr>
        <w:t>survey launch</w:t>
      </w:r>
      <w:r w:rsidR="007E0856">
        <w:rPr>
          <w:rFonts w:asciiTheme="majorHAnsi" w:hAnsiTheme="majorHAnsi" w:cstheme="majorHAnsi"/>
          <w:sz w:val="24"/>
          <w:szCs w:val="24"/>
        </w:rPr>
        <w:t xml:space="preserve"> </w:t>
      </w:r>
      <w:r w:rsidR="0090442F" w:rsidRPr="0090442F">
        <w:rPr>
          <w:rFonts w:asciiTheme="majorHAnsi" w:hAnsiTheme="majorHAnsi" w:cstheme="majorHAnsi"/>
          <w:sz w:val="24"/>
          <w:szCs w:val="24"/>
        </w:rPr>
        <w:t xml:space="preserve">was supported by a question-and-answer session hosted by </w:t>
      </w:r>
      <w:r w:rsidR="00DE315B">
        <w:rPr>
          <w:rFonts w:asciiTheme="majorHAnsi" w:hAnsiTheme="majorHAnsi" w:cstheme="majorHAnsi"/>
          <w:sz w:val="24"/>
          <w:szCs w:val="24"/>
        </w:rPr>
        <w:t>member of</w:t>
      </w:r>
      <w:r w:rsidR="0090442F" w:rsidRPr="0090442F">
        <w:rPr>
          <w:rFonts w:asciiTheme="majorHAnsi" w:hAnsiTheme="majorHAnsi" w:cstheme="majorHAnsi"/>
          <w:sz w:val="24"/>
          <w:szCs w:val="24"/>
        </w:rPr>
        <w:t xml:space="preserve"> the teaching</w:t>
      </w:r>
      <w:r w:rsidR="00DE315B">
        <w:rPr>
          <w:rFonts w:asciiTheme="majorHAnsi" w:hAnsiTheme="majorHAnsi" w:cstheme="majorHAnsi"/>
          <w:sz w:val="24"/>
          <w:szCs w:val="24"/>
        </w:rPr>
        <w:t xml:space="preserve"> team</w:t>
      </w:r>
      <w:r w:rsidR="0090442F" w:rsidRPr="0090442F">
        <w:rPr>
          <w:rFonts w:asciiTheme="majorHAnsi" w:hAnsiTheme="majorHAnsi" w:cstheme="majorHAnsi"/>
          <w:sz w:val="24"/>
          <w:szCs w:val="24"/>
        </w:rPr>
        <w:t>.</w:t>
      </w:r>
      <w:r w:rsidR="00DE315B">
        <w:rPr>
          <w:rFonts w:asciiTheme="majorHAnsi" w:hAnsiTheme="majorHAnsi" w:cstheme="majorHAnsi"/>
          <w:sz w:val="24"/>
          <w:szCs w:val="24"/>
        </w:rPr>
        <w:t xml:space="preserve"> </w:t>
      </w:r>
      <w:r w:rsidR="0090442F" w:rsidRPr="0090442F">
        <w:rPr>
          <w:rFonts w:asciiTheme="majorHAnsi" w:hAnsiTheme="majorHAnsi" w:cstheme="majorHAnsi"/>
          <w:sz w:val="24"/>
          <w:szCs w:val="24"/>
        </w:rPr>
        <w:t xml:space="preserve">The </w:t>
      </w:r>
      <w:r w:rsidR="00435BD1">
        <w:rPr>
          <w:rFonts w:asciiTheme="majorHAnsi" w:hAnsiTheme="majorHAnsi" w:cstheme="majorHAnsi"/>
          <w:sz w:val="24"/>
          <w:szCs w:val="24"/>
        </w:rPr>
        <w:t>whole l</w:t>
      </w:r>
      <w:r w:rsidR="00105D97">
        <w:rPr>
          <w:rFonts w:asciiTheme="majorHAnsi" w:hAnsiTheme="majorHAnsi" w:cstheme="majorHAnsi"/>
          <w:sz w:val="24"/>
          <w:szCs w:val="24"/>
        </w:rPr>
        <w:t xml:space="preserve">evel </w:t>
      </w:r>
      <w:r w:rsidR="00435BD1">
        <w:rPr>
          <w:rFonts w:asciiTheme="majorHAnsi" w:hAnsiTheme="majorHAnsi" w:cstheme="majorHAnsi"/>
          <w:sz w:val="24"/>
          <w:szCs w:val="24"/>
        </w:rPr>
        <w:t>4</w:t>
      </w:r>
      <w:r w:rsidR="00105D97">
        <w:rPr>
          <w:rFonts w:asciiTheme="majorHAnsi" w:hAnsiTheme="majorHAnsi" w:cstheme="majorHAnsi"/>
          <w:sz w:val="24"/>
          <w:szCs w:val="24"/>
        </w:rPr>
        <w:t xml:space="preserve"> </w:t>
      </w:r>
      <w:r w:rsidR="0090442F" w:rsidRPr="0090442F">
        <w:rPr>
          <w:rFonts w:asciiTheme="majorHAnsi" w:hAnsiTheme="majorHAnsi" w:cstheme="majorHAnsi"/>
          <w:sz w:val="24"/>
          <w:szCs w:val="24"/>
        </w:rPr>
        <w:t xml:space="preserve">cohort </w:t>
      </w:r>
      <w:r w:rsidR="00435BD1">
        <w:rPr>
          <w:rFonts w:asciiTheme="majorHAnsi" w:hAnsiTheme="majorHAnsi" w:cstheme="majorHAnsi"/>
          <w:sz w:val="24"/>
          <w:szCs w:val="24"/>
        </w:rPr>
        <w:t>(</w:t>
      </w:r>
      <w:r w:rsidR="0090442F" w:rsidRPr="0090442F">
        <w:rPr>
          <w:rFonts w:asciiTheme="majorHAnsi" w:hAnsiTheme="majorHAnsi" w:cstheme="majorHAnsi"/>
          <w:sz w:val="24"/>
          <w:szCs w:val="24"/>
        </w:rPr>
        <w:t>193 students</w:t>
      </w:r>
      <w:r w:rsidR="00435BD1">
        <w:rPr>
          <w:rFonts w:asciiTheme="majorHAnsi" w:hAnsiTheme="majorHAnsi" w:cstheme="majorHAnsi"/>
          <w:sz w:val="24"/>
          <w:szCs w:val="24"/>
        </w:rPr>
        <w:t>)</w:t>
      </w:r>
      <w:r w:rsidR="0090442F" w:rsidRPr="0090442F">
        <w:rPr>
          <w:rFonts w:asciiTheme="majorHAnsi" w:hAnsiTheme="majorHAnsi" w:cstheme="majorHAnsi"/>
          <w:sz w:val="24"/>
          <w:szCs w:val="24"/>
        </w:rPr>
        <w:t xml:space="preserve"> w</w:t>
      </w:r>
      <w:r w:rsidR="00B90BCC">
        <w:rPr>
          <w:rFonts w:asciiTheme="majorHAnsi" w:hAnsiTheme="majorHAnsi" w:cstheme="majorHAnsi"/>
          <w:sz w:val="24"/>
          <w:szCs w:val="24"/>
        </w:rPr>
        <w:t>as</w:t>
      </w:r>
      <w:r w:rsidR="0090442F" w:rsidRPr="0090442F">
        <w:rPr>
          <w:rFonts w:asciiTheme="majorHAnsi" w:hAnsiTheme="majorHAnsi" w:cstheme="majorHAnsi"/>
          <w:sz w:val="24"/>
          <w:szCs w:val="24"/>
        </w:rPr>
        <w:t xml:space="preserve"> </w:t>
      </w:r>
      <w:r w:rsidR="00435BD1">
        <w:rPr>
          <w:rFonts w:asciiTheme="majorHAnsi" w:hAnsiTheme="majorHAnsi" w:cstheme="majorHAnsi"/>
          <w:sz w:val="24"/>
          <w:szCs w:val="24"/>
        </w:rPr>
        <w:t xml:space="preserve">invited to complete the questionnaire; </w:t>
      </w:r>
      <w:r w:rsidR="0090442F" w:rsidRPr="0090442F">
        <w:rPr>
          <w:rFonts w:asciiTheme="majorHAnsi" w:hAnsiTheme="majorHAnsi" w:cstheme="majorHAnsi"/>
          <w:sz w:val="24"/>
          <w:szCs w:val="24"/>
        </w:rPr>
        <w:t>43% (83</w:t>
      </w:r>
      <w:r w:rsidR="00B90BCC">
        <w:rPr>
          <w:rFonts w:asciiTheme="majorHAnsi" w:hAnsiTheme="majorHAnsi" w:cstheme="majorHAnsi"/>
          <w:sz w:val="24"/>
          <w:szCs w:val="24"/>
        </w:rPr>
        <w:t xml:space="preserve"> students</w:t>
      </w:r>
      <w:r w:rsidR="0090442F" w:rsidRPr="0090442F">
        <w:rPr>
          <w:rFonts w:asciiTheme="majorHAnsi" w:hAnsiTheme="majorHAnsi" w:cstheme="majorHAnsi"/>
          <w:sz w:val="24"/>
          <w:szCs w:val="24"/>
        </w:rPr>
        <w:t xml:space="preserve">) </w:t>
      </w:r>
      <w:r w:rsidR="00DE315B">
        <w:rPr>
          <w:rFonts w:asciiTheme="majorHAnsi" w:hAnsiTheme="majorHAnsi" w:cstheme="majorHAnsi"/>
          <w:sz w:val="24"/>
          <w:szCs w:val="24"/>
        </w:rPr>
        <w:t>answer</w:t>
      </w:r>
      <w:r w:rsidR="00B90BCC">
        <w:rPr>
          <w:rFonts w:asciiTheme="majorHAnsi" w:hAnsiTheme="majorHAnsi" w:cstheme="majorHAnsi"/>
          <w:sz w:val="24"/>
          <w:szCs w:val="24"/>
        </w:rPr>
        <w:t>ed</w:t>
      </w:r>
      <w:r w:rsidR="0090442F" w:rsidRPr="0090442F">
        <w:rPr>
          <w:rFonts w:asciiTheme="majorHAnsi" w:hAnsiTheme="majorHAnsi" w:cstheme="majorHAnsi"/>
          <w:sz w:val="24"/>
          <w:szCs w:val="24"/>
        </w:rPr>
        <w:t xml:space="preserve"> all or part of </w:t>
      </w:r>
      <w:r w:rsidR="00435BD1">
        <w:rPr>
          <w:rFonts w:asciiTheme="majorHAnsi" w:hAnsiTheme="majorHAnsi" w:cstheme="majorHAnsi"/>
          <w:sz w:val="24"/>
          <w:szCs w:val="24"/>
        </w:rPr>
        <w:t>it</w:t>
      </w:r>
      <w:r w:rsidR="0090442F" w:rsidRPr="0090442F">
        <w:rPr>
          <w:rFonts w:asciiTheme="majorHAnsi" w:hAnsiTheme="majorHAnsi" w:cstheme="majorHAnsi"/>
          <w:sz w:val="24"/>
          <w:szCs w:val="24"/>
        </w:rPr>
        <w:t xml:space="preserve">. </w:t>
      </w:r>
    </w:p>
    <w:p w14:paraId="2EC89137" w14:textId="3266C27E" w:rsidR="005F57EB" w:rsidRPr="005F57EB" w:rsidRDefault="005F57EB" w:rsidP="0090442F">
      <w:pPr>
        <w:spacing w:line="240" w:lineRule="auto"/>
        <w:jc w:val="both"/>
        <w:rPr>
          <w:rFonts w:asciiTheme="majorHAnsi" w:hAnsiTheme="majorHAnsi" w:cstheme="majorHAnsi"/>
          <w:i/>
          <w:iCs/>
          <w:sz w:val="24"/>
          <w:szCs w:val="24"/>
        </w:rPr>
      </w:pPr>
      <w:r w:rsidRPr="005F57EB">
        <w:rPr>
          <w:rFonts w:asciiTheme="majorHAnsi" w:hAnsiTheme="majorHAnsi" w:cstheme="majorHAnsi"/>
          <w:i/>
          <w:iCs/>
          <w:sz w:val="24"/>
          <w:szCs w:val="24"/>
        </w:rPr>
        <w:t>Results</w:t>
      </w:r>
    </w:p>
    <w:p w14:paraId="7C63DE93" w14:textId="10275456" w:rsidR="0078265D" w:rsidRDefault="000E43F3" w:rsidP="00AF1A88">
      <w:pPr>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Respondents </w:t>
      </w:r>
      <w:r w:rsidR="00342D88">
        <w:rPr>
          <w:rFonts w:asciiTheme="majorHAnsi" w:hAnsiTheme="majorHAnsi" w:cstheme="majorHAnsi"/>
          <w:sz w:val="24"/>
          <w:szCs w:val="24"/>
        </w:rPr>
        <w:t xml:space="preserve">tended to </w:t>
      </w:r>
      <w:r>
        <w:rPr>
          <w:rFonts w:asciiTheme="majorHAnsi" w:hAnsiTheme="majorHAnsi" w:cstheme="majorHAnsi"/>
          <w:sz w:val="24"/>
          <w:szCs w:val="24"/>
        </w:rPr>
        <w:t>favour the law-based sessions</w:t>
      </w:r>
      <w:r w:rsidR="009E1656">
        <w:rPr>
          <w:rFonts w:asciiTheme="majorHAnsi" w:hAnsiTheme="majorHAnsi" w:cstheme="majorHAnsi"/>
          <w:sz w:val="24"/>
          <w:szCs w:val="24"/>
        </w:rPr>
        <w:t xml:space="preserve"> in the “Making Law” and “Thinking Law” streams</w:t>
      </w:r>
      <w:r w:rsidR="0040546E">
        <w:rPr>
          <w:rFonts w:asciiTheme="majorHAnsi" w:hAnsiTheme="majorHAnsi" w:cstheme="majorHAnsi"/>
          <w:sz w:val="24"/>
          <w:szCs w:val="24"/>
        </w:rPr>
        <w:t xml:space="preserve">, </w:t>
      </w:r>
      <w:r w:rsidR="00781259">
        <w:rPr>
          <w:rFonts w:asciiTheme="majorHAnsi" w:hAnsiTheme="majorHAnsi" w:cstheme="majorHAnsi"/>
          <w:sz w:val="24"/>
          <w:szCs w:val="24"/>
        </w:rPr>
        <w:t>eg</w:t>
      </w:r>
      <w:r w:rsidR="007777D8" w:rsidRPr="007777D8">
        <w:rPr>
          <w:rFonts w:asciiTheme="majorHAnsi" w:hAnsiTheme="majorHAnsi" w:cstheme="majorHAnsi"/>
          <w:sz w:val="24"/>
          <w:szCs w:val="24"/>
        </w:rPr>
        <w:t xml:space="preserve"> </w:t>
      </w:r>
      <w:r w:rsidR="007777D8" w:rsidRPr="007777D8">
        <w:rPr>
          <w:rFonts w:asciiTheme="majorHAnsi" w:hAnsiTheme="majorHAnsi" w:cstheme="majorHAnsi"/>
          <w:i/>
          <w:iCs/>
          <w:sz w:val="24"/>
          <w:szCs w:val="24"/>
        </w:rPr>
        <w:t xml:space="preserve">Judicial </w:t>
      </w:r>
      <w:r w:rsidR="00E44AD6" w:rsidRPr="007777D8">
        <w:rPr>
          <w:rFonts w:asciiTheme="majorHAnsi" w:hAnsiTheme="majorHAnsi" w:cstheme="majorHAnsi"/>
          <w:i/>
          <w:iCs/>
          <w:sz w:val="24"/>
          <w:szCs w:val="24"/>
        </w:rPr>
        <w:t>Law</w:t>
      </w:r>
      <w:r w:rsidR="00E44AD6">
        <w:rPr>
          <w:rFonts w:asciiTheme="majorHAnsi" w:hAnsiTheme="majorHAnsi" w:cstheme="majorHAnsi"/>
          <w:i/>
          <w:iCs/>
          <w:sz w:val="24"/>
          <w:szCs w:val="24"/>
        </w:rPr>
        <w:t>-</w:t>
      </w:r>
      <w:r w:rsidR="00E44AD6" w:rsidRPr="007777D8">
        <w:rPr>
          <w:rFonts w:asciiTheme="majorHAnsi" w:hAnsiTheme="majorHAnsi" w:cstheme="majorHAnsi"/>
          <w:i/>
          <w:iCs/>
          <w:sz w:val="24"/>
          <w:szCs w:val="24"/>
        </w:rPr>
        <w:t>making</w:t>
      </w:r>
      <w:r w:rsidR="007E513A">
        <w:rPr>
          <w:rFonts w:asciiTheme="majorHAnsi" w:hAnsiTheme="majorHAnsi" w:cstheme="majorHAnsi"/>
          <w:sz w:val="24"/>
          <w:szCs w:val="24"/>
        </w:rPr>
        <w:t>,</w:t>
      </w:r>
      <w:r w:rsidR="001F6D64">
        <w:rPr>
          <w:rFonts w:asciiTheme="majorHAnsi" w:hAnsiTheme="majorHAnsi" w:cstheme="majorHAnsi"/>
          <w:sz w:val="24"/>
          <w:szCs w:val="24"/>
        </w:rPr>
        <w:t xml:space="preserve"> </w:t>
      </w:r>
      <w:r w:rsidR="007777D8" w:rsidRPr="007777D8">
        <w:rPr>
          <w:rFonts w:asciiTheme="majorHAnsi" w:hAnsiTheme="majorHAnsi" w:cstheme="majorHAnsi"/>
          <w:i/>
          <w:iCs/>
          <w:sz w:val="24"/>
          <w:szCs w:val="24"/>
        </w:rPr>
        <w:t>Legal Reasoning</w:t>
      </w:r>
      <w:r w:rsidR="007777D8" w:rsidRPr="007777D8">
        <w:rPr>
          <w:rFonts w:asciiTheme="majorHAnsi" w:hAnsiTheme="majorHAnsi" w:cstheme="majorHAnsi"/>
          <w:sz w:val="24"/>
          <w:szCs w:val="24"/>
        </w:rPr>
        <w:t xml:space="preserve"> and </w:t>
      </w:r>
      <w:r w:rsidR="007777D8" w:rsidRPr="007777D8">
        <w:rPr>
          <w:rFonts w:asciiTheme="majorHAnsi" w:hAnsiTheme="majorHAnsi" w:cstheme="majorHAnsi"/>
          <w:i/>
          <w:iCs/>
          <w:sz w:val="24"/>
          <w:szCs w:val="24"/>
        </w:rPr>
        <w:t xml:space="preserve">Critical </w:t>
      </w:r>
      <w:r w:rsidR="000D4EBE">
        <w:rPr>
          <w:rFonts w:asciiTheme="majorHAnsi" w:hAnsiTheme="majorHAnsi" w:cstheme="majorHAnsi"/>
          <w:i/>
          <w:iCs/>
          <w:sz w:val="24"/>
          <w:szCs w:val="24"/>
        </w:rPr>
        <w:t>Analysis</w:t>
      </w:r>
      <w:r w:rsidR="007777D8" w:rsidRPr="007777D8">
        <w:rPr>
          <w:rFonts w:asciiTheme="majorHAnsi" w:hAnsiTheme="majorHAnsi" w:cstheme="majorHAnsi"/>
          <w:sz w:val="24"/>
          <w:szCs w:val="24"/>
        </w:rPr>
        <w:t xml:space="preserve"> </w:t>
      </w:r>
      <w:r w:rsidR="002A2501">
        <w:rPr>
          <w:rFonts w:asciiTheme="majorHAnsi" w:hAnsiTheme="majorHAnsi" w:cstheme="majorHAnsi"/>
          <w:sz w:val="24"/>
          <w:szCs w:val="24"/>
        </w:rPr>
        <w:t xml:space="preserve">– </w:t>
      </w:r>
      <w:r w:rsidR="007C7D16">
        <w:rPr>
          <w:rFonts w:asciiTheme="majorHAnsi" w:hAnsiTheme="majorHAnsi" w:cstheme="majorHAnsi"/>
          <w:sz w:val="24"/>
          <w:szCs w:val="24"/>
        </w:rPr>
        <w:t>more than the</w:t>
      </w:r>
      <w:r w:rsidR="00572B86">
        <w:rPr>
          <w:rFonts w:asciiTheme="majorHAnsi" w:hAnsiTheme="majorHAnsi" w:cstheme="majorHAnsi"/>
          <w:sz w:val="24"/>
          <w:szCs w:val="24"/>
        </w:rPr>
        <w:t xml:space="preserve"> explicitly </w:t>
      </w:r>
      <w:r w:rsidR="007C7D16">
        <w:rPr>
          <w:rFonts w:asciiTheme="majorHAnsi" w:hAnsiTheme="majorHAnsi" w:cstheme="majorHAnsi"/>
          <w:sz w:val="24"/>
          <w:szCs w:val="24"/>
        </w:rPr>
        <w:t xml:space="preserve">“personal” sessions, eg </w:t>
      </w:r>
      <w:r w:rsidR="001F6D64" w:rsidRPr="00EC0D59">
        <w:rPr>
          <w:rFonts w:asciiTheme="majorHAnsi" w:hAnsiTheme="majorHAnsi" w:cstheme="majorHAnsi"/>
          <w:i/>
          <w:iCs/>
          <w:sz w:val="24"/>
          <w:szCs w:val="24"/>
        </w:rPr>
        <w:t>It’</w:t>
      </w:r>
      <w:r w:rsidR="00EC0D59" w:rsidRPr="00EC0D59">
        <w:rPr>
          <w:rFonts w:asciiTheme="majorHAnsi" w:hAnsiTheme="majorHAnsi" w:cstheme="majorHAnsi"/>
          <w:i/>
          <w:iCs/>
          <w:sz w:val="24"/>
          <w:szCs w:val="24"/>
        </w:rPr>
        <w:t>s OK not to be OK</w:t>
      </w:r>
      <w:r w:rsidR="007777D8" w:rsidRPr="007777D8">
        <w:rPr>
          <w:rFonts w:asciiTheme="majorHAnsi" w:hAnsiTheme="majorHAnsi" w:cstheme="majorHAnsi"/>
          <w:sz w:val="24"/>
          <w:szCs w:val="24"/>
        </w:rPr>
        <w:t xml:space="preserve">, </w:t>
      </w:r>
      <w:r w:rsidR="007777D8" w:rsidRPr="007777D8">
        <w:rPr>
          <w:rFonts w:asciiTheme="majorHAnsi" w:hAnsiTheme="majorHAnsi" w:cstheme="majorHAnsi"/>
          <w:i/>
          <w:iCs/>
          <w:sz w:val="24"/>
          <w:szCs w:val="24"/>
        </w:rPr>
        <w:t>Team</w:t>
      </w:r>
      <w:r w:rsidR="005C25D2">
        <w:rPr>
          <w:rFonts w:asciiTheme="majorHAnsi" w:hAnsiTheme="majorHAnsi" w:cstheme="majorHAnsi"/>
          <w:i/>
          <w:iCs/>
          <w:sz w:val="24"/>
          <w:szCs w:val="24"/>
        </w:rPr>
        <w:t xml:space="preserve"> </w:t>
      </w:r>
      <w:r w:rsidR="009B3787">
        <w:rPr>
          <w:rFonts w:asciiTheme="majorHAnsi" w:hAnsiTheme="majorHAnsi" w:cstheme="majorHAnsi"/>
          <w:i/>
          <w:iCs/>
          <w:sz w:val="24"/>
          <w:szCs w:val="24"/>
        </w:rPr>
        <w:t>B</w:t>
      </w:r>
      <w:r w:rsidR="007777D8" w:rsidRPr="007777D8">
        <w:rPr>
          <w:rFonts w:asciiTheme="majorHAnsi" w:hAnsiTheme="majorHAnsi" w:cstheme="majorHAnsi"/>
          <w:i/>
          <w:iCs/>
          <w:sz w:val="24"/>
          <w:szCs w:val="24"/>
        </w:rPr>
        <w:t>uilding</w:t>
      </w:r>
      <w:r w:rsidR="007777D8" w:rsidRPr="007777D8">
        <w:rPr>
          <w:rFonts w:asciiTheme="majorHAnsi" w:hAnsiTheme="majorHAnsi" w:cstheme="majorHAnsi"/>
          <w:sz w:val="24"/>
          <w:szCs w:val="24"/>
        </w:rPr>
        <w:t xml:space="preserve"> and </w:t>
      </w:r>
      <w:r w:rsidR="007777D8" w:rsidRPr="007777D8">
        <w:rPr>
          <w:rFonts w:asciiTheme="majorHAnsi" w:hAnsiTheme="majorHAnsi" w:cstheme="majorHAnsi"/>
          <w:i/>
          <w:iCs/>
          <w:sz w:val="24"/>
          <w:szCs w:val="24"/>
        </w:rPr>
        <w:t>Mindfulness in Study</w:t>
      </w:r>
      <w:r w:rsidR="007777D8" w:rsidRPr="007777D8">
        <w:rPr>
          <w:rFonts w:asciiTheme="majorHAnsi" w:hAnsiTheme="majorHAnsi" w:cstheme="majorHAnsi"/>
          <w:sz w:val="24"/>
          <w:szCs w:val="24"/>
        </w:rPr>
        <w:t xml:space="preserve">. </w:t>
      </w:r>
      <w:r w:rsidR="00AA1197">
        <w:rPr>
          <w:rFonts w:asciiTheme="majorHAnsi" w:hAnsiTheme="majorHAnsi" w:cstheme="majorHAnsi"/>
          <w:sz w:val="24"/>
          <w:szCs w:val="24"/>
        </w:rPr>
        <w:t xml:space="preserve">These </w:t>
      </w:r>
      <w:r w:rsidR="00A85A0D">
        <w:rPr>
          <w:rFonts w:asciiTheme="majorHAnsi" w:hAnsiTheme="majorHAnsi" w:cstheme="majorHAnsi"/>
          <w:sz w:val="24"/>
          <w:szCs w:val="24"/>
        </w:rPr>
        <w:t xml:space="preserve">findings </w:t>
      </w:r>
      <w:r w:rsidR="00996409">
        <w:rPr>
          <w:rFonts w:asciiTheme="majorHAnsi" w:hAnsiTheme="majorHAnsi" w:cstheme="majorHAnsi"/>
          <w:sz w:val="24"/>
          <w:szCs w:val="24"/>
        </w:rPr>
        <w:t xml:space="preserve">seem to </w:t>
      </w:r>
      <w:r w:rsidR="00475C7C">
        <w:rPr>
          <w:rFonts w:asciiTheme="majorHAnsi" w:hAnsiTheme="majorHAnsi" w:cstheme="majorHAnsi"/>
          <w:sz w:val="24"/>
          <w:szCs w:val="24"/>
        </w:rPr>
        <w:t>reflect the research on Law students’ instrumental approach to their studies</w:t>
      </w:r>
      <w:r w:rsidR="00996409">
        <w:rPr>
          <w:rFonts w:asciiTheme="majorHAnsi" w:hAnsiTheme="majorHAnsi" w:cstheme="majorHAnsi"/>
          <w:sz w:val="24"/>
          <w:szCs w:val="24"/>
        </w:rPr>
        <w:t>, and their prioritisation of</w:t>
      </w:r>
      <w:r w:rsidR="007777D8" w:rsidRPr="007777D8">
        <w:rPr>
          <w:rFonts w:asciiTheme="majorHAnsi" w:hAnsiTheme="majorHAnsi" w:cstheme="majorHAnsi"/>
          <w:sz w:val="24"/>
          <w:szCs w:val="24"/>
        </w:rPr>
        <w:t xml:space="preserve"> developing knowledge of law and legal study skills</w:t>
      </w:r>
      <w:r w:rsidR="00305A88">
        <w:rPr>
          <w:rFonts w:asciiTheme="majorHAnsi" w:hAnsiTheme="majorHAnsi" w:cstheme="majorHAnsi"/>
          <w:sz w:val="24"/>
          <w:szCs w:val="24"/>
        </w:rPr>
        <w:t xml:space="preserve"> over </w:t>
      </w:r>
      <w:r w:rsidR="002472F4">
        <w:rPr>
          <w:rFonts w:asciiTheme="majorHAnsi" w:hAnsiTheme="majorHAnsi" w:cstheme="majorHAnsi"/>
          <w:sz w:val="24"/>
          <w:szCs w:val="24"/>
        </w:rPr>
        <w:t xml:space="preserve">the </w:t>
      </w:r>
      <w:r w:rsidR="00305A88">
        <w:rPr>
          <w:rFonts w:asciiTheme="majorHAnsi" w:hAnsiTheme="majorHAnsi" w:cstheme="majorHAnsi"/>
          <w:sz w:val="24"/>
          <w:szCs w:val="24"/>
        </w:rPr>
        <w:t xml:space="preserve">intra- and interpersonal </w:t>
      </w:r>
      <w:r w:rsidR="002472F4">
        <w:rPr>
          <w:rFonts w:asciiTheme="majorHAnsi" w:hAnsiTheme="majorHAnsi" w:cstheme="majorHAnsi"/>
          <w:sz w:val="24"/>
          <w:szCs w:val="24"/>
        </w:rPr>
        <w:t>realm</w:t>
      </w:r>
      <w:r w:rsidR="00996409">
        <w:rPr>
          <w:rFonts w:asciiTheme="majorHAnsi" w:hAnsiTheme="majorHAnsi" w:cstheme="majorHAnsi"/>
          <w:sz w:val="24"/>
          <w:szCs w:val="24"/>
        </w:rPr>
        <w:t>. This</w:t>
      </w:r>
      <w:r w:rsidR="007777D8" w:rsidRPr="007777D8">
        <w:rPr>
          <w:rFonts w:asciiTheme="majorHAnsi" w:hAnsiTheme="majorHAnsi" w:cstheme="majorHAnsi"/>
          <w:sz w:val="24"/>
          <w:szCs w:val="24"/>
        </w:rPr>
        <w:t xml:space="preserve"> suggests</w:t>
      </w:r>
      <w:r w:rsidR="00996409">
        <w:rPr>
          <w:rFonts w:asciiTheme="majorHAnsi" w:hAnsiTheme="majorHAnsi" w:cstheme="majorHAnsi"/>
          <w:sz w:val="24"/>
          <w:szCs w:val="24"/>
        </w:rPr>
        <w:t>, in turn,</w:t>
      </w:r>
      <w:r w:rsidR="007777D8" w:rsidRPr="007777D8">
        <w:rPr>
          <w:rFonts w:asciiTheme="majorHAnsi" w:hAnsiTheme="majorHAnsi" w:cstheme="majorHAnsi"/>
          <w:sz w:val="24"/>
          <w:szCs w:val="24"/>
        </w:rPr>
        <w:t xml:space="preserve"> that the cohort w</w:t>
      </w:r>
      <w:r w:rsidR="000C6629">
        <w:rPr>
          <w:rFonts w:asciiTheme="majorHAnsi" w:hAnsiTheme="majorHAnsi" w:cstheme="majorHAnsi"/>
          <w:sz w:val="24"/>
          <w:szCs w:val="24"/>
        </w:rPr>
        <w:t>as more</w:t>
      </w:r>
      <w:r w:rsidR="007777D8" w:rsidRPr="007777D8">
        <w:rPr>
          <w:rFonts w:asciiTheme="majorHAnsi" w:hAnsiTheme="majorHAnsi" w:cstheme="majorHAnsi"/>
          <w:sz w:val="24"/>
          <w:szCs w:val="24"/>
        </w:rPr>
        <w:t xml:space="preserve"> focused on the transition into the </w:t>
      </w:r>
      <w:r w:rsidR="007777D8" w:rsidRPr="000D0B8F">
        <w:rPr>
          <w:rFonts w:asciiTheme="majorHAnsi" w:hAnsiTheme="majorHAnsi" w:cstheme="majorHAnsi"/>
          <w:i/>
          <w:iCs/>
          <w:sz w:val="24"/>
          <w:szCs w:val="24"/>
        </w:rPr>
        <w:t>subject</w:t>
      </w:r>
      <w:r w:rsidR="007777D8" w:rsidRPr="007777D8">
        <w:rPr>
          <w:rFonts w:asciiTheme="majorHAnsi" w:hAnsiTheme="majorHAnsi" w:cstheme="majorHAnsi"/>
          <w:sz w:val="24"/>
          <w:szCs w:val="24"/>
        </w:rPr>
        <w:t xml:space="preserve"> rather than the transition into higher education</w:t>
      </w:r>
      <w:r w:rsidR="000D0B8F">
        <w:rPr>
          <w:rFonts w:asciiTheme="majorHAnsi" w:hAnsiTheme="majorHAnsi" w:cstheme="majorHAnsi"/>
          <w:sz w:val="24"/>
          <w:szCs w:val="24"/>
        </w:rPr>
        <w:t xml:space="preserve"> itself</w:t>
      </w:r>
      <w:r w:rsidR="007777D8" w:rsidRPr="007777D8">
        <w:rPr>
          <w:rFonts w:asciiTheme="majorHAnsi" w:hAnsiTheme="majorHAnsi" w:cstheme="majorHAnsi"/>
          <w:sz w:val="24"/>
          <w:szCs w:val="24"/>
        </w:rPr>
        <w:t xml:space="preserve">. </w:t>
      </w:r>
      <w:r w:rsidR="0078265D">
        <w:rPr>
          <w:rFonts w:asciiTheme="majorHAnsi" w:hAnsiTheme="majorHAnsi" w:cstheme="majorHAnsi"/>
          <w:sz w:val="24"/>
          <w:szCs w:val="24"/>
        </w:rPr>
        <w:t>Nevertheless, feedback does suggest</w:t>
      </w:r>
      <w:r w:rsidR="0078265D" w:rsidRPr="009C7E51">
        <w:rPr>
          <w:rFonts w:asciiTheme="majorHAnsi" w:hAnsiTheme="majorHAnsi" w:cstheme="majorHAnsi"/>
          <w:sz w:val="24"/>
          <w:szCs w:val="24"/>
        </w:rPr>
        <w:t xml:space="preserve"> that </w:t>
      </w:r>
      <w:r w:rsidR="0078265D">
        <w:rPr>
          <w:rFonts w:asciiTheme="majorHAnsi" w:hAnsiTheme="majorHAnsi" w:cstheme="majorHAnsi"/>
          <w:sz w:val="24"/>
          <w:szCs w:val="24"/>
        </w:rPr>
        <w:t xml:space="preserve">Legal Essentials has supported, at least to some extent, the wellbeing of </w:t>
      </w:r>
      <w:r w:rsidR="0078265D" w:rsidRPr="009C7E51">
        <w:rPr>
          <w:rFonts w:asciiTheme="majorHAnsi" w:hAnsiTheme="majorHAnsi" w:cstheme="majorHAnsi"/>
          <w:sz w:val="24"/>
          <w:szCs w:val="24"/>
        </w:rPr>
        <w:t>student</w:t>
      </w:r>
      <w:r w:rsidR="0078265D">
        <w:rPr>
          <w:rFonts w:asciiTheme="majorHAnsi" w:hAnsiTheme="majorHAnsi" w:cstheme="majorHAnsi"/>
          <w:sz w:val="24"/>
          <w:szCs w:val="24"/>
        </w:rPr>
        <w:t>s in their transition to HE. The efficacy of the “Being Law” stream</w:t>
      </w:r>
      <w:r w:rsidR="0078265D" w:rsidRPr="009C7E51">
        <w:rPr>
          <w:rFonts w:asciiTheme="majorHAnsi" w:hAnsiTheme="majorHAnsi" w:cstheme="majorHAnsi"/>
          <w:sz w:val="24"/>
          <w:szCs w:val="24"/>
        </w:rPr>
        <w:t xml:space="preserve"> </w:t>
      </w:r>
      <w:r w:rsidR="0078265D">
        <w:rPr>
          <w:rFonts w:asciiTheme="majorHAnsi" w:hAnsiTheme="majorHAnsi" w:cstheme="majorHAnsi"/>
          <w:sz w:val="24"/>
          <w:szCs w:val="24"/>
        </w:rPr>
        <w:t>is reflected in the data showing that, after three weeks, 95% of respondents</w:t>
      </w:r>
      <w:r w:rsidR="0078265D" w:rsidRPr="009C7E51">
        <w:rPr>
          <w:rFonts w:asciiTheme="majorHAnsi" w:hAnsiTheme="majorHAnsi" w:cstheme="majorHAnsi"/>
          <w:sz w:val="24"/>
          <w:szCs w:val="24"/>
        </w:rPr>
        <w:t xml:space="preserve"> ha</w:t>
      </w:r>
      <w:r w:rsidR="0078265D">
        <w:rPr>
          <w:rFonts w:asciiTheme="majorHAnsi" w:hAnsiTheme="majorHAnsi" w:cstheme="majorHAnsi"/>
          <w:sz w:val="24"/>
          <w:szCs w:val="24"/>
        </w:rPr>
        <w:t>d</w:t>
      </w:r>
      <w:r w:rsidR="0078265D" w:rsidRPr="009C7E51">
        <w:rPr>
          <w:rFonts w:asciiTheme="majorHAnsi" w:hAnsiTheme="majorHAnsi" w:cstheme="majorHAnsi"/>
          <w:sz w:val="24"/>
          <w:szCs w:val="24"/>
        </w:rPr>
        <w:t xml:space="preserve"> a clearer </w:t>
      </w:r>
      <w:r w:rsidR="0078265D">
        <w:rPr>
          <w:rFonts w:asciiTheme="majorHAnsi" w:hAnsiTheme="majorHAnsi" w:cstheme="majorHAnsi"/>
          <w:sz w:val="24"/>
          <w:szCs w:val="24"/>
        </w:rPr>
        <w:t>sense</w:t>
      </w:r>
      <w:r w:rsidR="0078265D" w:rsidRPr="009C7E51">
        <w:rPr>
          <w:rFonts w:asciiTheme="majorHAnsi" w:hAnsiTheme="majorHAnsi" w:cstheme="majorHAnsi"/>
          <w:sz w:val="24"/>
          <w:szCs w:val="24"/>
        </w:rPr>
        <w:t xml:space="preserve"> </w:t>
      </w:r>
      <w:r w:rsidR="0078265D" w:rsidRPr="009C7E51">
        <w:rPr>
          <w:rFonts w:asciiTheme="majorHAnsi" w:hAnsiTheme="majorHAnsi" w:cstheme="majorHAnsi"/>
          <w:sz w:val="24"/>
          <w:szCs w:val="24"/>
        </w:rPr>
        <w:lastRenderedPageBreak/>
        <w:t xml:space="preserve">of the </w:t>
      </w:r>
      <w:r w:rsidR="0078265D">
        <w:rPr>
          <w:rFonts w:asciiTheme="majorHAnsi" w:hAnsiTheme="majorHAnsi" w:cstheme="majorHAnsi"/>
          <w:sz w:val="24"/>
          <w:szCs w:val="24"/>
        </w:rPr>
        <w:t xml:space="preserve">Law School </w:t>
      </w:r>
      <w:r w:rsidR="0078265D" w:rsidRPr="009C7E51">
        <w:rPr>
          <w:rFonts w:asciiTheme="majorHAnsi" w:hAnsiTheme="majorHAnsi" w:cstheme="majorHAnsi"/>
          <w:sz w:val="24"/>
          <w:szCs w:val="24"/>
        </w:rPr>
        <w:t>community</w:t>
      </w:r>
      <w:r w:rsidR="0078265D">
        <w:rPr>
          <w:rFonts w:asciiTheme="majorHAnsi" w:hAnsiTheme="majorHAnsi" w:cstheme="majorHAnsi"/>
          <w:sz w:val="24"/>
          <w:szCs w:val="24"/>
        </w:rPr>
        <w:t>;</w:t>
      </w:r>
      <w:r w:rsidR="0078265D" w:rsidRPr="009C7E51">
        <w:rPr>
          <w:rFonts w:asciiTheme="majorHAnsi" w:hAnsiTheme="majorHAnsi" w:cstheme="majorHAnsi"/>
          <w:sz w:val="24"/>
          <w:szCs w:val="24"/>
        </w:rPr>
        <w:t xml:space="preserve"> </w:t>
      </w:r>
      <w:r w:rsidR="0078265D">
        <w:rPr>
          <w:rFonts w:asciiTheme="majorHAnsi" w:hAnsiTheme="majorHAnsi" w:cstheme="majorHAnsi"/>
          <w:sz w:val="24"/>
          <w:szCs w:val="24"/>
        </w:rPr>
        <w:t>75%</w:t>
      </w:r>
      <w:r w:rsidR="0078265D" w:rsidRPr="009C7E51">
        <w:rPr>
          <w:rFonts w:asciiTheme="majorHAnsi" w:hAnsiTheme="majorHAnsi" w:cstheme="majorHAnsi"/>
          <w:sz w:val="24"/>
          <w:szCs w:val="24"/>
        </w:rPr>
        <w:t xml:space="preserve"> fe</w:t>
      </w:r>
      <w:r w:rsidR="0078265D">
        <w:rPr>
          <w:rFonts w:asciiTheme="majorHAnsi" w:hAnsiTheme="majorHAnsi" w:cstheme="majorHAnsi"/>
          <w:sz w:val="24"/>
          <w:szCs w:val="24"/>
        </w:rPr>
        <w:t>lt</w:t>
      </w:r>
      <w:r w:rsidR="0078265D" w:rsidRPr="009C7E51">
        <w:rPr>
          <w:rFonts w:asciiTheme="majorHAnsi" w:hAnsiTheme="majorHAnsi" w:cstheme="majorHAnsi"/>
          <w:sz w:val="24"/>
          <w:szCs w:val="24"/>
        </w:rPr>
        <w:t xml:space="preserve"> confident asking for help</w:t>
      </w:r>
      <w:r w:rsidR="0078265D">
        <w:rPr>
          <w:rFonts w:asciiTheme="majorHAnsi" w:hAnsiTheme="majorHAnsi" w:cstheme="majorHAnsi"/>
          <w:sz w:val="24"/>
          <w:szCs w:val="24"/>
        </w:rPr>
        <w:t>;</w:t>
      </w:r>
      <w:r w:rsidR="0078265D" w:rsidRPr="009C7E51">
        <w:rPr>
          <w:rFonts w:asciiTheme="majorHAnsi" w:hAnsiTheme="majorHAnsi" w:cstheme="majorHAnsi"/>
          <w:sz w:val="24"/>
          <w:szCs w:val="24"/>
        </w:rPr>
        <w:t xml:space="preserve"> and </w:t>
      </w:r>
      <w:r w:rsidR="0078265D">
        <w:rPr>
          <w:rFonts w:asciiTheme="majorHAnsi" w:hAnsiTheme="majorHAnsi" w:cstheme="majorHAnsi"/>
          <w:sz w:val="24"/>
          <w:szCs w:val="24"/>
        </w:rPr>
        <w:t>80%</w:t>
      </w:r>
      <w:r w:rsidR="0078265D" w:rsidRPr="009C7E51">
        <w:rPr>
          <w:rFonts w:asciiTheme="majorHAnsi" w:hAnsiTheme="majorHAnsi" w:cstheme="majorHAnsi"/>
          <w:sz w:val="24"/>
          <w:szCs w:val="24"/>
        </w:rPr>
        <w:t xml:space="preserve"> fe</w:t>
      </w:r>
      <w:r w:rsidR="0078265D">
        <w:rPr>
          <w:rFonts w:asciiTheme="majorHAnsi" w:hAnsiTheme="majorHAnsi" w:cstheme="majorHAnsi"/>
          <w:sz w:val="24"/>
          <w:szCs w:val="24"/>
        </w:rPr>
        <w:t>lt</w:t>
      </w:r>
      <w:r w:rsidR="0078265D" w:rsidRPr="009C7E51">
        <w:rPr>
          <w:rFonts w:asciiTheme="majorHAnsi" w:hAnsiTheme="majorHAnsi" w:cstheme="majorHAnsi"/>
          <w:sz w:val="24"/>
          <w:szCs w:val="24"/>
        </w:rPr>
        <w:t xml:space="preserve"> supported by the </w:t>
      </w:r>
      <w:r w:rsidR="0078265D">
        <w:rPr>
          <w:rFonts w:asciiTheme="majorHAnsi" w:hAnsiTheme="majorHAnsi" w:cstheme="majorHAnsi"/>
          <w:sz w:val="24"/>
          <w:szCs w:val="24"/>
        </w:rPr>
        <w:t>S</w:t>
      </w:r>
      <w:r w:rsidR="0078265D" w:rsidRPr="009C7E51">
        <w:rPr>
          <w:rFonts w:asciiTheme="majorHAnsi" w:hAnsiTheme="majorHAnsi" w:cstheme="majorHAnsi"/>
          <w:sz w:val="24"/>
          <w:szCs w:val="24"/>
        </w:rPr>
        <w:t xml:space="preserve">chool. </w:t>
      </w:r>
    </w:p>
    <w:p w14:paraId="45D53C75" w14:textId="313CD2EB" w:rsidR="00214759" w:rsidRDefault="0097558E" w:rsidP="00AF1A88">
      <w:pPr>
        <w:spacing w:line="240" w:lineRule="auto"/>
        <w:jc w:val="both"/>
        <w:rPr>
          <w:rFonts w:asciiTheme="majorHAnsi" w:hAnsiTheme="majorHAnsi" w:cstheme="majorHAnsi"/>
          <w:sz w:val="24"/>
          <w:szCs w:val="24"/>
        </w:rPr>
      </w:pPr>
      <w:r>
        <w:rPr>
          <w:rFonts w:asciiTheme="majorHAnsi" w:hAnsiTheme="majorHAnsi" w:cstheme="majorHAnsi"/>
          <w:sz w:val="24"/>
          <w:szCs w:val="24"/>
        </w:rPr>
        <w:t>The responses emphasise the importance of integrating wellbeing</w:t>
      </w:r>
      <w:r w:rsidR="002835C5">
        <w:rPr>
          <w:rFonts w:asciiTheme="majorHAnsi" w:hAnsiTheme="majorHAnsi" w:cstheme="majorHAnsi"/>
          <w:sz w:val="24"/>
          <w:szCs w:val="24"/>
        </w:rPr>
        <w:t xml:space="preserve"> more deeply</w:t>
      </w:r>
      <w:r w:rsidR="00D96AF5">
        <w:rPr>
          <w:rFonts w:asciiTheme="majorHAnsi" w:hAnsiTheme="majorHAnsi" w:cstheme="majorHAnsi"/>
          <w:sz w:val="24"/>
          <w:szCs w:val="24"/>
        </w:rPr>
        <w:t xml:space="preserve">, giving subliminal wellbeing messages </w:t>
      </w:r>
      <w:r w:rsidR="002835C5">
        <w:rPr>
          <w:rFonts w:asciiTheme="majorHAnsi" w:hAnsiTheme="majorHAnsi" w:cstheme="majorHAnsi"/>
          <w:sz w:val="24"/>
          <w:szCs w:val="24"/>
        </w:rPr>
        <w:t xml:space="preserve">throughout the course – in much the same way as a caregiver will smuggle vegetables into a pasta dish </w:t>
      </w:r>
      <w:r w:rsidR="0055223C">
        <w:rPr>
          <w:rFonts w:asciiTheme="majorHAnsi" w:hAnsiTheme="majorHAnsi" w:cstheme="majorHAnsi"/>
          <w:sz w:val="24"/>
          <w:szCs w:val="24"/>
        </w:rPr>
        <w:t xml:space="preserve">for </w:t>
      </w:r>
      <w:r w:rsidR="00474AA5">
        <w:rPr>
          <w:rFonts w:asciiTheme="majorHAnsi" w:hAnsiTheme="majorHAnsi" w:cstheme="majorHAnsi"/>
          <w:sz w:val="24"/>
          <w:szCs w:val="24"/>
        </w:rPr>
        <w:t>a</w:t>
      </w:r>
      <w:r w:rsidR="0055223C">
        <w:rPr>
          <w:rFonts w:asciiTheme="majorHAnsi" w:hAnsiTheme="majorHAnsi" w:cstheme="majorHAnsi"/>
          <w:sz w:val="24"/>
          <w:szCs w:val="24"/>
        </w:rPr>
        <w:t xml:space="preserve"> </w:t>
      </w:r>
      <w:r w:rsidR="00474AA5">
        <w:rPr>
          <w:rFonts w:asciiTheme="majorHAnsi" w:hAnsiTheme="majorHAnsi" w:cstheme="majorHAnsi"/>
          <w:sz w:val="24"/>
          <w:szCs w:val="24"/>
        </w:rPr>
        <w:t>reluctant child</w:t>
      </w:r>
      <w:r w:rsidR="00C20B0B">
        <w:rPr>
          <w:rFonts w:asciiTheme="majorHAnsi" w:hAnsiTheme="majorHAnsi" w:cstheme="majorHAnsi"/>
          <w:sz w:val="24"/>
          <w:szCs w:val="24"/>
        </w:rPr>
        <w:t xml:space="preserve">! </w:t>
      </w:r>
      <w:r w:rsidR="004E6C5B">
        <w:rPr>
          <w:rFonts w:asciiTheme="majorHAnsi" w:hAnsiTheme="majorHAnsi" w:cstheme="majorHAnsi"/>
          <w:sz w:val="24"/>
          <w:szCs w:val="24"/>
        </w:rPr>
        <w:t>The d</w:t>
      </w:r>
      <w:r w:rsidR="008954FA">
        <w:rPr>
          <w:rFonts w:asciiTheme="majorHAnsi" w:hAnsiTheme="majorHAnsi" w:cstheme="majorHAnsi"/>
          <w:sz w:val="24"/>
          <w:szCs w:val="24"/>
        </w:rPr>
        <w:t>anger</w:t>
      </w:r>
      <w:r w:rsidR="004E6C5B">
        <w:rPr>
          <w:rFonts w:asciiTheme="majorHAnsi" w:hAnsiTheme="majorHAnsi" w:cstheme="majorHAnsi"/>
          <w:sz w:val="24"/>
          <w:szCs w:val="24"/>
        </w:rPr>
        <w:t xml:space="preserve"> of “smuggling” wellbeing messages into the </w:t>
      </w:r>
      <w:r w:rsidR="005519B0">
        <w:rPr>
          <w:rFonts w:asciiTheme="majorHAnsi" w:hAnsiTheme="majorHAnsi" w:cstheme="majorHAnsi"/>
          <w:sz w:val="24"/>
          <w:szCs w:val="24"/>
        </w:rPr>
        <w:t xml:space="preserve">module (and the curriculum more broadly) is that </w:t>
      </w:r>
      <w:r w:rsidR="008954FA">
        <w:rPr>
          <w:rFonts w:asciiTheme="majorHAnsi" w:hAnsiTheme="majorHAnsi" w:cstheme="majorHAnsi"/>
          <w:sz w:val="24"/>
          <w:szCs w:val="24"/>
        </w:rPr>
        <w:t xml:space="preserve">some students may not acknowledge the need </w:t>
      </w:r>
      <w:r w:rsidR="00245A76">
        <w:rPr>
          <w:rFonts w:asciiTheme="majorHAnsi" w:hAnsiTheme="majorHAnsi" w:cstheme="majorHAnsi"/>
          <w:sz w:val="24"/>
          <w:szCs w:val="24"/>
        </w:rPr>
        <w:t>to discuss their</w:t>
      </w:r>
      <w:r w:rsidR="008954FA">
        <w:rPr>
          <w:rFonts w:asciiTheme="majorHAnsi" w:hAnsiTheme="majorHAnsi" w:cstheme="majorHAnsi"/>
          <w:sz w:val="24"/>
          <w:szCs w:val="24"/>
        </w:rPr>
        <w:t xml:space="preserve"> we</w:t>
      </w:r>
      <w:r w:rsidR="00245A76">
        <w:rPr>
          <w:rFonts w:asciiTheme="majorHAnsi" w:hAnsiTheme="majorHAnsi" w:cstheme="majorHAnsi"/>
          <w:sz w:val="24"/>
          <w:szCs w:val="24"/>
        </w:rPr>
        <w:t>llbeing openly</w:t>
      </w:r>
      <w:r w:rsidR="000969CC">
        <w:rPr>
          <w:rFonts w:asciiTheme="majorHAnsi" w:hAnsiTheme="majorHAnsi" w:cstheme="majorHAnsi"/>
          <w:sz w:val="24"/>
          <w:szCs w:val="24"/>
        </w:rPr>
        <w:t xml:space="preserve">. This can be ameliorated by </w:t>
      </w:r>
      <w:r w:rsidR="000A2E2C">
        <w:rPr>
          <w:rFonts w:asciiTheme="majorHAnsi" w:hAnsiTheme="majorHAnsi" w:cstheme="majorHAnsi"/>
          <w:sz w:val="24"/>
          <w:szCs w:val="24"/>
        </w:rPr>
        <w:t xml:space="preserve">making the messages a natural part of </w:t>
      </w:r>
      <w:r w:rsidR="000E5113">
        <w:rPr>
          <w:rFonts w:asciiTheme="majorHAnsi" w:hAnsiTheme="majorHAnsi" w:cstheme="majorHAnsi"/>
          <w:sz w:val="24"/>
          <w:szCs w:val="24"/>
        </w:rPr>
        <w:t xml:space="preserve">both teaching and general interactions with students. For example, we can </w:t>
      </w:r>
      <w:r w:rsidR="004D13A9">
        <w:rPr>
          <w:rFonts w:asciiTheme="majorHAnsi" w:hAnsiTheme="majorHAnsi" w:cstheme="majorHAnsi"/>
          <w:sz w:val="24"/>
          <w:szCs w:val="24"/>
        </w:rPr>
        <w:t>begin sessions by encouraging students to “check in” with themselves</w:t>
      </w:r>
      <w:r w:rsidR="00F9147C">
        <w:rPr>
          <w:rFonts w:asciiTheme="majorHAnsi" w:hAnsiTheme="majorHAnsi" w:cstheme="majorHAnsi"/>
          <w:sz w:val="24"/>
          <w:szCs w:val="24"/>
        </w:rPr>
        <w:t xml:space="preserve"> (and we, as teachers, can also do this as </w:t>
      </w:r>
      <w:r w:rsidR="003D1F68">
        <w:rPr>
          <w:rFonts w:asciiTheme="majorHAnsi" w:hAnsiTheme="majorHAnsi" w:cstheme="majorHAnsi"/>
          <w:sz w:val="24"/>
          <w:szCs w:val="24"/>
        </w:rPr>
        <w:t>a means of modelling self-awareness and self-care)</w:t>
      </w:r>
      <w:r w:rsidR="006D0992">
        <w:rPr>
          <w:rFonts w:asciiTheme="majorHAnsi" w:hAnsiTheme="majorHAnsi" w:cstheme="majorHAnsi"/>
          <w:sz w:val="24"/>
          <w:szCs w:val="24"/>
        </w:rPr>
        <w:t>: how are they feeling today? Are they tired, confused, unprepared</w:t>
      </w:r>
      <w:r w:rsidR="001F78B3">
        <w:rPr>
          <w:rFonts w:asciiTheme="majorHAnsi" w:hAnsiTheme="majorHAnsi" w:cstheme="majorHAnsi"/>
          <w:sz w:val="24"/>
          <w:szCs w:val="24"/>
        </w:rPr>
        <w:t xml:space="preserve"> or bored?</w:t>
      </w:r>
      <w:r w:rsidR="006D0992">
        <w:rPr>
          <w:rFonts w:asciiTheme="majorHAnsi" w:hAnsiTheme="majorHAnsi" w:cstheme="majorHAnsi"/>
          <w:sz w:val="24"/>
          <w:szCs w:val="24"/>
        </w:rPr>
        <w:t xml:space="preserve"> </w:t>
      </w:r>
      <w:r w:rsidR="001F78B3">
        <w:rPr>
          <w:rFonts w:asciiTheme="majorHAnsi" w:hAnsiTheme="majorHAnsi" w:cstheme="majorHAnsi"/>
          <w:sz w:val="24"/>
          <w:szCs w:val="24"/>
        </w:rPr>
        <w:t>A</w:t>
      </w:r>
      <w:r w:rsidR="006D0992">
        <w:rPr>
          <w:rFonts w:asciiTheme="majorHAnsi" w:hAnsiTheme="majorHAnsi" w:cstheme="majorHAnsi"/>
          <w:sz w:val="24"/>
          <w:szCs w:val="24"/>
        </w:rPr>
        <w:t xml:space="preserve">re they </w:t>
      </w:r>
      <w:r w:rsidR="001F78B3">
        <w:rPr>
          <w:rFonts w:asciiTheme="majorHAnsi" w:hAnsiTheme="majorHAnsi" w:cstheme="majorHAnsi"/>
          <w:sz w:val="24"/>
          <w:szCs w:val="24"/>
        </w:rPr>
        <w:t>excited by the topic but nervous about asking questions?</w:t>
      </w:r>
      <w:r w:rsidR="00DD1A48">
        <w:rPr>
          <w:rFonts w:asciiTheme="majorHAnsi" w:hAnsiTheme="majorHAnsi" w:cstheme="majorHAnsi"/>
          <w:sz w:val="24"/>
          <w:szCs w:val="24"/>
        </w:rPr>
        <w:t xml:space="preserve"> Are they stressed about something outside their studies? And we can </w:t>
      </w:r>
      <w:r w:rsidR="00F9147C">
        <w:rPr>
          <w:rFonts w:asciiTheme="majorHAnsi" w:hAnsiTheme="majorHAnsi" w:cstheme="majorHAnsi"/>
          <w:sz w:val="24"/>
          <w:szCs w:val="24"/>
        </w:rPr>
        <w:t>scaffold messages of support</w:t>
      </w:r>
      <w:r w:rsidR="003D1F68">
        <w:rPr>
          <w:rFonts w:asciiTheme="majorHAnsi" w:hAnsiTheme="majorHAnsi" w:cstheme="majorHAnsi"/>
          <w:sz w:val="24"/>
          <w:szCs w:val="24"/>
        </w:rPr>
        <w:t xml:space="preserve"> throughout the module</w:t>
      </w:r>
      <w:r w:rsidR="0078265D">
        <w:rPr>
          <w:rFonts w:asciiTheme="majorHAnsi" w:hAnsiTheme="majorHAnsi" w:cstheme="majorHAnsi"/>
          <w:sz w:val="24"/>
          <w:szCs w:val="24"/>
        </w:rPr>
        <w:t xml:space="preserve"> by signposting to academic and emotional sources of help. </w:t>
      </w:r>
    </w:p>
    <w:p w14:paraId="613A42B7" w14:textId="625E7D2B" w:rsidR="00732A65" w:rsidRPr="00C81B9C" w:rsidRDefault="005B2A46" w:rsidP="00745098">
      <w:pPr>
        <w:spacing w:line="240" w:lineRule="auto"/>
        <w:jc w:val="both"/>
        <w:rPr>
          <w:rFonts w:asciiTheme="majorHAnsi" w:hAnsiTheme="majorHAnsi" w:cstheme="majorHAnsi"/>
          <w:sz w:val="24"/>
          <w:szCs w:val="24"/>
        </w:rPr>
      </w:pPr>
      <w:r>
        <w:rPr>
          <w:rFonts w:asciiTheme="majorHAnsi" w:hAnsiTheme="majorHAnsi" w:cstheme="majorHAnsi"/>
          <w:sz w:val="24"/>
          <w:szCs w:val="24"/>
        </w:rPr>
        <w:t>Finally, s</w:t>
      </w:r>
      <w:r w:rsidR="009C7E51" w:rsidRPr="009C7E51">
        <w:rPr>
          <w:rFonts w:asciiTheme="majorHAnsi" w:hAnsiTheme="majorHAnsi" w:cstheme="majorHAnsi"/>
          <w:sz w:val="24"/>
          <w:szCs w:val="24"/>
        </w:rPr>
        <w:t>tudents were</w:t>
      </w:r>
      <w:r w:rsidR="00732A65">
        <w:rPr>
          <w:rFonts w:asciiTheme="majorHAnsi" w:hAnsiTheme="majorHAnsi" w:cstheme="majorHAnsi"/>
          <w:sz w:val="24"/>
          <w:szCs w:val="24"/>
        </w:rPr>
        <w:t xml:space="preserve"> </w:t>
      </w:r>
      <w:r w:rsidR="009C7E51" w:rsidRPr="009C7E51">
        <w:rPr>
          <w:rFonts w:asciiTheme="majorHAnsi" w:hAnsiTheme="majorHAnsi" w:cstheme="majorHAnsi"/>
          <w:sz w:val="24"/>
          <w:szCs w:val="24"/>
        </w:rPr>
        <w:t xml:space="preserve">asked to </w:t>
      </w:r>
      <w:r w:rsidR="00724BA1">
        <w:rPr>
          <w:rFonts w:asciiTheme="majorHAnsi" w:hAnsiTheme="majorHAnsi" w:cstheme="majorHAnsi"/>
          <w:sz w:val="24"/>
          <w:szCs w:val="24"/>
        </w:rPr>
        <w:t xml:space="preserve">identify </w:t>
      </w:r>
      <w:r w:rsidR="009C7E51" w:rsidRPr="009C7E51">
        <w:rPr>
          <w:rFonts w:asciiTheme="majorHAnsi" w:hAnsiTheme="majorHAnsi" w:cstheme="majorHAnsi"/>
          <w:sz w:val="24"/>
          <w:szCs w:val="24"/>
        </w:rPr>
        <w:t>the most important thing that they had learn</w:t>
      </w:r>
      <w:r w:rsidR="00724BA1">
        <w:rPr>
          <w:rFonts w:asciiTheme="majorHAnsi" w:hAnsiTheme="majorHAnsi" w:cstheme="majorHAnsi"/>
          <w:sz w:val="24"/>
          <w:szCs w:val="24"/>
        </w:rPr>
        <w:t xml:space="preserve">ed </w:t>
      </w:r>
      <w:r w:rsidR="009C7E51" w:rsidRPr="009C7E51">
        <w:rPr>
          <w:rFonts w:asciiTheme="majorHAnsi" w:hAnsiTheme="majorHAnsi" w:cstheme="majorHAnsi"/>
          <w:sz w:val="24"/>
          <w:szCs w:val="24"/>
        </w:rPr>
        <w:t>during the three</w:t>
      </w:r>
      <w:r w:rsidR="00724BA1">
        <w:rPr>
          <w:rFonts w:asciiTheme="majorHAnsi" w:hAnsiTheme="majorHAnsi" w:cstheme="majorHAnsi"/>
          <w:sz w:val="24"/>
          <w:szCs w:val="24"/>
        </w:rPr>
        <w:t>-</w:t>
      </w:r>
      <w:r w:rsidR="009C7E51" w:rsidRPr="009C7E51">
        <w:rPr>
          <w:rFonts w:asciiTheme="majorHAnsi" w:hAnsiTheme="majorHAnsi" w:cstheme="majorHAnsi"/>
          <w:sz w:val="24"/>
          <w:szCs w:val="24"/>
        </w:rPr>
        <w:t xml:space="preserve">week induction. </w:t>
      </w:r>
      <w:r w:rsidR="005C5697">
        <w:rPr>
          <w:rFonts w:asciiTheme="majorHAnsi" w:hAnsiTheme="majorHAnsi" w:cstheme="majorHAnsi"/>
          <w:sz w:val="24"/>
          <w:szCs w:val="24"/>
        </w:rPr>
        <w:t>S</w:t>
      </w:r>
      <w:r w:rsidR="00EF0CF4">
        <w:rPr>
          <w:rFonts w:asciiTheme="majorHAnsi" w:hAnsiTheme="majorHAnsi" w:cstheme="majorHAnsi"/>
          <w:sz w:val="24"/>
          <w:szCs w:val="24"/>
        </w:rPr>
        <w:t xml:space="preserve">tudents </w:t>
      </w:r>
      <w:r w:rsidR="009C7E51" w:rsidRPr="009C7E51">
        <w:rPr>
          <w:rFonts w:asciiTheme="majorHAnsi" w:hAnsiTheme="majorHAnsi" w:cstheme="majorHAnsi"/>
          <w:sz w:val="24"/>
          <w:szCs w:val="24"/>
        </w:rPr>
        <w:t xml:space="preserve">found </w:t>
      </w:r>
      <w:r w:rsidR="001211BC">
        <w:rPr>
          <w:rFonts w:asciiTheme="majorHAnsi" w:hAnsiTheme="majorHAnsi" w:cstheme="majorHAnsi"/>
          <w:sz w:val="24"/>
          <w:szCs w:val="24"/>
        </w:rPr>
        <w:t>messages</w:t>
      </w:r>
      <w:r w:rsidR="009C7E51" w:rsidRPr="009C7E51">
        <w:rPr>
          <w:rFonts w:asciiTheme="majorHAnsi" w:hAnsiTheme="majorHAnsi" w:cstheme="majorHAnsi"/>
          <w:sz w:val="24"/>
          <w:szCs w:val="24"/>
        </w:rPr>
        <w:t xml:space="preserve"> regarding </w:t>
      </w:r>
      <w:r w:rsidR="009C7E51" w:rsidRPr="009C7E51">
        <w:rPr>
          <w:rFonts w:asciiTheme="majorHAnsi" w:hAnsiTheme="majorHAnsi" w:cstheme="majorHAnsi"/>
          <w:i/>
          <w:iCs/>
          <w:sz w:val="24"/>
          <w:szCs w:val="24"/>
        </w:rPr>
        <w:t>study</w:t>
      </w:r>
      <w:r w:rsidR="009C7E51" w:rsidRPr="009C7E51">
        <w:rPr>
          <w:rFonts w:asciiTheme="majorHAnsi" w:hAnsiTheme="majorHAnsi" w:cstheme="majorHAnsi"/>
          <w:sz w:val="24"/>
          <w:szCs w:val="24"/>
        </w:rPr>
        <w:t xml:space="preserve">, </w:t>
      </w:r>
      <w:r w:rsidR="009C7E51" w:rsidRPr="009C7E51">
        <w:rPr>
          <w:rFonts w:asciiTheme="majorHAnsi" w:hAnsiTheme="majorHAnsi" w:cstheme="majorHAnsi"/>
          <w:i/>
          <w:iCs/>
          <w:sz w:val="24"/>
          <w:szCs w:val="24"/>
        </w:rPr>
        <w:t>legal skills</w:t>
      </w:r>
      <w:r w:rsidR="009C7E51" w:rsidRPr="009C7E51">
        <w:rPr>
          <w:rFonts w:asciiTheme="majorHAnsi" w:hAnsiTheme="majorHAnsi" w:cstheme="majorHAnsi"/>
          <w:sz w:val="24"/>
          <w:szCs w:val="24"/>
        </w:rPr>
        <w:t xml:space="preserve"> and the </w:t>
      </w:r>
      <w:r w:rsidR="00806956">
        <w:rPr>
          <w:rFonts w:asciiTheme="majorHAnsi" w:hAnsiTheme="majorHAnsi" w:cstheme="majorHAnsi"/>
          <w:sz w:val="24"/>
          <w:szCs w:val="24"/>
        </w:rPr>
        <w:t>“</w:t>
      </w:r>
      <w:r w:rsidR="009C7E51" w:rsidRPr="009C7E51">
        <w:rPr>
          <w:rFonts w:asciiTheme="majorHAnsi" w:hAnsiTheme="majorHAnsi" w:cstheme="majorHAnsi"/>
          <w:i/>
          <w:iCs/>
          <w:sz w:val="24"/>
          <w:szCs w:val="24"/>
        </w:rPr>
        <w:t>mak</w:t>
      </w:r>
      <w:r w:rsidR="00806956">
        <w:rPr>
          <w:rFonts w:asciiTheme="majorHAnsi" w:hAnsiTheme="majorHAnsi" w:cstheme="majorHAnsi"/>
          <w:i/>
          <w:iCs/>
          <w:sz w:val="24"/>
          <w:szCs w:val="24"/>
        </w:rPr>
        <w:t>e</w:t>
      </w:r>
      <w:r w:rsidR="009C7E51" w:rsidRPr="009C7E51">
        <w:rPr>
          <w:rFonts w:asciiTheme="majorHAnsi" w:hAnsiTheme="majorHAnsi" w:cstheme="majorHAnsi"/>
          <w:i/>
          <w:iCs/>
          <w:sz w:val="24"/>
          <w:szCs w:val="24"/>
        </w:rPr>
        <w:t xml:space="preserve"> glorious mistakes</w:t>
      </w:r>
      <w:r w:rsidR="00806956">
        <w:rPr>
          <w:rFonts w:asciiTheme="majorHAnsi" w:hAnsiTheme="majorHAnsi" w:cstheme="majorHAnsi"/>
          <w:i/>
          <w:iCs/>
          <w:sz w:val="24"/>
          <w:szCs w:val="24"/>
        </w:rPr>
        <w:t>”</w:t>
      </w:r>
      <w:r w:rsidR="009C7E51" w:rsidRPr="009C7E51">
        <w:rPr>
          <w:rFonts w:asciiTheme="majorHAnsi" w:hAnsiTheme="majorHAnsi" w:cstheme="majorHAnsi"/>
          <w:sz w:val="24"/>
          <w:szCs w:val="24"/>
        </w:rPr>
        <w:t xml:space="preserve"> ethos </w:t>
      </w:r>
      <w:r w:rsidR="001211BC">
        <w:rPr>
          <w:rFonts w:asciiTheme="majorHAnsi" w:hAnsiTheme="majorHAnsi" w:cstheme="majorHAnsi"/>
          <w:sz w:val="24"/>
          <w:szCs w:val="24"/>
        </w:rPr>
        <w:t xml:space="preserve">to be </w:t>
      </w:r>
      <w:r w:rsidR="009C7E51" w:rsidRPr="009C7E51">
        <w:rPr>
          <w:rFonts w:asciiTheme="majorHAnsi" w:hAnsiTheme="majorHAnsi" w:cstheme="majorHAnsi"/>
          <w:sz w:val="24"/>
          <w:szCs w:val="24"/>
        </w:rPr>
        <w:t>key learning points</w:t>
      </w:r>
      <w:r w:rsidR="00806956">
        <w:rPr>
          <w:rFonts w:asciiTheme="majorHAnsi" w:hAnsiTheme="majorHAnsi" w:cstheme="majorHAnsi"/>
          <w:sz w:val="24"/>
          <w:szCs w:val="24"/>
        </w:rPr>
        <w:t xml:space="preserve"> in their transition</w:t>
      </w:r>
      <w:r w:rsidR="009C7E51" w:rsidRPr="009C7E51">
        <w:rPr>
          <w:rFonts w:asciiTheme="majorHAnsi" w:hAnsiTheme="majorHAnsi" w:cstheme="majorHAnsi"/>
          <w:sz w:val="24"/>
          <w:szCs w:val="24"/>
        </w:rPr>
        <w:t xml:space="preserve">. These </w:t>
      </w:r>
      <w:r w:rsidR="00806956">
        <w:rPr>
          <w:rFonts w:asciiTheme="majorHAnsi" w:hAnsiTheme="majorHAnsi" w:cstheme="majorHAnsi"/>
          <w:sz w:val="24"/>
          <w:szCs w:val="24"/>
        </w:rPr>
        <w:t xml:space="preserve">findings </w:t>
      </w:r>
      <w:r w:rsidR="009C7E51" w:rsidRPr="009C7E51">
        <w:rPr>
          <w:rFonts w:asciiTheme="majorHAnsi" w:hAnsiTheme="majorHAnsi" w:cstheme="majorHAnsi"/>
          <w:sz w:val="24"/>
          <w:szCs w:val="24"/>
        </w:rPr>
        <w:t xml:space="preserve">emphasise the need for induction to have a non-judgmental and practical underpinning, to support students in transition to </w:t>
      </w:r>
      <w:r w:rsidR="001211BC">
        <w:rPr>
          <w:rFonts w:asciiTheme="majorHAnsi" w:hAnsiTheme="majorHAnsi" w:cstheme="majorHAnsi"/>
          <w:sz w:val="24"/>
          <w:szCs w:val="24"/>
        </w:rPr>
        <w:t>the core</w:t>
      </w:r>
      <w:r w:rsidR="009C7E51" w:rsidRPr="009C7E51">
        <w:rPr>
          <w:rFonts w:asciiTheme="majorHAnsi" w:hAnsiTheme="majorHAnsi" w:cstheme="majorHAnsi"/>
          <w:sz w:val="24"/>
          <w:szCs w:val="24"/>
        </w:rPr>
        <w:t xml:space="preserve"> modules and the </w:t>
      </w:r>
      <w:proofErr w:type="gramStart"/>
      <w:r w:rsidR="001211BC">
        <w:rPr>
          <w:rFonts w:asciiTheme="majorHAnsi" w:hAnsiTheme="majorHAnsi" w:cstheme="majorHAnsi"/>
          <w:sz w:val="24"/>
          <w:szCs w:val="24"/>
        </w:rPr>
        <w:t>degree as a whole</w:t>
      </w:r>
      <w:proofErr w:type="gramEnd"/>
      <w:r w:rsidR="009C7E51" w:rsidRPr="009C7E51">
        <w:rPr>
          <w:rFonts w:asciiTheme="majorHAnsi" w:hAnsiTheme="majorHAnsi" w:cstheme="majorHAnsi"/>
          <w:sz w:val="24"/>
          <w:szCs w:val="24"/>
        </w:rPr>
        <w:t xml:space="preserve">. </w:t>
      </w:r>
      <w:r w:rsidR="00732A65">
        <w:rPr>
          <w:rFonts w:asciiTheme="majorHAnsi" w:hAnsiTheme="majorHAnsi" w:cstheme="majorHAnsi"/>
          <w:sz w:val="24"/>
          <w:szCs w:val="24"/>
        </w:rPr>
        <w:t>A</w:t>
      </w:r>
      <w:r w:rsidR="004C4A67" w:rsidRPr="004C4A67">
        <w:rPr>
          <w:rFonts w:asciiTheme="majorHAnsi" w:hAnsiTheme="majorHAnsi" w:cstheme="majorHAnsi"/>
          <w:sz w:val="24"/>
          <w:szCs w:val="24"/>
        </w:rPr>
        <w:t xml:space="preserve">side from the development of practical skills, which enhance </w:t>
      </w:r>
      <w:r w:rsidR="004E6694">
        <w:rPr>
          <w:rFonts w:asciiTheme="majorHAnsi" w:hAnsiTheme="majorHAnsi" w:cstheme="majorHAnsi"/>
          <w:sz w:val="24"/>
          <w:szCs w:val="24"/>
        </w:rPr>
        <w:t xml:space="preserve">competence and confidence, </w:t>
      </w:r>
      <w:r w:rsidR="00336F7B">
        <w:rPr>
          <w:rFonts w:asciiTheme="majorHAnsi" w:hAnsiTheme="majorHAnsi" w:cstheme="majorHAnsi"/>
          <w:sz w:val="24"/>
          <w:szCs w:val="24"/>
        </w:rPr>
        <w:t>a</w:t>
      </w:r>
      <w:r w:rsidR="004C4A67" w:rsidRPr="004C4A67">
        <w:rPr>
          <w:rFonts w:asciiTheme="majorHAnsi" w:hAnsiTheme="majorHAnsi" w:cstheme="majorHAnsi"/>
          <w:sz w:val="24"/>
          <w:szCs w:val="24"/>
        </w:rPr>
        <w:t xml:space="preserve"> significant feature of </w:t>
      </w:r>
      <w:r w:rsidR="00336F7B">
        <w:rPr>
          <w:rFonts w:asciiTheme="majorHAnsi" w:hAnsiTheme="majorHAnsi" w:cstheme="majorHAnsi"/>
          <w:sz w:val="24"/>
          <w:szCs w:val="24"/>
        </w:rPr>
        <w:t xml:space="preserve">the </w:t>
      </w:r>
      <w:r w:rsidR="004C4A67" w:rsidRPr="004C4A67">
        <w:rPr>
          <w:rFonts w:asciiTheme="majorHAnsi" w:hAnsiTheme="majorHAnsi" w:cstheme="majorHAnsi"/>
          <w:sz w:val="24"/>
          <w:szCs w:val="24"/>
        </w:rPr>
        <w:t>feedback was students</w:t>
      </w:r>
      <w:r w:rsidR="00AE2D6D">
        <w:rPr>
          <w:rFonts w:asciiTheme="majorHAnsi" w:hAnsiTheme="majorHAnsi" w:cstheme="majorHAnsi"/>
          <w:sz w:val="24"/>
          <w:szCs w:val="24"/>
        </w:rPr>
        <w:t>’</w:t>
      </w:r>
      <w:r w:rsidR="004C4A67" w:rsidRPr="004C4A67">
        <w:rPr>
          <w:rFonts w:asciiTheme="majorHAnsi" w:hAnsiTheme="majorHAnsi" w:cstheme="majorHAnsi"/>
          <w:sz w:val="24"/>
          <w:szCs w:val="24"/>
        </w:rPr>
        <w:t xml:space="preserve"> </w:t>
      </w:r>
      <w:r w:rsidR="00AE2D6D">
        <w:rPr>
          <w:rFonts w:asciiTheme="majorHAnsi" w:hAnsiTheme="majorHAnsi" w:cstheme="majorHAnsi"/>
          <w:sz w:val="24"/>
          <w:szCs w:val="24"/>
        </w:rPr>
        <w:t>awareness</w:t>
      </w:r>
      <w:r w:rsidR="004C4A67" w:rsidRPr="004C4A67">
        <w:rPr>
          <w:rFonts w:asciiTheme="majorHAnsi" w:hAnsiTheme="majorHAnsi" w:cstheme="majorHAnsi"/>
          <w:sz w:val="24"/>
          <w:szCs w:val="24"/>
        </w:rPr>
        <w:t xml:space="preserve"> that they </w:t>
      </w:r>
      <w:r w:rsidR="00AE2D6D">
        <w:rPr>
          <w:rFonts w:asciiTheme="majorHAnsi" w:hAnsiTheme="majorHAnsi" w:cstheme="majorHAnsi"/>
          <w:sz w:val="24"/>
          <w:szCs w:val="24"/>
        </w:rPr>
        <w:t>we</w:t>
      </w:r>
      <w:r w:rsidR="004C4A67" w:rsidRPr="004C4A67">
        <w:rPr>
          <w:rFonts w:asciiTheme="majorHAnsi" w:hAnsiTheme="majorHAnsi" w:cstheme="majorHAnsi"/>
          <w:sz w:val="24"/>
          <w:szCs w:val="24"/>
        </w:rPr>
        <w:t xml:space="preserve">re at the start of their </w:t>
      </w:r>
      <w:r w:rsidR="00E02ACE">
        <w:rPr>
          <w:rFonts w:asciiTheme="majorHAnsi" w:hAnsiTheme="majorHAnsi" w:cstheme="majorHAnsi"/>
          <w:sz w:val="24"/>
          <w:szCs w:val="24"/>
        </w:rPr>
        <w:t>undergraduate</w:t>
      </w:r>
      <w:r w:rsidR="004C4A67" w:rsidRPr="004C4A67">
        <w:rPr>
          <w:rFonts w:asciiTheme="majorHAnsi" w:hAnsiTheme="majorHAnsi" w:cstheme="majorHAnsi"/>
          <w:sz w:val="24"/>
          <w:szCs w:val="24"/>
        </w:rPr>
        <w:t xml:space="preserve"> journey</w:t>
      </w:r>
      <w:r w:rsidR="00E02ACE">
        <w:rPr>
          <w:rFonts w:asciiTheme="majorHAnsi" w:hAnsiTheme="majorHAnsi" w:cstheme="majorHAnsi"/>
          <w:sz w:val="24"/>
          <w:szCs w:val="24"/>
        </w:rPr>
        <w:t xml:space="preserve">, with </w:t>
      </w:r>
      <w:r w:rsidR="004C4A67" w:rsidRPr="004C4A67">
        <w:rPr>
          <w:rFonts w:asciiTheme="majorHAnsi" w:hAnsiTheme="majorHAnsi" w:cstheme="majorHAnsi"/>
          <w:sz w:val="24"/>
          <w:szCs w:val="24"/>
        </w:rPr>
        <w:t xml:space="preserve">no expectation on them to be </w:t>
      </w:r>
      <w:r w:rsidR="00BA360B">
        <w:rPr>
          <w:rFonts w:asciiTheme="majorHAnsi" w:hAnsiTheme="majorHAnsi" w:cstheme="majorHAnsi"/>
          <w:sz w:val="24"/>
          <w:szCs w:val="24"/>
        </w:rPr>
        <w:t xml:space="preserve">immediately </w:t>
      </w:r>
      <w:r w:rsidR="004C4A67" w:rsidRPr="004C4A67">
        <w:rPr>
          <w:rFonts w:asciiTheme="majorHAnsi" w:hAnsiTheme="majorHAnsi" w:cstheme="majorHAnsi"/>
          <w:sz w:val="24"/>
          <w:szCs w:val="24"/>
        </w:rPr>
        <w:t>accomplished in this new venture</w:t>
      </w:r>
      <w:r w:rsidR="004C4A67">
        <w:rPr>
          <w:rFonts w:asciiTheme="majorHAnsi" w:hAnsiTheme="majorHAnsi" w:cstheme="majorHAnsi"/>
          <w:sz w:val="24"/>
          <w:szCs w:val="24"/>
        </w:rPr>
        <w:t>.</w:t>
      </w:r>
      <w:r w:rsidR="004C4A67" w:rsidRPr="004C4A67">
        <w:rPr>
          <w:rFonts w:asciiTheme="majorHAnsi" w:hAnsiTheme="majorHAnsi" w:cstheme="majorHAnsi"/>
          <w:sz w:val="24"/>
          <w:szCs w:val="24"/>
        </w:rPr>
        <w:t xml:space="preserve"> Allowing the students to recognise that they can make mistakes is a powerful signpost towards the ongoing and voluntary nature of learning</w:t>
      </w:r>
      <w:r w:rsidR="00CE4F52">
        <w:rPr>
          <w:rFonts w:asciiTheme="majorHAnsi" w:hAnsiTheme="majorHAnsi" w:cstheme="majorHAnsi"/>
          <w:sz w:val="24"/>
          <w:szCs w:val="24"/>
        </w:rPr>
        <w:t>.</w:t>
      </w:r>
      <w:r w:rsidR="004C4A67" w:rsidRPr="004C4A67">
        <w:rPr>
          <w:rFonts w:asciiTheme="majorHAnsi" w:hAnsiTheme="majorHAnsi" w:cstheme="majorHAnsi"/>
          <w:sz w:val="24"/>
          <w:szCs w:val="24"/>
          <w:vertAlign w:val="superscript"/>
        </w:rPr>
        <w:footnoteReference w:id="64"/>
      </w:r>
      <w:r w:rsidR="00CE4F52">
        <w:rPr>
          <w:rFonts w:asciiTheme="majorHAnsi" w:hAnsiTheme="majorHAnsi" w:cstheme="majorHAnsi"/>
          <w:sz w:val="24"/>
          <w:szCs w:val="24"/>
        </w:rPr>
        <w:t xml:space="preserve"> </w:t>
      </w:r>
      <w:r w:rsidR="004C4A67" w:rsidRPr="004C4A67">
        <w:rPr>
          <w:rFonts w:asciiTheme="majorHAnsi" w:hAnsiTheme="majorHAnsi" w:cstheme="majorHAnsi"/>
          <w:sz w:val="24"/>
          <w:szCs w:val="24"/>
        </w:rPr>
        <w:t xml:space="preserve">This </w:t>
      </w:r>
      <w:r w:rsidR="0001085A">
        <w:rPr>
          <w:rFonts w:asciiTheme="majorHAnsi" w:hAnsiTheme="majorHAnsi" w:cstheme="majorHAnsi"/>
          <w:sz w:val="24"/>
          <w:szCs w:val="24"/>
        </w:rPr>
        <w:t xml:space="preserve">initial </w:t>
      </w:r>
      <w:r w:rsidR="004C4A67" w:rsidRPr="004C4A67">
        <w:rPr>
          <w:rFonts w:asciiTheme="majorHAnsi" w:hAnsiTheme="majorHAnsi" w:cstheme="majorHAnsi"/>
          <w:sz w:val="24"/>
          <w:szCs w:val="24"/>
        </w:rPr>
        <w:t xml:space="preserve">examination of student voice </w:t>
      </w:r>
      <w:r w:rsidR="00870E2B">
        <w:rPr>
          <w:rFonts w:asciiTheme="majorHAnsi" w:hAnsiTheme="majorHAnsi" w:cstheme="majorHAnsi"/>
          <w:sz w:val="24"/>
          <w:szCs w:val="24"/>
        </w:rPr>
        <w:t>gave us</w:t>
      </w:r>
      <w:r w:rsidR="004C4A67" w:rsidRPr="004C4A67">
        <w:rPr>
          <w:rFonts w:asciiTheme="majorHAnsi" w:hAnsiTheme="majorHAnsi" w:cstheme="majorHAnsi"/>
          <w:sz w:val="24"/>
          <w:szCs w:val="24"/>
        </w:rPr>
        <w:t xml:space="preserve"> markers that</w:t>
      </w:r>
      <w:r w:rsidR="00870E2B">
        <w:rPr>
          <w:rFonts w:asciiTheme="majorHAnsi" w:hAnsiTheme="majorHAnsi" w:cstheme="majorHAnsi"/>
          <w:sz w:val="24"/>
          <w:szCs w:val="24"/>
        </w:rPr>
        <w:t xml:space="preserve"> would</w:t>
      </w:r>
      <w:r w:rsidR="004C4A67" w:rsidRPr="004C4A67">
        <w:rPr>
          <w:rFonts w:asciiTheme="majorHAnsi" w:hAnsiTheme="majorHAnsi" w:cstheme="majorHAnsi"/>
          <w:sz w:val="24"/>
          <w:szCs w:val="24"/>
        </w:rPr>
        <w:t xml:space="preserve"> positively affect student wellbeing</w:t>
      </w:r>
      <w:r w:rsidR="00A53006">
        <w:rPr>
          <w:rFonts w:asciiTheme="majorHAnsi" w:hAnsiTheme="majorHAnsi" w:cstheme="majorHAnsi"/>
          <w:sz w:val="24"/>
          <w:szCs w:val="24"/>
        </w:rPr>
        <w:t xml:space="preserve"> when integrated into</w:t>
      </w:r>
      <w:r w:rsidR="00F92E78">
        <w:rPr>
          <w:rFonts w:asciiTheme="majorHAnsi" w:hAnsiTheme="majorHAnsi" w:cstheme="majorHAnsi"/>
          <w:sz w:val="24"/>
          <w:szCs w:val="24"/>
        </w:rPr>
        <w:t xml:space="preserve"> </w:t>
      </w:r>
      <w:r w:rsidR="00870E2B">
        <w:rPr>
          <w:rFonts w:asciiTheme="majorHAnsi" w:hAnsiTheme="majorHAnsi" w:cstheme="majorHAnsi"/>
          <w:sz w:val="24"/>
          <w:szCs w:val="24"/>
        </w:rPr>
        <w:t>the module</w:t>
      </w:r>
      <w:r w:rsidR="00A669C8">
        <w:rPr>
          <w:rFonts w:asciiTheme="majorHAnsi" w:hAnsiTheme="majorHAnsi" w:cstheme="majorHAnsi"/>
          <w:sz w:val="24"/>
          <w:szCs w:val="24"/>
        </w:rPr>
        <w:t xml:space="preserve"> and the </w:t>
      </w:r>
      <w:r w:rsidR="00572AD3">
        <w:rPr>
          <w:rFonts w:asciiTheme="majorHAnsi" w:hAnsiTheme="majorHAnsi" w:cstheme="majorHAnsi"/>
          <w:sz w:val="24"/>
          <w:szCs w:val="24"/>
        </w:rPr>
        <w:t>degree</w:t>
      </w:r>
      <w:r w:rsidR="00A669C8">
        <w:rPr>
          <w:rFonts w:asciiTheme="majorHAnsi" w:hAnsiTheme="majorHAnsi" w:cstheme="majorHAnsi"/>
          <w:sz w:val="24"/>
          <w:szCs w:val="24"/>
        </w:rPr>
        <w:t>.</w:t>
      </w:r>
    </w:p>
    <w:p w14:paraId="2FFE0436" w14:textId="50937742" w:rsidR="00745098" w:rsidRDefault="0060671F" w:rsidP="00745098">
      <w:pPr>
        <w:spacing w:line="240" w:lineRule="auto"/>
        <w:jc w:val="both"/>
        <w:rPr>
          <w:rFonts w:asciiTheme="majorHAnsi" w:hAnsiTheme="majorHAnsi" w:cstheme="majorHAnsi"/>
          <w:b/>
          <w:bCs/>
          <w:sz w:val="24"/>
          <w:szCs w:val="24"/>
        </w:rPr>
      </w:pPr>
      <w:r>
        <w:rPr>
          <w:rFonts w:asciiTheme="majorHAnsi" w:hAnsiTheme="majorHAnsi" w:cstheme="majorHAnsi"/>
          <w:b/>
          <w:bCs/>
          <w:sz w:val="24"/>
          <w:szCs w:val="24"/>
        </w:rPr>
        <w:t>8</w:t>
      </w:r>
      <w:r w:rsidR="003B42B3">
        <w:rPr>
          <w:rFonts w:asciiTheme="majorHAnsi" w:hAnsiTheme="majorHAnsi" w:cstheme="majorHAnsi"/>
          <w:b/>
          <w:bCs/>
          <w:sz w:val="24"/>
          <w:szCs w:val="24"/>
        </w:rPr>
        <w:t xml:space="preserve">. </w:t>
      </w:r>
      <w:r w:rsidR="00E26CB5">
        <w:rPr>
          <w:rFonts w:asciiTheme="majorHAnsi" w:hAnsiTheme="majorHAnsi" w:cstheme="majorHAnsi"/>
          <w:b/>
          <w:bCs/>
          <w:sz w:val="24"/>
          <w:szCs w:val="24"/>
        </w:rPr>
        <w:t>Discussion and conclusions</w:t>
      </w:r>
    </w:p>
    <w:p w14:paraId="117807A8" w14:textId="4B132847" w:rsidR="00FC5B69" w:rsidRDefault="0033763A" w:rsidP="00FC5B69">
      <w:pPr>
        <w:spacing w:line="240" w:lineRule="auto"/>
        <w:jc w:val="both"/>
        <w:rPr>
          <w:rFonts w:asciiTheme="majorHAnsi" w:hAnsiTheme="majorHAnsi" w:cstheme="majorHAnsi"/>
          <w:i/>
          <w:iCs/>
          <w:sz w:val="24"/>
          <w:szCs w:val="24"/>
        </w:rPr>
      </w:pPr>
      <w:bookmarkStart w:id="14" w:name="_Hlk79407307"/>
      <w:r>
        <w:rPr>
          <w:rFonts w:asciiTheme="majorHAnsi" w:hAnsiTheme="majorHAnsi" w:cstheme="majorHAnsi"/>
          <w:i/>
          <w:iCs/>
          <w:sz w:val="24"/>
          <w:szCs w:val="24"/>
        </w:rPr>
        <w:t>W</w:t>
      </w:r>
      <w:r w:rsidR="00FC5B69" w:rsidRPr="00FC5B69">
        <w:rPr>
          <w:rFonts w:asciiTheme="majorHAnsi" w:hAnsiTheme="majorHAnsi" w:cstheme="majorHAnsi"/>
          <w:i/>
          <w:iCs/>
          <w:sz w:val="24"/>
          <w:szCs w:val="24"/>
        </w:rPr>
        <w:t>hat worked well</w:t>
      </w:r>
      <w:r>
        <w:rPr>
          <w:rFonts w:asciiTheme="majorHAnsi" w:hAnsiTheme="majorHAnsi" w:cstheme="majorHAnsi"/>
          <w:i/>
          <w:iCs/>
          <w:sz w:val="24"/>
          <w:szCs w:val="24"/>
        </w:rPr>
        <w:t>,</w:t>
      </w:r>
      <w:r w:rsidR="00642E16">
        <w:rPr>
          <w:rFonts w:asciiTheme="majorHAnsi" w:hAnsiTheme="majorHAnsi" w:cstheme="majorHAnsi"/>
          <w:i/>
          <w:iCs/>
          <w:sz w:val="24"/>
          <w:szCs w:val="24"/>
        </w:rPr>
        <w:t xml:space="preserve"> and why</w:t>
      </w:r>
      <w:r w:rsidR="00FC5B69" w:rsidRPr="00FC5B69">
        <w:rPr>
          <w:rFonts w:asciiTheme="majorHAnsi" w:hAnsiTheme="majorHAnsi" w:cstheme="majorHAnsi"/>
          <w:i/>
          <w:iCs/>
          <w:sz w:val="24"/>
          <w:szCs w:val="24"/>
        </w:rPr>
        <w:t>?</w:t>
      </w:r>
    </w:p>
    <w:p w14:paraId="21CB21C7" w14:textId="647BA56E" w:rsidR="004B4135" w:rsidRPr="0033763A" w:rsidRDefault="002E335A" w:rsidP="00FC5B69">
      <w:pPr>
        <w:spacing w:line="240" w:lineRule="auto"/>
        <w:jc w:val="both"/>
        <w:rPr>
          <w:rFonts w:asciiTheme="majorHAnsi" w:hAnsiTheme="majorHAnsi" w:cstheme="majorHAnsi"/>
          <w:sz w:val="24"/>
          <w:szCs w:val="24"/>
        </w:rPr>
      </w:pPr>
      <w:r w:rsidRPr="0033763A">
        <w:rPr>
          <w:rFonts w:asciiTheme="majorHAnsi" w:hAnsiTheme="majorHAnsi" w:cstheme="majorHAnsi"/>
          <w:sz w:val="24"/>
          <w:szCs w:val="24"/>
        </w:rPr>
        <w:t>T</w:t>
      </w:r>
      <w:r>
        <w:rPr>
          <w:rFonts w:asciiTheme="majorHAnsi" w:hAnsiTheme="majorHAnsi" w:cstheme="majorHAnsi"/>
          <w:sz w:val="24"/>
          <w:szCs w:val="24"/>
        </w:rPr>
        <w:t xml:space="preserve">he team approach is integral to </w:t>
      </w:r>
      <w:r w:rsidRPr="0033763A">
        <w:rPr>
          <w:rFonts w:asciiTheme="majorHAnsi" w:hAnsiTheme="majorHAnsi" w:cstheme="majorHAnsi"/>
          <w:sz w:val="24"/>
          <w:szCs w:val="24"/>
        </w:rPr>
        <w:t>Legal Essential</w:t>
      </w:r>
      <w:r>
        <w:rPr>
          <w:rFonts w:asciiTheme="majorHAnsi" w:hAnsiTheme="majorHAnsi" w:cstheme="majorHAnsi"/>
          <w:sz w:val="24"/>
          <w:szCs w:val="24"/>
        </w:rPr>
        <w:t xml:space="preserve">s. </w:t>
      </w:r>
      <w:r w:rsidRPr="0033763A">
        <w:rPr>
          <w:rFonts w:asciiTheme="majorHAnsi" w:hAnsiTheme="majorHAnsi" w:cstheme="majorHAnsi"/>
          <w:sz w:val="24"/>
          <w:szCs w:val="24"/>
        </w:rPr>
        <w:t>The co</w:t>
      </w:r>
      <w:r>
        <w:rPr>
          <w:rFonts w:asciiTheme="majorHAnsi" w:hAnsiTheme="majorHAnsi" w:cstheme="majorHAnsi"/>
          <w:sz w:val="24"/>
          <w:szCs w:val="24"/>
        </w:rPr>
        <w:t>llaborative</w:t>
      </w:r>
      <w:r w:rsidRPr="0033763A">
        <w:rPr>
          <w:rFonts w:asciiTheme="majorHAnsi" w:hAnsiTheme="majorHAnsi" w:cstheme="majorHAnsi"/>
          <w:sz w:val="24"/>
          <w:szCs w:val="24"/>
        </w:rPr>
        <w:t xml:space="preserve"> </w:t>
      </w:r>
      <w:r w:rsidR="00955E40">
        <w:rPr>
          <w:rFonts w:asciiTheme="majorHAnsi" w:hAnsiTheme="majorHAnsi" w:cstheme="majorHAnsi"/>
          <w:sz w:val="24"/>
          <w:szCs w:val="24"/>
        </w:rPr>
        <w:t>approach to</w:t>
      </w:r>
      <w:r w:rsidRPr="0033763A">
        <w:rPr>
          <w:rFonts w:asciiTheme="majorHAnsi" w:hAnsiTheme="majorHAnsi" w:cstheme="majorHAnsi"/>
          <w:sz w:val="24"/>
          <w:szCs w:val="24"/>
        </w:rPr>
        <w:t xml:space="preserve"> delivery enabled students to be introduced to staff they</w:t>
      </w:r>
      <w:r>
        <w:rPr>
          <w:rFonts w:asciiTheme="majorHAnsi" w:hAnsiTheme="majorHAnsi" w:cstheme="majorHAnsi"/>
          <w:sz w:val="24"/>
          <w:szCs w:val="24"/>
        </w:rPr>
        <w:t xml:space="preserve"> would</w:t>
      </w:r>
      <w:r w:rsidRPr="0033763A">
        <w:rPr>
          <w:rFonts w:asciiTheme="majorHAnsi" w:hAnsiTheme="majorHAnsi" w:cstheme="majorHAnsi"/>
          <w:sz w:val="24"/>
          <w:szCs w:val="24"/>
        </w:rPr>
        <w:t xml:space="preserve"> be working with in core modules post-induction – again</w:t>
      </w:r>
      <w:commentRangeStart w:id="15"/>
      <w:commentRangeStart w:id="16"/>
      <w:r w:rsidRPr="0033763A">
        <w:rPr>
          <w:rFonts w:asciiTheme="majorHAnsi" w:hAnsiTheme="majorHAnsi" w:cstheme="majorHAnsi"/>
          <w:sz w:val="24"/>
          <w:szCs w:val="24"/>
        </w:rPr>
        <w:t xml:space="preserve">, </w:t>
      </w:r>
      <w:r w:rsidR="00D3599D">
        <w:rPr>
          <w:rFonts w:asciiTheme="majorHAnsi" w:hAnsiTheme="majorHAnsi" w:cstheme="majorHAnsi"/>
          <w:sz w:val="24"/>
          <w:szCs w:val="24"/>
        </w:rPr>
        <w:t xml:space="preserve">aimed at </w:t>
      </w:r>
      <w:r w:rsidRPr="0033763A">
        <w:rPr>
          <w:rFonts w:asciiTheme="majorHAnsi" w:hAnsiTheme="majorHAnsi" w:cstheme="majorHAnsi"/>
          <w:sz w:val="24"/>
          <w:szCs w:val="24"/>
        </w:rPr>
        <w:t xml:space="preserve">enhancing </w:t>
      </w:r>
      <w:commentRangeEnd w:id="15"/>
      <w:r w:rsidR="00345228">
        <w:rPr>
          <w:rStyle w:val="CommentReference"/>
        </w:rPr>
        <w:commentReference w:id="15"/>
      </w:r>
      <w:commentRangeEnd w:id="16"/>
      <w:r w:rsidR="00D3599D">
        <w:rPr>
          <w:rStyle w:val="CommentReference"/>
        </w:rPr>
        <w:commentReference w:id="16"/>
      </w:r>
      <w:r w:rsidRPr="0033763A">
        <w:rPr>
          <w:rFonts w:asciiTheme="majorHAnsi" w:hAnsiTheme="majorHAnsi" w:cstheme="majorHAnsi"/>
          <w:sz w:val="24"/>
          <w:szCs w:val="24"/>
        </w:rPr>
        <w:t>the sense of community</w:t>
      </w:r>
      <w:r>
        <w:rPr>
          <w:rFonts w:asciiTheme="majorHAnsi" w:hAnsiTheme="majorHAnsi" w:cstheme="majorHAnsi"/>
          <w:sz w:val="24"/>
          <w:szCs w:val="24"/>
        </w:rPr>
        <w:t xml:space="preserve"> in the Law School</w:t>
      </w:r>
      <w:r w:rsidRPr="0033763A">
        <w:rPr>
          <w:rFonts w:asciiTheme="majorHAnsi" w:hAnsiTheme="majorHAnsi" w:cstheme="majorHAnsi"/>
          <w:sz w:val="24"/>
          <w:szCs w:val="24"/>
        </w:rPr>
        <w:t xml:space="preserve">. </w:t>
      </w:r>
      <w:r w:rsidR="004B4135" w:rsidRPr="0033763A">
        <w:rPr>
          <w:rFonts w:asciiTheme="majorHAnsi" w:hAnsiTheme="majorHAnsi" w:cstheme="majorHAnsi"/>
          <w:sz w:val="24"/>
          <w:szCs w:val="24"/>
        </w:rPr>
        <w:t xml:space="preserve">The collaborative approach to design </w:t>
      </w:r>
      <w:r w:rsidR="00955E40">
        <w:rPr>
          <w:rFonts w:asciiTheme="majorHAnsi" w:hAnsiTheme="majorHAnsi" w:cstheme="majorHAnsi"/>
          <w:sz w:val="24"/>
          <w:szCs w:val="24"/>
        </w:rPr>
        <w:t>also gave the</w:t>
      </w:r>
      <w:r w:rsidR="002248DB">
        <w:rPr>
          <w:rFonts w:asciiTheme="majorHAnsi" w:hAnsiTheme="majorHAnsi" w:cstheme="majorHAnsi"/>
          <w:sz w:val="24"/>
          <w:szCs w:val="24"/>
        </w:rPr>
        <w:t xml:space="preserve"> teaching </w:t>
      </w:r>
      <w:commentRangeStart w:id="17"/>
      <w:commentRangeStart w:id="18"/>
      <w:r w:rsidR="002248DB">
        <w:rPr>
          <w:rFonts w:asciiTheme="majorHAnsi" w:hAnsiTheme="majorHAnsi" w:cstheme="majorHAnsi"/>
          <w:sz w:val="24"/>
          <w:szCs w:val="24"/>
        </w:rPr>
        <w:t>team a valuable sense of community</w:t>
      </w:r>
      <w:commentRangeEnd w:id="17"/>
      <w:r w:rsidR="00345228">
        <w:rPr>
          <w:rStyle w:val="CommentReference"/>
        </w:rPr>
        <w:commentReference w:id="17"/>
      </w:r>
      <w:commentRangeEnd w:id="18"/>
      <w:r w:rsidR="00D3599D">
        <w:rPr>
          <w:rStyle w:val="CommentReference"/>
        </w:rPr>
        <w:commentReference w:id="18"/>
      </w:r>
      <w:r w:rsidR="00D3599D">
        <w:rPr>
          <w:rFonts w:asciiTheme="majorHAnsi" w:hAnsiTheme="majorHAnsi" w:cstheme="majorHAnsi"/>
          <w:sz w:val="24"/>
          <w:szCs w:val="24"/>
        </w:rPr>
        <w:t>, as evidenced in our team meetings</w:t>
      </w:r>
      <w:r w:rsidR="002248DB">
        <w:rPr>
          <w:rFonts w:asciiTheme="majorHAnsi" w:hAnsiTheme="majorHAnsi" w:cstheme="majorHAnsi"/>
          <w:sz w:val="24"/>
          <w:szCs w:val="24"/>
        </w:rPr>
        <w:t>.</w:t>
      </w:r>
      <w:r w:rsidR="004B4135" w:rsidRPr="0033763A">
        <w:rPr>
          <w:rFonts w:asciiTheme="majorHAnsi" w:hAnsiTheme="majorHAnsi" w:cstheme="majorHAnsi"/>
          <w:sz w:val="24"/>
          <w:szCs w:val="24"/>
        </w:rPr>
        <w:t xml:space="preserve"> The team </w:t>
      </w:r>
      <w:r w:rsidR="004545DB">
        <w:rPr>
          <w:rFonts w:asciiTheme="majorHAnsi" w:hAnsiTheme="majorHAnsi" w:cstheme="majorHAnsi"/>
          <w:sz w:val="24"/>
          <w:szCs w:val="24"/>
        </w:rPr>
        <w:t>was</w:t>
      </w:r>
      <w:r w:rsidR="004B4135" w:rsidRPr="0033763A">
        <w:rPr>
          <w:rFonts w:asciiTheme="majorHAnsi" w:hAnsiTheme="majorHAnsi" w:cstheme="majorHAnsi"/>
          <w:sz w:val="24"/>
          <w:szCs w:val="24"/>
        </w:rPr>
        <w:t xml:space="preserve"> </w:t>
      </w:r>
      <w:r w:rsidR="004545DB">
        <w:rPr>
          <w:rFonts w:asciiTheme="majorHAnsi" w:hAnsiTheme="majorHAnsi" w:cstheme="majorHAnsi"/>
          <w:sz w:val="24"/>
          <w:szCs w:val="24"/>
        </w:rPr>
        <w:t xml:space="preserve">also </w:t>
      </w:r>
      <w:r w:rsidR="004B4135" w:rsidRPr="0033763A">
        <w:rPr>
          <w:rFonts w:asciiTheme="majorHAnsi" w:hAnsiTheme="majorHAnsi" w:cstheme="majorHAnsi"/>
          <w:sz w:val="24"/>
          <w:szCs w:val="24"/>
        </w:rPr>
        <w:t xml:space="preserve">able to </w:t>
      </w:r>
      <w:r w:rsidR="00E515C1" w:rsidRPr="0033763A">
        <w:rPr>
          <w:rFonts w:asciiTheme="majorHAnsi" w:hAnsiTheme="majorHAnsi" w:cstheme="majorHAnsi"/>
          <w:sz w:val="24"/>
          <w:szCs w:val="24"/>
        </w:rPr>
        <w:t>draw</w:t>
      </w:r>
      <w:r w:rsidR="004B4135" w:rsidRPr="0033763A">
        <w:rPr>
          <w:rFonts w:asciiTheme="majorHAnsi" w:hAnsiTheme="majorHAnsi" w:cstheme="majorHAnsi"/>
          <w:sz w:val="24"/>
          <w:szCs w:val="24"/>
        </w:rPr>
        <w:t xml:space="preserve"> on support staff (librarians, career advisors and professional services) and student groups</w:t>
      </w:r>
      <w:r w:rsidR="004545DB">
        <w:rPr>
          <w:rFonts w:asciiTheme="majorHAnsi" w:hAnsiTheme="majorHAnsi" w:cstheme="majorHAnsi"/>
          <w:sz w:val="24"/>
          <w:szCs w:val="24"/>
        </w:rPr>
        <w:t>,</w:t>
      </w:r>
      <w:r w:rsidR="004B4135" w:rsidRPr="0033763A">
        <w:rPr>
          <w:rFonts w:asciiTheme="majorHAnsi" w:hAnsiTheme="majorHAnsi" w:cstheme="majorHAnsi"/>
          <w:sz w:val="24"/>
          <w:szCs w:val="24"/>
        </w:rPr>
        <w:t xml:space="preserve"> including the Student Union and Law Society.</w:t>
      </w:r>
      <w:r w:rsidR="00C7081E">
        <w:rPr>
          <w:rFonts w:asciiTheme="majorHAnsi" w:hAnsiTheme="majorHAnsi" w:cstheme="majorHAnsi"/>
          <w:sz w:val="24"/>
          <w:szCs w:val="24"/>
        </w:rPr>
        <w:t xml:space="preserve"> </w:t>
      </w:r>
      <w:r w:rsidR="004B4135" w:rsidRPr="0033763A">
        <w:rPr>
          <w:rFonts w:asciiTheme="majorHAnsi" w:hAnsiTheme="majorHAnsi" w:cstheme="majorHAnsi"/>
          <w:sz w:val="24"/>
          <w:szCs w:val="24"/>
        </w:rPr>
        <w:t xml:space="preserve">Incorporating </w:t>
      </w:r>
      <w:r w:rsidR="004A058E">
        <w:rPr>
          <w:rFonts w:asciiTheme="majorHAnsi" w:hAnsiTheme="majorHAnsi" w:cstheme="majorHAnsi"/>
          <w:sz w:val="24"/>
          <w:szCs w:val="24"/>
        </w:rPr>
        <w:t>a</w:t>
      </w:r>
      <w:r w:rsidR="004B4135" w:rsidRPr="0033763A">
        <w:rPr>
          <w:rFonts w:asciiTheme="majorHAnsi" w:hAnsiTheme="majorHAnsi" w:cstheme="majorHAnsi"/>
          <w:sz w:val="24"/>
          <w:szCs w:val="24"/>
        </w:rPr>
        <w:t xml:space="preserve"> range of voices and expertise</w:t>
      </w:r>
      <w:r w:rsidR="003065B7" w:rsidRPr="0033763A">
        <w:rPr>
          <w:rFonts w:asciiTheme="majorHAnsi" w:hAnsiTheme="majorHAnsi" w:cstheme="majorHAnsi"/>
          <w:sz w:val="24"/>
          <w:szCs w:val="24"/>
        </w:rPr>
        <w:t xml:space="preserve"> (including the Head of School)</w:t>
      </w:r>
      <w:r w:rsidR="004B4135" w:rsidRPr="0033763A">
        <w:rPr>
          <w:rFonts w:asciiTheme="majorHAnsi" w:hAnsiTheme="majorHAnsi" w:cstheme="majorHAnsi"/>
          <w:sz w:val="24"/>
          <w:szCs w:val="24"/>
        </w:rPr>
        <w:t xml:space="preserve"> encouraged the team to step out of traditional teaching mode and focus on the module goals in an authentic and innovative manner. </w:t>
      </w:r>
      <w:r w:rsidR="00642E16" w:rsidRPr="0033763A">
        <w:rPr>
          <w:rFonts w:asciiTheme="majorHAnsi" w:hAnsiTheme="majorHAnsi" w:cstheme="majorHAnsi"/>
          <w:sz w:val="24"/>
          <w:szCs w:val="24"/>
        </w:rPr>
        <w:t xml:space="preserve">Many of the team had previously been involved </w:t>
      </w:r>
      <w:r w:rsidR="0015311F">
        <w:rPr>
          <w:rFonts w:asciiTheme="majorHAnsi" w:hAnsiTheme="majorHAnsi" w:cstheme="majorHAnsi"/>
          <w:sz w:val="24"/>
          <w:szCs w:val="24"/>
        </w:rPr>
        <w:t xml:space="preserve">in </w:t>
      </w:r>
      <w:r w:rsidR="00642E16" w:rsidRPr="0033763A">
        <w:rPr>
          <w:rFonts w:asciiTheme="majorHAnsi" w:hAnsiTheme="majorHAnsi" w:cstheme="majorHAnsi"/>
          <w:sz w:val="24"/>
          <w:szCs w:val="24"/>
        </w:rPr>
        <w:t>pastoral care and student support</w:t>
      </w:r>
      <w:r w:rsidR="0015311F">
        <w:rPr>
          <w:rFonts w:asciiTheme="majorHAnsi" w:hAnsiTheme="majorHAnsi" w:cstheme="majorHAnsi"/>
          <w:sz w:val="24"/>
          <w:szCs w:val="24"/>
        </w:rPr>
        <w:t xml:space="preserve"> roles</w:t>
      </w:r>
      <w:r w:rsidR="004A058E">
        <w:rPr>
          <w:rFonts w:asciiTheme="majorHAnsi" w:hAnsiTheme="majorHAnsi" w:cstheme="majorHAnsi"/>
          <w:sz w:val="24"/>
          <w:szCs w:val="24"/>
        </w:rPr>
        <w:t xml:space="preserve">, which </w:t>
      </w:r>
      <w:r w:rsidR="00642E16" w:rsidRPr="0033763A">
        <w:rPr>
          <w:rFonts w:asciiTheme="majorHAnsi" w:hAnsiTheme="majorHAnsi" w:cstheme="majorHAnsi"/>
          <w:sz w:val="24"/>
          <w:szCs w:val="24"/>
        </w:rPr>
        <w:t xml:space="preserve">helped </w:t>
      </w:r>
      <w:r w:rsidR="004A058E">
        <w:rPr>
          <w:rFonts w:asciiTheme="majorHAnsi" w:hAnsiTheme="majorHAnsi" w:cstheme="majorHAnsi"/>
          <w:sz w:val="24"/>
          <w:szCs w:val="24"/>
        </w:rPr>
        <w:t>us</w:t>
      </w:r>
      <w:r w:rsidR="00642E16" w:rsidRPr="0033763A">
        <w:rPr>
          <w:rFonts w:asciiTheme="majorHAnsi" w:hAnsiTheme="majorHAnsi" w:cstheme="majorHAnsi"/>
          <w:sz w:val="24"/>
          <w:szCs w:val="24"/>
        </w:rPr>
        <w:t xml:space="preserve"> </w:t>
      </w:r>
      <w:r w:rsidR="004A058E">
        <w:rPr>
          <w:rFonts w:asciiTheme="majorHAnsi" w:hAnsiTheme="majorHAnsi" w:cstheme="majorHAnsi"/>
          <w:sz w:val="24"/>
          <w:szCs w:val="24"/>
        </w:rPr>
        <w:t>interrogate</w:t>
      </w:r>
      <w:r w:rsidR="00DE71BB" w:rsidRPr="0033763A">
        <w:rPr>
          <w:rFonts w:asciiTheme="majorHAnsi" w:hAnsiTheme="majorHAnsi" w:cstheme="majorHAnsi"/>
          <w:sz w:val="24"/>
          <w:szCs w:val="24"/>
        </w:rPr>
        <w:t xml:space="preserve"> our goals</w:t>
      </w:r>
      <w:r w:rsidR="00571C11">
        <w:rPr>
          <w:rFonts w:asciiTheme="majorHAnsi" w:hAnsiTheme="majorHAnsi" w:cstheme="majorHAnsi"/>
          <w:sz w:val="24"/>
          <w:szCs w:val="24"/>
        </w:rPr>
        <w:t xml:space="preserve"> and</w:t>
      </w:r>
      <w:r w:rsidR="00DE71BB" w:rsidRPr="0033763A">
        <w:rPr>
          <w:rFonts w:asciiTheme="majorHAnsi" w:hAnsiTheme="majorHAnsi" w:cstheme="majorHAnsi"/>
          <w:sz w:val="24"/>
          <w:szCs w:val="24"/>
        </w:rPr>
        <w:t xml:space="preserve"> learning outcomes, and </w:t>
      </w:r>
      <w:r w:rsidR="00571C11">
        <w:rPr>
          <w:rFonts w:asciiTheme="majorHAnsi" w:hAnsiTheme="majorHAnsi" w:cstheme="majorHAnsi"/>
          <w:sz w:val="24"/>
          <w:szCs w:val="24"/>
        </w:rPr>
        <w:t xml:space="preserve">the </w:t>
      </w:r>
      <w:r w:rsidR="00DE71BB" w:rsidRPr="0033763A">
        <w:rPr>
          <w:rFonts w:asciiTheme="majorHAnsi" w:hAnsiTheme="majorHAnsi" w:cstheme="majorHAnsi"/>
          <w:sz w:val="24"/>
          <w:szCs w:val="24"/>
        </w:rPr>
        <w:t>routes to achieving the</w:t>
      </w:r>
      <w:r w:rsidR="00571C11">
        <w:rPr>
          <w:rFonts w:asciiTheme="majorHAnsi" w:hAnsiTheme="majorHAnsi" w:cstheme="majorHAnsi"/>
          <w:sz w:val="24"/>
          <w:szCs w:val="24"/>
        </w:rPr>
        <w:t>m</w:t>
      </w:r>
      <w:r w:rsidR="004A058E">
        <w:rPr>
          <w:rFonts w:asciiTheme="majorHAnsi" w:hAnsiTheme="majorHAnsi" w:cstheme="majorHAnsi"/>
          <w:sz w:val="24"/>
          <w:szCs w:val="24"/>
        </w:rPr>
        <w:t xml:space="preserve">, </w:t>
      </w:r>
      <w:r w:rsidR="004A058E" w:rsidRPr="0033763A">
        <w:rPr>
          <w:rFonts w:asciiTheme="majorHAnsi" w:hAnsiTheme="majorHAnsi" w:cstheme="majorHAnsi"/>
          <w:sz w:val="24"/>
          <w:szCs w:val="24"/>
        </w:rPr>
        <w:t xml:space="preserve">in a safe </w:t>
      </w:r>
      <w:r w:rsidR="004A058E">
        <w:rPr>
          <w:rFonts w:asciiTheme="majorHAnsi" w:hAnsiTheme="majorHAnsi" w:cstheme="majorHAnsi"/>
          <w:sz w:val="24"/>
          <w:szCs w:val="24"/>
        </w:rPr>
        <w:t>and supportive environment.</w:t>
      </w:r>
      <w:r w:rsidR="00DE71BB" w:rsidRPr="0033763A">
        <w:rPr>
          <w:rFonts w:asciiTheme="majorHAnsi" w:hAnsiTheme="majorHAnsi" w:cstheme="majorHAnsi"/>
          <w:sz w:val="24"/>
          <w:szCs w:val="24"/>
        </w:rPr>
        <w:t xml:space="preserve"> Th</w:t>
      </w:r>
      <w:r w:rsidR="00EE27DB">
        <w:rPr>
          <w:rFonts w:asciiTheme="majorHAnsi" w:hAnsiTheme="majorHAnsi" w:cstheme="majorHAnsi"/>
          <w:sz w:val="24"/>
          <w:szCs w:val="24"/>
        </w:rPr>
        <w:t>e</w:t>
      </w:r>
      <w:r w:rsidR="00DE71BB" w:rsidRPr="0033763A">
        <w:rPr>
          <w:rFonts w:asciiTheme="majorHAnsi" w:hAnsiTheme="majorHAnsi" w:cstheme="majorHAnsi"/>
          <w:sz w:val="24"/>
          <w:szCs w:val="24"/>
        </w:rPr>
        <w:t xml:space="preserve"> experience has encouraged a new focus on teaching and learning theory as well as </w:t>
      </w:r>
      <w:r w:rsidR="000F15D9" w:rsidRPr="0033763A">
        <w:rPr>
          <w:rFonts w:asciiTheme="majorHAnsi" w:hAnsiTheme="majorHAnsi" w:cstheme="majorHAnsi"/>
          <w:sz w:val="24"/>
          <w:szCs w:val="24"/>
        </w:rPr>
        <w:t>opening</w:t>
      </w:r>
      <w:r w:rsidR="00DE71BB" w:rsidRPr="0033763A">
        <w:rPr>
          <w:rFonts w:asciiTheme="majorHAnsi" w:hAnsiTheme="majorHAnsi" w:cstheme="majorHAnsi"/>
          <w:sz w:val="24"/>
          <w:szCs w:val="24"/>
        </w:rPr>
        <w:t xml:space="preserve"> more avenues for personal reflective practice.</w:t>
      </w:r>
    </w:p>
    <w:p w14:paraId="1DA8C555" w14:textId="728DC6B3" w:rsidR="00946AC7" w:rsidRPr="0033763A" w:rsidRDefault="00946AC7" w:rsidP="00B0187E">
      <w:pPr>
        <w:spacing w:line="240" w:lineRule="auto"/>
        <w:jc w:val="both"/>
        <w:rPr>
          <w:rFonts w:asciiTheme="majorHAnsi" w:hAnsiTheme="majorHAnsi" w:cstheme="majorHAnsi"/>
          <w:sz w:val="24"/>
          <w:szCs w:val="24"/>
        </w:rPr>
      </w:pPr>
      <w:r w:rsidRPr="0033763A">
        <w:rPr>
          <w:rFonts w:asciiTheme="majorHAnsi" w:hAnsiTheme="majorHAnsi" w:cstheme="majorHAnsi"/>
          <w:sz w:val="24"/>
          <w:szCs w:val="24"/>
        </w:rPr>
        <w:lastRenderedPageBreak/>
        <w:t>Furthermore, the</w:t>
      </w:r>
      <w:r w:rsidR="00A23D4F">
        <w:rPr>
          <w:rFonts w:asciiTheme="majorHAnsi" w:hAnsiTheme="majorHAnsi" w:cstheme="majorHAnsi"/>
          <w:sz w:val="24"/>
          <w:szCs w:val="24"/>
        </w:rPr>
        <w:t xml:space="preserve"> design and delivery process</w:t>
      </w:r>
      <w:r w:rsidRPr="0033763A">
        <w:rPr>
          <w:rFonts w:asciiTheme="majorHAnsi" w:hAnsiTheme="majorHAnsi" w:cstheme="majorHAnsi"/>
          <w:sz w:val="24"/>
          <w:szCs w:val="24"/>
        </w:rPr>
        <w:t xml:space="preserve"> enabled </w:t>
      </w:r>
      <w:r w:rsidR="0042574B">
        <w:rPr>
          <w:rFonts w:asciiTheme="majorHAnsi" w:hAnsiTheme="majorHAnsi" w:cstheme="majorHAnsi"/>
          <w:sz w:val="24"/>
          <w:szCs w:val="24"/>
        </w:rPr>
        <w:t xml:space="preserve">the team </w:t>
      </w:r>
      <w:r w:rsidRPr="0033763A">
        <w:rPr>
          <w:rFonts w:asciiTheme="majorHAnsi" w:hAnsiTheme="majorHAnsi" w:cstheme="majorHAnsi"/>
          <w:sz w:val="24"/>
          <w:szCs w:val="24"/>
        </w:rPr>
        <w:t>to consider their own learning experiences and individual teaching voice</w:t>
      </w:r>
      <w:r w:rsidR="00B0187E" w:rsidRPr="0033763A">
        <w:rPr>
          <w:rFonts w:asciiTheme="majorHAnsi" w:hAnsiTheme="majorHAnsi" w:cstheme="majorHAnsi"/>
          <w:sz w:val="24"/>
          <w:szCs w:val="24"/>
        </w:rPr>
        <w:t xml:space="preserve"> within a shared vision</w:t>
      </w:r>
      <w:r w:rsidRPr="0033763A">
        <w:rPr>
          <w:rFonts w:asciiTheme="majorHAnsi" w:hAnsiTheme="majorHAnsi" w:cstheme="majorHAnsi"/>
          <w:sz w:val="24"/>
          <w:szCs w:val="24"/>
        </w:rPr>
        <w:t xml:space="preserve">. This </w:t>
      </w:r>
      <w:r w:rsidR="00B0187E" w:rsidRPr="0033763A">
        <w:rPr>
          <w:rFonts w:asciiTheme="majorHAnsi" w:hAnsiTheme="majorHAnsi" w:cstheme="majorHAnsi"/>
          <w:sz w:val="24"/>
          <w:szCs w:val="24"/>
        </w:rPr>
        <w:t xml:space="preserve">pedagogic </w:t>
      </w:r>
      <w:r w:rsidR="00B547C0">
        <w:rPr>
          <w:rFonts w:asciiTheme="majorHAnsi" w:hAnsiTheme="majorHAnsi" w:cstheme="majorHAnsi"/>
          <w:sz w:val="24"/>
          <w:szCs w:val="24"/>
        </w:rPr>
        <w:t>“</w:t>
      </w:r>
      <w:r w:rsidR="00B0187E" w:rsidRPr="0033763A">
        <w:rPr>
          <w:rFonts w:asciiTheme="majorHAnsi" w:hAnsiTheme="majorHAnsi" w:cstheme="majorHAnsi"/>
          <w:sz w:val="24"/>
          <w:szCs w:val="24"/>
        </w:rPr>
        <w:t xml:space="preserve">group </w:t>
      </w:r>
      <w:r w:rsidRPr="0033763A">
        <w:rPr>
          <w:rFonts w:asciiTheme="majorHAnsi" w:hAnsiTheme="majorHAnsi" w:cstheme="majorHAnsi"/>
          <w:sz w:val="24"/>
          <w:szCs w:val="24"/>
        </w:rPr>
        <w:t>consciousness</w:t>
      </w:r>
      <w:r w:rsidR="00B547C0">
        <w:rPr>
          <w:rFonts w:asciiTheme="majorHAnsi" w:hAnsiTheme="majorHAnsi" w:cstheme="majorHAnsi"/>
          <w:sz w:val="24"/>
          <w:szCs w:val="24"/>
        </w:rPr>
        <w:t>”</w:t>
      </w:r>
      <w:r w:rsidRPr="0033763A">
        <w:rPr>
          <w:rFonts w:asciiTheme="majorHAnsi" w:hAnsiTheme="majorHAnsi" w:cstheme="majorHAnsi"/>
          <w:sz w:val="24"/>
          <w:szCs w:val="24"/>
        </w:rPr>
        <w:t xml:space="preserve"> empowered the team to respond to in-session changes, technical issues, audience responsiveness</w:t>
      </w:r>
      <w:r w:rsidR="0042574B">
        <w:rPr>
          <w:rFonts w:asciiTheme="majorHAnsi" w:hAnsiTheme="majorHAnsi" w:cstheme="majorHAnsi"/>
          <w:sz w:val="24"/>
          <w:szCs w:val="24"/>
        </w:rPr>
        <w:t xml:space="preserve"> etc</w:t>
      </w:r>
      <w:r w:rsidRPr="0033763A">
        <w:rPr>
          <w:rFonts w:asciiTheme="majorHAnsi" w:hAnsiTheme="majorHAnsi" w:cstheme="majorHAnsi"/>
          <w:sz w:val="24"/>
          <w:szCs w:val="24"/>
        </w:rPr>
        <w:t xml:space="preserve"> in a mindful and cooperative manner</w:t>
      </w:r>
      <w:r w:rsidR="00B0187E" w:rsidRPr="0033763A">
        <w:rPr>
          <w:rFonts w:asciiTheme="majorHAnsi" w:hAnsiTheme="majorHAnsi" w:cstheme="majorHAnsi"/>
          <w:sz w:val="24"/>
          <w:szCs w:val="24"/>
        </w:rPr>
        <w:t xml:space="preserve">. </w:t>
      </w:r>
      <w:r w:rsidR="00B03586">
        <w:rPr>
          <w:rFonts w:asciiTheme="majorHAnsi" w:hAnsiTheme="majorHAnsi" w:cstheme="majorHAnsi"/>
          <w:sz w:val="24"/>
          <w:szCs w:val="24"/>
        </w:rPr>
        <w:t xml:space="preserve">The allocation of </w:t>
      </w:r>
      <w:r w:rsidR="00B03586" w:rsidRPr="0033763A">
        <w:rPr>
          <w:rFonts w:asciiTheme="majorHAnsi" w:hAnsiTheme="majorHAnsi" w:cstheme="majorHAnsi"/>
          <w:sz w:val="24"/>
          <w:szCs w:val="24"/>
        </w:rPr>
        <w:t xml:space="preserve">teaching </w:t>
      </w:r>
      <w:r w:rsidR="00B03586">
        <w:rPr>
          <w:rFonts w:asciiTheme="majorHAnsi" w:hAnsiTheme="majorHAnsi" w:cstheme="majorHAnsi"/>
          <w:sz w:val="24"/>
          <w:szCs w:val="24"/>
        </w:rPr>
        <w:t xml:space="preserve">topics </w:t>
      </w:r>
      <w:r w:rsidR="00B03586" w:rsidRPr="0033763A">
        <w:rPr>
          <w:rFonts w:asciiTheme="majorHAnsi" w:hAnsiTheme="majorHAnsi" w:cstheme="majorHAnsi"/>
          <w:sz w:val="24"/>
          <w:szCs w:val="24"/>
        </w:rPr>
        <w:t xml:space="preserve">supported the specific skills and </w:t>
      </w:r>
      <w:r w:rsidR="00B03586">
        <w:rPr>
          <w:rFonts w:asciiTheme="majorHAnsi" w:hAnsiTheme="majorHAnsi" w:cstheme="majorHAnsi"/>
          <w:sz w:val="24"/>
          <w:szCs w:val="24"/>
        </w:rPr>
        <w:t xml:space="preserve">diverse </w:t>
      </w:r>
      <w:r w:rsidR="00B03586" w:rsidRPr="0033763A">
        <w:rPr>
          <w:rFonts w:asciiTheme="majorHAnsi" w:hAnsiTheme="majorHAnsi" w:cstheme="majorHAnsi"/>
          <w:sz w:val="24"/>
          <w:szCs w:val="24"/>
        </w:rPr>
        <w:t xml:space="preserve">teaching experience of the academics involved. </w:t>
      </w:r>
      <w:r w:rsidR="00946A51" w:rsidRPr="0033763A">
        <w:rPr>
          <w:rFonts w:asciiTheme="majorHAnsi" w:hAnsiTheme="majorHAnsi" w:cstheme="majorHAnsi"/>
          <w:sz w:val="24"/>
          <w:szCs w:val="24"/>
        </w:rPr>
        <w:t xml:space="preserve">The group approach to planning encouraged an examination and awareness of </w:t>
      </w:r>
      <w:r w:rsidR="006C5D0F">
        <w:rPr>
          <w:rFonts w:asciiTheme="majorHAnsi" w:hAnsiTheme="majorHAnsi" w:cstheme="majorHAnsi"/>
          <w:sz w:val="24"/>
          <w:szCs w:val="24"/>
        </w:rPr>
        <w:t xml:space="preserve">our </w:t>
      </w:r>
      <w:r w:rsidR="00946A51" w:rsidRPr="0033763A">
        <w:rPr>
          <w:rFonts w:asciiTheme="majorHAnsi" w:hAnsiTheme="majorHAnsi" w:cstheme="majorHAnsi"/>
          <w:sz w:val="24"/>
          <w:szCs w:val="24"/>
        </w:rPr>
        <w:t xml:space="preserve">different motivations, </w:t>
      </w:r>
      <w:r w:rsidR="006C5D0F">
        <w:rPr>
          <w:rFonts w:asciiTheme="majorHAnsi" w:hAnsiTheme="majorHAnsi" w:cstheme="majorHAnsi"/>
          <w:sz w:val="24"/>
          <w:szCs w:val="24"/>
        </w:rPr>
        <w:t xml:space="preserve">interests, </w:t>
      </w:r>
      <w:r w:rsidR="008151E8">
        <w:rPr>
          <w:rFonts w:asciiTheme="majorHAnsi" w:hAnsiTheme="majorHAnsi" w:cstheme="majorHAnsi"/>
          <w:sz w:val="24"/>
          <w:szCs w:val="24"/>
        </w:rPr>
        <w:t>skills,</w:t>
      </w:r>
      <w:r w:rsidR="006C5D0F">
        <w:rPr>
          <w:rFonts w:asciiTheme="majorHAnsi" w:hAnsiTheme="majorHAnsi" w:cstheme="majorHAnsi"/>
          <w:sz w:val="24"/>
          <w:szCs w:val="24"/>
        </w:rPr>
        <w:t xml:space="preserve"> and </w:t>
      </w:r>
      <w:r w:rsidR="00946A51" w:rsidRPr="0033763A">
        <w:rPr>
          <w:rFonts w:asciiTheme="majorHAnsi" w:hAnsiTheme="majorHAnsi" w:cstheme="majorHAnsi"/>
          <w:sz w:val="24"/>
          <w:szCs w:val="24"/>
        </w:rPr>
        <w:t>limitations</w:t>
      </w:r>
      <w:r w:rsidR="006C5D0F">
        <w:rPr>
          <w:rFonts w:asciiTheme="majorHAnsi" w:hAnsiTheme="majorHAnsi" w:cstheme="majorHAnsi"/>
          <w:sz w:val="24"/>
          <w:szCs w:val="24"/>
        </w:rPr>
        <w:t xml:space="preserve">, </w:t>
      </w:r>
      <w:r w:rsidR="00946A51" w:rsidRPr="0033763A">
        <w:rPr>
          <w:rFonts w:asciiTheme="majorHAnsi" w:hAnsiTheme="majorHAnsi" w:cstheme="majorHAnsi"/>
          <w:sz w:val="24"/>
          <w:szCs w:val="24"/>
        </w:rPr>
        <w:t xml:space="preserve">which </w:t>
      </w:r>
      <w:r w:rsidR="006C5D0F">
        <w:rPr>
          <w:rFonts w:asciiTheme="majorHAnsi" w:hAnsiTheme="majorHAnsi" w:cstheme="majorHAnsi"/>
          <w:sz w:val="24"/>
          <w:szCs w:val="24"/>
        </w:rPr>
        <w:t>directly informed</w:t>
      </w:r>
      <w:r w:rsidR="00946A51" w:rsidRPr="0033763A">
        <w:rPr>
          <w:rFonts w:asciiTheme="majorHAnsi" w:hAnsiTheme="majorHAnsi" w:cstheme="majorHAnsi"/>
          <w:sz w:val="24"/>
          <w:szCs w:val="24"/>
        </w:rPr>
        <w:t xml:space="preserve"> the development of the </w:t>
      </w:r>
      <w:r w:rsidR="00FE4DD6">
        <w:rPr>
          <w:rFonts w:asciiTheme="majorHAnsi" w:hAnsiTheme="majorHAnsi" w:cstheme="majorHAnsi"/>
          <w:sz w:val="24"/>
          <w:szCs w:val="24"/>
        </w:rPr>
        <w:t xml:space="preserve">four </w:t>
      </w:r>
      <w:r w:rsidR="00946A51" w:rsidRPr="0033763A">
        <w:rPr>
          <w:rFonts w:asciiTheme="majorHAnsi" w:hAnsiTheme="majorHAnsi" w:cstheme="majorHAnsi"/>
          <w:sz w:val="24"/>
          <w:szCs w:val="24"/>
        </w:rPr>
        <w:t>streams</w:t>
      </w:r>
      <w:r w:rsidR="00642E16" w:rsidRPr="0033763A">
        <w:rPr>
          <w:rFonts w:asciiTheme="majorHAnsi" w:hAnsiTheme="majorHAnsi" w:cstheme="majorHAnsi"/>
          <w:sz w:val="24"/>
          <w:szCs w:val="24"/>
        </w:rPr>
        <w:t xml:space="preserve"> (thinking, doing, being and making law)</w:t>
      </w:r>
      <w:r w:rsidR="00946A51" w:rsidRPr="0033763A">
        <w:rPr>
          <w:rFonts w:asciiTheme="majorHAnsi" w:hAnsiTheme="majorHAnsi" w:cstheme="majorHAnsi"/>
          <w:sz w:val="24"/>
          <w:szCs w:val="24"/>
        </w:rPr>
        <w:t>. Th</w:t>
      </w:r>
      <w:r w:rsidR="00642E16" w:rsidRPr="0033763A">
        <w:rPr>
          <w:rFonts w:asciiTheme="majorHAnsi" w:hAnsiTheme="majorHAnsi" w:cstheme="majorHAnsi"/>
          <w:sz w:val="24"/>
          <w:szCs w:val="24"/>
        </w:rPr>
        <w:t>is</w:t>
      </w:r>
      <w:r w:rsidR="00946A51" w:rsidRPr="0033763A">
        <w:rPr>
          <w:rFonts w:asciiTheme="majorHAnsi" w:hAnsiTheme="majorHAnsi" w:cstheme="majorHAnsi"/>
          <w:sz w:val="24"/>
          <w:szCs w:val="24"/>
        </w:rPr>
        <w:t xml:space="preserve"> thematic </w:t>
      </w:r>
      <w:r w:rsidR="0043361B">
        <w:rPr>
          <w:rFonts w:asciiTheme="majorHAnsi" w:hAnsiTheme="majorHAnsi" w:cstheme="majorHAnsi"/>
          <w:sz w:val="24"/>
          <w:szCs w:val="24"/>
        </w:rPr>
        <w:t xml:space="preserve">approach </w:t>
      </w:r>
      <w:r w:rsidR="00946A51" w:rsidRPr="0033763A">
        <w:rPr>
          <w:rFonts w:asciiTheme="majorHAnsi" w:hAnsiTheme="majorHAnsi" w:cstheme="majorHAnsi"/>
          <w:sz w:val="24"/>
          <w:szCs w:val="24"/>
        </w:rPr>
        <w:t xml:space="preserve">also </w:t>
      </w:r>
      <w:r w:rsidR="00642E16" w:rsidRPr="0033763A">
        <w:rPr>
          <w:rFonts w:asciiTheme="majorHAnsi" w:hAnsiTheme="majorHAnsi" w:cstheme="majorHAnsi"/>
          <w:sz w:val="24"/>
          <w:szCs w:val="24"/>
        </w:rPr>
        <w:t>encourage</w:t>
      </w:r>
      <w:r w:rsidR="004751C5">
        <w:rPr>
          <w:rFonts w:asciiTheme="majorHAnsi" w:hAnsiTheme="majorHAnsi" w:cstheme="majorHAnsi"/>
          <w:sz w:val="24"/>
          <w:szCs w:val="24"/>
        </w:rPr>
        <w:t>d the team</w:t>
      </w:r>
      <w:r w:rsidR="00642E16" w:rsidRPr="0033763A">
        <w:rPr>
          <w:rFonts w:asciiTheme="majorHAnsi" w:hAnsiTheme="majorHAnsi" w:cstheme="majorHAnsi"/>
          <w:sz w:val="24"/>
          <w:szCs w:val="24"/>
        </w:rPr>
        <w:t xml:space="preserve"> to be persistently </w:t>
      </w:r>
      <w:r w:rsidR="00B0187E" w:rsidRPr="0033763A">
        <w:rPr>
          <w:rFonts w:asciiTheme="majorHAnsi" w:hAnsiTheme="majorHAnsi" w:cstheme="majorHAnsi"/>
          <w:sz w:val="24"/>
          <w:szCs w:val="24"/>
        </w:rPr>
        <w:t xml:space="preserve">mindful of </w:t>
      </w:r>
      <w:r w:rsidR="00642E16" w:rsidRPr="0033763A">
        <w:rPr>
          <w:rFonts w:asciiTheme="majorHAnsi" w:hAnsiTheme="majorHAnsi" w:cstheme="majorHAnsi"/>
          <w:sz w:val="24"/>
          <w:szCs w:val="24"/>
        </w:rPr>
        <w:t xml:space="preserve">the individual </w:t>
      </w:r>
      <w:r w:rsidR="00B0187E" w:rsidRPr="0033763A">
        <w:rPr>
          <w:rFonts w:asciiTheme="majorHAnsi" w:hAnsiTheme="majorHAnsi" w:cstheme="majorHAnsi"/>
          <w:sz w:val="24"/>
          <w:szCs w:val="24"/>
        </w:rPr>
        <w:t>student</w:t>
      </w:r>
      <w:r w:rsidR="00B90640">
        <w:rPr>
          <w:rFonts w:asciiTheme="majorHAnsi" w:hAnsiTheme="majorHAnsi" w:cstheme="majorHAnsi"/>
          <w:sz w:val="24"/>
          <w:szCs w:val="24"/>
        </w:rPr>
        <w:t xml:space="preserve"> -</w:t>
      </w:r>
      <w:r w:rsidR="00642E16" w:rsidRPr="0033763A">
        <w:rPr>
          <w:rFonts w:asciiTheme="majorHAnsi" w:hAnsiTheme="majorHAnsi" w:cstheme="majorHAnsi"/>
          <w:sz w:val="24"/>
          <w:szCs w:val="24"/>
        </w:rPr>
        <w:t xml:space="preserve"> their </w:t>
      </w:r>
      <w:r w:rsidR="00B0187E" w:rsidRPr="0033763A">
        <w:rPr>
          <w:rFonts w:asciiTheme="majorHAnsi" w:hAnsiTheme="majorHAnsi" w:cstheme="majorHAnsi"/>
          <w:sz w:val="24"/>
          <w:szCs w:val="24"/>
        </w:rPr>
        <w:t xml:space="preserve">personal needs, educational needs, and inherited educational experiences </w:t>
      </w:r>
      <w:r w:rsidR="00B90640">
        <w:rPr>
          <w:rFonts w:asciiTheme="majorHAnsi" w:hAnsiTheme="majorHAnsi" w:cstheme="majorHAnsi"/>
          <w:sz w:val="24"/>
          <w:szCs w:val="24"/>
        </w:rPr>
        <w:t xml:space="preserve">- </w:t>
      </w:r>
      <w:r w:rsidR="00B0187E" w:rsidRPr="0033763A">
        <w:rPr>
          <w:rFonts w:asciiTheme="majorHAnsi" w:hAnsiTheme="majorHAnsi" w:cstheme="majorHAnsi"/>
          <w:sz w:val="24"/>
          <w:szCs w:val="24"/>
        </w:rPr>
        <w:t>and how th</w:t>
      </w:r>
      <w:r w:rsidR="00642E16" w:rsidRPr="0033763A">
        <w:rPr>
          <w:rFonts w:asciiTheme="majorHAnsi" w:hAnsiTheme="majorHAnsi" w:cstheme="majorHAnsi"/>
          <w:sz w:val="24"/>
          <w:szCs w:val="24"/>
        </w:rPr>
        <w:t>ese</w:t>
      </w:r>
      <w:r w:rsidR="00B0187E" w:rsidRPr="0033763A">
        <w:rPr>
          <w:rFonts w:asciiTheme="majorHAnsi" w:hAnsiTheme="majorHAnsi" w:cstheme="majorHAnsi"/>
          <w:sz w:val="24"/>
          <w:szCs w:val="24"/>
        </w:rPr>
        <w:t xml:space="preserve"> could impact </w:t>
      </w:r>
      <w:r w:rsidR="00642E16" w:rsidRPr="0033763A">
        <w:rPr>
          <w:rFonts w:asciiTheme="majorHAnsi" w:hAnsiTheme="majorHAnsi" w:cstheme="majorHAnsi"/>
          <w:sz w:val="24"/>
          <w:szCs w:val="24"/>
        </w:rPr>
        <w:t xml:space="preserve">on </w:t>
      </w:r>
      <w:r w:rsidR="00B0187E" w:rsidRPr="0033763A">
        <w:rPr>
          <w:rFonts w:asciiTheme="majorHAnsi" w:hAnsiTheme="majorHAnsi" w:cstheme="majorHAnsi"/>
          <w:sz w:val="24"/>
          <w:szCs w:val="24"/>
        </w:rPr>
        <w:t>their transition</w:t>
      </w:r>
      <w:r w:rsidR="00642E16" w:rsidRPr="0033763A">
        <w:rPr>
          <w:rFonts w:asciiTheme="majorHAnsi" w:hAnsiTheme="majorHAnsi" w:cstheme="majorHAnsi"/>
          <w:sz w:val="24"/>
          <w:szCs w:val="24"/>
        </w:rPr>
        <w:t xml:space="preserve"> experience</w:t>
      </w:r>
      <w:r w:rsidR="00DE71BB" w:rsidRPr="0033763A">
        <w:rPr>
          <w:rFonts w:asciiTheme="majorHAnsi" w:hAnsiTheme="majorHAnsi" w:cstheme="majorHAnsi"/>
          <w:sz w:val="24"/>
          <w:szCs w:val="24"/>
        </w:rPr>
        <w:t>.</w:t>
      </w:r>
      <w:r w:rsidR="008D1A42">
        <w:rPr>
          <w:rFonts w:asciiTheme="majorHAnsi" w:hAnsiTheme="majorHAnsi" w:cstheme="majorHAnsi"/>
          <w:sz w:val="24"/>
          <w:szCs w:val="24"/>
        </w:rPr>
        <w:t xml:space="preserve"> </w:t>
      </w:r>
    </w:p>
    <w:p w14:paraId="525F97C4" w14:textId="12DDDAB7" w:rsidR="00966DF7" w:rsidRDefault="00E874EA" w:rsidP="00642E16">
      <w:pPr>
        <w:spacing w:line="240" w:lineRule="auto"/>
        <w:jc w:val="both"/>
        <w:rPr>
          <w:rFonts w:asciiTheme="majorHAnsi" w:hAnsiTheme="majorHAnsi" w:cstheme="majorHAnsi"/>
          <w:sz w:val="24"/>
          <w:szCs w:val="24"/>
        </w:rPr>
      </w:pPr>
      <w:r>
        <w:rPr>
          <w:rFonts w:asciiTheme="majorHAnsi" w:hAnsiTheme="majorHAnsi" w:cstheme="majorHAnsi"/>
          <w:sz w:val="24"/>
          <w:szCs w:val="24"/>
        </w:rPr>
        <w:t>S</w:t>
      </w:r>
      <w:r w:rsidR="00946AC7" w:rsidRPr="0033763A">
        <w:rPr>
          <w:rFonts w:asciiTheme="majorHAnsi" w:hAnsiTheme="majorHAnsi" w:cstheme="majorHAnsi"/>
          <w:sz w:val="24"/>
          <w:szCs w:val="24"/>
        </w:rPr>
        <w:t xml:space="preserve">essions were </w:t>
      </w:r>
      <w:r>
        <w:rPr>
          <w:rFonts w:asciiTheme="majorHAnsi" w:hAnsiTheme="majorHAnsi" w:cstheme="majorHAnsi"/>
          <w:sz w:val="24"/>
          <w:szCs w:val="24"/>
        </w:rPr>
        <w:t xml:space="preserve">delivered to a range of group </w:t>
      </w:r>
      <w:r w:rsidR="00E515C1" w:rsidRPr="0033763A">
        <w:rPr>
          <w:rFonts w:asciiTheme="majorHAnsi" w:hAnsiTheme="majorHAnsi" w:cstheme="majorHAnsi"/>
          <w:sz w:val="24"/>
          <w:szCs w:val="24"/>
        </w:rPr>
        <w:t>sizes and</w:t>
      </w:r>
      <w:r w:rsidR="00946AC7" w:rsidRPr="0033763A">
        <w:rPr>
          <w:rFonts w:asciiTheme="majorHAnsi" w:hAnsiTheme="majorHAnsi" w:cstheme="majorHAnsi"/>
          <w:sz w:val="24"/>
          <w:szCs w:val="24"/>
        </w:rPr>
        <w:t xml:space="preserve"> </w:t>
      </w:r>
      <w:r>
        <w:rPr>
          <w:rFonts w:asciiTheme="majorHAnsi" w:hAnsiTheme="majorHAnsi" w:cstheme="majorHAnsi"/>
          <w:sz w:val="24"/>
          <w:szCs w:val="24"/>
        </w:rPr>
        <w:t>incorp</w:t>
      </w:r>
      <w:r w:rsidR="002A1387">
        <w:rPr>
          <w:rFonts w:asciiTheme="majorHAnsi" w:hAnsiTheme="majorHAnsi" w:cstheme="majorHAnsi"/>
          <w:sz w:val="24"/>
          <w:szCs w:val="24"/>
        </w:rPr>
        <w:t xml:space="preserve">orated </w:t>
      </w:r>
      <w:r w:rsidR="00946AC7" w:rsidRPr="0033763A">
        <w:rPr>
          <w:rFonts w:asciiTheme="majorHAnsi" w:hAnsiTheme="majorHAnsi" w:cstheme="majorHAnsi"/>
          <w:sz w:val="24"/>
          <w:szCs w:val="24"/>
        </w:rPr>
        <w:t xml:space="preserve">a range of </w:t>
      </w:r>
      <w:r w:rsidR="00FC5B69" w:rsidRPr="0033763A">
        <w:rPr>
          <w:rFonts w:asciiTheme="majorHAnsi" w:hAnsiTheme="majorHAnsi" w:cstheme="majorHAnsi"/>
          <w:sz w:val="24"/>
          <w:szCs w:val="24"/>
        </w:rPr>
        <w:t>methods</w:t>
      </w:r>
      <w:r w:rsidR="00946AC7" w:rsidRPr="0033763A">
        <w:rPr>
          <w:rFonts w:asciiTheme="majorHAnsi" w:hAnsiTheme="majorHAnsi" w:cstheme="majorHAnsi"/>
          <w:sz w:val="24"/>
          <w:szCs w:val="24"/>
        </w:rPr>
        <w:t xml:space="preserve"> including peer learning, co-delivery, reflection</w:t>
      </w:r>
      <w:r w:rsidR="00711AE8">
        <w:rPr>
          <w:rFonts w:asciiTheme="majorHAnsi" w:hAnsiTheme="majorHAnsi" w:cstheme="majorHAnsi"/>
          <w:sz w:val="24"/>
          <w:szCs w:val="24"/>
        </w:rPr>
        <w:t xml:space="preserve">, </w:t>
      </w:r>
      <w:r w:rsidR="003065B7" w:rsidRPr="0033763A">
        <w:rPr>
          <w:rFonts w:asciiTheme="majorHAnsi" w:hAnsiTheme="majorHAnsi" w:cstheme="majorHAnsi"/>
          <w:sz w:val="24"/>
          <w:szCs w:val="24"/>
        </w:rPr>
        <w:t xml:space="preserve">and </w:t>
      </w:r>
      <w:r w:rsidR="002A1387">
        <w:rPr>
          <w:rFonts w:asciiTheme="majorHAnsi" w:hAnsiTheme="majorHAnsi" w:cstheme="majorHAnsi"/>
          <w:sz w:val="24"/>
          <w:szCs w:val="24"/>
        </w:rPr>
        <w:t>panel discussions</w:t>
      </w:r>
      <w:r w:rsidR="003065B7" w:rsidRPr="0033763A">
        <w:rPr>
          <w:rFonts w:asciiTheme="majorHAnsi" w:hAnsiTheme="majorHAnsi" w:cstheme="majorHAnsi"/>
          <w:sz w:val="24"/>
          <w:szCs w:val="24"/>
        </w:rPr>
        <w:t xml:space="preserve">. </w:t>
      </w:r>
      <w:r w:rsidR="00224AA3">
        <w:rPr>
          <w:rFonts w:asciiTheme="majorHAnsi" w:hAnsiTheme="majorHAnsi" w:cstheme="majorHAnsi"/>
          <w:sz w:val="24"/>
          <w:szCs w:val="24"/>
        </w:rPr>
        <w:t>T</w:t>
      </w:r>
      <w:r w:rsidR="003065B7" w:rsidRPr="0033763A">
        <w:rPr>
          <w:rFonts w:asciiTheme="majorHAnsi" w:hAnsiTheme="majorHAnsi" w:cstheme="majorHAnsi"/>
          <w:sz w:val="24"/>
          <w:szCs w:val="24"/>
        </w:rPr>
        <w:t>here was an intentional b</w:t>
      </w:r>
      <w:r w:rsidR="00FC5B69" w:rsidRPr="0033763A">
        <w:rPr>
          <w:rFonts w:asciiTheme="majorHAnsi" w:hAnsiTheme="majorHAnsi" w:cstheme="majorHAnsi"/>
          <w:sz w:val="24"/>
          <w:szCs w:val="24"/>
        </w:rPr>
        <w:t>alance between large and small group teaching</w:t>
      </w:r>
      <w:r w:rsidR="003065B7" w:rsidRPr="0033763A">
        <w:rPr>
          <w:rFonts w:asciiTheme="majorHAnsi" w:hAnsiTheme="majorHAnsi" w:cstheme="majorHAnsi"/>
          <w:sz w:val="24"/>
          <w:szCs w:val="24"/>
        </w:rPr>
        <w:t xml:space="preserve">, as the teaching team agreed that it was </w:t>
      </w:r>
      <w:r w:rsidR="00FC5B69" w:rsidRPr="0033763A">
        <w:rPr>
          <w:rFonts w:asciiTheme="majorHAnsi" w:hAnsiTheme="majorHAnsi" w:cstheme="majorHAnsi"/>
          <w:sz w:val="24"/>
          <w:szCs w:val="24"/>
        </w:rPr>
        <w:t>important for students to feel that they belong</w:t>
      </w:r>
      <w:r w:rsidR="0036502E">
        <w:rPr>
          <w:rFonts w:asciiTheme="majorHAnsi" w:hAnsiTheme="majorHAnsi" w:cstheme="majorHAnsi"/>
          <w:sz w:val="24"/>
          <w:szCs w:val="24"/>
        </w:rPr>
        <w:t>ed</w:t>
      </w:r>
      <w:r w:rsidR="00FC5B69" w:rsidRPr="0033763A">
        <w:rPr>
          <w:rFonts w:asciiTheme="majorHAnsi" w:hAnsiTheme="majorHAnsi" w:cstheme="majorHAnsi"/>
          <w:sz w:val="24"/>
          <w:szCs w:val="24"/>
        </w:rPr>
        <w:t xml:space="preserve"> to a whole </w:t>
      </w:r>
      <w:r w:rsidR="0036502E">
        <w:rPr>
          <w:rFonts w:asciiTheme="majorHAnsi" w:hAnsiTheme="majorHAnsi" w:cstheme="majorHAnsi"/>
          <w:sz w:val="24"/>
          <w:szCs w:val="24"/>
        </w:rPr>
        <w:t>cohort</w:t>
      </w:r>
      <w:r w:rsidR="00FC5B69" w:rsidRPr="0033763A">
        <w:rPr>
          <w:rFonts w:asciiTheme="majorHAnsi" w:hAnsiTheme="majorHAnsi" w:cstheme="majorHAnsi"/>
          <w:sz w:val="24"/>
          <w:szCs w:val="24"/>
        </w:rPr>
        <w:t xml:space="preserve"> </w:t>
      </w:r>
      <w:r w:rsidR="0036502E">
        <w:rPr>
          <w:rFonts w:asciiTheme="majorHAnsi" w:hAnsiTheme="majorHAnsi" w:cstheme="majorHAnsi"/>
          <w:sz w:val="24"/>
          <w:szCs w:val="24"/>
        </w:rPr>
        <w:t xml:space="preserve">as well as </w:t>
      </w:r>
      <w:r w:rsidR="00FC5B69" w:rsidRPr="0033763A">
        <w:rPr>
          <w:rFonts w:asciiTheme="majorHAnsi" w:hAnsiTheme="majorHAnsi" w:cstheme="majorHAnsi"/>
          <w:sz w:val="24"/>
          <w:szCs w:val="24"/>
        </w:rPr>
        <w:t xml:space="preserve">their own seminar </w:t>
      </w:r>
      <w:r w:rsidR="00986E60" w:rsidRPr="0033763A">
        <w:rPr>
          <w:rFonts w:asciiTheme="majorHAnsi" w:hAnsiTheme="majorHAnsi" w:cstheme="majorHAnsi"/>
          <w:sz w:val="24"/>
          <w:szCs w:val="24"/>
        </w:rPr>
        <w:t>group.</w:t>
      </w:r>
      <w:r w:rsidR="00986E60">
        <w:rPr>
          <w:rFonts w:asciiTheme="majorHAnsi" w:hAnsiTheme="majorHAnsi" w:cstheme="majorHAnsi"/>
          <w:sz w:val="24"/>
          <w:szCs w:val="24"/>
        </w:rPr>
        <w:t xml:space="preserve"> The module </w:t>
      </w:r>
      <w:r w:rsidR="00642E16" w:rsidRPr="0033763A">
        <w:rPr>
          <w:rFonts w:asciiTheme="majorHAnsi" w:hAnsiTheme="majorHAnsi" w:cstheme="majorHAnsi"/>
          <w:sz w:val="24"/>
          <w:szCs w:val="24"/>
        </w:rPr>
        <w:t xml:space="preserve">was underpinned by </w:t>
      </w:r>
      <w:r w:rsidR="00E52B88">
        <w:rPr>
          <w:rFonts w:asciiTheme="majorHAnsi" w:hAnsiTheme="majorHAnsi" w:cstheme="majorHAnsi"/>
          <w:sz w:val="24"/>
          <w:szCs w:val="24"/>
        </w:rPr>
        <w:t>a</w:t>
      </w:r>
      <w:r w:rsidR="00642E16" w:rsidRPr="0033763A">
        <w:rPr>
          <w:rFonts w:asciiTheme="majorHAnsi" w:hAnsiTheme="majorHAnsi" w:cstheme="majorHAnsi"/>
          <w:sz w:val="24"/>
          <w:szCs w:val="24"/>
        </w:rPr>
        <w:t xml:space="preserve"> strong ethos of community and social justice</w:t>
      </w:r>
      <w:r w:rsidR="00F572EF">
        <w:rPr>
          <w:rFonts w:asciiTheme="majorHAnsi" w:hAnsiTheme="majorHAnsi" w:cstheme="majorHAnsi"/>
          <w:sz w:val="24"/>
          <w:szCs w:val="24"/>
        </w:rPr>
        <w:t xml:space="preserve">, which </w:t>
      </w:r>
      <w:r w:rsidR="00642E16" w:rsidRPr="0033763A">
        <w:rPr>
          <w:rFonts w:asciiTheme="majorHAnsi" w:hAnsiTheme="majorHAnsi" w:cstheme="majorHAnsi"/>
          <w:sz w:val="24"/>
          <w:szCs w:val="24"/>
        </w:rPr>
        <w:t>gave the project context and a foundation</w:t>
      </w:r>
      <w:r w:rsidR="00F572EF">
        <w:rPr>
          <w:rFonts w:asciiTheme="majorHAnsi" w:hAnsiTheme="majorHAnsi" w:cstheme="majorHAnsi"/>
          <w:sz w:val="24"/>
          <w:szCs w:val="24"/>
        </w:rPr>
        <w:t xml:space="preserve"> to build upon</w:t>
      </w:r>
      <w:r w:rsidR="00642E16" w:rsidRPr="0033763A">
        <w:rPr>
          <w:rFonts w:asciiTheme="majorHAnsi" w:hAnsiTheme="majorHAnsi" w:cstheme="majorHAnsi"/>
          <w:sz w:val="24"/>
          <w:szCs w:val="24"/>
        </w:rPr>
        <w:t xml:space="preserve">. </w:t>
      </w:r>
      <w:r w:rsidR="00815462" w:rsidRPr="0033763A">
        <w:rPr>
          <w:rFonts w:asciiTheme="majorHAnsi" w:hAnsiTheme="majorHAnsi" w:cstheme="majorHAnsi"/>
          <w:sz w:val="24"/>
          <w:szCs w:val="24"/>
        </w:rPr>
        <w:t>The focus on connect</w:t>
      </w:r>
      <w:r w:rsidR="003D03DE">
        <w:rPr>
          <w:rFonts w:asciiTheme="majorHAnsi" w:hAnsiTheme="majorHAnsi" w:cstheme="majorHAnsi"/>
          <w:sz w:val="24"/>
          <w:szCs w:val="24"/>
        </w:rPr>
        <w:t>ion</w:t>
      </w:r>
      <w:r w:rsidR="00815462" w:rsidRPr="0033763A">
        <w:rPr>
          <w:rFonts w:asciiTheme="majorHAnsi" w:hAnsiTheme="majorHAnsi" w:cstheme="majorHAnsi"/>
          <w:sz w:val="24"/>
          <w:szCs w:val="24"/>
        </w:rPr>
        <w:t xml:space="preserve"> was enhanced by the additional drop-in sessions</w:t>
      </w:r>
      <w:r w:rsidR="00986E60">
        <w:rPr>
          <w:rFonts w:asciiTheme="majorHAnsi" w:hAnsiTheme="majorHAnsi" w:cstheme="majorHAnsi"/>
          <w:sz w:val="24"/>
          <w:szCs w:val="24"/>
        </w:rPr>
        <w:t>,</w:t>
      </w:r>
      <w:r w:rsidR="00815462" w:rsidRPr="0033763A">
        <w:rPr>
          <w:rFonts w:asciiTheme="majorHAnsi" w:hAnsiTheme="majorHAnsi" w:cstheme="majorHAnsi"/>
          <w:sz w:val="24"/>
          <w:szCs w:val="24"/>
        </w:rPr>
        <w:t xml:space="preserve"> where students could meet with academics </w:t>
      </w:r>
      <w:r w:rsidR="00986E60">
        <w:rPr>
          <w:rFonts w:asciiTheme="majorHAnsi" w:hAnsiTheme="majorHAnsi" w:cstheme="majorHAnsi"/>
          <w:sz w:val="24"/>
          <w:szCs w:val="24"/>
        </w:rPr>
        <w:t xml:space="preserve">to </w:t>
      </w:r>
      <w:r w:rsidR="00815462" w:rsidRPr="0033763A">
        <w:rPr>
          <w:rFonts w:asciiTheme="majorHAnsi" w:hAnsiTheme="majorHAnsi" w:cstheme="majorHAnsi"/>
          <w:sz w:val="24"/>
          <w:szCs w:val="24"/>
        </w:rPr>
        <w:t xml:space="preserve">ask questions about transition, timetabling, school administration, personal </w:t>
      </w:r>
      <w:r w:rsidR="008151E8" w:rsidRPr="0033763A">
        <w:rPr>
          <w:rFonts w:asciiTheme="majorHAnsi" w:hAnsiTheme="majorHAnsi" w:cstheme="majorHAnsi"/>
          <w:sz w:val="24"/>
          <w:szCs w:val="24"/>
        </w:rPr>
        <w:t>tutoring,</w:t>
      </w:r>
      <w:r w:rsidR="00815462" w:rsidRPr="0033763A">
        <w:rPr>
          <w:rFonts w:asciiTheme="majorHAnsi" w:hAnsiTheme="majorHAnsi" w:cstheme="majorHAnsi"/>
          <w:sz w:val="24"/>
          <w:szCs w:val="24"/>
        </w:rPr>
        <w:t xml:space="preserve"> and academic expectations.</w:t>
      </w:r>
      <w:r w:rsidR="004558A6">
        <w:rPr>
          <w:rFonts w:asciiTheme="majorHAnsi" w:hAnsiTheme="majorHAnsi" w:cstheme="majorHAnsi"/>
          <w:sz w:val="24"/>
          <w:szCs w:val="24"/>
        </w:rPr>
        <w:t xml:space="preserve"> </w:t>
      </w:r>
    </w:p>
    <w:p w14:paraId="3062304E" w14:textId="5C4EB416" w:rsidR="00642E16" w:rsidRPr="004558A6" w:rsidRDefault="004558A6" w:rsidP="00642E16">
      <w:pPr>
        <w:spacing w:line="240" w:lineRule="auto"/>
        <w:jc w:val="both"/>
        <w:rPr>
          <w:rFonts w:asciiTheme="majorHAnsi" w:hAnsiTheme="majorHAnsi" w:cstheme="majorHAnsi"/>
          <w:sz w:val="24"/>
          <w:szCs w:val="24"/>
        </w:rPr>
      </w:pPr>
      <w:r>
        <w:rPr>
          <w:rFonts w:asciiTheme="majorHAnsi" w:hAnsiTheme="majorHAnsi" w:cstheme="majorHAnsi"/>
          <w:sz w:val="24"/>
          <w:szCs w:val="24"/>
        </w:rPr>
        <w:t>The</w:t>
      </w:r>
      <w:r w:rsidR="002920FD">
        <w:rPr>
          <w:rFonts w:asciiTheme="majorHAnsi" w:hAnsiTheme="majorHAnsi" w:cstheme="majorHAnsi"/>
          <w:sz w:val="24"/>
          <w:szCs w:val="24"/>
        </w:rPr>
        <w:t xml:space="preserve"> </w:t>
      </w:r>
      <w:r w:rsidR="002E3A0F">
        <w:rPr>
          <w:rFonts w:asciiTheme="majorHAnsi" w:hAnsiTheme="majorHAnsi" w:cstheme="majorHAnsi"/>
          <w:sz w:val="24"/>
          <w:szCs w:val="24"/>
        </w:rPr>
        <w:t xml:space="preserve">online pivot necessitated by Covid-19 did affect </w:t>
      </w:r>
      <w:r w:rsidR="00842997">
        <w:rPr>
          <w:rFonts w:asciiTheme="majorHAnsi" w:hAnsiTheme="majorHAnsi" w:cstheme="majorHAnsi"/>
          <w:sz w:val="24"/>
          <w:szCs w:val="24"/>
        </w:rPr>
        <w:t xml:space="preserve">this aspect of delivery: our School did not offer synchronous whole-cohort or large-group sessions and so </w:t>
      </w:r>
      <w:r w:rsidR="005D50BE">
        <w:rPr>
          <w:rFonts w:asciiTheme="majorHAnsi" w:hAnsiTheme="majorHAnsi" w:cstheme="majorHAnsi"/>
          <w:sz w:val="24"/>
          <w:szCs w:val="24"/>
        </w:rPr>
        <w:t xml:space="preserve">the sense of belonging to a whole year group was </w:t>
      </w:r>
      <w:r w:rsidR="003D03DE">
        <w:rPr>
          <w:rFonts w:asciiTheme="majorHAnsi" w:hAnsiTheme="majorHAnsi" w:cstheme="majorHAnsi"/>
          <w:sz w:val="24"/>
          <w:szCs w:val="24"/>
        </w:rPr>
        <w:t xml:space="preserve">limited. We tried to </w:t>
      </w:r>
      <w:r w:rsidR="003D47BC">
        <w:rPr>
          <w:rFonts w:asciiTheme="majorHAnsi" w:hAnsiTheme="majorHAnsi" w:cstheme="majorHAnsi"/>
          <w:sz w:val="24"/>
          <w:szCs w:val="24"/>
        </w:rPr>
        <w:t>ameliorate this through online drop-in sessions available to the whole cohort, where students were able to meet with students outside their own groups</w:t>
      </w:r>
      <w:r w:rsidR="006532F4">
        <w:rPr>
          <w:rFonts w:asciiTheme="majorHAnsi" w:hAnsiTheme="majorHAnsi" w:cstheme="majorHAnsi"/>
          <w:sz w:val="24"/>
          <w:szCs w:val="24"/>
        </w:rPr>
        <w:t>, and where common questions and concerns could be responded to.</w:t>
      </w:r>
      <w:r w:rsidR="0034531E">
        <w:rPr>
          <w:rFonts w:asciiTheme="majorHAnsi" w:hAnsiTheme="majorHAnsi" w:cstheme="majorHAnsi"/>
          <w:sz w:val="24"/>
          <w:szCs w:val="24"/>
        </w:rPr>
        <w:t xml:space="preserve"> Some of these sessions were co-hosted</w:t>
      </w:r>
      <w:r w:rsidR="005B0643">
        <w:rPr>
          <w:rFonts w:asciiTheme="majorHAnsi" w:hAnsiTheme="majorHAnsi" w:cstheme="majorHAnsi"/>
          <w:sz w:val="24"/>
          <w:szCs w:val="24"/>
        </w:rPr>
        <w:t>, so that students could meet and converse with other members of the teaching team.</w:t>
      </w:r>
      <w:r w:rsidR="006532F4">
        <w:rPr>
          <w:rFonts w:asciiTheme="majorHAnsi" w:hAnsiTheme="majorHAnsi" w:cstheme="majorHAnsi"/>
          <w:sz w:val="24"/>
          <w:szCs w:val="24"/>
        </w:rPr>
        <w:t xml:space="preserve"> In addition, the team made a conscious effort to communicate with the cohort through Microsoft Teams, sharing relevant news items and other information </w:t>
      </w:r>
      <w:r w:rsidR="0034531E">
        <w:rPr>
          <w:rFonts w:asciiTheme="majorHAnsi" w:hAnsiTheme="majorHAnsi" w:cstheme="majorHAnsi"/>
          <w:sz w:val="24"/>
          <w:szCs w:val="24"/>
        </w:rPr>
        <w:t>on a regular basis. We also used video recordings to welcome students, so that they had the experie</w:t>
      </w:r>
      <w:r w:rsidR="003E1D95">
        <w:rPr>
          <w:rFonts w:asciiTheme="majorHAnsi" w:hAnsiTheme="majorHAnsi" w:cstheme="majorHAnsi"/>
          <w:sz w:val="24"/>
          <w:szCs w:val="24"/>
        </w:rPr>
        <w:t xml:space="preserve">nce of “meeting” the team and </w:t>
      </w:r>
      <w:r w:rsidR="00E569D2">
        <w:rPr>
          <w:rFonts w:asciiTheme="majorHAnsi" w:hAnsiTheme="majorHAnsi" w:cstheme="majorHAnsi"/>
          <w:sz w:val="24"/>
          <w:szCs w:val="24"/>
        </w:rPr>
        <w:t xml:space="preserve">other colleagues such as </w:t>
      </w:r>
      <w:r w:rsidR="00B37B67">
        <w:rPr>
          <w:rFonts w:asciiTheme="majorHAnsi" w:hAnsiTheme="majorHAnsi" w:cstheme="majorHAnsi"/>
          <w:sz w:val="24"/>
          <w:szCs w:val="24"/>
        </w:rPr>
        <w:t xml:space="preserve">learning support </w:t>
      </w:r>
      <w:r w:rsidR="00E569D2">
        <w:rPr>
          <w:rFonts w:asciiTheme="majorHAnsi" w:hAnsiTheme="majorHAnsi" w:cstheme="majorHAnsi"/>
          <w:sz w:val="24"/>
          <w:szCs w:val="24"/>
        </w:rPr>
        <w:t>and library services.</w:t>
      </w:r>
    </w:p>
    <w:p w14:paraId="1F99663D" w14:textId="2580277D" w:rsidR="00FC5B69" w:rsidRPr="00D93195" w:rsidRDefault="00E515C1" w:rsidP="00B0187E">
      <w:pPr>
        <w:spacing w:line="240" w:lineRule="auto"/>
        <w:jc w:val="both"/>
        <w:rPr>
          <w:rFonts w:asciiTheme="majorHAnsi" w:hAnsiTheme="majorHAnsi" w:cstheme="majorHAnsi"/>
          <w:sz w:val="24"/>
          <w:szCs w:val="24"/>
        </w:rPr>
      </w:pPr>
      <w:r w:rsidRPr="0033763A">
        <w:rPr>
          <w:rFonts w:asciiTheme="majorHAnsi" w:hAnsiTheme="majorHAnsi" w:cstheme="majorHAnsi"/>
          <w:sz w:val="24"/>
          <w:szCs w:val="24"/>
        </w:rPr>
        <w:t xml:space="preserve">The </w:t>
      </w:r>
      <w:r w:rsidR="00FC5B69" w:rsidRPr="0033763A">
        <w:rPr>
          <w:rFonts w:asciiTheme="majorHAnsi" w:hAnsiTheme="majorHAnsi" w:cstheme="majorHAnsi"/>
          <w:sz w:val="24"/>
          <w:szCs w:val="24"/>
        </w:rPr>
        <w:t>intensive</w:t>
      </w:r>
      <w:r w:rsidR="00986E60">
        <w:rPr>
          <w:rFonts w:asciiTheme="majorHAnsi" w:hAnsiTheme="majorHAnsi" w:cstheme="majorHAnsi"/>
          <w:sz w:val="24"/>
          <w:szCs w:val="24"/>
        </w:rPr>
        <w:t>,</w:t>
      </w:r>
      <w:r w:rsidR="00FC5B69" w:rsidRPr="0033763A">
        <w:rPr>
          <w:rFonts w:asciiTheme="majorHAnsi" w:hAnsiTheme="majorHAnsi" w:cstheme="majorHAnsi"/>
          <w:sz w:val="24"/>
          <w:szCs w:val="24"/>
        </w:rPr>
        <w:t xml:space="preserve"> extended induction </w:t>
      </w:r>
      <w:r w:rsidRPr="0033763A">
        <w:rPr>
          <w:rFonts w:asciiTheme="majorHAnsi" w:hAnsiTheme="majorHAnsi" w:cstheme="majorHAnsi"/>
          <w:sz w:val="24"/>
          <w:szCs w:val="24"/>
        </w:rPr>
        <w:t>front</w:t>
      </w:r>
      <w:r w:rsidR="00986E60">
        <w:rPr>
          <w:rFonts w:asciiTheme="majorHAnsi" w:hAnsiTheme="majorHAnsi" w:cstheme="majorHAnsi"/>
          <w:sz w:val="24"/>
          <w:szCs w:val="24"/>
        </w:rPr>
        <w:t>-</w:t>
      </w:r>
      <w:r w:rsidRPr="0033763A">
        <w:rPr>
          <w:rFonts w:asciiTheme="majorHAnsi" w:hAnsiTheme="majorHAnsi" w:cstheme="majorHAnsi"/>
          <w:sz w:val="24"/>
          <w:szCs w:val="24"/>
        </w:rPr>
        <w:t xml:space="preserve">loaded the student experience. The team used the opportunity of the induction space to give the students time to </w:t>
      </w:r>
      <w:r w:rsidR="00FC5B69" w:rsidRPr="0033763A">
        <w:rPr>
          <w:rFonts w:asciiTheme="majorHAnsi" w:hAnsiTheme="majorHAnsi" w:cstheme="majorHAnsi"/>
          <w:sz w:val="24"/>
          <w:szCs w:val="24"/>
        </w:rPr>
        <w:t>think about their study of law before they began</w:t>
      </w:r>
      <w:r w:rsidRPr="0033763A">
        <w:rPr>
          <w:rFonts w:asciiTheme="majorHAnsi" w:hAnsiTheme="majorHAnsi" w:cstheme="majorHAnsi"/>
          <w:sz w:val="24"/>
          <w:szCs w:val="24"/>
        </w:rPr>
        <w:t xml:space="preserve"> studying</w:t>
      </w:r>
      <w:r w:rsidR="00FC5B69" w:rsidRPr="0033763A">
        <w:rPr>
          <w:rFonts w:asciiTheme="majorHAnsi" w:hAnsiTheme="majorHAnsi" w:cstheme="majorHAnsi"/>
          <w:sz w:val="24"/>
          <w:szCs w:val="24"/>
        </w:rPr>
        <w:t xml:space="preserve"> their core subjects</w:t>
      </w:r>
      <w:r w:rsidRPr="0033763A">
        <w:rPr>
          <w:rFonts w:asciiTheme="majorHAnsi" w:hAnsiTheme="majorHAnsi" w:cstheme="majorHAnsi"/>
          <w:sz w:val="24"/>
          <w:szCs w:val="24"/>
        </w:rPr>
        <w:t>. Induction to the university was run parallel</w:t>
      </w:r>
      <w:r w:rsidR="00D42AE8">
        <w:rPr>
          <w:rFonts w:asciiTheme="majorHAnsi" w:hAnsiTheme="majorHAnsi" w:cstheme="majorHAnsi"/>
          <w:sz w:val="24"/>
          <w:szCs w:val="24"/>
        </w:rPr>
        <w:t>,</w:t>
      </w:r>
      <w:r w:rsidRPr="0033763A">
        <w:rPr>
          <w:rFonts w:asciiTheme="majorHAnsi" w:hAnsiTheme="majorHAnsi" w:cstheme="majorHAnsi"/>
          <w:sz w:val="24"/>
          <w:szCs w:val="24"/>
        </w:rPr>
        <w:t xml:space="preserve"> enabl</w:t>
      </w:r>
      <w:r w:rsidR="00D42AE8">
        <w:rPr>
          <w:rFonts w:asciiTheme="majorHAnsi" w:hAnsiTheme="majorHAnsi" w:cstheme="majorHAnsi"/>
          <w:sz w:val="24"/>
          <w:szCs w:val="24"/>
        </w:rPr>
        <w:t>ing</w:t>
      </w:r>
      <w:r w:rsidRPr="0033763A">
        <w:rPr>
          <w:rFonts w:asciiTheme="majorHAnsi" w:hAnsiTheme="majorHAnsi" w:cstheme="majorHAnsi"/>
          <w:sz w:val="24"/>
          <w:szCs w:val="24"/>
        </w:rPr>
        <w:t xml:space="preserve"> students to become integrated into both the school and the institution at an earlier point in the academic year. </w:t>
      </w:r>
      <w:r w:rsidR="00FC5B69" w:rsidRPr="0033763A">
        <w:rPr>
          <w:rFonts w:asciiTheme="majorHAnsi" w:hAnsiTheme="majorHAnsi" w:cstheme="majorHAnsi"/>
          <w:sz w:val="24"/>
          <w:szCs w:val="24"/>
        </w:rPr>
        <w:t>Delivery</w:t>
      </w:r>
      <w:r w:rsidRPr="0033763A">
        <w:rPr>
          <w:rFonts w:asciiTheme="majorHAnsi" w:hAnsiTheme="majorHAnsi" w:cstheme="majorHAnsi"/>
          <w:sz w:val="24"/>
          <w:szCs w:val="24"/>
        </w:rPr>
        <w:t xml:space="preserve"> planning</w:t>
      </w:r>
      <w:r w:rsidR="00FC5B69" w:rsidRPr="0033763A">
        <w:rPr>
          <w:rFonts w:asciiTheme="majorHAnsi" w:hAnsiTheme="majorHAnsi" w:cstheme="majorHAnsi"/>
          <w:sz w:val="24"/>
          <w:szCs w:val="24"/>
        </w:rPr>
        <w:t xml:space="preserve"> </w:t>
      </w:r>
      <w:r w:rsidRPr="0033763A">
        <w:rPr>
          <w:rFonts w:asciiTheme="majorHAnsi" w:hAnsiTheme="majorHAnsi" w:cstheme="majorHAnsi"/>
          <w:sz w:val="24"/>
          <w:szCs w:val="24"/>
        </w:rPr>
        <w:t xml:space="preserve">considered whether students had </w:t>
      </w:r>
      <w:r w:rsidR="00FC5B69" w:rsidRPr="0033763A">
        <w:rPr>
          <w:rFonts w:asciiTheme="majorHAnsi" w:hAnsiTheme="majorHAnsi" w:cstheme="majorHAnsi"/>
          <w:sz w:val="24"/>
          <w:szCs w:val="24"/>
        </w:rPr>
        <w:t xml:space="preserve">any </w:t>
      </w:r>
      <w:r w:rsidRPr="0033763A">
        <w:rPr>
          <w:rFonts w:asciiTheme="majorHAnsi" w:hAnsiTheme="majorHAnsi" w:cstheme="majorHAnsi"/>
          <w:sz w:val="24"/>
          <w:szCs w:val="24"/>
        </w:rPr>
        <w:t xml:space="preserve">fixed </w:t>
      </w:r>
      <w:r w:rsidR="00FC5B69" w:rsidRPr="0033763A">
        <w:rPr>
          <w:rFonts w:asciiTheme="majorHAnsi" w:hAnsiTheme="majorHAnsi" w:cstheme="majorHAnsi"/>
          <w:sz w:val="24"/>
          <w:szCs w:val="24"/>
        </w:rPr>
        <w:t>commitments to university activities or induction from other schools</w:t>
      </w:r>
      <w:r w:rsidR="00B54D8A">
        <w:rPr>
          <w:rFonts w:asciiTheme="majorHAnsi" w:hAnsiTheme="majorHAnsi" w:cstheme="majorHAnsi"/>
          <w:sz w:val="24"/>
          <w:szCs w:val="24"/>
        </w:rPr>
        <w:t>,</w:t>
      </w:r>
      <w:r w:rsidRPr="0033763A">
        <w:rPr>
          <w:rFonts w:asciiTheme="majorHAnsi" w:hAnsiTheme="majorHAnsi" w:cstheme="majorHAnsi"/>
          <w:sz w:val="24"/>
          <w:szCs w:val="24"/>
        </w:rPr>
        <w:t xml:space="preserve"> which was especially important </w:t>
      </w:r>
      <w:r w:rsidR="00FC5B69" w:rsidRPr="0033763A">
        <w:rPr>
          <w:rFonts w:asciiTheme="majorHAnsi" w:hAnsiTheme="majorHAnsi" w:cstheme="majorHAnsi"/>
          <w:sz w:val="24"/>
          <w:szCs w:val="24"/>
        </w:rPr>
        <w:t>for students on combined degrees</w:t>
      </w:r>
      <w:r w:rsidRPr="0033763A">
        <w:rPr>
          <w:rFonts w:asciiTheme="majorHAnsi" w:hAnsiTheme="majorHAnsi" w:cstheme="majorHAnsi"/>
          <w:sz w:val="24"/>
          <w:szCs w:val="24"/>
        </w:rPr>
        <w:t xml:space="preserve">. </w:t>
      </w:r>
      <w:r w:rsidR="00B0187E" w:rsidRPr="0033763A">
        <w:rPr>
          <w:rFonts w:asciiTheme="majorHAnsi" w:hAnsiTheme="majorHAnsi" w:cstheme="majorHAnsi"/>
          <w:sz w:val="24"/>
          <w:szCs w:val="24"/>
        </w:rPr>
        <w:t>The support from</w:t>
      </w:r>
      <w:r w:rsidR="00BB74FA">
        <w:rPr>
          <w:rFonts w:asciiTheme="majorHAnsi" w:hAnsiTheme="majorHAnsi" w:cstheme="majorHAnsi"/>
          <w:sz w:val="24"/>
          <w:szCs w:val="24"/>
        </w:rPr>
        <w:t xml:space="preserve"> the</w:t>
      </w:r>
      <w:r w:rsidR="00B0187E" w:rsidRPr="0033763A">
        <w:rPr>
          <w:rFonts w:asciiTheme="majorHAnsi" w:hAnsiTheme="majorHAnsi" w:cstheme="majorHAnsi"/>
          <w:sz w:val="24"/>
          <w:szCs w:val="24"/>
        </w:rPr>
        <w:t xml:space="preserve"> Head of School</w:t>
      </w:r>
      <w:r w:rsidR="001A643E">
        <w:rPr>
          <w:rFonts w:asciiTheme="majorHAnsi" w:hAnsiTheme="majorHAnsi" w:cstheme="majorHAnsi"/>
          <w:sz w:val="24"/>
          <w:szCs w:val="24"/>
        </w:rPr>
        <w:t xml:space="preserve">, </w:t>
      </w:r>
      <w:r w:rsidR="00B54D8A">
        <w:rPr>
          <w:rFonts w:asciiTheme="majorHAnsi" w:hAnsiTheme="majorHAnsi" w:cstheme="majorHAnsi"/>
          <w:sz w:val="24"/>
          <w:szCs w:val="24"/>
        </w:rPr>
        <w:t>the senior management team</w:t>
      </w:r>
      <w:r w:rsidR="001A643E">
        <w:rPr>
          <w:rFonts w:asciiTheme="majorHAnsi" w:hAnsiTheme="majorHAnsi" w:cstheme="majorHAnsi"/>
          <w:sz w:val="24"/>
          <w:szCs w:val="24"/>
        </w:rPr>
        <w:t>, and professional services</w:t>
      </w:r>
      <w:r w:rsidR="00B0187E" w:rsidRPr="0033763A">
        <w:rPr>
          <w:rFonts w:asciiTheme="majorHAnsi" w:hAnsiTheme="majorHAnsi" w:cstheme="majorHAnsi"/>
          <w:sz w:val="24"/>
          <w:szCs w:val="24"/>
        </w:rPr>
        <w:t xml:space="preserve"> was also </w:t>
      </w:r>
      <w:r w:rsidR="00B54D8A">
        <w:rPr>
          <w:rFonts w:asciiTheme="majorHAnsi" w:hAnsiTheme="majorHAnsi" w:cstheme="majorHAnsi"/>
          <w:sz w:val="24"/>
          <w:szCs w:val="24"/>
        </w:rPr>
        <w:t>vital,</w:t>
      </w:r>
      <w:r w:rsidR="00B0187E" w:rsidRPr="0033763A">
        <w:rPr>
          <w:rFonts w:asciiTheme="majorHAnsi" w:hAnsiTheme="majorHAnsi" w:cstheme="majorHAnsi"/>
          <w:sz w:val="24"/>
          <w:szCs w:val="24"/>
        </w:rPr>
        <w:t xml:space="preserve"> due to the high level of staffing and intensive use of resource</w:t>
      </w:r>
      <w:r w:rsidR="00B54D8A">
        <w:rPr>
          <w:rFonts w:asciiTheme="majorHAnsi" w:hAnsiTheme="majorHAnsi" w:cstheme="majorHAnsi"/>
          <w:sz w:val="24"/>
          <w:szCs w:val="24"/>
        </w:rPr>
        <w:t>s</w:t>
      </w:r>
      <w:r w:rsidR="00B0187E" w:rsidRPr="0033763A">
        <w:rPr>
          <w:rFonts w:asciiTheme="majorHAnsi" w:hAnsiTheme="majorHAnsi" w:cstheme="majorHAnsi"/>
          <w:sz w:val="24"/>
          <w:szCs w:val="24"/>
        </w:rPr>
        <w:t xml:space="preserve"> required to plan, </w:t>
      </w:r>
      <w:r w:rsidR="00D93195" w:rsidRPr="0033763A">
        <w:rPr>
          <w:rFonts w:asciiTheme="majorHAnsi" w:hAnsiTheme="majorHAnsi" w:cstheme="majorHAnsi"/>
          <w:sz w:val="24"/>
          <w:szCs w:val="24"/>
        </w:rPr>
        <w:t>design,</w:t>
      </w:r>
      <w:r w:rsidR="00B0187E" w:rsidRPr="0033763A">
        <w:rPr>
          <w:rFonts w:asciiTheme="majorHAnsi" w:hAnsiTheme="majorHAnsi" w:cstheme="majorHAnsi"/>
          <w:sz w:val="24"/>
          <w:szCs w:val="24"/>
        </w:rPr>
        <w:t xml:space="preserve"> and deliver the module – particularly the concentrated induction element.</w:t>
      </w:r>
      <w:r w:rsidR="00D93195">
        <w:rPr>
          <w:rFonts w:asciiTheme="majorHAnsi" w:hAnsiTheme="majorHAnsi" w:cstheme="majorHAnsi"/>
          <w:sz w:val="24"/>
          <w:szCs w:val="24"/>
        </w:rPr>
        <w:t xml:space="preserve"> </w:t>
      </w:r>
    </w:p>
    <w:p w14:paraId="4A687FEA" w14:textId="0B64BB07" w:rsidR="00CF3122" w:rsidRPr="0033763A" w:rsidRDefault="00CF3122" w:rsidP="00CF3122">
      <w:pPr>
        <w:spacing w:line="240" w:lineRule="auto"/>
        <w:jc w:val="both"/>
        <w:rPr>
          <w:rFonts w:asciiTheme="majorHAnsi" w:hAnsiTheme="majorHAnsi" w:cstheme="majorHAnsi"/>
          <w:i/>
          <w:iCs/>
          <w:sz w:val="24"/>
          <w:szCs w:val="24"/>
        </w:rPr>
      </w:pPr>
      <w:r w:rsidRPr="0033763A">
        <w:rPr>
          <w:rFonts w:asciiTheme="majorHAnsi" w:hAnsiTheme="majorHAnsi" w:cstheme="majorHAnsi"/>
          <w:i/>
          <w:iCs/>
          <w:sz w:val="24"/>
          <w:szCs w:val="24"/>
        </w:rPr>
        <w:t xml:space="preserve">What were </w:t>
      </w:r>
      <w:r w:rsidR="003D355F">
        <w:rPr>
          <w:rFonts w:asciiTheme="majorHAnsi" w:hAnsiTheme="majorHAnsi" w:cstheme="majorHAnsi"/>
          <w:i/>
          <w:iCs/>
          <w:sz w:val="24"/>
          <w:szCs w:val="24"/>
        </w:rPr>
        <w:t xml:space="preserve">(and are) </w:t>
      </w:r>
      <w:r w:rsidRPr="0033763A">
        <w:rPr>
          <w:rFonts w:asciiTheme="majorHAnsi" w:hAnsiTheme="majorHAnsi" w:cstheme="majorHAnsi"/>
          <w:i/>
          <w:iCs/>
          <w:sz w:val="24"/>
          <w:szCs w:val="24"/>
        </w:rPr>
        <w:t>the limitations?</w:t>
      </w:r>
    </w:p>
    <w:p w14:paraId="12566A80" w14:textId="32F446D5" w:rsidR="00CF3122" w:rsidRPr="0033763A" w:rsidRDefault="00CF3122" w:rsidP="00CA7808">
      <w:pPr>
        <w:spacing w:line="240" w:lineRule="auto"/>
        <w:jc w:val="both"/>
        <w:rPr>
          <w:rFonts w:asciiTheme="majorHAnsi" w:hAnsiTheme="majorHAnsi" w:cstheme="majorHAnsi"/>
          <w:sz w:val="24"/>
          <w:szCs w:val="24"/>
        </w:rPr>
      </w:pPr>
      <w:r w:rsidRPr="0033763A">
        <w:rPr>
          <w:rFonts w:asciiTheme="majorHAnsi" w:hAnsiTheme="majorHAnsi" w:cstheme="majorHAnsi"/>
          <w:sz w:val="24"/>
          <w:szCs w:val="24"/>
        </w:rPr>
        <w:t xml:space="preserve">Time is the biggest limitation! </w:t>
      </w:r>
      <w:r w:rsidR="00B37B67">
        <w:rPr>
          <w:rFonts w:asciiTheme="majorHAnsi" w:hAnsiTheme="majorHAnsi" w:cstheme="majorHAnsi"/>
          <w:sz w:val="24"/>
          <w:szCs w:val="24"/>
        </w:rPr>
        <w:t>T</w:t>
      </w:r>
      <w:r w:rsidR="00B26221" w:rsidRPr="0033763A">
        <w:rPr>
          <w:rFonts w:asciiTheme="majorHAnsi" w:hAnsiTheme="majorHAnsi" w:cstheme="majorHAnsi"/>
          <w:sz w:val="24"/>
          <w:szCs w:val="24"/>
        </w:rPr>
        <w:t xml:space="preserve">ime has </w:t>
      </w:r>
      <w:r w:rsidR="00BB74FA" w:rsidRPr="0033763A">
        <w:rPr>
          <w:rFonts w:asciiTheme="majorHAnsi" w:hAnsiTheme="majorHAnsi" w:cstheme="majorHAnsi"/>
          <w:sz w:val="24"/>
          <w:szCs w:val="24"/>
        </w:rPr>
        <w:t>several</w:t>
      </w:r>
      <w:r w:rsidR="00B26221" w:rsidRPr="0033763A">
        <w:rPr>
          <w:rFonts w:asciiTheme="majorHAnsi" w:hAnsiTheme="majorHAnsi" w:cstheme="majorHAnsi"/>
          <w:sz w:val="24"/>
          <w:szCs w:val="24"/>
        </w:rPr>
        <w:t xml:space="preserve"> practical </w:t>
      </w:r>
      <w:r w:rsidR="00BB74FA">
        <w:rPr>
          <w:rFonts w:asciiTheme="majorHAnsi" w:hAnsiTheme="majorHAnsi" w:cstheme="majorHAnsi"/>
          <w:sz w:val="24"/>
          <w:szCs w:val="24"/>
        </w:rPr>
        <w:t>implications for</w:t>
      </w:r>
      <w:r w:rsidR="00B26221" w:rsidRPr="0033763A">
        <w:rPr>
          <w:rFonts w:asciiTheme="majorHAnsi" w:hAnsiTheme="majorHAnsi" w:cstheme="majorHAnsi"/>
          <w:sz w:val="24"/>
          <w:szCs w:val="24"/>
        </w:rPr>
        <w:t xml:space="preserve"> planning and delivery. During the planning process, </w:t>
      </w:r>
      <w:r w:rsidR="00E91007">
        <w:rPr>
          <w:rFonts w:asciiTheme="majorHAnsi" w:hAnsiTheme="majorHAnsi" w:cstheme="majorHAnsi"/>
          <w:sz w:val="24"/>
          <w:szCs w:val="24"/>
        </w:rPr>
        <w:t>we have had to be</w:t>
      </w:r>
      <w:r w:rsidR="00B26221" w:rsidRPr="0033763A">
        <w:rPr>
          <w:rFonts w:asciiTheme="majorHAnsi" w:hAnsiTheme="majorHAnsi" w:cstheme="majorHAnsi"/>
          <w:sz w:val="24"/>
          <w:szCs w:val="24"/>
        </w:rPr>
        <w:t xml:space="preserve"> aware of both s</w:t>
      </w:r>
      <w:r w:rsidRPr="0033763A">
        <w:rPr>
          <w:rFonts w:asciiTheme="majorHAnsi" w:hAnsiTheme="majorHAnsi" w:cstheme="majorHAnsi"/>
          <w:sz w:val="24"/>
          <w:szCs w:val="24"/>
        </w:rPr>
        <w:t xml:space="preserve">taff workload allocation and </w:t>
      </w:r>
      <w:r w:rsidRPr="0033763A">
        <w:rPr>
          <w:rFonts w:asciiTheme="majorHAnsi" w:hAnsiTheme="majorHAnsi" w:cstheme="majorHAnsi"/>
          <w:sz w:val="24"/>
          <w:szCs w:val="24"/>
        </w:rPr>
        <w:lastRenderedPageBreak/>
        <w:t>staff turnover</w:t>
      </w:r>
      <w:r w:rsidR="00B26221" w:rsidRPr="0033763A">
        <w:rPr>
          <w:rFonts w:asciiTheme="majorHAnsi" w:hAnsiTheme="majorHAnsi" w:cstheme="majorHAnsi"/>
          <w:sz w:val="24"/>
          <w:szCs w:val="24"/>
        </w:rPr>
        <w:t xml:space="preserve">. Working within a large team means that such undertakings are incredibly </w:t>
      </w:r>
      <w:r w:rsidR="00450366" w:rsidRPr="0033763A">
        <w:rPr>
          <w:rFonts w:asciiTheme="majorHAnsi" w:hAnsiTheme="majorHAnsi" w:cstheme="majorHAnsi"/>
          <w:sz w:val="24"/>
          <w:szCs w:val="24"/>
        </w:rPr>
        <w:t>resource</w:t>
      </w:r>
      <w:r w:rsidR="00450366">
        <w:rPr>
          <w:rFonts w:asciiTheme="majorHAnsi" w:hAnsiTheme="majorHAnsi" w:cstheme="majorHAnsi"/>
          <w:sz w:val="24"/>
          <w:szCs w:val="24"/>
        </w:rPr>
        <w:t xml:space="preserve"> intensive</w:t>
      </w:r>
      <w:r w:rsidR="00B26221" w:rsidRPr="0033763A">
        <w:rPr>
          <w:rFonts w:asciiTheme="majorHAnsi" w:hAnsiTheme="majorHAnsi" w:cstheme="majorHAnsi"/>
          <w:sz w:val="24"/>
          <w:szCs w:val="24"/>
        </w:rPr>
        <w:t xml:space="preserve">. </w:t>
      </w:r>
      <w:r w:rsidR="00FE0A12">
        <w:rPr>
          <w:rFonts w:asciiTheme="majorHAnsi" w:hAnsiTheme="majorHAnsi" w:cstheme="majorHAnsi"/>
          <w:sz w:val="24"/>
          <w:szCs w:val="24"/>
        </w:rPr>
        <w:t>I</w:t>
      </w:r>
      <w:r w:rsidR="006B59B5">
        <w:rPr>
          <w:rFonts w:asciiTheme="majorHAnsi" w:hAnsiTheme="majorHAnsi" w:cstheme="majorHAnsi"/>
          <w:sz w:val="24"/>
          <w:szCs w:val="24"/>
        </w:rPr>
        <w:t xml:space="preserve">t is </w:t>
      </w:r>
      <w:r w:rsidR="00FE0A12">
        <w:rPr>
          <w:rFonts w:asciiTheme="majorHAnsi" w:hAnsiTheme="majorHAnsi" w:cstheme="majorHAnsi"/>
          <w:sz w:val="24"/>
          <w:szCs w:val="24"/>
        </w:rPr>
        <w:t xml:space="preserve">therefore </w:t>
      </w:r>
      <w:r w:rsidR="00B37B67">
        <w:rPr>
          <w:rFonts w:asciiTheme="majorHAnsi" w:hAnsiTheme="majorHAnsi" w:cstheme="majorHAnsi"/>
          <w:sz w:val="24"/>
          <w:szCs w:val="24"/>
        </w:rPr>
        <w:t xml:space="preserve">vital </w:t>
      </w:r>
      <w:r w:rsidR="006B59B5">
        <w:rPr>
          <w:rFonts w:asciiTheme="majorHAnsi" w:hAnsiTheme="majorHAnsi" w:cstheme="majorHAnsi"/>
          <w:sz w:val="24"/>
          <w:szCs w:val="24"/>
        </w:rPr>
        <w:t xml:space="preserve">to </w:t>
      </w:r>
      <w:r w:rsidR="00B26221" w:rsidRPr="0033763A">
        <w:rPr>
          <w:rFonts w:asciiTheme="majorHAnsi" w:hAnsiTheme="majorHAnsi" w:cstheme="majorHAnsi"/>
          <w:sz w:val="24"/>
          <w:szCs w:val="24"/>
        </w:rPr>
        <w:t xml:space="preserve">get the whole </w:t>
      </w:r>
      <w:r w:rsidR="00450366">
        <w:rPr>
          <w:rFonts w:asciiTheme="majorHAnsi" w:hAnsiTheme="majorHAnsi" w:cstheme="majorHAnsi"/>
          <w:sz w:val="24"/>
          <w:szCs w:val="24"/>
        </w:rPr>
        <w:t>L</w:t>
      </w:r>
      <w:r w:rsidR="00B26221" w:rsidRPr="0033763A">
        <w:rPr>
          <w:rFonts w:asciiTheme="majorHAnsi" w:hAnsiTheme="majorHAnsi" w:cstheme="majorHAnsi"/>
          <w:sz w:val="24"/>
          <w:szCs w:val="24"/>
        </w:rPr>
        <w:t xml:space="preserve">aw </w:t>
      </w:r>
      <w:r w:rsidR="00450366">
        <w:rPr>
          <w:rFonts w:asciiTheme="majorHAnsi" w:hAnsiTheme="majorHAnsi" w:cstheme="majorHAnsi"/>
          <w:sz w:val="24"/>
          <w:szCs w:val="24"/>
        </w:rPr>
        <w:t>S</w:t>
      </w:r>
      <w:r w:rsidR="00B26221" w:rsidRPr="0033763A">
        <w:rPr>
          <w:rFonts w:asciiTheme="majorHAnsi" w:hAnsiTheme="majorHAnsi" w:cstheme="majorHAnsi"/>
          <w:sz w:val="24"/>
          <w:szCs w:val="24"/>
        </w:rPr>
        <w:t xml:space="preserve">chool </w:t>
      </w:r>
      <w:r w:rsidR="006B59B5">
        <w:rPr>
          <w:rFonts w:asciiTheme="majorHAnsi" w:hAnsiTheme="majorHAnsi" w:cstheme="majorHAnsi"/>
          <w:sz w:val="24"/>
          <w:szCs w:val="24"/>
        </w:rPr>
        <w:t xml:space="preserve">(and beyond) </w:t>
      </w:r>
      <w:r w:rsidR="00B26221" w:rsidRPr="0033763A">
        <w:rPr>
          <w:rFonts w:asciiTheme="majorHAnsi" w:hAnsiTheme="majorHAnsi" w:cstheme="majorHAnsi"/>
          <w:sz w:val="24"/>
          <w:szCs w:val="24"/>
        </w:rPr>
        <w:t>involve</w:t>
      </w:r>
      <w:r w:rsidR="006B59B5">
        <w:rPr>
          <w:rFonts w:asciiTheme="majorHAnsi" w:hAnsiTheme="majorHAnsi" w:cstheme="majorHAnsi"/>
          <w:sz w:val="24"/>
          <w:szCs w:val="24"/>
        </w:rPr>
        <w:t>d:</w:t>
      </w:r>
      <w:r w:rsidR="00B26221" w:rsidRPr="0033763A">
        <w:rPr>
          <w:rFonts w:asciiTheme="majorHAnsi" w:hAnsiTheme="majorHAnsi" w:cstheme="majorHAnsi"/>
          <w:sz w:val="24"/>
          <w:szCs w:val="24"/>
        </w:rPr>
        <w:t xml:space="preserve"> </w:t>
      </w:r>
      <w:r w:rsidR="006B59B5">
        <w:rPr>
          <w:rFonts w:asciiTheme="majorHAnsi" w:hAnsiTheme="majorHAnsi" w:cstheme="majorHAnsi"/>
          <w:sz w:val="24"/>
          <w:szCs w:val="24"/>
        </w:rPr>
        <w:t xml:space="preserve">the </w:t>
      </w:r>
      <w:r w:rsidR="00B26221" w:rsidRPr="0033763A">
        <w:rPr>
          <w:rFonts w:asciiTheme="majorHAnsi" w:hAnsiTheme="majorHAnsi" w:cstheme="majorHAnsi"/>
          <w:sz w:val="24"/>
          <w:szCs w:val="24"/>
        </w:rPr>
        <w:t>H</w:t>
      </w:r>
      <w:r w:rsidR="00CA7808" w:rsidRPr="0033763A">
        <w:rPr>
          <w:rFonts w:asciiTheme="majorHAnsi" w:hAnsiTheme="majorHAnsi" w:cstheme="majorHAnsi"/>
          <w:sz w:val="24"/>
          <w:szCs w:val="24"/>
        </w:rPr>
        <w:t xml:space="preserve">ead of School, Heads of Year, the wider </w:t>
      </w:r>
      <w:r w:rsidR="00B26221" w:rsidRPr="0033763A">
        <w:rPr>
          <w:rFonts w:asciiTheme="majorHAnsi" w:hAnsiTheme="majorHAnsi" w:cstheme="majorHAnsi"/>
          <w:sz w:val="24"/>
          <w:szCs w:val="24"/>
        </w:rPr>
        <w:t>pastoral team, careers team, library team, student union, student services, learning support, student rep</w:t>
      </w:r>
      <w:r w:rsidR="00B5316B">
        <w:rPr>
          <w:rFonts w:asciiTheme="majorHAnsi" w:hAnsiTheme="majorHAnsi" w:cstheme="majorHAnsi"/>
          <w:sz w:val="24"/>
          <w:szCs w:val="24"/>
        </w:rPr>
        <w:t>resentative</w:t>
      </w:r>
      <w:r w:rsidR="00B26221" w:rsidRPr="0033763A">
        <w:rPr>
          <w:rFonts w:asciiTheme="majorHAnsi" w:hAnsiTheme="majorHAnsi" w:cstheme="majorHAnsi"/>
          <w:sz w:val="24"/>
          <w:szCs w:val="24"/>
        </w:rPr>
        <w:t xml:space="preserve">s, and </w:t>
      </w:r>
      <w:r w:rsidR="00B5316B">
        <w:rPr>
          <w:rFonts w:asciiTheme="majorHAnsi" w:hAnsiTheme="majorHAnsi" w:cstheme="majorHAnsi"/>
          <w:sz w:val="24"/>
          <w:szCs w:val="24"/>
        </w:rPr>
        <w:t>the S</w:t>
      </w:r>
      <w:r w:rsidR="00B26221" w:rsidRPr="0033763A">
        <w:rPr>
          <w:rFonts w:asciiTheme="majorHAnsi" w:hAnsiTheme="majorHAnsi" w:cstheme="majorHAnsi"/>
          <w:sz w:val="24"/>
          <w:szCs w:val="24"/>
        </w:rPr>
        <w:t xml:space="preserve">tudent </w:t>
      </w:r>
      <w:r w:rsidR="00B5316B">
        <w:rPr>
          <w:rFonts w:asciiTheme="majorHAnsi" w:hAnsiTheme="majorHAnsi" w:cstheme="majorHAnsi"/>
          <w:sz w:val="24"/>
          <w:szCs w:val="24"/>
        </w:rPr>
        <w:t>L</w:t>
      </w:r>
      <w:r w:rsidR="00B26221" w:rsidRPr="0033763A">
        <w:rPr>
          <w:rFonts w:asciiTheme="majorHAnsi" w:hAnsiTheme="majorHAnsi" w:cstheme="majorHAnsi"/>
          <w:sz w:val="24"/>
          <w:szCs w:val="24"/>
        </w:rPr>
        <w:t xml:space="preserve">aw </w:t>
      </w:r>
      <w:r w:rsidR="00B5316B">
        <w:rPr>
          <w:rFonts w:asciiTheme="majorHAnsi" w:hAnsiTheme="majorHAnsi" w:cstheme="majorHAnsi"/>
          <w:sz w:val="24"/>
          <w:szCs w:val="24"/>
        </w:rPr>
        <w:t>S</w:t>
      </w:r>
      <w:r w:rsidR="00B26221" w:rsidRPr="0033763A">
        <w:rPr>
          <w:rFonts w:asciiTheme="majorHAnsi" w:hAnsiTheme="majorHAnsi" w:cstheme="majorHAnsi"/>
          <w:sz w:val="24"/>
          <w:szCs w:val="24"/>
        </w:rPr>
        <w:t>ociety. This supports the message of community in a practical manner and creates broader opportunities for direct contact with the student, supporting them to collaborate in an existing environment, rather than expecting the</w:t>
      </w:r>
      <w:r w:rsidR="0008355E">
        <w:rPr>
          <w:rFonts w:asciiTheme="majorHAnsi" w:hAnsiTheme="majorHAnsi" w:cstheme="majorHAnsi"/>
          <w:sz w:val="24"/>
          <w:szCs w:val="24"/>
        </w:rPr>
        <w:t>m</w:t>
      </w:r>
      <w:r w:rsidR="00B26221" w:rsidRPr="0033763A">
        <w:rPr>
          <w:rFonts w:asciiTheme="majorHAnsi" w:hAnsiTheme="majorHAnsi" w:cstheme="majorHAnsi"/>
          <w:sz w:val="24"/>
          <w:szCs w:val="24"/>
        </w:rPr>
        <w:t xml:space="preserve"> to go out and seek school links with</w:t>
      </w:r>
      <w:r w:rsidR="00CA7808" w:rsidRPr="0033763A">
        <w:rPr>
          <w:rFonts w:asciiTheme="majorHAnsi" w:hAnsiTheme="majorHAnsi" w:cstheme="majorHAnsi"/>
          <w:sz w:val="24"/>
          <w:szCs w:val="24"/>
        </w:rPr>
        <w:t xml:space="preserve"> little knowledge or affiliation</w:t>
      </w:r>
      <w:proofErr w:type="gramStart"/>
      <w:r w:rsidR="00CA7808" w:rsidRPr="0033763A">
        <w:rPr>
          <w:rFonts w:asciiTheme="majorHAnsi" w:hAnsiTheme="majorHAnsi" w:cstheme="majorHAnsi"/>
          <w:sz w:val="24"/>
          <w:szCs w:val="24"/>
        </w:rPr>
        <w:t xml:space="preserve">. </w:t>
      </w:r>
      <w:r w:rsidR="00B26221" w:rsidRPr="0033763A">
        <w:rPr>
          <w:rFonts w:asciiTheme="majorHAnsi" w:hAnsiTheme="majorHAnsi" w:cstheme="majorHAnsi"/>
          <w:sz w:val="24"/>
          <w:szCs w:val="24"/>
        </w:rPr>
        <w:t xml:space="preserve"> </w:t>
      </w:r>
      <w:proofErr w:type="gramEnd"/>
      <w:r w:rsidR="00CA7808" w:rsidRPr="0033763A">
        <w:rPr>
          <w:rFonts w:asciiTheme="majorHAnsi" w:hAnsiTheme="majorHAnsi" w:cstheme="majorHAnsi"/>
          <w:sz w:val="24"/>
          <w:szCs w:val="24"/>
        </w:rPr>
        <w:t xml:space="preserve">Having a large team </w:t>
      </w:r>
      <w:r w:rsidR="00244319">
        <w:rPr>
          <w:rFonts w:asciiTheme="majorHAnsi" w:hAnsiTheme="majorHAnsi" w:cstheme="majorHAnsi"/>
          <w:sz w:val="24"/>
          <w:szCs w:val="24"/>
        </w:rPr>
        <w:t>inevitably</w:t>
      </w:r>
      <w:r w:rsidR="00B70AF1">
        <w:rPr>
          <w:rFonts w:asciiTheme="majorHAnsi" w:hAnsiTheme="majorHAnsi" w:cstheme="majorHAnsi"/>
          <w:sz w:val="24"/>
          <w:szCs w:val="24"/>
        </w:rPr>
        <w:t xml:space="preserve"> </w:t>
      </w:r>
      <w:r w:rsidR="00CA7808" w:rsidRPr="0033763A">
        <w:rPr>
          <w:rFonts w:asciiTheme="majorHAnsi" w:hAnsiTheme="majorHAnsi" w:cstheme="majorHAnsi"/>
          <w:sz w:val="24"/>
          <w:szCs w:val="24"/>
        </w:rPr>
        <w:t>mean</w:t>
      </w:r>
      <w:r w:rsidR="00244319">
        <w:rPr>
          <w:rFonts w:asciiTheme="majorHAnsi" w:hAnsiTheme="majorHAnsi" w:cstheme="majorHAnsi"/>
          <w:sz w:val="24"/>
          <w:szCs w:val="24"/>
        </w:rPr>
        <w:t>s</w:t>
      </w:r>
      <w:r w:rsidR="00CA7808" w:rsidRPr="0033763A">
        <w:rPr>
          <w:rFonts w:asciiTheme="majorHAnsi" w:hAnsiTheme="majorHAnsi" w:cstheme="majorHAnsi"/>
          <w:sz w:val="24"/>
          <w:szCs w:val="24"/>
        </w:rPr>
        <w:t xml:space="preserve"> that some design goals will inevitably be </w:t>
      </w:r>
      <w:r w:rsidRPr="0033763A">
        <w:rPr>
          <w:rFonts w:asciiTheme="majorHAnsi" w:hAnsiTheme="majorHAnsi" w:cstheme="majorHAnsi"/>
          <w:sz w:val="24"/>
          <w:szCs w:val="24"/>
        </w:rPr>
        <w:t>diluted</w:t>
      </w:r>
      <w:r w:rsidR="00CA7808" w:rsidRPr="0033763A">
        <w:rPr>
          <w:rFonts w:asciiTheme="majorHAnsi" w:hAnsiTheme="majorHAnsi" w:cstheme="majorHAnsi"/>
          <w:sz w:val="24"/>
          <w:szCs w:val="24"/>
        </w:rPr>
        <w:t xml:space="preserve"> in response to practicalities</w:t>
      </w:r>
      <w:r w:rsidR="008C60C2">
        <w:rPr>
          <w:rFonts w:asciiTheme="majorHAnsi" w:hAnsiTheme="majorHAnsi" w:cstheme="majorHAnsi"/>
          <w:sz w:val="24"/>
          <w:szCs w:val="24"/>
        </w:rPr>
        <w:t>, and so it is important to maintain an overall vision of what we want to achieve</w:t>
      </w:r>
      <w:r w:rsidR="00CA7808" w:rsidRPr="0033763A">
        <w:rPr>
          <w:rFonts w:asciiTheme="majorHAnsi" w:hAnsiTheme="majorHAnsi" w:cstheme="majorHAnsi"/>
          <w:sz w:val="24"/>
          <w:szCs w:val="24"/>
        </w:rPr>
        <w:t xml:space="preserve">. Regular </w:t>
      </w:r>
      <w:r w:rsidR="00C52C2C">
        <w:rPr>
          <w:rFonts w:asciiTheme="majorHAnsi" w:hAnsiTheme="majorHAnsi" w:cstheme="majorHAnsi"/>
          <w:sz w:val="24"/>
          <w:szCs w:val="24"/>
        </w:rPr>
        <w:t xml:space="preserve">team </w:t>
      </w:r>
      <w:r w:rsidR="00CA7808" w:rsidRPr="0033763A">
        <w:rPr>
          <w:rFonts w:asciiTheme="majorHAnsi" w:hAnsiTheme="majorHAnsi" w:cstheme="majorHAnsi"/>
          <w:sz w:val="24"/>
          <w:szCs w:val="24"/>
        </w:rPr>
        <w:t>meeting</w:t>
      </w:r>
      <w:r w:rsidR="00C52C2C">
        <w:rPr>
          <w:rFonts w:asciiTheme="majorHAnsi" w:hAnsiTheme="majorHAnsi" w:cstheme="majorHAnsi"/>
          <w:sz w:val="24"/>
          <w:szCs w:val="24"/>
        </w:rPr>
        <w:t>s</w:t>
      </w:r>
      <w:r w:rsidR="00CA7808" w:rsidRPr="0033763A">
        <w:rPr>
          <w:rFonts w:asciiTheme="majorHAnsi" w:hAnsiTheme="majorHAnsi" w:cstheme="majorHAnsi"/>
          <w:sz w:val="24"/>
          <w:szCs w:val="24"/>
        </w:rPr>
        <w:t xml:space="preserve"> are important</w:t>
      </w:r>
      <w:r w:rsidR="008C60C2">
        <w:rPr>
          <w:rFonts w:asciiTheme="majorHAnsi" w:hAnsiTheme="majorHAnsi" w:cstheme="majorHAnsi"/>
          <w:sz w:val="24"/>
          <w:szCs w:val="24"/>
        </w:rPr>
        <w:t>, not least</w:t>
      </w:r>
      <w:r w:rsidR="00CA7808" w:rsidRPr="0033763A">
        <w:rPr>
          <w:rFonts w:asciiTheme="majorHAnsi" w:hAnsiTheme="majorHAnsi" w:cstheme="majorHAnsi"/>
          <w:sz w:val="24"/>
          <w:szCs w:val="24"/>
        </w:rPr>
        <w:t xml:space="preserve"> to ensure that new members </w:t>
      </w:r>
      <w:r w:rsidRPr="0033763A">
        <w:rPr>
          <w:rFonts w:asciiTheme="majorHAnsi" w:hAnsiTheme="majorHAnsi" w:cstheme="majorHAnsi"/>
          <w:sz w:val="24"/>
          <w:szCs w:val="24"/>
        </w:rPr>
        <w:t>fully underst</w:t>
      </w:r>
      <w:r w:rsidR="00CA7808" w:rsidRPr="0033763A">
        <w:rPr>
          <w:rFonts w:asciiTheme="majorHAnsi" w:hAnsiTheme="majorHAnsi" w:cstheme="majorHAnsi"/>
          <w:sz w:val="24"/>
          <w:szCs w:val="24"/>
        </w:rPr>
        <w:t xml:space="preserve">and and commit </w:t>
      </w:r>
      <w:r w:rsidRPr="0033763A">
        <w:rPr>
          <w:rFonts w:asciiTheme="majorHAnsi" w:hAnsiTheme="majorHAnsi" w:cstheme="majorHAnsi"/>
          <w:sz w:val="24"/>
          <w:szCs w:val="24"/>
        </w:rPr>
        <w:t>to the module ethos</w:t>
      </w:r>
      <w:r w:rsidR="00CA7808" w:rsidRPr="0033763A">
        <w:rPr>
          <w:rFonts w:asciiTheme="majorHAnsi" w:hAnsiTheme="majorHAnsi" w:cstheme="majorHAnsi"/>
          <w:sz w:val="24"/>
          <w:szCs w:val="24"/>
        </w:rPr>
        <w:t>. One way of responding to this need for consistency is to retain a core team to reflect and facilitate the development of the modules in response to student voice and assessment results</w:t>
      </w:r>
      <w:proofErr w:type="gramStart"/>
      <w:r w:rsidR="00CA7808" w:rsidRPr="0033763A">
        <w:rPr>
          <w:rFonts w:asciiTheme="majorHAnsi" w:hAnsiTheme="majorHAnsi" w:cstheme="majorHAnsi"/>
          <w:sz w:val="24"/>
          <w:szCs w:val="24"/>
        </w:rPr>
        <w:t xml:space="preserve">. </w:t>
      </w:r>
      <w:r w:rsidRPr="0033763A">
        <w:rPr>
          <w:rFonts w:asciiTheme="majorHAnsi" w:hAnsiTheme="majorHAnsi" w:cstheme="majorHAnsi"/>
          <w:sz w:val="24"/>
          <w:szCs w:val="24"/>
        </w:rPr>
        <w:t xml:space="preserve"> </w:t>
      </w:r>
      <w:proofErr w:type="gramEnd"/>
    </w:p>
    <w:p w14:paraId="093D6AB6" w14:textId="61735798" w:rsidR="00B139D3" w:rsidRDefault="00E841BA" w:rsidP="00C124D0">
      <w:pPr>
        <w:spacing w:line="240" w:lineRule="auto"/>
        <w:jc w:val="both"/>
        <w:rPr>
          <w:rFonts w:asciiTheme="majorHAnsi" w:hAnsiTheme="majorHAnsi" w:cstheme="majorHAnsi"/>
          <w:sz w:val="24"/>
          <w:szCs w:val="24"/>
        </w:rPr>
      </w:pPr>
      <w:r w:rsidRPr="0033763A">
        <w:rPr>
          <w:rFonts w:asciiTheme="majorHAnsi" w:hAnsiTheme="majorHAnsi" w:cstheme="majorHAnsi"/>
          <w:sz w:val="24"/>
          <w:szCs w:val="24"/>
        </w:rPr>
        <w:t>There is a r</w:t>
      </w:r>
      <w:r w:rsidR="00CF3122" w:rsidRPr="0033763A">
        <w:rPr>
          <w:rFonts w:asciiTheme="majorHAnsi" w:hAnsiTheme="majorHAnsi" w:cstheme="majorHAnsi"/>
          <w:sz w:val="24"/>
          <w:szCs w:val="24"/>
        </w:rPr>
        <w:t>isk of staff and student burnout after the intensive 3-week induction</w:t>
      </w:r>
      <w:r w:rsidR="00E4232B" w:rsidRPr="0033763A">
        <w:rPr>
          <w:rFonts w:asciiTheme="majorHAnsi" w:hAnsiTheme="majorHAnsi" w:cstheme="majorHAnsi"/>
          <w:sz w:val="24"/>
          <w:szCs w:val="24"/>
        </w:rPr>
        <w:t xml:space="preserve">. </w:t>
      </w:r>
      <w:r w:rsidR="001C6669">
        <w:rPr>
          <w:rFonts w:asciiTheme="majorHAnsi" w:hAnsiTheme="majorHAnsi" w:cstheme="majorHAnsi"/>
          <w:sz w:val="24"/>
          <w:szCs w:val="24"/>
        </w:rPr>
        <w:t>The</w:t>
      </w:r>
      <w:r w:rsidR="00B94B76">
        <w:rPr>
          <w:rFonts w:asciiTheme="majorHAnsi" w:hAnsiTheme="majorHAnsi" w:cstheme="majorHAnsi"/>
          <w:sz w:val="24"/>
          <w:szCs w:val="24"/>
        </w:rPr>
        <w:t xml:space="preserve"> benefits of the </w:t>
      </w:r>
      <w:r w:rsidR="005251BB">
        <w:rPr>
          <w:rFonts w:asciiTheme="majorHAnsi" w:hAnsiTheme="majorHAnsi" w:cstheme="majorHAnsi"/>
          <w:sz w:val="24"/>
          <w:szCs w:val="24"/>
        </w:rPr>
        <w:t>extended induction must be balanced against</w:t>
      </w:r>
      <w:r w:rsidR="001C6669">
        <w:rPr>
          <w:rFonts w:asciiTheme="majorHAnsi" w:hAnsiTheme="majorHAnsi" w:cstheme="majorHAnsi"/>
          <w:sz w:val="24"/>
          <w:szCs w:val="24"/>
        </w:rPr>
        <w:t xml:space="preserve"> </w:t>
      </w:r>
      <w:r w:rsidR="005251BB">
        <w:rPr>
          <w:rFonts w:asciiTheme="majorHAnsi" w:hAnsiTheme="majorHAnsi" w:cstheme="majorHAnsi"/>
          <w:sz w:val="24"/>
          <w:szCs w:val="24"/>
        </w:rPr>
        <w:t xml:space="preserve">the original </w:t>
      </w:r>
      <w:r w:rsidR="001C6669">
        <w:rPr>
          <w:rFonts w:asciiTheme="majorHAnsi" w:hAnsiTheme="majorHAnsi" w:cstheme="majorHAnsi"/>
          <w:sz w:val="24"/>
          <w:szCs w:val="24"/>
        </w:rPr>
        <w:t>impetus for Legal Essentials</w:t>
      </w:r>
      <w:r w:rsidR="005251BB">
        <w:rPr>
          <w:rFonts w:asciiTheme="majorHAnsi" w:hAnsiTheme="majorHAnsi" w:cstheme="majorHAnsi"/>
          <w:sz w:val="24"/>
          <w:szCs w:val="24"/>
        </w:rPr>
        <w:t>:</w:t>
      </w:r>
      <w:r w:rsidR="001C6669">
        <w:rPr>
          <w:rFonts w:asciiTheme="majorHAnsi" w:hAnsiTheme="majorHAnsi" w:cstheme="majorHAnsi"/>
          <w:sz w:val="24"/>
          <w:szCs w:val="24"/>
        </w:rPr>
        <w:t xml:space="preserve"> our awareness of the challenges to Law student </w:t>
      </w:r>
      <w:r w:rsidR="005251BB">
        <w:rPr>
          <w:rFonts w:asciiTheme="majorHAnsi" w:hAnsiTheme="majorHAnsi" w:cstheme="majorHAnsi"/>
          <w:sz w:val="24"/>
          <w:szCs w:val="24"/>
        </w:rPr>
        <w:t xml:space="preserve">engagement and </w:t>
      </w:r>
      <w:r w:rsidR="001C6669">
        <w:rPr>
          <w:rFonts w:asciiTheme="majorHAnsi" w:hAnsiTheme="majorHAnsi" w:cstheme="majorHAnsi"/>
          <w:sz w:val="24"/>
          <w:szCs w:val="24"/>
        </w:rPr>
        <w:t xml:space="preserve">wellbeing and our resulting desire for a more holistic approach to induction and legal skills. It is true to say that we, as a team, are still working on achieving this. </w:t>
      </w:r>
      <w:r w:rsidR="001F6CE7" w:rsidRPr="0033763A">
        <w:rPr>
          <w:rFonts w:asciiTheme="majorHAnsi" w:hAnsiTheme="majorHAnsi" w:cstheme="majorHAnsi"/>
          <w:sz w:val="24"/>
          <w:szCs w:val="24"/>
        </w:rPr>
        <w:t xml:space="preserve">The </w:t>
      </w:r>
      <w:r w:rsidR="0061255D">
        <w:rPr>
          <w:rFonts w:asciiTheme="majorHAnsi" w:hAnsiTheme="majorHAnsi" w:cstheme="majorHAnsi"/>
          <w:sz w:val="24"/>
          <w:szCs w:val="24"/>
        </w:rPr>
        <w:t>pivot</w:t>
      </w:r>
      <w:r w:rsidR="001F6CE7" w:rsidRPr="0033763A">
        <w:rPr>
          <w:rFonts w:asciiTheme="majorHAnsi" w:hAnsiTheme="majorHAnsi" w:cstheme="majorHAnsi"/>
          <w:sz w:val="24"/>
          <w:szCs w:val="24"/>
        </w:rPr>
        <w:t xml:space="preserve"> to online and blended learning has inevitabl</w:t>
      </w:r>
      <w:r w:rsidR="001F6CE7">
        <w:rPr>
          <w:rFonts w:asciiTheme="majorHAnsi" w:hAnsiTheme="majorHAnsi" w:cstheme="majorHAnsi"/>
          <w:sz w:val="24"/>
          <w:szCs w:val="24"/>
        </w:rPr>
        <w:t>y</w:t>
      </w:r>
      <w:r w:rsidR="001F6CE7" w:rsidRPr="0033763A">
        <w:rPr>
          <w:rFonts w:asciiTheme="majorHAnsi" w:hAnsiTheme="majorHAnsi" w:cstheme="majorHAnsi"/>
          <w:sz w:val="24"/>
          <w:szCs w:val="24"/>
        </w:rPr>
        <w:t xml:space="preserve"> disrupted </w:t>
      </w:r>
      <w:r w:rsidR="003C1C32">
        <w:rPr>
          <w:rFonts w:asciiTheme="majorHAnsi" w:hAnsiTheme="majorHAnsi" w:cstheme="majorHAnsi"/>
          <w:sz w:val="24"/>
          <w:szCs w:val="24"/>
        </w:rPr>
        <w:t>module</w:t>
      </w:r>
      <w:r w:rsidR="001F6CE7" w:rsidRPr="0033763A">
        <w:rPr>
          <w:rFonts w:asciiTheme="majorHAnsi" w:hAnsiTheme="majorHAnsi" w:cstheme="majorHAnsi"/>
          <w:sz w:val="24"/>
          <w:szCs w:val="24"/>
        </w:rPr>
        <w:t xml:space="preserve"> delivery for the 20-21 </w:t>
      </w:r>
      <w:r w:rsidR="002840D8">
        <w:rPr>
          <w:rFonts w:asciiTheme="majorHAnsi" w:hAnsiTheme="majorHAnsi" w:cstheme="majorHAnsi"/>
          <w:sz w:val="24"/>
          <w:szCs w:val="24"/>
        </w:rPr>
        <w:t xml:space="preserve">and 21-22 cohorts, </w:t>
      </w:r>
      <w:r w:rsidR="001F6CE7" w:rsidRPr="0033763A">
        <w:rPr>
          <w:rFonts w:asciiTheme="majorHAnsi" w:hAnsiTheme="majorHAnsi" w:cstheme="majorHAnsi"/>
          <w:sz w:val="24"/>
          <w:szCs w:val="24"/>
        </w:rPr>
        <w:t xml:space="preserve">making it increasingly important to address </w:t>
      </w:r>
      <w:r w:rsidR="002840D8">
        <w:rPr>
          <w:rFonts w:asciiTheme="majorHAnsi" w:hAnsiTheme="majorHAnsi" w:cstheme="majorHAnsi"/>
          <w:sz w:val="24"/>
          <w:szCs w:val="24"/>
        </w:rPr>
        <w:t xml:space="preserve">students’ </w:t>
      </w:r>
      <w:r w:rsidR="001F6CE7" w:rsidRPr="0033763A">
        <w:rPr>
          <w:rFonts w:asciiTheme="majorHAnsi" w:hAnsiTheme="majorHAnsi" w:cstheme="majorHAnsi"/>
          <w:sz w:val="24"/>
          <w:szCs w:val="24"/>
        </w:rPr>
        <w:t xml:space="preserve">learning and personal challenges. </w:t>
      </w:r>
    </w:p>
    <w:p w14:paraId="4252B369" w14:textId="6E77166B" w:rsidR="00C124D0" w:rsidRDefault="00B139D3" w:rsidP="00C124D0">
      <w:pPr>
        <w:spacing w:line="240" w:lineRule="auto"/>
        <w:jc w:val="both"/>
        <w:rPr>
          <w:rFonts w:asciiTheme="majorHAnsi" w:hAnsiTheme="majorHAnsi" w:cstheme="majorHAnsi"/>
          <w:sz w:val="24"/>
          <w:szCs w:val="24"/>
        </w:rPr>
      </w:pPr>
      <w:r>
        <w:rPr>
          <w:rFonts w:asciiTheme="majorHAnsi" w:hAnsiTheme="majorHAnsi" w:cstheme="majorHAnsi"/>
          <w:sz w:val="24"/>
          <w:szCs w:val="24"/>
        </w:rPr>
        <w:t>It may be true that m</w:t>
      </w:r>
      <w:r w:rsidR="00C124D0">
        <w:rPr>
          <w:rFonts w:asciiTheme="majorHAnsi" w:hAnsiTheme="majorHAnsi" w:cstheme="majorHAnsi"/>
          <w:sz w:val="24"/>
          <w:szCs w:val="24"/>
        </w:rPr>
        <w:t>ost</w:t>
      </w:r>
      <w:r w:rsidR="00C124D0" w:rsidRPr="0033763A">
        <w:rPr>
          <w:rFonts w:asciiTheme="majorHAnsi" w:hAnsiTheme="majorHAnsi" w:cstheme="majorHAnsi"/>
          <w:sz w:val="24"/>
          <w:szCs w:val="24"/>
        </w:rPr>
        <w:t xml:space="preserve"> </w:t>
      </w:r>
      <w:r w:rsidR="00C124D0">
        <w:rPr>
          <w:rFonts w:asciiTheme="majorHAnsi" w:hAnsiTheme="majorHAnsi" w:cstheme="majorHAnsi"/>
          <w:sz w:val="24"/>
          <w:szCs w:val="24"/>
        </w:rPr>
        <w:t xml:space="preserve">level </w:t>
      </w:r>
      <w:r w:rsidR="00C124D0" w:rsidRPr="0033763A">
        <w:rPr>
          <w:rFonts w:asciiTheme="majorHAnsi" w:hAnsiTheme="majorHAnsi" w:cstheme="majorHAnsi"/>
          <w:sz w:val="24"/>
          <w:szCs w:val="24"/>
        </w:rPr>
        <w:t xml:space="preserve">4 students </w:t>
      </w:r>
      <w:r w:rsidR="00C124D0">
        <w:rPr>
          <w:rFonts w:asciiTheme="majorHAnsi" w:hAnsiTheme="majorHAnsi" w:cstheme="majorHAnsi"/>
          <w:sz w:val="24"/>
          <w:szCs w:val="24"/>
        </w:rPr>
        <w:t xml:space="preserve">come </w:t>
      </w:r>
      <w:r w:rsidR="00B22BDB">
        <w:rPr>
          <w:rFonts w:asciiTheme="majorHAnsi" w:hAnsiTheme="majorHAnsi" w:cstheme="majorHAnsi"/>
          <w:sz w:val="24"/>
          <w:szCs w:val="24"/>
        </w:rPr>
        <w:t xml:space="preserve">to HE </w:t>
      </w:r>
      <w:r w:rsidR="00C124D0">
        <w:rPr>
          <w:rFonts w:asciiTheme="majorHAnsi" w:hAnsiTheme="majorHAnsi" w:cstheme="majorHAnsi"/>
          <w:sz w:val="24"/>
          <w:szCs w:val="24"/>
        </w:rPr>
        <w:t xml:space="preserve">with prior </w:t>
      </w:r>
      <w:r w:rsidR="00C124D0" w:rsidRPr="0033763A">
        <w:rPr>
          <w:rFonts w:asciiTheme="majorHAnsi" w:hAnsiTheme="majorHAnsi" w:cstheme="majorHAnsi"/>
          <w:sz w:val="24"/>
          <w:szCs w:val="24"/>
        </w:rPr>
        <w:t>experience of a f</w:t>
      </w:r>
      <w:r w:rsidR="00A623B2">
        <w:rPr>
          <w:rFonts w:asciiTheme="majorHAnsi" w:hAnsiTheme="majorHAnsi" w:cstheme="majorHAnsi"/>
          <w:sz w:val="24"/>
          <w:szCs w:val="24"/>
        </w:rPr>
        <w:t>ull</w:t>
      </w:r>
      <w:r w:rsidR="00C124D0" w:rsidRPr="0033763A">
        <w:rPr>
          <w:rFonts w:asciiTheme="majorHAnsi" w:hAnsiTheme="majorHAnsi" w:cstheme="majorHAnsi"/>
          <w:sz w:val="24"/>
          <w:szCs w:val="24"/>
        </w:rPr>
        <w:t xml:space="preserve"> timetable </w:t>
      </w:r>
      <w:r w:rsidR="00C124D0">
        <w:rPr>
          <w:rFonts w:asciiTheme="majorHAnsi" w:hAnsiTheme="majorHAnsi" w:cstheme="majorHAnsi"/>
          <w:sz w:val="24"/>
          <w:szCs w:val="24"/>
        </w:rPr>
        <w:t xml:space="preserve">from </w:t>
      </w:r>
      <w:r w:rsidR="00C124D0" w:rsidRPr="0033763A">
        <w:rPr>
          <w:rFonts w:asciiTheme="majorHAnsi" w:hAnsiTheme="majorHAnsi" w:cstheme="majorHAnsi"/>
          <w:sz w:val="24"/>
          <w:szCs w:val="24"/>
        </w:rPr>
        <w:t>FE</w:t>
      </w:r>
      <w:r>
        <w:rPr>
          <w:rFonts w:asciiTheme="majorHAnsi" w:hAnsiTheme="majorHAnsi" w:cstheme="majorHAnsi"/>
          <w:sz w:val="24"/>
          <w:szCs w:val="24"/>
        </w:rPr>
        <w:t xml:space="preserve"> (</w:t>
      </w:r>
      <w:r w:rsidR="00C124D0">
        <w:rPr>
          <w:rFonts w:asciiTheme="majorHAnsi" w:hAnsiTheme="majorHAnsi" w:cstheme="majorHAnsi"/>
          <w:sz w:val="24"/>
          <w:szCs w:val="24"/>
        </w:rPr>
        <w:t>even if delivery has been largely online during the pandemic</w:t>
      </w:r>
      <w:r>
        <w:rPr>
          <w:rFonts w:asciiTheme="majorHAnsi" w:hAnsiTheme="majorHAnsi" w:cstheme="majorHAnsi"/>
          <w:sz w:val="24"/>
          <w:szCs w:val="24"/>
        </w:rPr>
        <w:t>), and so</w:t>
      </w:r>
      <w:r w:rsidR="00C124D0" w:rsidRPr="0033763A">
        <w:rPr>
          <w:rFonts w:asciiTheme="majorHAnsi" w:hAnsiTheme="majorHAnsi" w:cstheme="majorHAnsi"/>
          <w:sz w:val="24"/>
          <w:szCs w:val="24"/>
        </w:rPr>
        <w:t xml:space="preserve"> </w:t>
      </w:r>
      <w:r w:rsidR="00C124D0">
        <w:rPr>
          <w:rFonts w:asciiTheme="majorHAnsi" w:hAnsiTheme="majorHAnsi" w:cstheme="majorHAnsi"/>
          <w:sz w:val="24"/>
          <w:szCs w:val="24"/>
        </w:rPr>
        <w:t xml:space="preserve">we </w:t>
      </w:r>
      <w:r w:rsidR="00C124D0" w:rsidRPr="0033763A">
        <w:rPr>
          <w:rFonts w:asciiTheme="majorHAnsi" w:hAnsiTheme="majorHAnsi" w:cstheme="majorHAnsi"/>
          <w:sz w:val="24"/>
          <w:szCs w:val="24"/>
        </w:rPr>
        <w:t xml:space="preserve">should not </w:t>
      </w:r>
      <w:r w:rsidR="00C124D0">
        <w:rPr>
          <w:rFonts w:asciiTheme="majorHAnsi" w:hAnsiTheme="majorHAnsi" w:cstheme="majorHAnsi"/>
          <w:sz w:val="24"/>
          <w:szCs w:val="24"/>
        </w:rPr>
        <w:t xml:space="preserve">necessarily </w:t>
      </w:r>
      <w:r w:rsidR="00C124D0" w:rsidRPr="0033763A">
        <w:rPr>
          <w:rFonts w:asciiTheme="majorHAnsi" w:hAnsiTheme="majorHAnsi" w:cstheme="majorHAnsi"/>
          <w:sz w:val="24"/>
          <w:szCs w:val="24"/>
        </w:rPr>
        <w:t xml:space="preserve">make assumptions about </w:t>
      </w:r>
      <w:r>
        <w:rPr>
          <w:rFonts w:asciiTheme="majorHAnsi" w:hAnsiTheme="majorHAnsi" w:cstheme="majorHAnsi"/>
          <w:sz w:val="24"/>
          <w:szCs w:val="24"/>
        </w:rPr>
        <w:t>their</w:t>
      </w:r>
      <w:r w:rsidR="00C124D0" w:rsidRPr="0033763A">
        <w:rPr>
          <w:rFonts w:asciiTheme="majorHAnsi" w:hAnsiTheme="majorHAnsi" w:cstheme="majorHAnsi"/>
          <w:sz w:val="24"/>
          <w:szCs w:val="24"/>
        </w:rPr>
        <w:t xml:space="preserve"> capacity to</w:t>
      </w:r>
      <w:r>
        <w:rPr>
          <w:rFonts w:asciiTheme="majorHAnsi" w:hAnsiTheme="majorHAnsi" w:cstheme="majorHAnsi"/>
          <w:sz w:val="24"/>
          <w:szCs w:val="24"/>
        </w:rPr>
        <w:t xml:space="preserve"> cope with the intensive induction. </w:t>
      </w:r>
      <w:r w:rsidR="003D355F">
        <w:rPr>
          <w:rFonts w:asciiTheme="majorHAnsi" w:hAnsiTheme="majorHAnsi" w:cstheme="majorHAnsi"/>
          <w:sz w:val="24"/>
          <w:szCs w:val="24"/>
        </w:rPr>
        <w:t>Nevertheless, t</w:t>
      </w:r>
      <w:r w:rsidR="003D355F" w:rsidRPr="0033763A">
        <w:rPr>
          <w:rFonts w:asciiTheme="majorHAnsi" w:hAnsiTheme="majorHAnsi" w:cstheme="majorHAnsi"/>
          <w:sz w:val="24"/>
          <w:szCs w:val="24"/>
        </w:rPr>
        <w:t xml:space="preserve">he impact of </w:t>
      </w:r>
      <w:r w:rsidR="003D355F">
        <w:rPr>
          <w:rFonts w:asciiTheme="majorHAnsi" w:hAnsiTheme="majorHAnsi" w:cstheme="majorHAnsi"/>
          <w:sz w:val="24"/>
          <w:szCs w:val="24"/>
        </w:rPr>
        <w:t>Covid-19 on</w:t>
      </w:r>
      <w:r w:rsidR="003D355F" w:rsidRPr="0033763A">
        <w:rPr>
          <w:rFonts w:asciiTheme="majorHAnsi" w:hAnsiTheme="majorHAnsi" w:cstheme="majorHAnsi"/>
          <w:sz w:val="24"/>
          <w:szCs w:val="24"/>
        </w:rPr>
        <w:t xml:space="preserve"> the FE experience must </w:t>
      </w:r>
      <w:r w:rsidR="003D355F">
        <w:rPr>
          <w:rFonts w:asciiTheme="majorHAnsi" w:hAnsiTheme="majorHAnsi" w:cstheme="majorHAnsi"/>
          <w:sz w:val="24"/>
          <w:szCs w:val="24"/>
        </w:rPr>
        <w:t xml:space="preserve">still </w:t>
      </w:r>
      <w:r w:rsidR="003D355F" w:rsidRPr="0033763A">
        <w:rPr>
          <w:rFonts w:asciiTheme="majorHAnsi" w:hAnsiTheme="majorHAnsi" w:cstheme="majorHAnsi"/>
          <w:sz w:val="24"/>
          <w:szCs w:val="24"/>
        </w:rPr>
        <w:t>be considered, to mitigate any disrupted teaching that students have suffered</w:t>
      </w:r>
      <w:r w:rsidR="003D355F">
        <w:rPr>
          <w:rFonts w:asciiTheme="majorHAnsi" w:hAnsiTheme="majorHAnsi" w:cstheme="majorHAnsi"/>
          <w:sz w:val="24"/>
          <w:szCs w:val="24"/>
        </w:rPr>
        <w:t xml:space="preserve">. </w:t>
      </w:r>
      <w:r>
        <w:rPr>
          <w:rFonts w:asciiTheme="majorHAnsi" w:hAnsiTheme="majorHAnsi" w:cstheme="majorHAnsi"/>
          <w:sz w:val="24"/>
          <w:szCs w:val="24"/>
        </w:rPr>
        <w:t xml:space="preserve">Students (and staff) were also more physically isolated for a protracted period, and </w:t>
      </w:r>
      <w:r w:rsidR="008329CE">
        <w:rPr>
          <w:rFonts w:asciiTheme="majorHAnsi" w:hAnsiTheme="majorHAnsi" w:cstheme="majorHAnsi"/>
          <w:sz w:val="24"/>
          <w:szCs w:val="24"/>
        </w:rPr>
        <w:t>some may</w:t>
      </w:r>
      <w:r w:rsidR="00A80273">
        <w:rPr>
          <w:rFonts w:asciiTheme="majorHAnsi" w:hAnsiTheme="majorHAnsi" w:cstheme="majorHAnsi"/>
          <w:sz w:val="24"/>
          <w:szCs w:val="24"/>
        </w:rPr>
        <w:t xml:space="preserve"> have</w:t>
      </w:r>
      <w:r>
        <w:rPr>
          <w:rFonts w:asciiTheme="majorHAnsi" w:hAnsiTheme="majorHAnsi" w:cstheme="majorHAnsi"/>
          <w:sz w:val="24"/>
          <w:szCs w:val="24"/>
        </w:rPr>
        <w:t xml:space="preserve"> </w:t>
      </w:r>
      <w:commentRangeStart w:id="19"/>
      <w:commentRangeStart w:id="20"/>
      <w:r>
        <w:rPr>
          <w:rFonts w:asciiTheme="majorHAnsi" w:hAnsiTheme="majorHAnsi" w:cstheme="majorHAnsi"/>
          <w:sz w:val="24"/>
          <w:szCs w:val="24"/>
        </w:rPr>
        <w:t>found th</w:t>
      </w:r>
      <w:r w:rsidR="008329CE">
        <w:rPr>
          <w:rFonts w:asciiTheme="majorHAnsi" w:hAnsiTheme="majorHAnsi" w:cstheme="majorHAnsi"/>
          <w:sz w:val="24"/>
          <w:szCs w:val="24"/>
        </w:rPr>
        <w:t>e lack of in-person contact</w:t>
      </w:r>
      <w:r>
        <w:rPr>
          <w:rFonts w:asciiTheme="majorHAnsi" w:hAnsiTheme="majorHAnsi" w:cstheme="majorHAnsi"/>
          <w:sz w:val="24"/>
          <w:szCs w:val="24"/>
        </w:rPr>
        <w:t xml:space="preserve"> difficult </w:t>
      </w:r>
      <w:commentRangeEnd w:id="19"/>
      <w:r w:rsidR="001569A1">
        <w:rPr>
          <w:rStyle w:val="CommentReference"/>
        </w:rPr>
        <w:commentReference w:id="19"/>
      </w:r>
      <w:commentRangeEnd w:id="20"/>
      <w:r w:rsidR="008329CE">
        <w:rPr>
          <w:rStyle w:val="CommentReference"/>
        </w:rPr>
        <w:commentReference w:id="20"/>
      </w:r>
      <w:r>
        <w:rPr>
          <w:rFonts w:asciiTheme="majorHAnsi" w:hAnsiTheme="majorHAnsi" w:cstheme="majorHAnsi"/>
          <w:sz w:val="24"/>
          <w:szCs w:val="24"/>
        </w:rPr>
        <w:t xml:space="preserve">to cope with. </w:t>
      </w:r>
      <w:r w:rsidR="00C124D0">
        <w:rPr>
          <w:rFonts w:asciiTheme="majorHAnsi" w:hAnsiTheme="majorHAnsi" w:cstheme="majorHAnsi"/>
          <w:sz w:val="24"/>
          <w:szCs w:val="24"/>
        </w:rPr>
        <w:t>We should</w:t>
      </w:r>
      <w:r w:rsidR="003D355F">
        <w:rPr>
          <w:rFonts w:asciiTheme="majorHAnsi" w:hAnsiTheme="majorHAnsi" w:cstheme="majorHAnsi"/>
          <w:sz w:val="24"/>
          <w:szCs w:val="24"/>
        </w:rPr>
        <w:t xml:space="preserve"> also</w:t>
      </w:r>
      <w:r w:rsidR="00C124D0">
        <w:rPr>
          <w:rFonts w:asciiTheme="majorHAnsi" w:hAnsiTheme="majorHAnsi" w:cstheme="majorHAnsi"/>
          <w:sz w:val="24"/>
          <w:szCs w:val="24"/>
        </w:rPr>
        <w:t xml:space="preserve"> recognise that the pandemic will have had a significant impact on students’ motivation, energy levels and even their sense of structure, and this should be factored into post-Covid (more accurately, inter-Covid) module design. </w:t>
      </w:r>
      <w:r w:rsidR="00A80273">
        <w:rPr>
          <w:rFonts w:asciiTheme="majorHAnsi" w:hAnsiTheme="majorHAnsi" w:cstheme="majorHAnsi"/>
          <w:sz w:val="24"/>
          <w:szCs w:val="24"/>
        </w:rPr>
        <w:t>For the 2021-22 cohort,</w:t>
      </w:r>
      <w:r w:rsidR="0078652A">
        <w:rPr>
          <w:rFonts w:asciiTheme="majorHAnsi" w:hAnsiTheme="majorHAnsi" w:cstheme="majorHAnsi"/>
          <w:sz w:val="24"/>
          <w:szCs w:val="24"/>
        </w:rPr>
        <w:t xml:space="preserve"> w</w:t>
      </w:r>
      <w:r w:rsidR="00A623B2">
        <w:rPr>
          <w:rFonts w:asciiTheme="majorHAnsi" w:hAnsiTheme="majorHAnsi" w:cstheme="majorHAnsi"/>
          <w:sz w:val="24"/>
          <w:szCs w:val="24"/>
        </w:rPr>
        <w:t xml:space="preserve">e </w:t>
      </w:r>
      <w:r w:rsidR="00BE70D3">
        <w:rPr>
          <w:rFonts w:asciiTheme="majorHAnsi" w:hAnsiTheme="majorHAnsi" w:cstheme="majorHAnsi"/>
          <w:sz w:val="24"/>
          <w:szCs w:val="24"/>
        </w:rPr>
        <w:t xml:space="preserve">have designed </w:t>
      </w:r>
      <w:r w:rsidR="0078652A">
        <w:rPr>
          <w:rFonts w:asciiTheme="majorHAnsi" w:hAnsiTheme="majorHAnsi" w:cstheme="majorHAnsi"/>
          <w:sz w:val="24"/>
          <w:szCs w:val="24"/>
        </w:rPr>
        <w:t>Legal Essentials as</w:t>
      </w:r>
      <w:r w:rsidR="00C124D0">
        <w:rPr>
          <w:rFonts w:asciiTheme="majorHAnsi" w:hAnsiTheme="majorHAnsi" w:cstheme="majorHAnsi"/>
          <w:sz w:val="24"/>
          <w:szCs w:val="24"/>
        </w:rPr>
        <w:t xml:space="preserve"> blended learning</w:t>
      </w:r>
      <w:r w:rsidR="0078652A">
        <w:rPr>
          <w:rFonts w:asciiTheme="majorHAnsi" w:hAnsiTheme="majorHAnsi" w:cstheme="majorHAnsi"/>
          <w:sz w:val="24"/>
          <w:szCs w:val="24"/>
        </w:rPr>
        <w:t>,</w:t>
      </w:r>
      <w:r w:rsidR="00C124D0">
        <w:rPr>
          <w:rFonts w:asciiTheme="majorHAnsi" w:hAnsiTheme="majorHAnsi" w:cstheme="majorHAnsi"/>
          <w:sz w:val="24"/>
          <w:szCs w:val="24"/>
        </w:rPr>
        <w:t xml:space="preserve"> </w:t>
      </w:r>
      <w:r w:rsidR="00BE70D3">
        <w:rPr>
          <w:rFonts w:asciiTheme="majorHAnsi" w:hAnsiTheme="majorHAnsi" w:cstheme="majorHAnsi"/>
          <w:sz w:val="24"/>
          <w:szCs w:val="24"/>
        </w:rPr>
        <w:t>with the express aim of</w:t>
      </w:r>
      <w:r w:rsidR="00C124D0">
        <w:rPr>
          <w:rFonts w:asciiTheme="majorHAnsi" w:hAnsiTheme="majorHAnsi" w:cstheme="majorHAnsi"/>
          <w:sz w:val="24"/>
          <w:szCs w:val="24"/>
        </w:rPr>
        <w:t xml:space="preserve"> </w:t>
      </w:r>
      <w:r w:rsidR="00E43D3D">
        <w:rPr>
          <w:rFonts w:asciiTheme="majorHAnsi" w:hAnsiTheme="majorHAnsi" w:cstheme="majorHAnsi"/>
          <w:sz w:val="24"/>
          <w:szCs w:val="24"/>
        </w:rPr>
        <w:t>facilitat</w:t>
      </w:r>
      <w:r w:rsidR="00BE70D3">
        <w:rPr>
          <w:rFonts w:asciiTheme="majorHAnsi" w:hAnsiTheme="majorHAnsi" w:cstheme="majorHAnsi"/>
          <w:sz w:val="24"/>
          <w:szCs w:val="24"/>
        </w:rPr>
        <w:t>ing</w:t>
      </w:r>
      <w:r w:rsidR="00C124D0">
        <w:rPr>
          <w:rFonts w:asciiTheme="majorHAnsi" w:hAnsiTheme="majorHAnsi" w:cstheme="majorHAnsi"/>
          <w:sz w:val="24"/>
          <w:szCs w:val="24"/>
        </w:rPr>
        <w:t xml:space="preserve"> students</w:t>
      </w:r>
      <w:r w:rsidR="00BE70D3">
        <w:rPr>
          <w:rFonts w:asciiTheme="majorHAnsi" w:hAnsiTheme="majorHAnsi" w:cstheme="majorHAnsi"/>
          <w:sz w:val="24"/>
          <w:szCs w:val="24"/>
        </w:rPr>
        <w:t>’</w:t>
      </w:r>
      <w:r w:rsidR="00C124D0">
        <w:rPr>
          <w:rFonts w:asciiTheme="majorHAnsi" w:hAnsiTheme="majorHAnsi" w:cstheme="majorHAnsi"/>
          <w:sz w:val="24"/>
          <w:szCs w:val="24"/>
        </w:rPr>
        <w:t xml:space="preserve"> adjust</w:t>
      </w:r>
      <w:r w:rsidR="00BE70D3">
        <w:rPr>
          <w:rFonts w:asciiTheme="majorHAnsi" w:hAnsiTheme="majorHAnsi" w:cstheme="majorHAnsi"/>
          <w:sz w:val="24"/>
          <w:szCs w:val="24"/>
        </w:rPr>
        <w:t>ment</w:t>
      </w:r>
      <w:r w:rsidR="00C124D0">
        <w:rPr>
          <w:rFonts w:asciiTheme="majorHAnsi" w:hAnsiTheme="majorHAnsi" w:cstheme="majorHAnsi"/>
          <w:sz w:val="24"/>
          <w:szCs w:val="24"/>
        </w:rPr>
        <w:t xml:space="preserve"> back into a more structured educational environment</w:t>
      </w:r>
      <w:r w:rsidR="002D054B">
        <w:rPr>
          <w:rFonts w:asciiTheme="majorHAnsi" w:hAnsiTheme="majorHAnsi" w:cstheme="majorHAnsi"/>
          <w:sz w:val="24"/>
          <w:szCs w:val="24"/>
        </w:rPr>
        <w:t>. Daily teaching sessions will</w:t>
      </w:r>
      <w:r w:rsidR="00714B4E">
        <w:rPr>
          <w:rFonts w:asciiTheme="majorHAnsi" w:hAnsiTheme="majorHAnsi" w:cstheme="majorHAnsi"/>
          <w:sz w:val="24"/>
          <w:szCs w:val="24"/>
        </w:rPr>
        <w:t xml:space="preserve"> introduc</w:t>
      </w:r>
      <w:r w:rsidR="002D054B">
        <w:rPr>
          <w:rFonts w:asciiTheme="majorHAnsi" w:hAnsiTheme="majorHAnsi" w:cstheme="majorHAnsi"/>
          <w:sz w:val="24"/>
          <w:szCs w:val="24"/>
        </w:rPr>
        <w:t>e</w:t>
      </w:r>
      <w:r w:rsidR="00714B4E">
        <w:rPr>
          <w:rFonts w:asciiTheme="majorHAnsi" w:hAnsiTheme="majorHAnsi" w:cstheme="majorHAnsi"/>
          <w:sz w:val="24"/>
          <w:szCs w:val="24"/>
        </w:rPr>
        <w:t xml:space="preserve"> </w:t>
      </w:r>
      <w:r w:rsidR="006427FB">
        <w:rPr>
          <w:rFonts w:asciiTheme="majorHAnsi" w:hAnsiTheme="majorHAnsi" w:cstheme="majorHAnsi"/>
          <w:sz w:val="24"/>
          <w:szCs w:val="24"/>
        </w:rPr>
        <w:t xml:space="preserve">students to, </w:t>
      </w:r>
      <w:r w:rsidR="00714B4E">
        <w:rPr>
          <w:rFonts w:asciiTheme="majorHAnsi" w:hAnsiTheme="majorHAnsi" w:cstheme="majorHAnsi"/>
          <w:sz w:val="24"/>
          <w:szCs w:val="24"/>
        </w:rPr>
        <w:t>and maintain</w:t>
      </w:r>
      <w:r w:rsidR="00E43D3D">
        <w:rPr>
          <w:rFonts w:asciiTheme="majorHAnsi" w:hAnsiTheme="majorHAnsi" w:cstheme="majorHAnsi"/>
          <w:sz w:val="24"/>
          <w:szCs w:val="24"/>
        </w:rPr>
        <w:t xml:space="preserve"> contact with</w:t>
      </w:r>
      <w:r w:rsidR="006427FB">
        <w:rPr>
          <w:rFonts w:asciiTheme="majorHAnsi" w:hAnsiTheme="majorHAnsi" w:cstheme="majorHAnsi"/>
          <w:sz w:val="24"/>
          <w:szCs w:val="24"/>
        </w:rPr>
        <w:t>,</w:t>
      </w:r>
      <w:r w:rsidR="00E43D3D">
        <w:rPr>
          <w:rFonts w:asciiTheme="majorHAnsi" w:hAnsiTheme="majorHAnsi" w:cstheme="majorHAnsi"/>
          <w:sz w:val="24"/>
          <w:szCs w:val="24"/>
        </w:rPr>
        <w:t xml:space="preserve"> the Law School community</w:t>
      </w:r>
      <w:r w:rsidR="000F2889">
        <w:rPr>
          <w:rFonts w:asciiTheme="majorHAnsi" w:hAnsiTheme="majorHAnsi" w:cstheme="majorHAnsi"/>
          <w:sz w:val="24"/>
          <w:szCs w:val="24"/>
        </w:rPr>
        <w:t xml:space="preserve"> from day 1</w:t>
      </w:r>
      <w:r w:rsidR="00C124D0">
        <w:rPr>
          <w:rFonts w:asciiTheme="majorHAnsi" w:hAnsiTheme="majorHAnsi" w:cstheme="majorHAnsi"/>
          <w:sz w:val="24"/>
          <w:szCs w:val="24"/>
        </w:rPr>
        <w:t xml:space="preserve">. We have designed weekly learning plans to help students navigate their timetables and the preparation and reflection work we are asking them to undertake. We release any asynchronous recordings on the Monday of each week, so that students have early access to the introductory materials that will be scaffolded in practice throughout the week. </w:t>
      </w:r>
    </w:p>
    <w:p w14:paraId="48377820" w14:textId="37CFC268" w:rsidR="00FF2555" w:rsidRDefault="006427FB" w:rsidP="00FF2555">
      <w:pPr>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The challenges for staff should not be underestimated. </w:t>
      </w:r>
      <w:r w:rsidR="0061255D">
        <w:rPr>
          <w:rFonts w:asciiTheme="majorHAnsi" w:hAnsiTheme="majorHAnsi" w:cstheme="majorHAnsi"/>
          <w:sz w:val="24"/>
          <w:szCs w:val="24"/>
        </w:rPr>
        <w:t xml:space="preserve">The pressure on the team, and the risk of early burnout, was brought into sharp relief during the pandemic. </w:t>
      </w:r>
      <w:r w:rsidR="00547E68">
        <w:rPr>
          <w:rFonts w:asciiTheme="majorHAnsi" w:hAnsiTheme="majorHAnsi" w:cstheme="majorHAnsi"/>
          <w:sz w:val="24"/>
          <w:szCs w:val="24"/>
        </w:rPr>
        <w:t xml:space="preserve">During the intensive 3-week induction, team members are </w:t>
      </w:r>
      <w:r w:rsidR="00077724">
        <w:rPr>
          <w:rFonts w:asciiTheme="majorHAnsi" w:hAnsiTheme="majorHAnsi" w:cstheme="majorHAnsi"/>
          <w:sz w:val="24"/>
          <w:szCs w:val="24"/>
        </w:rPr>
        <w:t>teaching</w:t>
      </w:r>
      <w:r w:rsidR="00CF3122" w:rsidRPr="0033763A">
        <w:rPr>
          <w:rFonts w:asciiTheme="majorHAnsi" w:hAnsiTheme="majorHAnsi" w:cstheme="majorHAnsi"/>
          <w:sz w:val="24"/>
          <w:szCs w:val="24"/>
        </w:rPr>
        <w:t xml:space="preserve"> over a </w:t>
      </w:r>
      <w:r w:rsidR="00077724">
        <w:rPr>
          <w:rFonts w:asciiTheme="majorHAnsi" w:hAnsiTheme="majorHAnsi" w:cstheme="majorHAnsi"/>
          <w:sz w:val="24"/>
          <w:szCs w:val="24"/>
        </w:rPr>
        <w:t>full week</w:t>
      </w:r>
      <w:r w:rsidR="00CF3122" w:rsidRPr="0033763A">
        <w:rPr>
          <w:rFonts w:asciiTheme="majorHAnsi" w:hAnsiTheme="majorHAnsi" w:cstheme="majorHAnsi"/>
          <w:sz w:val="24"/>
          <w:szCs w:val="24"/>
        </w:rPr>
        <w:t xml:space="preserve"> programme as well as undertaking other teaching and </w:t>
      </w:r>
      <w:r w:rsidR="00D25DF3" w:rsidRPr="0033763A">
        <w:rPr>
          <w:rFonts w:asciiTheme="majorHAnsi" w:hAnsiTheme="majorHAnsi" w:cstheme="majorHAnsi"/>
          <w:sz w:val="24"/>
          <w:szCs w:val="24"/>
        </w:rPr>
        <w:t>admin</w:t>
      </w:r>
      <w:r w:rsidR="00D25DF3">
        <w:rPr>
          <w:rFonts w:asciiTheme="majorHAnsi" w:hAnsiTheme="majorHAnsi" w:cstheme="majorHAnsi"/>
          <w:sz w:val="24"/>
          <w:szCs w:val="24"/>
        </w:rPr>
        <w:t>istrative</w:t>
      </w:r>
      <w:r w:rsidR="00CF3122" w:rsidRPr="0033763A">
        <w:rPr>
          <w:rFonts w:asciiTheme="majorHAnsi" w:hAnsiTheme="majorHAnsi" w:cstheme="majorHAnsi"/>
          <w:sz w:val="24"/>
          <w:szCs w:val="24"/>
        </w:rPr>
        <w:t xml:space="preserve"> duties</w:t>
      </w:r>
      <w:r w:rsidR="00547E68">
        <w:rPr>
          <w:rFonts w:asciiTheme="majorHAnsi" w:hAnsiTheme="majorHAnsi" w:cstheme="majorHAnsi"/>
          <w:sz w:val="24"/>
          <w:szCs w:val="24"/>
        </w:rPr>
        <w:t xml:space="preserve">. At Keele, we have tried to mitigate the pressure by scheduling core Level 4 modules to begin in week 4, after the intensive induction has ended. However, team members also teach </w:t>
      </w:r>
      <w:r w:rsidR="00804B34">
        <w:rPr>
          <w:rFonts w:asciiTheme="majorHAnsi" w:hAnsiTheme="majorHAnsi" w:cstheme="majorHAnsi"/>
          <w:sz w:val="24"/>
          <w:szCs w:val="24"/>
        </w:rPr>
        <w:t>at other undergraduate levels as well as on postgraduate programmes, and these all begin earlier. The support of the Head of School</w:t>
      </w:r>
      <w:r w:rsidR="00FF2555">
        <w:rPr>
          <w:rFonts w:asciiTheme="majorHAnsi" w:hAnsiTheme="majorHAnsi" w:cstheme="majorHAnsi"/>
          <w:sz w:val="24"/>
          <w:szCs w:val="24"/>
        </w:rPr>
        <w:t xml:space="preserve">, senior management, and other module leaders </w:t>
      </w:r>
      <w:r w:rsidR="00804B34">
        <w:rPr>
          <w:rFonts w:asciiTheme="majorHAnsi" w:hAnsiTheme="majorHAnsi" w:cstheme="majorHAnsi"/>
          <w:sz w:val="24"/>
          <w:szCs w:val="24"/>
        </w:rPr>
        <w:t xml:space="preserve">is key in </w:t>
      </w:r>
      <w:r w:rsidR="00FF2555">
        <w:rPr>
          <w:rFonts w:asciiTheme="majorHAnsi" w:hAnsiTheme="majorHAnsi" w:cstheme="majorHAnsi"/>
          <w:sz w:val="24"/>
          <w:szCs w:val="24"/>
        </w:rPr>
        <w:t xml:space="preserve">helping to manage staff workload so that those delivering the induction element are not overwhelmed. </w:t>
      </w:r>
      <w:r w:rsidR="00FF2555" w:rsidRPr="0033763A">
        <w:rPr>
          <w:rFonts w:asciiTheme="majorHAnsi" w:hAnsiTheme="majorHAnsi" w:cstheme="majorHAnsi"/>
          <w:sz w:val="24"/>
          <w:szCs w:val="24"/>
        </w:rPr>
        <w:t xml:space="preserve">The awareness and </w:t>
      </w:r>
      <w:r w:rsidR="00FF2555" w:rsidRPr="0033763A">
        <w:rPr>
          <w:rFonts w:asciiTheme="majorHAnsi" w:hAnsiTheme="majorHAnsi" w:cstheme="majorHAnsi"/>
          <w:sz w:val="24"/>
          <w:szCs w:val="24"/>
        </w:rPr>
        <w:lastRenderedPageBreak/>
        <w:t xml:space="preserve">commitment of the wider School team </w:t>
      </w:r>
      <w:r w:rsidR="00FF2555">
        <w:rPr>
          <w:rFonts w:asciiTheme="majorHAnsi" w:hAnsiTheme="majorHAnsi" w:cstheme="majorHAnsi"/>
          <w:sz w:val="24"/>
          <w:szCs w:val="24"/>
        </w:rPr>
        <w:t xml:space="preserve">also </w:t>
      </w:r>
      <w:r w:rsidR="00FF2555" w:rsidRPr="0033763A">
        <w:rPr>
          <w:rFonts w:asciiTheme="majorHAnsi" w:hAnsiTheme="majorHAnsi" w:cstheme="majorHAnsi"/>
          <w:sz w:val="24"/>
          <w:szCs w:val="24"/>
        </w:rPr>
        <w:t>is essential in supporting students to further translate and embed Legal Essentials messaging in subsequent</w:t>
      </w:r>
      <w:r w:rsidR="00FF2555">
        <w:rPr>
          <w:rFonts w:asciiTheme="majorHAnsi" w:hAnsiTheme="majorHAnsi" w:cstheme="majorHAnsi"/>
          <w:sz w:val="24"/>
          <w:szCs w:val="24"/>
        </w:rPr>
        <w:t xml:space="preserve"> modules</w:t>
      </w:r>
      <w:r w:rsidR="00FF2555" w:rsidRPr="0033763A">
        <w:rPr>
          <w:rFonts w:asciiTheme="majorHAnsi" w:hAnsiTheme="majorHAnsi" w:cstheme="majorHAnsi"/>
          <w:sz w:val="24"/>
          <w:szCs w:val="24"/>
        </w:rPr>
        <w:t xml:space="preserve">. </w:t>
      </w:r>
      <w:r w:rsidR="00FF2555">
        <w:rPr>
          <w:rFonts w:asciiTheme="majorHAnsi" w:hAnsiTheme="majorHAnsi" w:cstheme="majorHAnsi"/>
          <w:sz w:val="24"/>
          <w:szCs w:val="24"/>
        </w:rPr>
        <w:t>To</w:t>
      </w:r>
      <w:r w:rsidR="00FF2555" w:rsidRPr="0033763A">
        <w:rPr>
          <w:rFonts w:asciiTheme="majorHAnsi" w:hAnsiTheme="majorHAnsi" w:cstheme="majorHAnsi"/>
          <w:sz w:val="24"/>
          <w:szCs w:val="24"/>
        </w:rPr>
        <w:t xml:space="preserve"> support this</w:t>
      </w:r>
      <w:r w:rsidR="00FF2555">
        <w:rPr>
          <w:rFonts w:asciiTheme="majorHAnsi" w:hAnsiTheme="majorHAnsi" w:cstheme="majorHAnsi"/>
          <w:sz w:val="24"/>
          <w:szCs w:val="24"/>
        </w:rPr>
        <w:t>,</w:t>
      </w:r>
      <w:r w:rsidR="00FF2555" w:rsidRPr="0033763A">
        <w:rPr>
          <w:rFonts w:asciiTheme="majorHAnsi" w:hAnsiTheme="majorHAnsi" w:cstheme="majorHAnsi"/>
          <w:sz w:val="24"/>
          <w:szCs w:val="24"/>
        </w:rPr>
        <w:t xml:space="preserve"> the </w:t>
      </w:r>
      <w:r w:rsidR="008C3A9E">
        <w:rPr>
          <w:rFonts w:asciiTheme="majorHAnsi" w:hAnsiTheme="majorHAnsi" w:cstheme="majorHAnsi"/>
          <w:sz w:val="24"/>
          <w:szCs w:val="24"/>
        </w:rPr>
        <w:t>team has</w:t>
      </w:r>
      <w:r w:rsidR="00FF2555" w:rsidRPr="0033763A">
        <w:rPr>
          <w:rFonts w:asciiTheme="majorHAnsi" w:hAnsiTheme="majorHAnsi" w:cstheme="majorHAnsi"/>
          <w:sz w:val="24"/>
          <w:szCs w:val="24"/>
        </w:rPr>
        <w:t xml:space="preserve"> found it useful to involve module leaders at a strategic and design level as well as in the delivery of teaching sessions. </w:t>
      </w:r>
      <w:r w:rsidR="0039345F">
        <w:rPr>
          <w:rFonts w:asciiTheme="majorHAnsi" w:hAnsiTheme="majorHAnsi" w:cstheme="majorHAnsi"/>
          <w:sz w:val="24"/>
          <w:szCs w:val="24"/>
        </w:rPr>
        <w:t>I</w:t>
      </w:r>
      <w:r w:rsidR="0039345F" w:rsidRPr="0033763A">
        <w:rPr>
          <w:rFonts w:asciiTheme="majorHAnsi" w:hAnsiTheme="majorHAnsi" w:cstheme="majorHAnsi"/>
          <w:sz w:val="24"/>
          <w:szCs w:val="24"/>
        </w:rPr>
        <w:t xml:space="preserve">t is important that </w:t>
      </w:r>
      <w:r w:rsidR="0039345F">
        <w:rPr>
          <w:rFonts w:asciiTheme="majorHAnsi" w:hAnsiTheme="majorHAnsi" w:cstheme="majorHAnsi"/>
          <w:sz w:val="24"/>
          <w:szCs w:val="24"/>
        </w:rPr>
        <w:t>members of the wider Law School</w:t>
      </w:r>
      <w:r w:rsidR="0039345F" w:rsidRPr="0033763A">
        <w:rPr>
          <w:rFonts w:asciiTheme="majorHAnsi" w:hAnsiTheme="majorHAnsi" w:cstheme="majorHAnsi"/>
          <w:sz w:val="24"/>
          <w:szCs w:val="24"/>
        </w:rPr>
        <w:t xml:space="preserve"> do not assume that students </w:t>
      </w:r>
      <w:r w:rsidR="0039345F">
        <w:rPr>
          <w:rFonts w:asciiTheme="majorHAnsi" w:hAnsiTheme="majorHAnsi" w:cstheme="majorHAnsi"/>
          <w:sz w:val="24"/>
          <w:szCs w:val="24"/>
        </w:rPr>
        <w:t xml:space="preserve">necessarily </w:t>
      </w:r>
      <w:r w:rsidR="000C199B">
        <w:rPr>
          <w:rFonts w:asciiTheme="majorHAnsi" w:hAnsiTheme="majorHAnsi" w:cstheme="majorHAnsi"/>
          <w:sz w:val="24"/>
          <w:szCs w:val="24"/>
        </w:rPr>
        <w:t xml:space="preserve">join core modules </w:t>
      </w:r>
      <w:r w:rsidR="0039345F" w:rsidRPr="0033763A">
        <w:rPr>
          <w:rFonts w:asciiTheme="majorHAnsi" w:hAnsiTheme="majorHAnsi" w:cstheme="majorHAnsi"/>
          <w:sz w:val="24"/>
          <w:szCs w:val="24"/>
        </w:rPr>
        <w:t>with the ability and confidence to navigate the</w:t>
      </w:r>
      <w:r w:rsidR="0039345F">
        <w:rPr>
          <w:rFonts w:asciiTheme="majorHAnsi" w:hAnsiTheme="majorHAnsi" w:cstheme="majorHAnsi"/>
          <w:sz w:val="24"/>
          <w:szCs w:val="24"/>
        </w:rPr>
        <w:t>ir new</w:t>
      </w:r>
      <w:r w:rsidR="0039345F" w:rsidRPr="0033763A">
        <w:rPr>
          <w:rFonts w:asciiTheme="majorHAnsi" w:hAnsiTheme="majorHAnsi" w:cstheme="majorHAnsi"/>
          <w:sz w:val="24"/>
          <w:szCs w:val="24"/>
        </w:rPr>
        <w:t xml:space="preserve"> </w:t>
      </w:r>
      <w:r w:rsidR="0039345F">
        <w:rPr>
          <w:rFonts w:asciiTheme="majorHAnsi" w:hAnsiTheme="majorHAnsi" w:cstheme="majorHAnsi"/>
          <w:sz w:val="24"/>
          <w:szCs w:val="24"/>
        </w:rPr>
        <w:t>environment –</w:t>
      </w:r>
      <w:r w:rsidR="000C199B">
        <w:rPr>
          <w:rFonts w:asciiTheme="majorHAnsi" w:hAnsiTheme="majorHAnsi" w:cstheme="majorHAnsi"/>
          <w:sz w:val="24"/>
          <w:szCs w:val="24"/>
        </w:rPr>
        <w:t xml:space="preserve"> </w:t>
      </w:r>
      <w:r w:rsidR="0039345F">
        <w:rPr>
          <w:rFonts w:asciiTheme="majorHAnsi" w:hAnsiTheme="majorHAnsi" w:cstheme="majorHAnsi"/>
          <w:sz w:val="24"/>
          <w:szCs w:val="24"/>
        </w:rPr>
        <w:t xml:space="preserve">they will not emerge from Legal Essentials magically transformed and </w:t>
      </w:r>
      <w:r w:rsidR="00AA1C86">
        <w:rPr>
          <w:rFonts w:asciiTheme="majorHAnsi" w:hAnsiTheme="majorHAnsi" w:cstheme="majorHAnsi"/>
          <w:sz w:val="24"/>
          <w:szCs w:val="24"/>
        </w:rPr>
        <w:t xml:space="preserve">ready to handle all aspects of their legal education! </w:t>
      </w:r>
      <w:r w:rsidR="00AA1C86" w:rsidRPr="0033763A">
        <w:rPr>
          <w:rFonts w:asciiTheme="majorHAnsi" w:hAnsiTheme="majorHAnsi" w:cstheme="majorHAnsi"/>
          <w:sz w:val="24"/>
          <w:szCs w:val="24"/>
        </w:rPr>
        <w:t>Early meetings with personal tutors</w:t>
      </w:r>
      <w:r w:rsidR="00AA1C86">
        <w:rPr>
          <w:rFonts w:asciiTheme="majorHAnsi" w:hAnsiTheme="majorHAnsi" w:cstheme="majorHAnsi"/>
          <w:sz w:val="24"/>
          <w:szCs w:val="24"/>
        </w:rPr>
        <w:t>,</w:t>
      </w:r>
      <w:r w:rsidR="00AA1C86" w:rsidRPr="0033763A">
        <w:rPr>
          <w:rFonts w:asciiTheme="majorHAnsi" w:hAnsiTheme="majorHAnsi" w:cstheme="majorHAnsi"/>
          <w:sz w:val="24"/>
          <w:szCs w:val="24"/>
        </w:rPr>
        <w:t xml:space="preserve"> and the drop-in sessions</w:t>
      </w:r>
      <w:r w:rsidR="00AA1C86">
        <w:rPr>
          <w:rFonts w:asciiTheme="majorHAnsi" w:hAnsiTheme="majorHAnsi" w:cstheme="majorHAnsi"/>
          <w:sz w:val="24"/>
          <w:szCs w:val="24"/>
        </w:rPr>
        <w:t>,</w:t>
      </w:r>
      <w:r w:rsidR="00AA1C86" w:rsidRPr="0033763A">
        <w:rPr>
          <w:rFonts w:asciiTheme="majorHAnsi" w:hAnsiTheme="majorHAnsi" w:cstheme="majorHAnsi"/>
          <w:sz w:val="24"/>
          <w:szCs w:val="24"/>
        </w:rPr>
        <w:t xml:space="preserve"> </w:t>
      </w:r>
      <w:r w:rsidR="000C199B">
        <w:rPr>
          <w:rFonts w:asciiTheme="majorHAnsi" w:hAnsiTheme="majorHAnsi" w:cstheme="majorHAnsi"/>
          <w:sz w:val="24"/>
          <w:szCs w:val="24"/>
        </w:rPr>
        <w:t xml:space="preserve">will </w:t>
      </w:r>
      <w:r w:rsidR="00AA1C86">
        <w:rPr>
          <w:rFonts w:asciiTheme="majorHAnsi" w:hAnsiTheme="majorHAnsi" w:cstheme="majorHAnsi"/>
          <w:sz w:val="24"/>
          <w:szCs w:val="24"/>
        </w:rPr>
        <w:t>help</w:t>
      </w:r>
      <w:r w:rsidR="00AA1C86" w:rsidRPr="0033763A">
        <w:rPr>
          <w:rFonts w:asciiTheme="majorHAnsi" w:hAnsiTheme="majorHAnsi" w:cstheme="majorHAnsi"/>
          <w:sz w:val="24"/>
          <w:szCs w:val="24"/>
        </w:rPr>
        <w:t xml:space="preserve"> </w:t>
      </w:r>
      <w:r w:rsidR="00AA1C86">
        <w:rPr>
          <w:rFonts w:asciiTheme="majorHAnsi" w:hAnsiTheme="majorHAnsi" w:cstheme="majorHAnsi"/>
          <w:sz w:val="24"/>
          <w:szCs w:val="24"/>
        </w:rPr>
        <w:t xml:space="preserve">both </w:t>
      </w:r>
      <w:r w:rsidR="00AA1C86" w:rsidRPr="0033763A">
        <w:rPr>
          <w:rFonts w:asciiTheme="majorHAnsi" w:hAnsiTheme="majorHAnsi" w:cstheme="majorHAnsi"/>
          <w:sz w:val="24"/>
          <w:szCs w:val="24"/>
        </w:rPr>
        <w:t xml:space="preserve">students </w:t>
      </w:r>
      <w:r w:rsidR="00AA1C86">
        <w:rPr>
          <w:rFonts w:asciiTheme="majorHAnsi" w:hAnsiTheme="majorHAnsi" w:cstheme="majorHAnsi"/>
          <w:sz w:val="24"/>
          <w:szCs w:val="24"/>
        </w:rPr>
        <w:t xml:space="preserve">and staff to </w:t>
      </w:r>
      <w:r w:rsidR="00AA1C86" w:rsidRPr="0033763A">
        <w:rPr>
          <w:rFonts w:asciiTheme="majorHAnsi" w:hAnsiTheme="majorHAnsi" w:cstheme="majorHAnsi"/>
          <w:sz w:val="24"/>
          <w:szCs w:val="24"/>
        </w:rPr>
        <w:t>acknowledge where they stand in the learning process</w:t>
      </w:r>
      <w:r w:rsidR="00AA1C86">
        <w:rPr>
          <w:rFonts w:asciiTheme="majorHAnsi" w:hAnsiTheme="majorHAnsi" w:cstheme="majorHAnsi"/>
          <w:sz w:val="24"/>
          <w:szCs w:val="24"/>
        </w:rPr>
        <w:t xml:space="preserve"> – and to recognise that transition itself </w:t>
      </w:r>
      <w:r w:rsidR="00AA1C86" w:rsidRPr="0033763A">
        <w:rPr>
          <w:rFonts w:asciiTheme="majorHAnsi" w:hAnsiTheme="majorHAnsi" w:cstheme="majorHAnsi"/>
          <w:sz w:val="24"/>
          <w:szCs w:val="24"/>
        </w:rPr>
        <w:t>is an individual process</w:t>
      </w:r>
      <w:r w:rsidR="00AA1C86">
        <w:rPr>
          <w:rFonts w:asciiTheme="majorHAnsi" w:hAnsiTheme="majorHAnsi" w:cstheme="majorHAnsi"/>
          <w:sz w:val="24"/>
          <w:szCs w:val="24"/>
        </w:rPr>
        <w:t>.</w:t>
      </w:r>
    </w:p>
    <w:p w14:paraId="01D89FD2" w14:textId="2A7FC965" w:rsidR="007B23A5" w:rsidRDefault="00CA7808" w:rsidP="00E4232B">
      <w:pPr>
        <w:spacing w:line="240" w:lineRule="auto"/>
        <w:jc w:val="both"/>
        <w:rPr>
          <w:rFonts w:asciiTheme="majorHAnsi" w:hAnsiTheme="majorHAnsi" w:cstheme="majorHAnsi"/>
          <w:sz w:val="24"/>
          <w:szCs w:val="24"/>
        </w:rPr>
      </w:pPr>
      <w:r w:rsidRPr="0033763A">
        <w:rPr>
          <w:rFonts w:asciiTheme="majorHAnsi" w:hAnsiTheme="majorHAnsi" w:cstheme="majorHAnsi"/>
          <w:sz w:val="24"/>
          <w:szCs w:val="24"/>
        </w:rPr>
        <w:t xml:space="preserve">In </w:t>
      </w:r>
      <w:r w:rsidR="00AA1C86">
        <w:rPr>
          <w:rFonts w:asciiTheme="majorHAnsi" w:hAnsiTheme="majorHAnsi" w:cstheme="majorHAnsi"/>
          <w:sz w:val="24"/>
          <w:szCs w:val="24"/>
        </w:rPr>
        <w:t xml:space="preserve">terms of </w:t>
      </w:r>
      <w:r w:rsidRPr="0033763A">
        <w:rPr>
          <w:rFonts w:asciiTheme="majorHAnsi" w:hAnsiTheme="majorHAnsi" w:cstheme="majorHAnsi"/>
          <w:sz w:val="24"/>
          <w:szCs w:val="24"/>
        </w:rPr>
        <w:t>planning, the team is ultimately at the mercy of timetabling limitations</w:t>
      </w:r>
      <w:r w:rsidR="007B23A5">
        <w:rPr>
          <w:rFonts w:asciiTheme="majorHAnsi" w:hAnsiTheme="majorHAnsi" w:cstheme="majorHAnsi"/>
          <w:sz w:val="24"/>
          <w:szCs w:val="24"/>
        </w:rPr>
        <w:t xml:space="preserve">: </w:t>
      </w:r>
      <w:r w:rsidRPr="0033763A">
        <w:rPr>
          <w:rFonts w:asciiTheme="majorHAnsi" w:hAnsiTheme="majorHAnsi" w:cstheme="majorHAnsi"/>
          <w:sz w:val="24"/>
          <w:szCs w:val="24"/>
        </w:rPr>
        <w:t xml:space="preserve">length of sessions, timing, staff availability and the availability of appropriate rooms for the sessions are </w:t>
      </w:r>
      <w:r w:rsidR="007B23A5">
        <w:rPr>
          <w:rFonts w:asciiTheme="majorHAnsi" w:hAnsiTheme="majorHAnsi" w:cstheme="majorHAnsi"/>
          <w:sz w:val="24"/>
          <w:szCs w:val="24"/>
        </w:rPr>
        <w:t xml:space="preserve">all </w:t>
      </w:r>
      <w:r w:rsidRPr="0033763A">
        <w:rPr>
          <w:rFonts w:asciiTheme="majorHAnsi" w:hAnsiTheme="majorHAnsi" w:cstheme="majorHAnsi"/>
          <w:sz w:val="24"/>
          <w:szCs w:val="24"/>
        </w:rPr>
        <w:t xml:space="preserve">factors that </w:t>
      </w:r>
      <w:r w:rsidR="007B23A5">
        <w:rPr>
          <w:rFonts w:asciiTheme="majorHAnsi" w:hAnsiTheme="majorHAnsi" w:cstheme="majorHAnsi"/>
          <w:sz w:val="24"/>
          <w:szCs w:val="24"/>
        </w:rPr>
        <w:t>must</w:t>
      </w:r>
      <w:r w:rsidRPr="0033763A">
        <w:rPr>
          <w:rFonts w:asciiTheme="majorHAnsi" w:hAnsiTheme="majorHAnsi" w:cstheme="majorHAnsi"/>
          <w:sz w:val="24"/>
          <w:szCs w:val="24"/>
        </w:rPr>
        <w:t xml:space="preserve"> be considered. </w:t>
      </w:r>
      <w:r w:rsidR="00FA515D" w:rsidRPr="0033763A">
        <w:rPr>
          <w:rFonts w:asciiTheme="majorHAnsi" w:hAnsiTheme="majorHAnsi" w:cstheme="majorHAnsi"/>
          <w:sz w:val="24"/>
          <w:szCs w:val="24"/>
        </w:rPr>
        <w:t>The timing of assessments</w:t>
      </w:r>
      <w:r w:rsidR="00132B7B">
        <w:rPr>
          <w:rFonts w:asciiTheme="majorHAnsi" w:hAnsiTheme="majorHAnsi" w:cstheme="majorHAnsi"/>
          <w:sz w:val="24"/>
          <w:szCs w:val="24"/>
        </w:rPr>
        <w:t xml:space="preserve"> also</w:t>
      </w:r>
      <w:r w:rsidR="00FA515D" w:rsidRPr="0033763A">
        <w:rPr>
          <w:rFonts w:asciiTheme="majorHAnsi" w:hAnsiTheme="majorHAnsi" w:cstheme="majorHAnsi"/>
          <w:sz w:val="24"/>
          <w:szCs w:val="24"/>
        </w:rPr>
        <w:t xml:space="preserve"> needs to be considered in conjunction with other teaching across the programme. </w:t>
      </w:r>
      <w:r w:rsidR="00132B7B">
        <w:rPr>
          <w:rFonts w:asciiTheme="majorHAnsi" w:hAnsiTheme="majorHAnsi" w:cstheme="majorHAnsi"/>
          <w:sz w:val="24"/>
          <w:szCs w:val="24"/>
        </w:rPr>
        <w:t>For example, t</w:t>
      </w:r>
      <w:r w:rsidR="00FA515D" w:rsidRPr="0033763A">
        <w:rPr>
          <w:rFonts w:asciiTheme="majorHAnsi" w:hAnsiTheme="majorHAnsi" w:cstheme="majorHAnsi"/>
          <w:sz w:val="24"/>
          <w:szCs w:val="24"/>
        </w:rPr>
        <w:t>he MCQ a</w:t>
      </w:r>
      <w:r w:rsidR="00CF3122" w:rsidRPr="0033763A">
        <w:rPr>
          <w:rFonts w:asciiTheme="majorHAnsi" w:hAnsiTheme="majorHAnsi" w:cstheme="majorHAnsi"/>
          <w:sz w:val="24"/>
          <w:szCs w:val="24"/>
        </w:rPr>
        <w:t>ssessment MCQ in week 5</w:t>
      </w:r>
      <w:r w:rsidR="00FA515D" w:rsidRPr="0033763A">
        <w:rPr>
          <w:rFonts w:asciiTheme="majorHAnsi" w:hAnsiTheme="majorHAnsi" w:cstheme="majorHAnsi"/>
          <w:sz w:val="24"/>
          <w:szCs w:val="24"/>
        </w:rPr>
        <w:t xml:space="preserve"> of </w:t>
      </w:r>
      <w:r w:rsidR="00132B7B">
        <w:rPr>
          <w:rFonts w:asciiTheme="majorHAnsi" w:hAnsiTheme="majorHAnsi" w:cstheme="majorHAnsi"/>
          <w:sz w:val="24"/>
          <w:szCs w:val="24"/>
        </w:rPr>
        <w:t>Legal Essentials</w:t>
      </w:r>
      <w:r w:rsidR="00FA515D" w:rsidRPr="0033763A">
        <w:rPr>
          <w:rFonts w:asciiTheme="majorHAnsi" w:hAnsiTheme="majorHAnsi" w:cstheme="majorHAnsi"/>
          <w:sz w:val="24"/>
          <w:szCs w:val="24"/>
        </w:rPr>
        <w:t xml:space="preserve"> risked a </w:t>
      </w:r>
      <w:r w:rsidR="00CF3122" w:rsidRPr="0033763A">
        <w:rPr>
          <w:rFonts w:asciiTheme="majorHAnsi" w:hAnsiTheme="majorHAnsi" w:cstheme="majorHAnsi"/>
          <w:sz w:val="24"/>
          <w:szCs w:val="24"/>
        </w:rPr>
        <w:t xml:space="preserve">conflict </w:t>
      </w:r>
      <w:r w:rsidR="00FA515D" w:rsidRPr="0033763A">
        <w:rPr>
          <w:rFonts w:asciiTheme="majorHAnsi" w:hAnsiTheme="majorHAnsi" w:cstheme="majorHAnsi"/>
          <w:sz w:val="24"/>
          <w:szCs w:val="24"/>
        </w:rPr>
        <w:t xml:space="preserve">in the focus of the learner, </w:t>
      </w:r>
      <w:r w:rsidR="00CF3122" w:rsidRPr="0033763A">
        <w:rPr>
          <w:rFonts w:asciiTheme="majorHAnsi" w:hAnsiTheme="majorHAnsi" w:cstheme="majorHAnsi"/>
          <w:sz w:val="24"/>
          <w:szCs w:val="24"/>
        </w:rPr>
        <w:t xml:space="preserve">with students beginning </w:t>
      </w:r>
      <w:r w:rsidR="00602620">
        <w:rPr>
          <w:rFonts w:asciiTheme="majorHAnsi" w:hAnsiTheme="majorHAnsi" w:cstheme="majorHAnsi"/>
          <w:sz w:val="24"/>
          <w:szCs w:val="24"/>
        </w:rPr>
        <w:t xml:space="preserve">their </w:t>
      </w:r>
      <w:r w:rsidR="00CF3122" w:rsidRPr="0033763A">
        <w:rPr>
          <w:rFonts w:asciiTheme="majorHAnsi" w:hAnsiTheme="majorHAnsi" w:cstheme="majorHAnsi"/>
          <w:sz w:val="24"/>
          <w:szCs w:val="24"/>
        </w:rPr>
        <w:t>core modules</w:t>
      </w:r>
      <w:r w:rsidR="00FA515D" w:rsidRPr="0033763A">
        <w:rPr>
          <w:rFonts w:asciiTheme="majorHAnsi" w:hAnsiTheme="majorHAnsi" w:cstheme="majorHAnsi"/>
          <w:sz w:val="24"/>
          <w:szCs w:val="24"/>
        </w:rPr>
        <w:t xml:space="preserve"> a week pr</w:t>
      </w:r>
      <w:r w:rsidR="00132B7B">
        <w:rPr>
          <w:rFonts w:asciiTheme="majorHAnsi" w:hAnsiTheme="majorHAnsi" w:cstheme="majorHAnsi"/>
          <w:sz w:val="24"/>
          <w:szCs w:val="24"/>
        </w:rPr>
        <w:t>eviously</w:t>
      </w:r>
      <w:r w:rsidR="00FA515D" w:rsidRPr="0033763A">
        <w:rPr>
          <w:rFonts w:asciiTheme="majorHAnsi" w:hAnsiTheme="majorHAnsi" w:cstheme="majorHAnsi"/>
          <w:sz w:val="24"/>
          <w:szCs w:val="24"/>
        </w:rPr>
        <w:t xml:space="preserve">. </w:t>
      </w:r>
      <w:r w:rsidR="000826A9">
        <w:rPr>
          <w:rFonts w:asciiTheme="majorHAnsi" w:hAnsiTheme="majorHAnsi" w:cstheme="majorHAnsi"/>
          <w:sz w:val="24"/>
          <w:szCs w:val="24"/>
        </w:rPr>
        <w:t>For 2021-22, there is no other delivery in Legal Essentials during the MCQ week, so that students can complete the assessment in the time that they would otherwise have spent in a teaching session. A</w:t>
      </w:r>
      <w:r w:rsidR="002C365C">
        <w:rPr>
          <w:rFonts w:asciiTheme="majorHAnsi" w:hAnsiTheme="majorHAnsi" w:cstheme="majorHAnsi"/>
          <w:sz w:val="24"/>
          <w:szCs w:val="24"/>
        </w:rPr>
        <w:t xml:space="preserve"> broader</w:t>
      </w:r>
      <w:r w:rsidR="00FA515D" w:rsidRPr="0033763A">
        <w:rPr>
          <w:rFonts w:asciiTheme="majorHAnsi" w:hAnsiTheme="majorHAnsi" w:cstheme="majorHAnsi"/>
          <w:sz w:val="24"/>
          <w:szCs w:val="24"/>
        </w:rPr>
        <w:t xml:space="preserve"> solution is to ensure that students and staff</w:t>
      </w:r>
      <w:r w:rsidR="009B14A3">
        <w:rPr>
          <w:rFonts w:asciiTheme="majorHAnsi" w:hAnsiTheme="majorHAnsi" w:cstheme="majorHAnsi"/>
          <w:sz w:val="24"/>
          <w:szCs w:val="24"/>
        </w:rPr>
        <w:t xml:space="preserve"> use a year-based scheme of work</w:t>
      </w:r>
      <w:r w:rsidR="00FA515D" w:rsidRPr="0033763A">
        <w:rPr>
          <w:rFonts w:asciiTheme="majorHAnsi" w:hAnsiTheme="majorHAnsi" w:cstheme="majorHAnsi"/>
          <w:sz w:val="24"/>
          <w:szCs w:val="24"/>
        </w:rPr>
        <w:t xml:space="preserve"> to assist in planning commitments and to support awareness of activities outside of the module</w:t>
      </w:r>
      <w:r w:rsidR="009B14A3">
        <w:rPr>
          <w:rFonts w:asciiTheme="majorHAnsi" w:hAnsiTheme="majorHAnsi" w:cstheme="majorHAnsi"/>
          <w:sz w:val="24"/>
          <w:szCs w:val="24"/>
        </w:rPr>
        <w:t xml:space="preserve">. </w:t>
      </w:r>
    </w:p>
    <w:p w14:paraId="215DD853" w14:textId="204D304B" w:rsidR="00D4325F" w:rsidRPr="00B4322F" w:rsidRDefault="00B4322F" w:rsidP="00D4325F">
      <w:pPr>
        <w:spacing w:line="240" w:lineRule="auto"/>
        <w:jc w:val="both"/>
        <w:rPr>
          <w:rFonts w:asciiTheme="majorHAnsi" w:hAnsiTheme="majorHAnsi" w:cstheme="majorHAnsi"/>
          <w:i/>
          <w:iCs/>
          <w:sz w:val="24"/>
          <w:szCs w:val="24"/>
        </w:rPr>
      </w:pPr>
      <w:r w:rsidRPr="00B4322F">
        <w:rPr>
          <w:rFonts w:asciiTheme="majorHAnsi" w:hAnsiTheme="majorHAnsi" w:cstheme="majorHAnsi"/>
          <w:i/>
          <w:iCs/>
          <w:sz w:val="24"/>
          <w:szCs w:val="24"/>
        </w:rPr>
        <w:t>W</w:t>
      </w:r>
      <w:r w:rsidR="00D4325F" w:rsidRPr="00B4322F">
        <w:rPr>
          <w:rFonts w:asciiTheme="majorHAnsi" w:hAnsiTheme="majorHAnsi" w:cstheme="majorHAnsi"/>
          <w:i/>
          <w:iCs/>
          <w:sz w:val="24"/>
          <w:szCs w:val="24"/>
        </w:rPr>
        <w:t xml:space="preserve">hat lessons can other </w:t>
      </w:r>
      <w:r w:rsidRPr="00B4322F">
        <w:rPr>
          <w:rFonts w:asciiTheme="majorHAnsi" w:hAnsiTheme="majorHAnsi" w:cstheme="majorHAnsi"/>
          <w:i/>
          <w:iCs/>
          <w:sz w:val="24"/>
          <w:szCs w:val="24"/>
        </w:rPr>
        <w:t>L</w:t>
      </w:r>
      <w:r w:rsidR="00D4325F" w:rsidRPr="00B4322F">
        <w:rPr>
          <w:rFonts w:asciiTheme="majorHAnsi" w:hAnsiTheme="majorHAnsi" w:cstheme="majorHAnsi"/>
          <w:i/>
          <w:iCs/>
          <w:sz w:val="24"/>
          <w:szCs w:val="24"/>
        </w:rPr>
        <w:t xml:space="preserve">aw </w:t>
      </w:r>
      <w:r w:rsidRPr="00B4322F">
        <w:rPr>
          <w:rFonts w:asciiTheme="majorHAnsi" w:hAnsiTheme="majorHAnsi" w:cstheme="majorHAnsi"/>
          <w:i/>
          <w:iCs/>
          <w:sz w:val="24"/>
          <w:szCs w:val="24"/>
        </w:rPr>
        <w:t>S</w:t>
      </w:r>
      <w:r w:rsidR="00D4325F" w:rsidRPr="00B4322F">
        <w:rPr>
          <w:rFonts w:asciiTheme="majorHAnsi" w:hAnsiTheme="majorHAnsi" w:cstheme="majorHAnsi"/>
          <w:i/>
          <w:iCs/>
          <w:sz w:val="24"/>
          <w:szCs w:val="24"/>
        </w:rPr>
        <w:t>chools learn from</w:t>
      </w:r>
      <w:r w:rsidR="00815462" w:rsidRPr="00B4322F">
        <w:rPr>
          <w:rFonts w:asciiTheme="majorHAnsi" w:hAnsiTheme="majorHAnsi" w:cstheme="majorHAnsi"/>
          <w:i/>
          <w:iCs/>
          <w:sz w:val="24"/>
          <w:szCs w:val="24"/>
        </w:rPr>
        <w:t xml:space="preserve"> Legal Essentials</w:t>
      </w:r>
      <w:r w:rsidR="007B23A5">
        <w:rPr>
          <w:rFonts w:asciiTheme="majorHAnsi" w:hAnsiTheme="majorHAnsi" w:cstheme="majorHAnsi"/>
          <w:i/>
          <w:iCs/>
          <w:sz w:val="24"/>
          <w:szCs w:val="24"/>
        </w:rPr>
        <w:t>?</w:t>
      </w:r>
    </w:p>
    <w:p w14:paraId="75AD9A17" w14:textId="77777777" w:rsidR="00562F93" w:rsidRDefault="00B26221" w:rsidP="00562F93">
      <w:pPr>
        <w:pStyle w:val="ListParagraph"/>
        <w:numPr>
          <w:ilvl w:val="0"/>
          <w:numId w:val="25"/>
        </w:numPr>
        <w:spacing w:line="240" w:lineRule="auto"/>
        <w:jc w:val="both"/>
        <w:rPr>
          <w:rFonts w:asciiTheme="majorHAnsi" w:hAnsiTheme="majorHAnsi" w:cstheme="majorHAnsi"/>
          <w:sz w:val="24"/>
          <w:szCs w:val="24"/>
        </w:rPr>
      </w:pPr>
      <w:r w:rsidRPr="00562F93">
        <w:rPr>
          <w:rFonts w:asciiTheme="majorHAnsi" w:hAnsiTheme="majorHAnsi" w:cstheme="majorHAnsi"/>
          <w:sz w:val="24"/>
          <w:szCs w:val="24"/>
        </w:rPr>
        <w:t xml:space="preserve">We are not always afforded extensive planning time, and often due to the academic cycle this is not prioritised – but </w:t>
      </w:r>
      <w:r w:rsidR="002C365C" w:rsidRPr="00562F93">
        <w:rPr>
          <w:rFonts w:asciiTheme="majorHAnsi" w:hAnsiTheme="majorHAnsi" w:cstheme="majorHAnsi"/>
          <w:sz w:val="24"/>
          <w:szCs w:val="24"/>
        </w:rPr>
        <w:t xml:space="preserve">Law Schools should recognise that </w:t>
      </w:r>
      <w:r w:rsidRPr="00562F93">
        <w:rPr>
          <w:rFonts w:asciiTheme="majorHAnsi" w:hAnsiTheme="majorHAnsi" w:cstheme="majorHAnsi"/>
          <w:sz w:val="24"/>
          <w:szCs w:val="24"/>
        </w:rPr>
        <w:t>effective design is just as important as delivery</w:t>
      </w:r>
      <w:r w:rsidR="002C365C" w:rsidRPr="00562F93">
        <w:rPr>
          <w:rFonts w:asciiTheme="majorHAnsi" w:hAnsiTheme="majorHAnsi" w:cstheme="majorHAnsi"/>
          <w:sz w:val="24"/>
          <w:szCs w:val="24"/>
        </w:rPr>
        <w:t xml:space="preserve">. </w:t>
      </w:r>
    </w:p>
    <w:p w14:paraId="430C6829" w14:textId="2FAEE65C" w:rsidR="00562F93" w:rsidRPr="00562F93" w:rsidRDefault="008329CE" w:rsidP="00562F93">
      <w:pPr>
        <w:pStyle w:val="ListParagraph"/>
        <w:numPr>
          <w:ilvl w:val="0"/>
          <w:numId w:val="25"/>
        </w:numPr>
        <w:spacing w:line="240" w:lineRule="auto"/>
        <w:jc w:val="both"/>
        <w:rPr>
          <w:rFonts w:asciiTheme="majorHAnsi" w:hAnsiTheme="majorHAnsi" w:cstheme="majorHAnsi"/>
          <w:sz w:val="24"/>
          <w:szCs w:val="24"/>
        </w:rPr>
      </w:pPr>
      <w:r>
        <w:rPr>
          <w:rFonts w:asciiTheme="majorHAnsi" w:hAnsiTheme="majorHAnsi" w:cstheme="majorHAnsi"/>
          <w:sz w:val="24"/>
          <w:szCs w:val="24"/>
        </w:rPr>
        <w:t>Colleagues expressed, during our meetings, that they considered the module design to have been</w:t>
      </w:r>
      <w:r w:rsidR="002C365C" w:rsidRPr="00562F93">
        <w:rPr>
          <w:rFonts w:asciiTheme="majorHAnsi" w:hAnsiTheme="majorHAnsi" w:cstheme="majorHAnsi"/>
          <w:sz w:val="24"/>
          <w:szCs w:val="24"/>
        </w:rPr>
        <w:t xml:space="preserve"> enhanced by </w:t>
      </w:r>
      <w:r>
        <w:rPr>
          <w:rFonts w:asciiTheme="majorHAnsi" w:hAnsiTheme="majorHAnsi" w:cstheme="majorHAnsi"/>
          <w:sz w:val="24"/>
          <w:szCs w:val="24"/>
        </w:rPr>
        <w:t>the</w:t>
      </w:r>
      <w:r w:rsidR="00D4325F" w:rsidRPr="00562F93">
        <w:rPr>
          <w:rFonts w:asciiTheme="majorHAnsi" w:hAnsiTheme="majorHAnsi" w:cstheme="majorHAnsi"/>
          <w:sz w:val="24"/>
          <w:szCs w:val="24"/>
        </w:rPr>
        <w:t xml:space="preserve"> </w:t>
      </w:r>
      <w:commentRangeStart w:id="21"/>
      <w:commentRangeStart w:id="22"/>
      <w:r w:rsidR="00D4325F" w:rsidRPr="00562F93">
        <w:rPr>
          <w:rFonts w:asciiTheme="majorHAnsi" w:hAnsiTheme="majorHAnsi" w:cstheme="majorHAnsi"/>
          <w:sz w:val="24"/>
          <w:szCs w:val="24"/>
        </w:rPr>
        <w:t>team</w:t>
      </w:r>
      <w:r>
        <w:rPr>
          <w:rFonts w:asciiTheme="majorHAnsi" w:hAnsiTheme="majorHAnsi" w:cstheme="majorHAnsi"/>
          <w:sz w:val="24"/>
          <w:szCs w:val="24"/>
        </w:rPr>
        <w:t>’s</w:t>
      </w:r>
      <w:r w:rsidR="00D4325F" w:rsidRPr="00562F93">
        <w:rPr>
          <w:rFonts w:asciiTheme="majorHAnsi" w:hAnsiTheme="majorHAnsi" w:cstheme="majorHAnsi"/>
          <w:sz w:val="24"/>
          <w:szCs w:val="24"/>
        </w:rPr>
        <w:t xml:space="preserve"> diverse backgrounds</w:t>
      </w:r>
      <w:commentRangeEnd w:id="21"/>
      <w:r w:rsidR="001569A1">
        <w:rPr>
          <w:rStyle w:val="CommentReference"/>
        </w:rPr>
        <w:commentReference w:id="21"/>
      </w:r>
      <w:commentRangeEnd w:id="22"/>
      <w:r>
        <w:rPr>
          <w:rStyle w:val="CommentReference"/>
        </w:rPr>
        <w:commentReference w:id="22"/>
      </w:r>
      <w:r w:rsidR="00D618E2" w:rsidRPr="00562F93">
        <w:rPr>
          <w:rFonts w:asciiTheme="majorHAnsi" w:hAnsiTheme="majorHAnsi" w:cstheme="majorHAnsi"/>
          <w:sz w:val="24"/>
          <w:szCs w:val="24"/>
        </w:rPr>
        <w:t xml:space="preserve">; </w:t>
      </w:r>
      <w:r w:rsidR="002E64F6" w:rsidRPr="00562F93">
        <w:rPr>
          <w:rFonts w:asciiTheme="majorHAnsi" w:hAnsiTheme="majorHAnsi" w:cstheme="majorHAnsi"/>
          <w:sz w:val="24"/>
          <w:szCs w:val="24"/>
        </w:rPr>
        <w:t xml:space="preserve">our </w:t>
      </w:r>
      <w:r w:rsidR="007E7E95">
        <w:rPr>
          <w:rFonts w:asciiTheme="majorHAnsi" w:hAnsiTheme="majorHAnsi" w:cstheme="majorHAnsi"/>
          <w:sz w:val="24"/>
          <w:szCs w:val="24"/>
        </w:rPr>
        <w:t>team has</w:t>
      </w:r>
      <w:r w:rsidR="002E64F6" w:rsidRPr="00562F93">
        <w:rPr>
          <w:rFonts w:asciiTheme="majorHAnsi" w:hAnsiTheme="majorHAnsi" w:cstheme="majorHAnsi"/>
          <w:sz w:val="24"/>
          <w:szCs w:val="24"/>
        </w:rPr>
        <w:t xml:space="preserve"> </w:t>
      </w:r>
      <w:r w:rsidR="002D3479">
        <w:rPr>
          <w:rFonts w:asciiTheme="majorHAnsi" w:hAnsiTheme="majorHAnsi" w:cstheme="majorHAnsi"/>
          <w:sz w:val="24"/>
          <w:szCs w:val="24"/>
        </w:rPr>
        <w:t>had</w:t>
      </w:r>
      <w:r w:rsidR="002E64F6" w:rsidRPr="00562F93">
        <w:rPr>
          <w:rFonts w:asciiTheme="majorHAnsi" w:hAnsiTheme="majorHAnsi" w:cstheme="majorHAnsi"/>
          <w:sz w:val="24"/>
          <w:szCs w:val="24"/>
        </w:rPr>
        <w:t xml:space="preserve"> experience of </w:t>
      </w:r>
      <w:r w:rsidR="000E106F" w:rsidRPr="00562F93">
        <w:rPr>
          <w:rFonts w:asciiTheme="majorHAnsi" w:hAnsiTheme="majorHAnsi" w:cstheme="majorHAnsi"/>
          <w:sz w:val="24"/>
          <w:szCs w:val="24"/>
        </w:rPr>
        <w:t xml:space="preserve">legal practice, FE teaching, counselling, and even religious ministry! </w:t>
      </w:r>
    </w:p>
    <w:p w14:paraId="1D74F36B" w14:textId="6442A263" w:rsidR="00A461D7" w:rsidRPr="00562F93" w:rsidRDefault="00562F93" w:rsidP="00562F93">
      <w:pPr>
        <w:pStyle w:val="ListParagraph"/>
        <w:numPr>
          <w:ilvl w:val="0"/>
          <w:numId w:val="25"/>
        </w:numPr>
        <w:spacing w:line="240" w:lineRule="auto"/>
        <w:jc w:val="both"/>
        <w:rPr>
          <w:rFonts w:asciiTheme="majorHAnsi" w:hAnsiTheme="majorHAnsi" w:cstheme="majorHAnsi"/>
          <w:sz w:val="24"/>
          <w:szCs w:val="24"/>
        </w:rPr>
      </w:pPr>
      <w:r>
        <w:rPr>
          <w:rFonts w:asciiTheme="majorHAnsi" w:hAnsiTheme="majorHAnsi" w:cstheme="majorHAnsi"/>
          <w:sz w:val="24"/>
          <w:szCs w:val="24"/>
        </w:rPr>
        <w:t>Law Schools should l</w:t>
      </w:r>
      <w:r w:rsidR="00A461D7" w:rsidRPr="00562F93">
        <w:rPr>
          <w:rFonts w:asciiTheme="majorHAnsi" w:hAnsiTheme="majorHAnsi" w:cstheme="majorHAnsi"/>
          <w:sz w:val="24"/>
          <w:szCs w:val="24"/>
        </w:rPr>
        <w:t>ook for natural o</w:t>
      </w:r>
      <w:r w:rsidR="00D4325F" w:rsidRPr="00562F93">
        <w:rPr>
          <w:rFonts w:asciiTheme="majorHAnsi" w:hAnsiTheme="majorHAnsi" w:cstheme="majorHAnsi"/>
          <w:sz w:val="24"/>
          <w:szCs w:val="24"/>
        </w:rPr>
        <w:t>pportunities to redevelop modules</w:t>
      </w:r>
      <w:r w:rsidR="00A461D7" w:rsidRPr="00562F93">
        <w:rPr>
          <w:rFonts w:asciiTheme="majorHAnsi" w:hAnsiTheme="majorHAnsi" w:cstheme="majorHAnsi"/>
          <w:sz w:val="24"/>
          <w:szCs w:val="24"/>
        </w:rPr>
        <w:t>. S</w:t>
      </w:r>
      <w:r w:rsidR="00D4325F" w:rsidRPr="00562F93">
        <w:rPr>
          <w:rFonts w:asciiTheme="majorHAnsi" w:hAnsiTheme="majorHAnsi" w:cstheme="majorHAnsi"/>
          <w:sz w:val="24"/>
          <w:szCs w:val="24"/>
        </w:rPr>
        <w:t xml:space="preserve">ometimes </w:t>
      </w:r>
      <w:r w:rsidR="00A461D7" w:rsidRPr="00562F93">
        <w:rPr>
          <w:rFonts w:asciiTheme="majorHAnsi" w:hAnsiTheme="majorHAnsi" w:cstheme="majorHAnsi"/>
          <w:sz w:val="24"/>
          <w:szCs w:val="24"/>
        </w:rPr>
        <w:t xml:space="preserve">these </w:t>
      </w:r>
      <w:r w:rsidR="00D4325F" w:rsidRPr="00562F93">
        <w:rPr>
          <w:rFonts w:asciiTheme="majorHAnsi" w:hAnsiTheme="majorHAnsi" w:cstheme="majorHAnsi"/>
          <w:sz w:val="24"/>
          <w:szCs w:val="24"/>
        </w:rPr>
        <w:t>occur</w:t>
      </w:r>
      <w:r w:rsidR="00815462" w:rsidRPr="00562F93">
        <w:rPr>
          <w:rFonts w:asciiTheme="majorHAnsi" w:hAnsiTheme="majorHAnsi" w:cstheme="majorHAnsi"/>
          <w:sz w:val="24"/>
          <w:szCs w:val="24"/>
        </w:rPr>
        <w:t xml:space="preserve"> due to organisational or curriculum modification, and each gap or change is an opportunity to try</w:t>
      </w:r>
      <w:r w:rsidR="00D4325F" w:rsidRPr="00562F93">
        <w:rPr>
          <w:rFonts w:asciiTheme="majorHAnsi" w:hAnsiTheme="majorHAnsi" w:cstheme="majorHAnsi"/>
          <w:sz w:val="24"/>
          <w:szCs w:val="24"/>
        </w:rPr>
        <w:t xml:space="preserve"> </w:t>
      </w:r>
      <w:r w:rsidR="00815462" w:rsidRPr="00562F93">
        <w:rPr>
          <w:rFonts w:asciiTheme="majorHAnsi" w:hAnsiTheme="majorHAnsi" w:cstheme="majorHAnsi"/>
          <w:sz w:val="24"/>
          <w:szCs w:val="24"/>
        </w:rPr>
        <w:t xml:space="preserve">new </w:t>
      </w:r>
      <w:r w:rsidR="00D4325F" w:rsidRPr="00562F93">
        <w:rPr>
          <w:rFonts w:asciiTheme="majorHAnsi" w:hAnsiTheme="majorHAnsi" w:cstheme="majorHAnsi"/>
          <w:sz w:val="24"/>
          <w:szCs w:val="24"/>
        </w:rPr>
        <w:t>things, not knowing if they’re going to work</w:t>
      </w:r>
      <w:r w:rsidR="00815462" w:rsidRPr="00562F93">
        <w:rPr>
          <w:rFonts w:asciiTheme="majorHAnsi" w:hAnsiTheme="majorHAnsi" w:cstheme="majorHAnsi"/>
          <w:sz w:val="24"/>
          <w:szCs w:val="24"/>
        </w:rPr>
        <w:t>, but being open to the learning experience (as we would wish our students to be).</w:t>
      </w:r>
      <w:r w:rsidR="00A461D7" w:rsidRPr="0033763A">
        <w:t xml:space="preserve"> </w:t>
      </w:r>
    </w:p>
    <w:p w14:paraId="20E9B8D7" w14:textId="74097187" w:rsidR="002E1B93" w:rsidRPr="0033763A" w:rsidRDefault="00A461D7" w:rsidP="00B56DC4">
      <w:pPr>
        <w:pStyle w:val="ListParagraph"/>
        <w:numPr>
          <w:ilvl w:val="0"/>
          <w:numId w:val="24"/>
        </w:numPr>
        <w:spacing w:line="240" w:lineRule="auto"/>
        <w:jc w:val="both"/>
        <w:rPr>
          <w:rFonts w:asciiTheme="majorHAnsi" w:hAnsiTheme="majorHAnsi" w:cstheme="majorHAnsi"/>
          <w:sz w:val="24"/>
          <w:szCs w:val="24"/>
        </w:rPr>
      </w:pPr>
      <w:r w:rsidRPr="0033763A">
        <w:rPr>
          <w:rFonts w:ascii="Calibri Light" w:hAnsi="Calibri Light" w:cs="Calibri Light"/>
          <w:sz w:val="24"/>
          <w:szCs w:val="24"/>
        </w:rPr>
        <w:t xml:space="preserve">Teaching creativity is fostered </w:t>
      </w:r>
      <w:r w:rsidR="00562F93">
        <w:rPr>
          <w:rFonts w:ascii="Calibri Light" w:hAnsi="Calibri Light" w:cs="Calibri Light"/>
          <w:sz w:val="24"/>
          <w:szCs w:val="24"/>
        </w:rPr>
        <w:t xml:space="preserve">in the </w:t>
      </w:r>
      <w:r w:rsidRPr="0033763A">
        <w:rPr>
          <w:rFonts w:ascii="Calibri Light" w:hAnsi="Calibri Light" w:cs="Calibri Light"/>
          <w:sz w:val="24"/>
          <w:szCs w:val="24"/>
        </w:rPr>
        <w:t>group setting, and that group includes both academic(s) and students. Being mindful of this collaboration encourages us to design teaching that</w:t>
      </w:r>
      <w:r w:rsidRPr="0033763A">
        <w:t xml:space="preserve"> </w:t>
      </w:r>
      <w:r w:rsidR="00815462" w:rsidRPr="0033763A">
        <w:rPr>
          <w:rFonts w:asciiTheme="majorHAnsi" w:hAnsiTheme="majorHAnsi" w:cstheme="majorHAnsi"/>
          <w:sz w:val="24"/>
          <w:szCs w:val="24"/>
        </w:rPr>
        <w:t>plac</w:t>
      </w:r>
      <w:r w:rsidRPr="0033763A">
        <w:rPr>
          <w:rFonts w:asciiTheme="majorHAnsi" w:hAnsiTheme="majorHAnsi" w:cstheme="majorHAnsi"/>
          <w:sz w:val="24"/>
          <w:szCs w:val="24"/>
        </w:rPr>
        <w:t>es</w:t>
      </w:r>
      <w:r w:rsidR="00815462" w:rsidRPr="0033763A">
        <w:rPr>
          <w:rFonts w:asciiTheme="majorHAnsi" w:hAnsiTheme="majorHAnsi" w:cstheme="majorHAnsi"/>
          <w:sz w:val="24"/>
          <w:szCs w:val="24"/>
        </w:rPr>
        <w:t xml:space="preserve"> </w:t>
      </w:r>
      <w:r w:rsidR="00D4325F" w:rsidRPr="0033763A">
        <w:rPr>
          <w:rFonts w:asciiTheme="majorHAnsi" w:hAnsiTheme="majorHAnsi" w:cstheme="majorHAnsi"/>
          <w:sz w:val="24"/>
          <w:szCs w:val="24"/>
        </w:rPr>
        <w:t>the student</w:t>
      </w:r>
      <w:r w:rsidR="00815462" w:rsidRPr="0033763A">
        <w:rPr>
          <w:rFonts w:asciiTheme="majorHAnsi" w:hAnsiTheme="majorHAnsi" w:cstheme="majorHAnsi"/>
          <w:sz w:val="24"/>
          <w:szCs w:val="24"/>
        </w:rPr>
        <w:t xml:space="preserve"> centre to the planning process – respecting</w:t>
      </w:r>
      <w:r w:rsidRPr="0033763A">
        <w:rPr>
          <w:rFonts w:asciiTheme="majorHAnsi" w:hAnsiTheme="majorHAnsi" w:cstheme="majorHAnsi"/>
          <w:sz w:val="24"/>
          <w:szCs w:val="24"/>
        </w:rPr>
        <w:t xml:space="preserve"> both</w:t>
      </w:r>
      <w:r w:rsidR="00815462" w:rsidRPr="0033763A">
        <w:rPr>
          <w:rFonts w:asciiTheme="majorHAnsi" w:hAnsiTheme="majorHAnsi" w:cstheme="majorHAnsi"/>
          <w:sz w:val="24"/>
          <w:szCs w:val="24"/>
        </w:rPr>
        <w:t xml:space="preserve"> the individual a</w:t>
      </w:r>
      <w:r w:rsidR="00B26221" w:rsidRPr="0033763A">
        <w:rPr>
          <w:rFonts w:asciiTheme="majorHAnsi" w:hAnsiTheme="majorHAnsi" w:cstheme="majorHAnsi"/>
          <w:sz w:val="24"/>
          <w:szCs w:val="24"/>
        </w:rPr>
        <w:t>s well as t</w:t>
      </w:r>
      <w:r w:rsidR="00815462" w:rsidRPr="0033763A">
        <w:rPr>
          <w:rFonts w:asciiTheme="majorHAnsi" w:hAnsiTheme="majorHAnsi" w:cstheme="majorHAnsi"/>
          <w:sz w:val="24"/>
          <w:szCs w:val="24"/>
        </w:rPr>
        <w:t xml:space="preserve">he learner. </w:t>
      </w:r>
    </w:p>
    <w:bookmarkEnd w:id="14"/>
    <w:p w14:paraId="021E0BBA" w14:textId="77777777" w:rsidR="004F647B" w:rsidRDefault="00562F93" w:rsidP="000F2889">
      <w:pPr>
        <w:spacing w:line="240" w:lineRule="auto"/>
        <w:jc w:val="both"/>
        <w:rPr>
          <w:rFonts w:asciiTheme="majorHAnsi" w:hAnsiTheme="majorHAnsi" w:cstheme="majorHAnsi"/>
          <w:sz w:val="24"/>
          <w:szCs w:val="24"/>
        </w:rPr>
      </w:pPr>
      <w:r>
        <w:rPr>
          <w:rFonts w:asciiTheme="majorHAnsi" w:hAnsiTheme="majorHAnsi" w:cstheme="majorHAnsi"/>
          <w:sz w:val="24"/>
          <w:szCs w:val="24"/>
        </w:rPr>
        <w:t>Legal Essentials is still in the process of “becoming”. Our initial design has been continually reflected on and moderated</w:t>
      </w:r>
      <w:r w:rsidR="000D27B6">
        <w:rPr>
          <w:rFonts w:asciiTheme="majorHAnsi" w:hAnsiTheme="majorHAnsi" w:cstheme="majorHAnsi"/>
          <w:sz w:val="24"/>
          <w:szCs w:val="24"/>
        </w:rPr>
        <w:t>, through student and staff feedback and through the demands placed on HE during the pandemic.</w:t>
      </w:r>
      <w:r w:rsidR="00305154">
        <w:rPr>
          <w:rFonts w:asciiTheme="majorHAnsi" w:hAnsiTheme="majorHAnsi" w:cstheme="majorHAnsi"/>
          <w:sz w:val="24"/>
          <w:szCs w:val="24"/>
        </w:rPr>
        <w:t xml:space="preserve"> </w:t>
      </w:r>
      <w:r w:rsidR="000F2889">
        <w:rPr>
          <w:rFonts w:asciiTheme="majorHAnsi" w:hAnsiTheme="majorHAnsi" w:cstheme="majorHAnsi"/>
          <w:sz w:val="24"/>
          <w:szCs w:val="24"/>
        </w:rPr>
        <w:t>Nevertheless, we</w:t>
      </w:r>
      <w:r w:rsidR="000D27B6">
        <w:rPr>
          <w:rFonts w:asciiTheme="majorHAnsi" w:hAnsiTheme="majorHAnsi" w:cstheme="majorHAnsi"/>
          <w:sz w:val="24"/>
          <w:szCs w:val="24"/>
        </w:rPr>
        <w:t xml:space="preserve"> have retained our core </w:t>
      </w:r>
      <w:r w:rsidR="00305154">
        <w:rPr>
          <w:rFonts w:asciiTheme="majorHAnsi" w:hAnsiTheme="majorHAnsi" w:cstheme="majorHAnsi"/>
          <w:sz w:val="24"/>
          <w:szCs w:val="24"/>
        </w:rPr>
        <w:t>principles</w:t>
      </w:r>
      <w:r w:rsidR="00774062">
        <w:rPr>
          <w:rFonts w:asciiTheme="majorHAnsi" w:hAnsiTheme="majorHAnsi" w:cstheme="majorHAnsi"/>
          <w:sz w:val="24"/>
          <w:szCs w:val="24"/>
        </w:rPr>
        <w:t xml:space="preserve"> and</w:t>
      </w:r>
      <w:r w:rsidR="000F2889">
        <w:rPr>
          <w:rFonts w:asciiTheme="majorHAnsi" w:hAnsiTheme="majorHAnsi" w:cstheme="majorHAnsi"/>
          <w:sz w:val="24"/>
          <w:szCs w:val="24"/>
        </w:rPr>
        <w:t xml:space="preserve"> will continue to integrate wellbeing within </w:t>
      </w:r>
      <w:r w:rsidR="00E37D97">
        <w:rPr>
          <w:rFonts w:asciiTheme="majorHAnsi" w:hAnsiTheme="majorHAnsi" w:cstheme="majorHAnsi"/>
          <w:sz w:val="24"/>
          <w:szCs w:val="24"/>
        </w:rPr>
        <w:t>legal skills</w:t>
      </w:r>
      <w:r w:rsidR="000F2889">
        <w:rPr>
          <w:rFonts w:asciiTheme="majorHAnsi" w:hAnsiTheme="majorHAnsi" w:cstheme="majorHAnsi"/>
          <w:sz w:val="24"/>
          <w:szCs w:val="24"/>
        </w:rPr>
        <w:t xml:space="preserve"> teaching</w:t>
      </w:r>
      <w:r w:rsidR="00E445E1">
        <w:rPr>
          <w:rFonts w:asciiTheme="majorHAnsi" w:hAnsiTheme="majorHAnsi" w:cstheme="majorHAnsi"/>
          <w:sz w:val="24"/>
          <w:szCs w:val="24"/>
        </w:rPr>
        <w:t>.</w:t>
      </w:r>
      <w:r w:rsidR="000F2889">
        <w:rPr>
          <w:rFonts w:asciiTheme="majorHAnsi" w:hAnsiTheme="majorHAnsi" w:cstheme="majorHAnsi"/>
          <w:sz w:val="24"/>
          <w:szCs w:val="24"/>
        </w:rPr>
        <w:t xml:space="preserve"> </w:t>
      </w:r>
      <w:r w:rsidR="00E445E1">
        <w:rPr>
          <w:rFonts w:asciiTheme="majorHAnsi" w:hAnsiTheme="majorHAnsi" w:cstheme="majorHAnsi"/>
          <w:sz w:val="24"/>
          <w:szCs w:val="24"/>
        </w:rPr>
        <w:t>W</w:t>
      </w:r>
      <w:r w:rsidR="000F2889">
        <w:rPr>
          <w:rFonts w:asciiTheme="majorHAnsi" w:hAnsiTheme="majorHAnsi" w:cstheme="majorHAnsi"/>
          <w:sz w:val="24"/>
          <w:szCs w:val="24"/>
        </w:rPr>
        <w:t xml:space="preserve">e will also work towards better integration of wellbeing within the </w:t>
      </w:r>
      <w:r w:rsidR="00E37D97">
        <w:rPr>
          <w:rFonts w:asciiTheme="majorHAnsi" w:hAnsiTheme="majorHAnsi" w:cstheme="majorHAnsi"/>
          <w:sz w:val="24"/>
          <w:szCs w:val="24"/>
        </w:rPr>
        <w:t>whole Law</w:t>
      </w:r>
      <w:r w:rsidR="000F2889">
        <w:rPr>
          <w:rFonts w:asciiTheme="majorHAnsi" w:hAnsiTheme="majorHAnsi" w:cstheme="majorHAnsi"/>
          <w:sz w:val="24"/>
          <w:szCs w:val="24"/>
        </w:rPr>
        <w:t xml:space="preserve"> degree</w:t>
      </w:r>
      <w:r w:rsidR="00FE0F7F">
        <w:rPr>
          <w:rFonts w:asciiTheme="majorHAnsi" w:hAnsiTheme="majorHAnsi" w:cstheme="majorHAnsi"/>
          <w:sz w:val="24"/>
          <w:szCs w:val="24"/>
        </w:rPr>
        <w:t xml:space="preserve"> </w:t>
      </w:r>
      <w:r w:rsidR="000F2889">
        <w:rPr>
          <w:rFonts w:asciiTheme="majorHAnsi" w:hAnsiTheme="majorHAnsi" w:cstheme="majorHAnsi"/>
          <w:sz w:val="24"/>
          <w:szCs w:val="24"/>
        </w:rPr>
        <w:t xml:space="preserve">– </w:t>
      </w:r>
      <w:r w:rsidR="007E7E95">
        <w:rPr>
          <w:rFonts w:asciiTheme="majorHAnsi" w:hAnsiTheme="majorHAnsi" w:cstheme="majorHAnsi"/>
          <w:sz w:val="24"/>
          <w:szCs w:val="24"/>
        </w:rPr>
        <w:t xml:space="preserve">aiming to </w:t>
      </w:r>
      <w:r w:rsidR="000F2889">
        <w:rPr>
          <w:rFonts w:asciiTheme="majorHAnsi" w:hAnsiTheme="majorHAnsi" w:cstheme="majorHAnsi"/>
          <w:sz w:val="24"/>
          <w:szCs w:val="24"/>
        </w:rPr>
        <w:t>involv</w:t>
      </w:r>
      <w:r w:rsidR="007E7E95">
        <w:rPr>
          <w:rFonts w:asciiTheme="majorHAnsi" w:hAnsiTheme="majorHAnsi" w:cstheme="majorHAnsi"/>
          <w:sz w:val="24"/>
          <w:szCs w:val="24"/>
        </w:rPr>
        <w:t>e</w:t>
      </w:r>
      <w:r w:rsidR="000F2889">
        <w:rPr>
          <w:rFonts w:asciiTheme="majorHAnsi" w:hAnsiTheme="majorHAnsi" w:cstheme="majorHAnsi"/>
          <w:sz w:val="24"/>
          <w:szCs w:val="24"/>
        </w:rPr>
        <w:t xml:space="preserve"> the whole </w:t>
      </w:r>
      <w:r w:rsidR="00FE0F7F">
        <w:rPr>
          <w:rFonts w:asciiTheme="majorHAnsi" w:hAnsiTheme="majorHAnsi" w:cstheme="majorHAnsi"/>
          <w:sz w:val="24"/>
          <w:szCs w:val="24"/>
        </w:rPr>
        <w:t>S</w:t>
      </w:r>
      <w:r w:rsidR="000F2889">
        <w:rPr>
          <w:rFonts w:asciiTheme="majorHAnsi" w:hAnsiTheme="majorHAnsi" w:cstheme="majorHAnsi"/>
          <w:sz w:val="24"/>
          <w:szCs w:val="24"/>
        </w:rPr>
        <w:t xml:space="preserve">chool as well as the whole student. </w:t>
      </w:r>
      <w:r w:rsidR="00E445E1">
        <w:rPr>
          <w:rFonts w:asciiTheme="majorHAnsi" w:hAnsiTheme="majorHAnsi" w:cstheme="majorHAnsi"/>
          <w:sz w:val="24"/>
          <w:szCs w:val="24"/>
        </w:rPr>
        <w:t>As Neil Gaiman says, ‘</w:t>
      </w:r>
      <w:r w:rsidR="00E445E1" w:rsidRPr="00E445E1">
        <w:rPr>
          <w:rFonts w:asciiTheme="majorHAnsi" w:hAnsiTheme="majorHAnsi" w:cstheme="majorHAnsi"/>
          <w:sz w:val="24"/>
          <w:szCs w:val="24"/>
        </w:rPr>
        <w:t>don't stop, don't worry that it isn't good enough, or it isn't perfect</w:t>
      </w:r>
      <w:r w:rsidR="00E445E1">
        <w:rPr>
          <w:rFonts w:asciiTheme="majorHAnsi" w:hAnsiTheme="majorHAnsi" w:cstheme="majorHAnsi"/>
          <w:sz w:val="24"/>
          <w:szCs w:val="24"/>
        </w:rPr>
        <w:t>..</w:t>
      </w:r>
      <w:r w:rsidR="00E445E1" w:rsidRPr="00E445E1">
        <w:rPr>
          <w:rFonts w:asciiTheme="majorHAnsi" w:hAnsiTheme="majorHAnsi" w:cstheme="majorHAnsi"/>
          <w:sz w:val="24"/>
          <w:szCs w:val="24"/>
        </w:rPr>
        <w:t>. Whatever it is you're scared of doing, do it</w:t>
      </w:r>
      <w:r w:rsidR="00E445E1">
        <w:rPr>
          <w:rFonts w:asciiTheme="majorHAnsi" w:hAnsiTheme="majorHAnsi" w:cstheme="majorHAnsi"/>
          <w:sz w:val="24"/>
          <w:szCs w:val="24"/>
        </w:rPr>
        <w:t>’</w:t>
      </w:r>
      <w:r w:rsidR="00E445E1" w:rsidRPr="00E445E1">
        <w:rPr>
          <w:rFonts w:asciiTheme="majorHAnsi" w:hAnsiTheme="majorHAnsi" w:cstheme="majorHAnsi"/>
          <w:sz w:val="24"/>
          <w:szCs w:val="24"/>
        </w:rPr>
        <w:t>.</w:t>
      </w:r>
      <w:r w:rsidR="0023203F">
        <w:rPr>
          <w:rStyle w:val="FootnoteReference"/>
          <w:rFonts w:asciiTheme="majorHAnsi" w:hAnsiTheme="majorHAnsi" w:cstheme="majorHAnsi"/>
          <w:sz w:val="24"/>
          <w:szCs w:val="24"/>
        </w:rPr>
        <w:footnoteReference w:id="65"/>
      </w:r>
      <w:r w:rsidR="0066122A">
        <w:rPr>
          <w:rFonts w:asciiTheme="majorHAnsi" w:hAnsiTheme="majorHAnsi" w:cstheme="majorHAnsi"/>
          <w:sz w:val="24"/>
          <w:szCs w:val="24"/>
        </w:rPr>
        <w:t xml:space="preserve"> </w:t>
      </w:r>
      <w:r w:rsidR="0079564C">
        <w:rPr>
          <w:rFonts w:asciiTheme="majorHAnsi" w:hAnsiTheme="majorHAnsi" w:cstheme="majorHAnsi"/>
          <w:sz w:val="24"/>
          <w:szCs w:val="24"/>
        </w:rPr>
        <w:tab/>
      </w:r>
    </w:p>
    <w:p w14:paraId="748E1713" w14:textId="22E9E5B5" w:rsidR="000F2889" w:rsidRPr="004F647B" w:rsidRDefault="0066122A" w:rsidP="004F647B">
      <w:pPr>
        <w:spacing w:line="240" w:lineRule="auto"/>
        <w:jc w:val="right"/>
        <w:rPr>
          <w:rFonts w:asciiTheme="majorHAnsi" w:hAnsiTheme="majorHAnsi" w:cstheme="majorHAnsi"/>
          <w:color w:val="0070C0"/>
          <w:sz w:val="24"/>
          <w:szCs w:val="24"/>
        </w:rPr>
      </w:pPr>
      <w:r w:rsidRPr="004F647B">
        <w:rPr>
          <w:rFonts w:asciiTheme="majorHAnsi" w:hAnsiTheme="majorHAnsi" w:cstheme="majorHAnsi"/>
          <w:color w:val="0070C0"/>
          <w:sz w:val="24"/>
          <w:szCs w:val="24"/>
        </w:rPr>
        <w:lastRenderedPageBreak/>
        <w:t>(6925 words)</w:t>
      </w:r>
    </w:p>
    <w:p w14:paraId="2C445397" w14:textId="62099E67" w:rsidR="00F07FE1" w:rsidRPr="0056063D" w:rsidRDefault="00F07FE1" w:rsidP="0056063D">
      <w:pPr>
        <w:spacing w:line="240" w:lineRule="auto"/>
        <w:rPr>
          <w:rFonts w:asciiTheme="majorHAnsi" w:hAnsiTheme="majorHAnsi" w:cstheme="majorHAnsi"/>
          <w:b/>
          <w:bCs/>
          <w:color w:val="0070C0"/>
        </w:rPr>
      </w:pPr>
      <w:r w:rsidRPr="004B688C">
        <w:rPr>
          <w:rFonts w:asciiTheme="majorHAnsi" w:hAnsiTheme="majorHAnsi" w:cstheme="majorHAnsi"/>
          <w:b/>
          <w:bCs/>
          <w:color w:val="0070C0"/>
          <w:sz w:val="24"/>
          <w:szCs w:val="24"/>
        </w:rPr>
        <w:t>Figures</w:t>
      </w:r>
    </w:p>
    <w:p w14:paraId="5447976E" w14:textId="77777777" w:rsidR="00F07FE1" w:rsidRPr="004B688C" w:rsidRDefault="00F07FE1" w:rsidP="00F07FE1">
      <w:pPr>
        <w:spacing w:line="240" w:lineRule="auto"/>
        <w:jc w:val="both"/>
        <w:rPr>
          <w:rFonts w:asciiTheme="majorHAnsi" w:hAnsiTheme="majorHAnsi" w:cstheme="majorHAnsi"/>
          <w:i/>
          <w:iCs/>
        </w:rPr>
      </w:pPr>
      <w:r w:rsidRPr="00646FAE">
        <w:rPr>
          <w:rFonts w:asciiTheme="majorHAnsi" w:hAnsiTheme="majorHAnsi" w:cstheme="majorHAnsi"/>
          <w:i/>
          <w:iCs/>
        </w:rPr>
        <w:t xml:space="preserve">Figure </w:t>
      </w:r>
      <w:r w:rsidRPr="004B688C">
        <w:rPr>
          <w:rFonts w:asciiTheme="majorHAnsi" w:hAnsiTheme="majorHAnsi" w:cstheme="majorHAnsi"/>
          <w:i/>
          <w:iCs/>
        </w:rPr>
        <w:t>1</w:t>
      </w:r>
      <w:r w:rsidRPr="00646FAE">
        <w:rPr>
          <w:rFonts w:asciiTheme="majorHAnsi" w:hAnsiTheme="majorHAnsi" w:cstheme="majorHAnsi"/>
          <w:i/>
          <w:iCs/>
        </w:rPr>
        <w:t xml:space="preserve"> shows the overall response to the Legal Essentials </w:t>
      </w:r>
      <w:r w:rsidRPr="004B688C">
        <w:rPr>
          <w:rFonts w:asciiTheme="majorHAnsi" w:hAnsiTheme="majorHAnsi" w:cstheme="majorHAnsi"/>
          <w:i/>
          <w:iCs/>
        </w:rPr>
        <w:t xml:space="preserve">intensive </w:t>
      </w:r>
      <w:r w:rsidRPr="00646FAE">
        <w:rPr>
          <w:rFonts w:asciiTheme="majorHAnsi" w:hAnsiTheme="majorHAnsi" w:cstheme="majorHAnsi"/>
          <w:i/>
          <w:iCs/>
        </w:rPr>
        <w:t xml:space="preserve">induction, highlighting that most </w:t>
      </w:r>
      <w:r w:rsidRPr="004B688C">
        <w:rPr>
          <w:rFonts w:asciiTheme="majorHAnsi" w:hAnsiTheme="majorHAnsi" w:cstheme="majorHAnsi"/>
          <w:i/>
          <w:iCs/>
        </w:rPr>
        <w:t>of the 83 respondents</w:t>
      </w:r>
      <w:r w:rsidRPr="00646FAE">
        <w:rPr>
          <w:rFonts w:asciiTheme="majorHAnsi" w:hAnsiTheme="majorHAnsi" w:cstheme="majorHAnsi"/>
          <w:i/>
          <w:iCs/>
        </w:rPr>
        <w:t xml:space="preserve"> agreed or strongly agreed with the </w:t>
      </w:r>
      <w:r w:rsidRPr="004B688C">
        <w:rPr>
          <w:rFonts w:asciiTheme="majorHAnsi" w:hAnsiTheme="majorHAnsi" w:cstheme="majorHAnsi"/>
          <w:i/>
          <w:iCs/>
        </w:rPr>
        <w:t>statements regarding their</w:t>
      </w:r>
      <w:r w:rsidRPr="00646FAE">
        <w:rPr>
          <w:rFonts w:asciiTheme="majorHAnsi" w:hAnsiTheme="majorHAnsi" w:cstheme="majorHAnsi"/>
          <w:i/>
          <w:iCs/>
        </w:rPr>
        <w:t xml:space="preserve"> experience</w:t>
      </w:r>
      <w:r w:rsidRPr="004B688C">
        <w:rPr>
          <w:rFonts w:asciiTheme="majorHAnsi" w:hAnsiTheme="majorHAnsi" w:cstheme="majorHAnsi"/>
          <w:i/>
          <w:iCs/>
        </w:rPr>
        <w:t xml:space="preserve"> of transition to HE</w:t>
      </w:r>
      <w:r w:rsidRPr="00646FAE">
        <w:rPr>
          <w:rFonts w:asciiTheme="majorHAnsi" w:hAnsiTheme="majorHAnsi" w:cstheme="majorHAnsi"/>
          <w:i/>
          <w:iCs/>
        </w:rPr>
        <w:t>.</w:t>
      </w:r>
    </w:p>
    <w:p w14:paraId="59892D0D" w14:textId="77777777" w:rsidR="00F07FE1" w:rsidRDefault="00F07FE1" w:rsidP="00F2572B">
      <w:pPr>
        <w:jc w:val="center"/>
      </w:pPr>
      <w:r>
        <w:rPr>
          <w:rFonts w:asciiTheme="majorHAnsi" w:hAnsiTheme="majorHAnsi" w:cstheme="majorHAnsi"/>
          <w:b/>
          <w:bCs/>
          <w:noProof/>
          <w:sz w:val="24"/>
          <w:szCs w:val="24"/>
        </w:rPr>
        <w:drawing>
          <wp:inline distT="0" distB="0" distL="0" distR="0" wp14:anchorId="11A4E47D" wp14:editId="17723FE1">
            <wp:extent cx="4690588" cy="266496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1075" cy="2693646"/>
                    </a:xfrm>
                    <a:prstGeom prst="rect">
                      <a:avLst/>
                    </a:prstGeom>
                    <a:noFill/>
                  </pic:spPr>
                </pic:pic>
              </a:graphicData>
            </a:graphic>
          </wp:inline>
        </w:drawing>
      </w:r>
    </w:p>
    <w:p w14:paraId="4BC5884C" w14:textId="53E0D82C" w:rsidR="00F07FE1" w:rsidRPr="00F07FE1" w:rsidRDefault="00F07FE1" w:rsidP="00F07FE1">
      <w:pPr>
        <w:jc w:val="center"/>
        <w:rPr>
          <w:sz w:val="20"/>
          <w:szCs w:val="20"/>
        </w:rPr>
      </w:pPr>
      <w:r w:rsidRPr="004B688C">
        <w:rPr>
          <w:sz w:val="20"/>
          <w:szCs w:val="20"/>
        </w:rPr>
        <w:t>Figure 1</w:t>
      </w:r>
    </w:p>
    <w:p w14:paraId="6A71F19F" w14:textId="77777777" w:rsidR="00305154" w:rsidRDefault="00305154" w:rsidP="00F07FE1">
      <w:pPr>
        <w:jc w:val="both"/>
        <w:rPr>
          <w:rFonts w:asciiTheme="majorHAnsi" w:hAnsiTheme="majorHAnsi" w:cstheme="majorHAnsi"/>
          <w:i/>
          <w:iCs/>
        </w:rPr>
      </w:pPr>
    </w:p>
    <w:p w14:paraId="740AAD8A" w14:textId="60DF1D3F" w:rsidR="00F07FE1" w:rsidRPr="004B688C" w:rsidRDefault="00F07FE1" w:rsidP="00F07FE1">
      <w:pPr>
        <w:jc w:val="both"/>
        <w:rPr>
          <w:rFonts w:asciiTheme="majorHAnsi" w:hAnsiTheme="majorHAnsi" w:cstheme="majorHAnsi"/>
          <w:i/>
          <w:iCs/>
        </w:rPr>
      </w:pPr>
      <w:r w:rsidRPr="004B688C">
        <w:rPr>
          <w:rFonts w:asciiTheme="majorHAnsi" w:hAnsiTheme="majorHAnsi" w:cstheme="majorHAnsi"/>
          <w:i/>
          <w:iCs/>
        </w:rPr>
        <w:t>Figure 2</w:t>
      </w:r>
      <w:r w:rsidRPr="004B688C">
        <w:rPr>
          <w:rFonts w:asciiTheme="majorHAnsi" w:hAnsiTheme="majorHAnsi" w:cstheme="majorHAnsi"/>
          <w:sz w:val="24"/>
          <w:szCs w:val="24"/>
        </w:rPr>
        <w:t xml:space="preserve"> </w:t>
      </w:r>
      <w:r>
        <w:rPr>
          <w:rFonts w:asciiTheme="majorHAnsi" w:hAnsiTheme="majorHAnsi" w:cstheme="majorHAnsi"/>
          <w:i/>
          <w:iCs/>
        </w:rPr>
        <w:t xml:space="preserve">captures the themes identified by 31 </w:t>
      </w:r>
      <w:r w:rsidRPr="009C7E51">
        <w:rPr>
          <w:rFonts w:asciiTheme="majorHAnsi" w:hAnsiTheme="majorHAnsi" w:cstheme="majorHAnsi"/>
          <w:i/>
          <w:iCs/>
        </w:rPr>
        <w:t xml:space="preserve">students </w:t>
      </w:r>
      <w:r>
        <w:rPr>
          <w:rFonts w:asciiTheme="majorHAnsi" w:hAnsiTheme="majorHAnsi" w:cstheme="majorHAnsi"/>
          <w:i/>
          <w:iCs/>
        </w:rPr>
        <w:t>who</w:t>
      </w:r>
      <w:r w:rsidRPr="009C7E51">
        <w:rPr>
          <w:rFonts w:asciiTheme="majorHAnsi" w:hAnsiTheme="majorHAnsi" w:cstheme="majorHAnsi"/>
          <w:i/>
          <w:iCs/>
        </w:rPr>
        <w:t xml:space="preserve"> comment</w:t>
      </w:r>
      <w:r>
        <w:rPr>
          <w:rFonts w:asciiTheme="majorHAnsi" w:hAnsiTheme="majorHAnsi" w:cstheme="majorHAnsi"/>
          <w:i/>
          <w:iCs/>
        </w:rPr>
        <w:t>ed,</w:t>
      </w:r>
      <w:r w:rsidRPr="009C7E51">
        <w:rPr>
          <w:rFonts w:asciiTheme="majorHAnsi" w:hAnsiTheme="majorHAnsi" w:cstheme="majorHAnsi"/>
          <w:i/>
          <w:iCs/>
        </w:rPr>
        <w:t xml:space="preserve"> </w:t>
      </w:r>
      <w:r>
        <w:rPr>
          <w:rFonts w:asciiTheme="majorHAnsi" w:hAnsiTheme="majorHAnsi" w:cstheme="majorHAnsi"/>
          <w:i/>
          <w:iCs/>
        </w:rPr>
        <w:t>as</w:t>
      </w:r>
      <w:r w:rsidRPr="009C7E51">
        <w:rPr>
          <w:rFonts w:asciiTheme="majorHAnsi" w:hAnsiTheme="majorHAnsi" w:cstheme="majorHAnsi"/>
          <w:i/>
          <w:iCs/>
        </w:rPr>
        <w:t xml:space="preserve"> the most important thing that they had learnt from Legal Essentials during the three-week </w:t>
      </w:r>
      <w:r>
        <w:rPr>
          <w:rFonts w:asciiTheme="majorHAnsi" w:hAnsiTheme="majorHAnsi" w:cstheme="majorHAnsi"/>
          <w:i/>
          <w:iCs/>
        </w:rPr>
        <w:t xml:space="preserve">intensive </w:t>
      </w:r>
      <w:r w:rsidRPr="009C7E51">
        <w:rPr>
          <w:rFonts w:asciiTheme="majorHAnsi" w:hAnsiTheme="majorHAnsi" w:cstheme="majorHAnsi"/>
          <w:i/>
          <w:iCs/>
        </w:rPr>
        <w:t xml:space="preserve">induction. </w:t>
      </w:r>
    </w:p>
    <w:p w14:paraId="58B0707B" w14:textId="77777777" w:rsidR="00F07FE1" w:rsidRDefault="00F07FE1" w:rsidP="00F2572B">
      <w:pPr>
        <w:jc w:val="center"/>
        <w:rPr>
          <w:sz w:val="24"/>
          <w:szCs w:val="24"/>
        </w:rPr>
      </w:pPr>
      <w:r>
        <w:rPr>
          <w:noProof/>
          <w:sz w:val="24"/>
          <w:szCs w:val="24"/>
        </w:rPr>
        <w:drawing>
          <wp:inline distT="0" distB="0" distL="0" distR="0" wp14:anchorId="559E6EC5" wp14:editId="27D96191">
            <wp:extent cx="4619268" cy="24628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4522" cy="2487018"/>
                    </a:xfrm>
                    <a:prstGeom prst="rect">
                      <a:avLst/>
                    </a:prstGeom>
                    <a:noFill/>
                  </pic:spPr>
                </pic:pic>
              </a:graphicData>
            </a:graphic>
          </wp:inline>
        </w:drawing>
      </w:r>
    </w:p>
    <w:p w14:paraId="03D80783" w14:textId="77777777" w:rsidR="00F07FE1" w:rsidRPr="004B688C" w:rsidRDefault="00F07FE1" w:rsidP="00F07FE1">
      <w:pPr>
        <w:jc w:val="center"/>
        <w:rPr>
          <w:sz w:val="20"/>
          <w:szCs w:val="20"/>
        </w:rPr>
      </w:pPr>
      <w:r>
        <w:rPr>
          <w:sz w:val="20"/>
          <w:szCs w:val="20"/>
        </w:rPr>
        <w:t>Figure 2</w:t>
      </w:r>
    </w:p>
    <w:p w14:paraId="1523B658" w14:textId="77777777" w:rsidR="005225F2" w:rsidRDefault="005225F2" w:rsidP="00B54124">
      <w:pPr>
        <w:jc w:val="both"/>
        <w:rPr>
          <w:rFonts w:asciiTheme="majorHAnsi" w:hAnsiTheme="majorHAnsi" w:cstheme="majorHAnsi"/>
          <w:b/>
          <w:bCs/>
          <w:color w:val="0070C0"/>
          <w:sz w:val="28"/>
          <w:szCs w:val="28"/>
        </w:rPr>
      </w:pPr>
    </w:p>
    <w:p w14:paraId="0CE4157A" w14:textId="77777777" w:rsidR="005225F2" w:rsidRDefault="005225F2" w:rsidP="00B54124">
      <w:pPr>
        <w:jc w:val="both"/>
        <w:rPr>
          <w:rFonts w:asciiTheme="majorHAnsi" w:hAnsiTheme="majorHAnsi" w:cstheme="majorHAnsi"/>
          <w:b/>
          <w:bCs/>
          <w:color w:val="0070C0"/>
          <w:sz w:val="28"/>
          <w:szCs w:val="28"/>
        </w:rPr>
      </w:pPr>
    </w:p>
    <w:p w14:paraId="4AB57896" w14:textId="704879B9" w:rsidR="00B54124" w:rsidRPr="005225F2" w:rsidRDefault="00B54124" w:rsidP="00B54124">
      <w:pPr>
        <w:jc w:val="both"/>
        <w:rPr>
          <w:rFonts w:asciiTheme="majorHAnsi" w:hAnsiTheme="majorHAnsi" w:cstheme="majorHAnsi"/>
          <w:b/>
          <w:bCs/>
          <w:color w:val="0070C0"/>
          <w:sz w:val="24"/>
          <w:szCs w:val="24"/>
        </w:rPr>
      </w:pPr>
      <w:r w:rsidRPr="005225F2">
        <w:rPr>
          <w:rFonts w:asciiTheme="majorHAnsi" w:hAnsiTheme="majorHAnsi" w:cstheme="majorHAnsi"/>
          <w:b/>
          <w:bCs/>
          <w:color w:val="0070C0"/>
          <w:sz w:val="24"/>
          <w:szCs w:val="24"/>
        </w:rPr>
        <w:lastRenderedPageBreak/>
        <w:t>References</w:t>
      </w:r>
    </w:p>
    <w:p w14:paraId="2EDFE12B" w14:textId="77777777" w:rsidR="00B54124" w:rsidRDefault="00B54124" w:rsidP="00B54124">
      <w:pPr>
        <w:spacing w:line="240" w:lineRule="auto"/>
        <w:jc w:val="both"/>
        <w:rPr>
          <w:rFonts w:asciiTheme="majorHAnsi" w:hAnsiTheme="majorHAnsi" w:cstheme="majorHAnsi"/>
          <w:bCs/>
          <w:sz w:val="24"/>
          <w:szCs w:val="24"/>
        </w:rPr>
      </w:pPr>
      <w:r w:rsidRPr="00D821A7">
        <w:rPr>
          <w:rFonts w:asciiTheme="majorHAnsi" w:hAnsiTheme="majorHAnsi" w:cstheme="majorHAnsi"/>
          <w:bCs/>
          <w:sz w:val="24"/>
          <w:szCs w:val="24"/>
        </w:rPr>
        <w:t>Alexander,</w:t>
      </w:r>
      <w:r>
        <w:rPr>
          <w:rFonts w:asciiTheme="majorHAnsi" w:hAnsiTheme="majorHAnsi" w:cstheme="majorHAnsi"/>
          <w:bCs/>
          <w:sz w:val="24"/>
          <w:szCs w:val="24"/>
        </w:rPr>
        <w:t xml:space="preserve"> R (2008)</w:t>
      </w:r>
      <w:r w:rsidRPr="00D821A7">
        <w:rPr>
          <w:rFonts w:asciiTheme="majorHAnsi" w:hAnsiTheme="majorHAnsi" w:cstheme="majorHAnsi"/>
          <w:bCs/>
          <w:sz w:val="24"/>
          <w:szCs w:val="24"/>
        </w:rPr>
        <w:t xml:space="preserve"> </w:t>
      </w:r>
      <w:r w:rsidRPr="00D821A7">
        <w:rPr>
          <w:rFonts w:asciiTheme="majorHAnsi" w:hAnsiTheme="majorHAnsi" w:cstheme="majorHAnsi"/>
          <w:bCs/>
          <w:i/>
          <w:iCs/>
          <w:sz w:val="24"/>
          <w:szCs w:val="24"/>
        </w:rPr>
        <w:t>Essays on Pedagogy</w:t>
      </w:r>
      <w:r>
        <w:rPr>
          <w:rFonts w:asciiTheme="majorHAnsi" w:hAnsiTheme="majorHAnsi" w:cstheme="majorHAnsi"/>
          <w:bCs/>
          <w:sz w:val="24"/>
          <w:szCs w:val="24"/>
        </w:rPr>
        <w:t xml:space="preserve">. Oxon, </w:t>
      </w:r>
      <w:r w:rsidRPr="00D821A7">
        <w:rPr>
          <w:rFonts w:asciiTheme="majorHAnsi" w:hAnsiTheme="majorHAnsi" w:cstheme="majorHAnsi"/>
          <w:bCs/>
          <w:sz w:val="24"/>
          <w:szCs w:val="24"/>
        </w:rPr>
        <w:t>Routledge</w:t>
      </w:r>
    </w:p>
    <w:p w14:paraId="5DCDFDD2" w14:textId="3B7A92D9" w:rsidR="00B54124" w:rsidRDefault="00B54124" w:rsidP="00B54124">
      <w:pPr>
        <w:spacing w:line="240" w:lineRule="auto"/>
        <w:jc w:val="both"/>
        <w:rPr>
          <w:rFonts w:asciiTheme="majorHAnsi" w:hAnsiTheme="majorHAnsi" w:cstheme="majorHAnsi"/>
          <w:bCs/>
          <w:sz w:val="24"/>
          <w:szCs w:val="24"/>
        </w:rPr>
      </w:pPr>
      <w:r w:rsidRPr="00C41C91">
        <w:rPr>
          <w:rFonts w:asciiTheme="majorHAnsi" w:hAnsiTheme="majorHAnsi" w:cstheme="majorHAnsi"/>
          <w:bCs/>
          <w:sz w:val="24"/>
          <w:szCs w:val="24"/>
        </w:rPr>
        <w:t xml:space="preserve">Armitage, A, Bryant, R, Dunnill, R, Renwick, M, Hayes, D, Hudson, A, Kent, J, &amp; Lawes, S (2007) </w:t>
      </w:r>
      <w:r w:rsidRPr="00C41C91">
        <w:rPr>
          <w:rFonts w:asciiTheme="majorHAnsi" w:hAnsiTheme="majorHAnsi" w:cstheme="majorHAnsi"/>
          <w:bCs/>
          <w:i/>
          <w:iCs/>
          <w:sz w:val="24"/>
          <w:szCs w:val="24"/>
        </w:rPr>
        <w:t>Teaching &amp; Training in Post-Compulsory Education.</w:t>
      </w:r>
      <w:r w:rsidRPr="00C41C91">
        <w:rPr>
          <w:rFonts w:asciiTheme="majorHAnsi" w:hAnsiTheme="majorHAnsi" w:cstheme="majorHAnsi"/>
          <w:bCs/>
          <w:sz w:val="24"/>
          <w:szCs w:val="24"/>
        </w:rPr>
        <w:t xml:space="preserve"> Maidenhead, Open University Press</w:t>
      </w:r>
    </w:p>
    <w:p w14:paraId="686071CF" w14:textId="1D24CE92" w:rsidR="005E343D" w:rsidRDefault="005E343D" w:rsidP="00B54124">
      <w:pPr>
        <w:spacing w:line="240" w:lineRule="auto"/>
        <w:jc w:val="both"/>
        <w:rPr>
          <w:rFonts w:asciiTheme="majorHAnsi" w:hAnsiTheme="majorHAnsi" w:cstheme="majorHAnsi"/>
          <w:bCs/>
          <w:sz w:val="24"/>
          <w:szCs w:val="24"/>
        </w:rPr>
      </w:pPr>
      <w:r w:rsidRPr="005E343D">
        <w:rPr>
          <w:rFonts w:asciiTheme="majorHAnsi" w:hAnsiTheme="majorHAnsi" w:cstheme="majorHAnsi"/>
          <w:bCs/>
          <w:sz w:val="24"/>
          <w:szCs w:val="24"/>
        </w:rPr>
        <w:t>Basit T, </w:t>
      </w:r>
      <w:r w:rsidRPr="005E343D">
        <w:rPr>
          <w:rFonts w:asciiTheme="majorHAnsi" w:hAnsiTheme="majorHAnsi" w:cstheme="majorHAnsi"/>
          <w:bCs/>
          <w:i/>
          <w:iCs/>
          <w:sz w:val="24"/>
          <w:szCs w:val="24"/>
        </w:rPr>
        <w:t>Conducting research in Educational Contexts</w:t>
      </w:r>
      <w:r w:rsidRPr="005E343D">
        <w:rPr>
          <w:rFonts w:asciiTheme="majorHAnsi" w:hAnsiTheme="majorHAnsi" w:cstheme="majorHAnsi"/>
          <w:bCs/>
          <w:sz w:val="24"/>
          <w:szCs w:val="24"/>
        </w:rPr>
        <w:t> (2010, Continuum, London)</w:t>
      </w:r>
    </w:p>
    <w:p w14:paraId="428F3AE7" w14:textId="54D28B72" w:rsidR="00B54124" w:rsidRDefault="00B54124" w:rsidP="00B54124">
      <w:pPr>
        <w:spacing w:line="240" w:lineRule="auto"/>
        <w:jc w:val="both"/>
        <w:rPr>
          <w:rFonts w:asciiTheme="majorHAnsi" w:hAnsiTheme="majorHAnsi" w:cstheme="majorHAnsi"/>
          <w:bCs/>
          <w:sz w:val="24"/>
          <w:szCs w:val="24"/>
        </w:rPr>
      </w:pPr>
      <w:r w:rsidRPr="00C41C91">
        <w:rPr>
          <w:rFonts w:asciiTheme="majorHAnsi" w:hAnsiTheme="majorHAnsi" w:cstheme="majorHAnsi"/>
          <w:bCs/>
          <w:sz w:val="24"/>
          <w:szCs w:val="24"/>
        </w:rPr>
        <w:t xml:space="preserve">Bergin, A and Pakenham, K (2015) </w:t>
      </w:r>
      <w:r w:rsidR="003E4975">
        <w:rPr>
          <w:rFonts w:asciiTheme="majorHAnsi" w:hAnsiTheme="majorHAnsi" w:cstheme="majorHAnsi"/>
          <w:bCs/>
          <w:sz w:val="24"/>
          <w:szCs w:val="24"/>
        </w:rPr>
        <w:t>‘</w:t>
      </w:r>
      <w:r w:rsidRPr="00C41C91">
        <w:rPr>
          <w:rFonts w:asciiTheme="majorHAnsi" w:hAnsiTheme="majorHAnsi" w:cstheme="majorHAnsi"/>
          <w:bCs/>
          <w:sz w:val="24"/>
          <w:szCs w:val="24"/>
        </w:rPr>
        <w:t>Law Student Stress: Relationships Between Academic Demands, Social Isolation, Career Pressure, Study/Life Balance and Adjustment Outcomes in Law Students</w:t>
      </w:r>
      <w:r w:rsidR="003E4975">
        <w:rPr>
          <w:rFonts w:asciiTheme="majorHAnsi" w:hAnsiTheme="majorHAnsi" w:cstheme="majorHAnsi"/>
          <w:bCs/>
          <w:sz w:val="24"/>
          <w:szCs w:val="24"/>
        </w:rPr>
        <w:t>’</w:t>
      </w:r>
      <w:r w:rsidRPr="00C41C91">
        <w:rPr>
          <w:rFonts w:asciiTheme="majorHAnsi" w:hAnsiTheme="majorHAnsi" w:cstheme="majorHAnsi"/>
          <w:bCs/>
          <w:sz w:val="24"/>
          <w:szCs w:val="24"/>
        </w:rPr>
        <w:t xml:space="preserve"> Psychiatry, Psychology and Law, 22(3), 388-406</w:t>
      </w:r>
    </w:p>
    <w:p w14:paraId="0BD3930D" w14:textId="60D435E5" w:rsidR="00B54124" w:rsidRDefault="00B54124" w:rsidP="00B54124">
      <w:pPr>
        <w:spacing w:line="240" w:lineRule="auto"/>
        <w:jc w:val="both"/>
        <w:rPr>
          <w:rFonts w:asciiTheme="majorHAnsi" w:hAnsiTheme="majorHAnsi" w:cstheme="majorHAnsi"/>
          <w:bCs/>
          <w:sz w:val="24"/>
          <w:szCs w:val="24"/>
        </w:rPr>
      </w:pPr>
      <w:r w:rsidRPr="003D157B">
        <w:rPr>
          <w:rFonts w:asciiTheme="majorHAnsi" w:hAnsiTheme="majorHAnsi" w:cstheme="majorHAnsi"/>
          <w:bCs/>
          <w:sz w:val="24"/>
          <w:szCs w:val="24"/>
        </w:rPr>
        <w:t xml:space="preserve">Berry, KE and Cassidy, SF (2013) </w:t>
      </w:r>
      <w:r w:rsidR="003E4975">
        <w:rPr>
          <w:rFonts w:asciiTheme="majorHAnsi" w:hAnsiTheme="majorHAnsi" w:cstheme="majorHAnsi"/>
          <w:bCs/>
          <w:sz w:val="24"/>
          <w:szCs w:val="24"/>
        </w:rPr>
        <w:t>‘</w:t>
      </w:r>
      <w:r w:rsidRPr="003D157B">
        <w:rPr>
          <w:rFonts w:asciiTheme="majorHAnsi" w:hAnsiTheme="majorHAnsi" w:cstheme="majorHAnsi"/>
          <w:bCs/>
          <w:sz w:val="24"/>
          <w:szCs w:val="24"/>
        </w:rPr>
        <w:t>Emotional labour in university lecturers: considerations for higher education institutions</w:t>
      </w:r>
      <w:r w:rsidR="003E4975">
        <w:rPr>
          <w:rFonts w:asciiTheme="majorHAnsi" w:hAnsiTheme="majorHAnsi" w:cstheme="majorHAnsi"/>
          <w:bCs/>
          <w:sz w:val="24"/>
          <w:szCs w:val="24"/>
        </w:rPr>
        <w:t>’</w:t>
      </w:r>
      <w:r w:rsidRPr="003D157B">
        <w:rPr>
          <w:rFonts w:asciiTheme="majorHAnsi" w:hAnsiTheme="majorHAnsi" w:cstheme="majorHAnsi"/>
          <w:bCs/>
          <w:sz w:val="24"/>
          <w:szCs w:val="24"/>
        </w:rPr>
        <w:t xml:space="preserve"> Journal of Curriculum and Teaching 2(2): 22-36</w:t>
      </w:r>
    </w:p>
    <w:p w14:paraId="4EBD191D" w14:textId="77777777" w:rsidR="00B54124" w:rsidRPr="009965C8" w:rsidRDefault="00B54124" w:rsidP="00B54124">
      <w:pPr>
        <w:spacing w:line="240" w:lineRule="auto"/>
        <w:rPr>
          <w:rFonts w:asciiTheme="majorHAnsi" w:hAnsiTheme="majorHAnsi" w:cstheme="majorHAnsi"/>
          <w:bCs/>
          <w:sz w:val="24"/>
          <w:szCs w:val="24"/>
        </w:rPr>
      </w:pPr>
      <w:r w:rsidRPr="009965C8">
        <w:rPr>
          <w:rFonts w:asciiTheme="majorHAnsi" w:hAnsiTheme="majorHAnsi" w:cstheme="majorHAnsi"/>
          <w:bCs/>
          <w:sz w:val="24"/>
          <w:szCs w:val="24"/>
        </w:rPr>
        <w:t xml:space="preserve">Bleasdale, L and Humphreys, S (2018) </w:t>
      </w:r>
      <w:r w:rsidRPr="009965C8">
        <w:rPr>
          <w:rFonts w:asciiTheme="majorHAnsi" w:hAnsiTheme="majorHAnsi" w:cstheme="majorHAnsi"/>
          <w:bCs/>
          <w:i/>
          <w:sz w:val="24"/>
          <w:szCs w:val="24"/>
        </w:rPr>
        <w:t xml:space="preserve">Undergraduate resilience research project: Project Report. </w:t>
      </w:r>
      <w:r w:rsidRPr="009965C8">
        <w:rPr>
          <w:rFonts w:asciiTheme="majorHAnsi" w:hAnsiTheme="majorHAnsi" w:cstheme="majorHAnsi"/>
          <w:bCs/>
          <w:sz w:val="24"/>
          <w:szCs w:val="24"/>
        </w:rPr>
        <w:t xml:space="preserve">Leeds Institute for Teaching Excellence, </w:t>
      </w:r>
      <w:r w:rsidRPr="00C41C91">
        <w:rPr>
          <w:rFonts w:asciiTheme="majorHAnsi" w:hAnsiTheme="majorHAnsi" w:cstheme="majorHAnsi"/>
          <w:bCs/>
          <w:sz w:val="24"/>
          <w:szCs w:val="24"/>
        </w:rPr>
        <w:t xml:space="preserve">University of Leeds </w:t>
      </w:r>
      <w:r w:rsidRPr="009965C8">
        <w:rPr>
          <w:rFonts w:asciiTheme="majorHAnsi" w:hAnsiTheme="majorHAnsi" w:cstheme="majorHAnsi"/>
          <w:bCs/>
          <w:sz w:val="24"/>
          <w:szCs w:val="24"/>
        </w:rPr>
        <w:t>&lt;http://teachingexcellence.leeds.ac.uk/wpcontent/uploads/2018/01/LITEbleasdalehumphreys_fullreport_online.pdf&gt; accessed 7 January 2019</w:t>
      </w:r>
    </w:p>
    <w:p w14:paraId="47793AA3" w14:textId="120B57F8" w:rsidR="00B54124" w:rsidRPr="00C41C91" w:rsidRDefault="00B54124" w:rsidP="00B54124">
      <w:pPr>
        <w:spacing w:line="240" w:lineRule="auto"/>
        <w:jc w:val="both"/>
        <w:rPr>
          <w:rFonts w:asciiTheme="majorHAnsi" w:hAnsiTheme="majorHAnsi" w:cstheme="majorHAnsi"/>
          <w:bCs/>
          <w:sz w:val="24"/>
          <w:szCs w:val="24"/>
        </w:rPr>
      </w:pPr>
      <w:r w:rsidRPr="00911E03">
        <w:rPr>
          <w:rFonts w:asciiTheme="majorHAnsi" w:hAnsiTheme="majorHAnsi" w:cstheme="majorHAnsi"/>
          <w:bCs/>
          <w:sz w:val="24"/>
          <w:szCs w:val="24"/>
        </w:rPr>
        <w:t>Brayne,</w:t>
      </w:r>
      <w:r>
        <w:rPr>
          <w:rFonts w:asciiTheme="majorHAnsi" w:hAnsiTheme="majorHAnsi" w:cstheme="majorHAnsi"/>
          <w:bCs/>
          <w:sz w:val="24"/>
          <w:szCs w:val="24"/>
        </w:rPr>
        <w:t xml:space="preserve"> H</w:t>
      </w:r>
      <w:r w:rsidRPr="00911E03">
        <w:rPr>
          <w:rFonts w:asciiTheme="majorHAnsi" w:hAnsiTheme="majorHAnsi" w:cstheme="majorHAnsi"/>
          <w:bCs/>
          <w:sz w:val="24"/>
          <w:szCs w:val="24"/>
        </w:rPr>
        <w:t xml:space="preserve"> </w:t>
      </w:r>
      <w:r>
        <w:rPr>
          <w:rFonts w:asciiTheme="majorHAnsi" w:hAnsiTheme="majorHAnsi" w:cstheme="majorHAnsi"/>
          <w:bCs/>
          <w:sz w:val="24"/>
          <w:szCs w:val="24"/>
        </w:rPr>
        <w:t>(</w:t>
      </w:r>
      <w:r w:rsidRPr="00911E03">
        <w:rPr>
          <w:rFonts w:asciiTheme="majorHAnsi" w:hAnsiTheme="majorHAnsi" w:cstheme="majorHAnsi"/>
          <w:bCs/>
          <w:sz w:val="24"/>
          <w:szCs w:val="24"/>
        </w:rPr>
        <w:t>2002</w:t>
      </w:r>
      <w:r>
        <w:rPr>
          <w:rFonts w:asciiTheme="majorHAnsi" w:hAnsiTheme="majorHAnsi" w:cstheme="majorHAnsi"/>
          <w:bCs/>
          <w:sz w:val="24"/>
          <w:szCs w:val="24"/>
        </w:rPr>
        <w:t xml:space="preserve">) </w:t>
      </w:r>
      <w:r w:rsidR="003E4975">
        <w:rPr>
          <w:rFonts w:asciiTheme="majorHAnsi" w:hAnsiTheme="majorHAnsi" w:cstheme="majorHAnsi"/>
          <w:bCs/>
          <w:sz w:val="24"/>
          <w:szCs w:val="24"/>
        </w:rPr>
        <w:t>‘</w:t>
      </w:r>
      <w:r w:rsidRPr="00975FF9">
        <w:rPr>
          <w:rFonts w:asciiTheme="majorHAnsi" w:hAnsiTheme="majorHAnsi" w:cstheme="majorHAnsi"/>
          <w:bCs/>
          <w:sz w:val="24"/>
          <w:szCs w:val="24"/>
        </w:rPr>
        <w:t>Learning to Think like a Lawyer – One Law Teacher</w:t>
      </w:r>
      <w:r>
        <w:rPr>
          <w:rFonts w:asciiTheme="majorHAnsi" w:hAnsiTheme="majorHAnsi" w:cstheme="majorHAnsi"/>
          <w:bCs/>
          <w:sz w:val="24"/>
          <w:szCs w:val="24"/>
        </w:rPr>
        <w:t>’</w:t>
      </w:r>
      <w:r w:rsidRPr="00975FF9">
        <w:rPr>
          <w:rFonts w:asciiTheme="majorHAnsi" w:hAnsiTheme="majorHAnsi" w:cstheme="majorHAnsi"/>
          <w:bCs/>
          <w:sz w:val="24"/>
          <w:szCs w:val="24"/>
        </w:rPr>
        <w:t>s Exploration of the Relevance of Evolutionary Psychology</w:t>
      </w:r>
      <w:r w:rsidR="003E4975">
        <w:rPr>
          <w:rFonts w:asciiTheme="majorHAnsi" w:hAnsiTheme="majorHAnsi" w:cstheme="majorHAnsi"/>
          <w:bCs/>
          <w:sz w:val="24"/>
          <w:szCs w:val="24"/>
        </w:rPr>
        <w:t>’</w:t>
      </w:r>
      <w:r w:rsidRPr="00975FF9">
        <w:rPr>
          <w:rFonts w:asciiTheme="majorHAnsi" w:hAnsiTheme="majorHAnsi" w:cstheme="majorHAnsi"/>
          <w:bCs/>
          <w:sz w:val="24"/>
          <w:szCs w:val="24"/>
        </w:rPr>
        <w:t xml:space="preserve"> (2002) International Journal of the Legal Profession 9(3), 283-311</w:t>
      </w:r>
    </w:p>
    <w:p w14:paraId="10CB5589" w14:textId="5AA5F45C" w:rsidR="00B54124" w:rsidRDefault="00B54124" w:rsidP="00B54124">
      <w:pPr>
        <w:spacing w:line="240" w:lineRule="auto"/>
        <w:jc w:val="both"/>
        <w:rPr>
          <w:rFonts w:asciiTheme="majorHAnsi" w:hAnsiTheme="majorHAnsi" w:cstheme="majorHAnsi"/>
          <w:bCs/>
          <w:sz w:val="24"/>
          <w:szCs w:val="24"/>
        </w:rPr>
      </w:pPr>
      <w:r w:rsidRPr="00F3483B">
        <w:rPr>
          <w:rFonts w:asciiTheme="majorHAnsi" w:hAnsiTheme="majorHAnsi" w:cstheme="majorHAnsi"/>
          <w:bCs/>
          <w:sz w:val="24"/>
          <w:szCs w:val="24"/>
        </w:rPr>
        <w:t xml:space="preserve">Bromberger, N (2010) </w:t>
      </w:r>
      <w:r w:rsidR="003E4975">
        <w:rPr>
          <w:rFonts w:asciiTheme="majorHAnsi" w:hAnsiTheme="majorHAnsi" w:cstheme="majorHAnsi"/>
          <w:bCs/>
          <w:sz w:val="24"/>
          <w:szCs w:val="24"/>
        </w:rPr>
        <w:t>‘</w:t>
      </w:r>
      <w:r w:rsidRPr="00F3483B">
        <w:rPr>
          <w:rFonts w:asciiTheme="majorHAnsi" w:hAnsiTheme="majorHAnsi" w:cstheme="majorHAnsi"/>
          <w:bCs/>
          <w:sz w:val="24"/>
          <w:szCs w:val="24"/>
        </w:rPr>
        <w:t>Enhancing Law Student Learning – The Nurturing Teacher</w:t>
      </w:r>
      <w:r w:rsidR="003E4975">
        <w:rPr>
          <w:rFonts w:asciiTheme="majorHAnsi" w:hAnsiTheme="majorHAnsi" w:cstheme="majorHAnsi"/>
          <w:bCs/>
          <w:sz w:val="24"/>
          <w:szCs w:val="24"/>
        </w:rPr>
        <w:t>’</w:t>
      </w:r>
      <w:r w:rsidRPr="00F3483B">
        <w:rPr>
          <w:rFonts w:asciiTheme="majorHAnsi" w:hAnsiTheme="majorHAnsi" w:cstheme="majorHAnsi"/>
          <w:bCs/>
          <w:sz w:val="24"/>
          <w:szCs w:val="24"/>
        </w:rPr>
        <w:t xml:space="preserve"> Legal Education Review 20:1, Article 4</w:t>
      </w:r>
    </w:p>
    <w:p w14:paraId="639D25D6" w14:textId="77777777" w:rsidR="00B54124" w:rsidRDefault="00B54124" w:rsidP="00B54124">
      <w:pPr>
        <w:spacing w:line="240" w:lineRule="auto"/>
        <w:jc w:val="both"/>
        <w:rPr>
          <w:rFonts w:asciiTheme="majorHAnsi" w:hAnsiTheme="majorHAnsi" w:cstheme="majorHAnsi"/>
          <w:bCs/>
          <w:sz w:val="24"/>
          <w:szCs w:val="24"/>
        </w:rPr>
      </w:pPr>
      <w:r w:rsidRPr="00F73C9E">
        <w:rPr>
          <w:rFonts w:asciiTheme="majorHAnsi" w:hAnsiTheme="majorHAnsi" w:cstheme="majorHAnsi"/>
          <w:bCs/>
          <w:sz w:val="24"/>
          <w:szCs w:val="24"/>
        </w:rPr>
        <w:t xml:space="preserve">Bryman, </w:t>
      </w:r>
      <w:r>
        <w:rPr>
          <w:rFonts w:asciiTheme="majorHAnsi" w:hAnsiTheme="majorHAnsi" w:cstheme="majorHAnsi"/>
          <w:bCs/>
          <w:sz w:val="24"/>
          <w:szCs w:val="24"/>
        </w:rPr>
        <w:t xml:space="preserve">A (2016) </w:t>
      </w:r>
      <w:r w:rsidRPr="00F73C9E">
        <w:rPr>
          <w:rFonts w:asciiTheme="majorHAnsi" w:hAnsiTheme="majorHAnsi" w:cstheme="majorHAnsi"/>
          <w:bCs/>
          <w:i/>
          <w:iCs/>
          <w:sz w:val="24"/>
          <w:szCs w:val="24"/>
        </w:rPr>
        <w:t>Social Research Methods</w:t>
      </w:r>
      <w:r>
        <w:rPr>
          <w:rFonts w:asciiTheme="majorHAnsi" w:hAnsiTheme="majorHAnsi" w:cstheme="majorHAnsi"/>
          <w:bCs/>
          <w:i/>
          <w:iCs/>
          <w:sz w:val="24"/>
          <w:szCs w:val="24"/>
        </w:rPr>
        <w:t>.</w:t>
      </w:r>
      <w:r w:rsidRPr="00F73C9E">
        <w:rPr>
          <w:rFonts w:asciiTheme="majorHAnsi" w:hAnsiTheme="majorHAnsi" w:cstheme="majorHAnsi"/>
          <w:bCs/>
          <w:sz w:val="24"/>
          <w:szCs w:val="24"/>
        </w:rPr>
        <w:t xml:space="preserve"> (2016) </w:t>
      </w:r>
      <w:r>
        <w:rPr>
          <w:rFonts w:asciiTheme="majorHAnsi" w:hAnsiTheme="majorHAnsi" w:cstheme="majorHAnsi"/>
          <w:bCs/>
          <w:sz w:val="24"/>
          <w:szCs w:val="24"/>
        </w:rPr>
        <w:t xml:space="preserve">Milton Keynes, </w:t>
      </w:r>
      <w:r w:rsidRPr="00F73C9E">
        <w:rPr>
          <w:rFonts w:asciiTheme="majorHAnsi" w:hAnsiTheme="majorHAnsi" w:cstheme="majorHAnsi"/>
          <w:bCs/>
          <w:sz w:val="24"/>
          <w:szCs w:val="24"/>
        </w:rPr>
        <w:t>OUP</w:t>
      </w:r>
    </w:p>
    <w:p w14:paraId="1EC15E02" w14:textId="21F31B36" w:rsidR="00B54124" w:rsidRPr="00C41C91" w:rsidRDefault="00B54124" w:rsidP="00B54124">
      <w:pPr>
        <w:spacing w:line="240" w:lineRule="auto"/>
        <w:jc w:val="both"/>
        <w:rPr>
          <w:rFonts w:asciiTheme="majorHAnsi" w:hAnsiTheme="majorHAnsi" w:cstheme="majorHAnsi"/>
          <w:bCs/>
          <w:sz w:val="24"/>
          <w:szCs w:val="24"/>
        </w:rPr>
      </w:pPr>
      <w:r w:rsidRPr="00AD3908">
        <w:rPr>
          <w:rFonts w:asciiTheme="majorHAnsi" w:hAnsiTheme="majorHAnsi" w:cstheme="majorHAnsi"/>
          <w:bCs/>
          <w:sz w:val="24"/>
          <w:szCs w:val="24"/>
        </w:rPr>
        <w:t>Cruwys</w:t>
      </w:r>
      <w:r>
        <w:rPr>
          <w:rFonts w:asciiTheme="majorHAnsi" w:hAnsiTheme="majorHAnsi" w:cstheme="majorHAnsi"/>
          <w:bCs/>
          <w:sz w:val="24"/>
          <w:szCs w:val="24"/>
        </w:rPr>
        <w:t>, T</w:t>
      </w:r>
      <w:r w:rsidRPr="00AD3908">
        <w:rPr>
          <w:rFonts w:asciiTheme="majorHAnsi" w:hAnsiTheme="majorHAnsi" w:cstheme="majorHAnsi"/>
          <w:bCs/>
          <w:sz w:val="24"/>
          <w:szCs w:val="24"/>
        </w:rPr>
        <w:t xml:space="preserve"> et al</w:t>
      </w:r>
      <w:r>
        <w:rPr>
          <w:rFonts w:asciiTheme="majorHAnsi" w:hAnsiTheme="majorHAnsi" w:cstheme="majorHAnsi"/>
          <w:bCs/>
          <w:sz w:val="24"/>
          <w:szCs w:val="24"/>
        </w:rPr>
        <w:t xml:space="preserve"> (2014)</w:t>
      </w:r>
      <w:r w:rsidRPr="00AD3908">
        <w:rPr>
          <w:rFonts w:asciiTheme="majorHAnsi" w:hAnsiTheme="majorHAnsi" w:cstheme="majorHAnsi"/>
          <w:bCs/>
          <w:sz w:val="24"/>
          <w:szCs w:val="24"/>
        </w:rPr>
        <w:t xml:space="preserve"> </w:t>
      </w:r>
      <w:r w:rsidR="009B7E23">
        <w:rPr>
          <w:rFonts w:asciiTheme="majorHAnsi" w:hAnsiTheme="majorHAnsi" w:cstheme="majorHAnsi"/>
          <w:bCs/>
          <w:sz w:val="24"/>
          <w:szCs w:val="24"/>
        </w:rPr>
        <w:t>‘</w:t>
      </w:r>
      <w:r w:rsidRPr="00AD3908">
        <w:rPr>
          <w:rFonts w:asciiTheme="majorHAnsi" w:hAnsiTheme="majorHAnsi" w:cstheme="majorHAnsi"/>
          <w:bCs/>
          <w:sz w:val="24"/>
          <w:szCs w:val="24"/>
        </w:rPr>
        <w:t>Depression and Social Identity: An Integrative Review</w:t>
      </w:r>
      <w:r w:rsidR="009B7E23">
        <w:rPr>
          <w:rFonts w:asciiTheme="majorHAnsi" w:hAnsiTheme="majorHAnsi" w:cstheme="majorHAnsi"/>
          <w:bCs/>
          <w:sz w:val="24"/>
          <w:szCs w:val="24"/>
        </w:rPr>
        <w:t>’</w:t>
      </w:r>
      <w:r w:rsidRPr="00AD3908">
        <w:rPr>
          <w:rFonts w:asciiTheme="majorHAnsi" w:hAnsiTheme="majorHAnsi" w:cstheme="majorHAnsi"/>
          <w:bCs/>
          <w:sz w:val="24"/>
          <w:szCs w:val="24"/>
        </w:rPr>
        <w:t xml:space="preserve"> Personality and Social Psychology Review 18(3), 215-238</w:t>
      </w:r>
    </w:p>
    <w:p w14:paraId="7B402F57" w14:textId="7FD43EDA" w:rsidR="00B54124" w:rsidRPr="00C41C91" w:rsidRDefault="00B54124" w:rsidP="00B54124">
      <w:pPr>
        <w:spacing w:line="240" w:lineRule="auto"/>
        <w:jc w:val="both"/>
        <w:rPr>
          <w:rFonts w:asciiTheme="majorHAnsi" w:hAnsiTheme="majorHAnsi" w:cstheme="majorHAnsi"/>
          <w:bCs/>
          <w:sz w:val="24"/>
          <w:szCs w:val="24"/>
        </w:rPr>
      </w:pPr>
      <w:r w:rsidRPr="00287668">
        <w:rPr>
          <w:rFonts w:asciiTheme="majorHAnsi" w:hAnsiTheme="majorHAnsi" w:cstheme="majorHAnsi"/>
          <w:bCs/>
          <w:sz w:val="24"/>
          <w:szCs w:val="24"/>
        </w:rPr>
        <w:t xml:space="preserve">Curzon-Hobson, A (2002) </w:t>
      </w:r>
      <w:r w:rsidR="009B7E23">
        <w:rPr>
          <w:rFonts w:asciiTheme="majorHAnsi" w:hAnsiTheme="majorHAnsi" w:cstheme="majorHAnsi"/>
          <w:bCs/>
          <w:sz w:val="24"/>
          <w:szCs w:val="24"/>
        </w:rPr>
        <w:t>‘</w:t>
      </w:r>
      <w:r w:rsidRPr="00287668">
        <w:rPr>
          <w:rFonts w:asciiTheme="majorHAnsi" w:hAnsiTheme="majorHAnsi" w:cstheme="majorHAnsi"/>
          <w:bCs/>
          <w:sz w:val="24"/>
          <w:szCs w:val="24"/>
        </w:rPr>
        <w:t>A Pedagogy of Trust in Higher Learning</w:t>
      </w:r>
      <w:r w:rsidR="009B7E23">
        <w:rPr>
          <w:rFonts w:asciiTheme="majorHAnsi" w:hAnsiTheme="majorHAnsi" w:cstheme="majorHAnsi"/>
          <w:bCs/>
          <w:sz w:val="24"/>
          <w:szCs w:val="24"/>
        </w:rPr>
        <w:t>’</w:t>
      </w:r>
      <w:r w:rsidRPr="00287668">
        <w:rPr>
          <w:rFonts w:asciiTheme="majorHAnsi" w:hAnsiTheme="majorHAnsi" w:cstheme="majorHAnsi"/>
          <w:bCs/>
          <w:sz w:val="24"/>
          <w:szCs w:val="24"/>
        </w:rPr>
        <w:t xml:space="preserve"> Teaching in Higher Education 7(3), 265-276</w:t>
      </w:r>
    </w:p>
    <w:p w14:paraId="68651AC8" w14:textId="77777777" w:rsidR="00B54124" w:rsidRPr="00C41C91" w:rsidRDefault="00B54124" w:rsidP="00B54124">
      <w:pPr>
        <w:spacing w:line="240" w:lineRule="auto"/>
        <w:jc w:val="both"/>
        <w:rPr>
          <w:rFonts w:asciiTheme="majorHAnsi" w:hAnsiTheme="majorHAnsi" w:cstheme="majorHAnsi"/>
          <w:bCs/>
          <w:sz w:val="24"/>
          <w:szCs w:val="24"/>
        </w:rPr>
      </w:pPr>
      <w:r w:rsidRPr="00EC6349">
        <w:rPr>
          <w:rFonts w:asciiTheme="majorHAnsi" w:hAnsiTheme="majorHAnsi" w:cstheme="majorHAnsi"/>
          <w:bCs/>
          <w:sz w:val="24"/>
          <w:szCs w:val="24"/>
        </w:rPr>
        <w:t xml:space="preserve">Deci, EL and Ryan, RM (2002) </w:t>
      </w:r>
      <w:r w:rsidRPr="00EC6349">
        <w:rPr>
          <w:rFonts w:asciiTheme="majorHAnsi" w:hAnsiTheme="majorHAnsi" w:cstheme="majorHAnsi"/>
          <w:bCs/>
          <w:i/>
          <w:sz w:val="24"/>
          <w:szCs w:val="24"/>
        </w:rPr>
        <w:t xml:space="preserve">Handbook of self-determination research. </w:t>
      </w:r>
      <w:r w:rsidRPr="00EC6349">
        <w:rPr>
          <w:rFonts w:asciiTheme="majorHAnsi" w:hAnsiTheme="majorHAnsi" w:cstheme="majorHAnsi"/>
          <w:bCs/>
          <w:sz w:val="24"/>
          <w:szCs w:val="24"/>
        </w:rPr>
        <w:t>University of Rochester Press</w:t>
      </w:r>
    </w:p>
    <w:p w14:paraId="09C1665E" w14:textId="24CCF37D" w:rsidR="00B54124" w:rsidRPr="00C41C91" w:rsidRDefault="00B54124" w:rsidP="00B54124">
      <w:pPr>
        <w:spacing w:line="240" w:lineRule="auto"/>
        <w:jc w:val="both"/>
        <w:rPr>
          <w:rFonts w:asciiTheme="majorHAnsi" w:hAnsiTheme="majorHAnsi" w:cstheme="majorHAnsi"/>
          <w:bCs/>
          <w:sz w:val="24"/>
          <w:szCs w:val="24"/>
        </w:rPr>
      </w:pPr>
      <w:r w:rsidRPr="008C53BA">
        <w:rPr>
          <w:rFonts w:asciiTheme="majorHAnsi" w:hAnsiTheme="majorHAnsi" w:cstheme="majorHAnsi"/>
          <w:bCs/>
          <w:sz w:val="24"/>
          <w:szCs w:val="24"/>
        </w:rPr>
        <w:t xml:space="preserve">Del Mar, M (2011) </w:t>
      </w:r>
      <w:r w:rsidR="009B7E23">
        <w:rPr>
          <w:rFonts w:asciiTheme="majorHAnsi" w:hAnsiTheme="majorHAnsi" w:cstheme="majorHAnsi"/>
          <w:bCs/>
          <w:sz w:val="24"/>
          <w:szCs w:val="24"/>
        </w:rPr>
        <w:t>‘</w:t>
      </w:r>
      <w:r w:rsidRPr="008C53BA">
        <w:rPr>
          <w:rFonts w:asciiTheme="majorHAnsi" w:hAnsiTheme="majorHAnsi" w:cstheme="majorHAnsi"/>
          <w:bCs/>
          <w:sz w:val="24"/>
          <w:szCs w:val="24"/>
        </w:rPr>
        <w:t>Legal Understanding and the Affective Imagination</w:t>
      </w:r>
      <w:r w:rsidR="009B7E23">
        <w:rPr>
          <w:rFonts w:asciiTheme="majorHAnsi" w:hAnsiTheme="majorHAnsi" w:cstheme="majorHAnsi"/>
          <w:bCs/>
          <w:sz w:val="24"/>
          <w:szCs w:val="24"/>
        </w:rPr>
        <w:t>’</w:t>
      </w:r>
      <w:r w:rsidRPr="008C53BA">
        <w:rPr>
          <w:rFonts w:asciiTheme="majorHAnsi" w:hAnsiTheme="majorHAnsi" w:cstheme="majorHAnsi"/>
          <w:bCs/>
          <w:sz w:val="24"/>
          <w:szCs w:val="24"/>
        </w:rPr>
        <w:t xml:space="preserve"> in Maharg, P and Maughan, C (eds) </w:t>
      </w:r>
      <w:r w:rsidRPr="008C53BA">
        <w:rPr>
          <w:rFonts w:asciiTheme="majorHAnsi" w:hAnsiTheme="majorHAnsi" w:cstheme="majorHAnsi"/>
          <w:bCs/>
          <w:i/>
          <w:sz w:val="24"/>
          <w:szCs w:val="24"/>
        </w:rPr>
        <w:t xml:space="preserve">Affect and Legal Education: Emotion in Learning and Teaching the Law. </w:t>
      </w:r>
      <w:r w:rsidRPr="008C53BA">
        <w:rPr>
          <w:rFonts w:asciiTheme="majorHAnsi" w:hAnsiTheme="majorHAnsi" w:cstheme="majorHAnsi"/>
          <w:bCs/>
          <w:sz w:val="24"/>
          <w:szCs w:val="24"/>
        </w:rPr>
        <w:t>London</w:t>
      </w:r>
      <w:r>
        <w:rPr>
          <w:rFonts w:asciiTheme="majorHAnsi" w:hAnsiTheme="majorHAnsi" w:cstheme="majorHAnsi"/>
          <w:bCs/>
          <w:sz w:val="24"/>
          <w:szCs w:val="24"/>
        </w:rPr>
        <w:t xml:space="preserve">, </w:t>
      </w:r>
      <w:r w:rsidRPr="008C53BA">
        <w:rPr>
          <w:rFonts w:asciiTheme="majorHAnsi" w:hAnsiTheme="majorHAnsi" w:cstheme="majorHAnsi"/>
          <w:bCs/>
          <w:sz w:val="24"/>
          <w:szCs w:val="24"/>
        </w:rPr>
        <w:t>Routledge</w:t>
      </w:r>
    </w:p>
    <w:p w14:paraId="5B80D35A" w14:textId="6AFB1B93" w:rsidR="00B54124" w:rsidRPr="00C41C91" w:rsidRDefault="00B54124" w:rsidP="00B54124">
      <w:pPr>
        <w:spacing w:line="240" w:lineRule="auto"/>
        <w:jc w:val="both"/>
        <w:rPr>
          <w:rFonts w:asciiTheme="majorHAnsi" w:hAnsiTheme="majorHAnsi" w:cstheme="majorHAnsi"/>
        </w:rPr>
      </w:pPr>
      <w:r w:rsidRPr="00C41C91">
        <w:rPr>
          <w:rFonts w:asciiTheme="majorHAnsi" w:hAnsiTheme="majorHAnsi" w:cstheme="majorHAnsi"/>
          <w:bCs/>
          <w:sz w:val="24"/>
          <w:szCs w:val="24"/>
        </w:rPr>
        <w:t xml:space="preserve">J Duffy, R Field and M Shirley, </w:t>
      </w:r>
      <w:r w:rsidR="009B7E23">
        <w:rPr>
          <w:rFonts w:asciiTheme="majorHAnsi" w:hAnsiTheme="majorHAnsi" w:cstheme="majorHAnsi"/>
          <w:bCs/>
          <w:sz w:val="24"/>
          <w:szCs w:val="24"/>
        </w:rPr>
        <w:t>‘</w:t>
      </w:r>
      <w:r w:rsidRPr="00C41C91">
        <w:rPr>
          <w:rFonts w:asciiTheme="majorHAnsi" w:hAnsiTheme="majorHAnsi" w:cstheme="majorHAnsi"/>
          <w:bCs/>
          <w:sz w:val="24"/>
          <w:szCs w:val="24"/>
        </w:rPr>
        <w:t>Engaging Law Students to Promote Psychological Health</w:t>
      </w:r>
      <w:r w:rsidR="009B7E23">
        <w:rPr>
          <w:rFonts w:asciiTheme="majorHAnsi" w:hAnsiTheme="majorHAnsi" w:cstheme="majorHAnsi"/>
          <w:bCs/>
          <w:sz w:val="24"/>
          <w:szCs w:val="24"/>
        </w:rPr>
        <w:t>’</w:t>
      </w:r>
      <w:r w:rsidRPr="00C41C91">
        <w:rPr>
          <w:rFonts w:asciiTheme="majorHAnsi" w:hAnsiTheme="majorHAnsi" w:cstheme="majorHAnsi"/>
          <w:bCs/>
          <w:sz w:val="24"/>
          <w:szCs w:val="24"/>
        </w:rPr>
        <w:t xml:space="preserve"> (2011) Alt LJ 36 (4)</w:t>
      </w:r>
      <w:r w:rsidRPr="00C41C91">
        <w:rPr>
          <w:rFonts w:asciiTheme="majorHAnsi" w:hAnsiTheme="majorHAnsi" w:cstheme="majorHAnsi"/>
        </w:rPr>
        <w:t xml:space="preserve"> </w:t>
      </w:r>
    </w:p>
    <w:p w14:paraId="78390E2A" w14:textId="69713F46" w:rsidR="00B54124" w:rsidRPr="005F0784" w:rsidRDefault="00B54124" w:rsidP="00B54124">
      <w:pPr>
        <w:spacing w:line="240" w:lineRule="auto"/>
        <w:jc w:val="both"/>
        <w:rPr>
          <w:rFonts w:asciiTheme="majorHAnsi" w:hAnsiTheme="majorHAnsi" w:cstheme="majorHAnsi"/>
          <w:sz w:val="24"/>
          <w:szCs w:val="24"/>
        </w:rPr>
      </w:pPr>
      <w:r w:rsidRPr="005F0784">
        <w:rPr>
          <w:rFonts w:asciiTheme="majorHAnsi" w:hAnsiTheme="majorHAnsi" w:cstheme="majorHAnsi"/>
          <w:sz w:val="24"/>
          <w:szCs w:val="24"/>
        </w:rPr>
        <w:t xml:space="preserve">Dweck, CS (2000) </w:t>
      </w:r>
      <w:r w:rsidR="009B7E23">
        <w:rPr>
          <w:rFonts w:asciiTheme="majorHAnsi" w:hAnsiTheme="majorHAnsi" w:cstheme="majorHAnsi"/>
          <w:sz w:val="24"/>
          <w:szCs w:val="24"/>
        </w:rPr>
        <w:t>‘</w:t>
      </w:r>
      <w:r w:rsidRPr="005F0784">
        <w:rPr>
          <w:rFonts w:asciiTheme="majorHAnsi" w:hAnsiTheme="majorHAnsi" w:cstheme="majorHAnsi"/>
          <w:sz w:val="24"/>
          <w:szCs w:val="24"/>
        </w:rPr>
        <w:t>Self-theories: their role in motivation, personality, and development</w:t>
      </w:r>
      <w:r w:rsidR="009B7E23">
        <w:rPr>
          <w:rFonts w:asciiTheme="majorHAnsi" w:hAnsiTheme="majorHAnsi" w:cstheme="majorHAnsi"/>
          <w:sz w:val="24"/>
          <w:szCs w:val="24"/>
        </w:rPr>
        <w:t>’</w:t>
      </w:r>
      <w:r w:rsidRPr="005F0784">
        <w:rPr>
          <w:rFonts w:asciiTheme="majorHAnsi" w:hAnsiTheme="majorHAnsi" w:cstheme="majorHAnsi"/>
          <w:sz w:val="24"/>
          <w:szCs w:val="24"/>
        </w:rPr>
        <w:t xml:space="preserve"> </w:t>
      </w:r>
      <w:r w:rsidRPr="005F0784">
        <w:rPr>
          <w:rFonts w:asciiTheme="majorHAnsi" w:hAnsiTheme="majorHAnsi" w:cstheme="majorHAnsi"/>
          <w:i/>
          <w:sz w:val="24"/>
          <w:szCs w:val="24"/>
        </w:rPr>
        <w:t>Essays in Social Psychology</w:t>
      </w:r>
      <w:r w:rsidRPr="005F0784">
        <w:rPr>
          <w:rFonts w:asciiTheme="majorHAnsi" w:hAnsiTheme="majorHAnsi" w:cstheme="majorHAnsi"/>
          <w:sz w:val="24"/>
          <w:szCs w:val="24"/>
        </w:rPr>
        <w:t xml:space="preserve"> New York</w:t>
      </w:r>
      <w:r>
        <w:rPr>
          <w:rFonts w:asciiTheme="majorHAnsi" w:hAnsiTheme="majorHAnsi" w:cstheme="majorHAnsi"/>
          <w:sz w:val="24"/>
          <w:szCs w:val="24"/>
        </w:rPr>
        <w:t>,</w:t>
      </w:r>
      <w:r w:rsidRPr="005F0784">
        <w:rPr>
          <w:rFonts w:asciiTheme="majorHAnsi" w:hAnsiTheme="majorHAnsi" w:cstheme="majorHAnsi"/>
          <w:sz w:val="24"/>
          <w:szCs w:val="24"/>
        </w:rPr>
        <w:t xml:space="preserve"> Psychology Press</w:t>
      </w:r>
    </w:p>
    <w:p w14:paraId="3FE165BB" w14:textId="3B46B1EC" w:rsidR="00B54124" w:rsidRDefault="00B54124" w:rsidP="00B54124">
      <w:pPr>
        <w:spacing w:line="240" w:lineRule="auto"/>
        <w:jc w:val="both"/>
        <w:rPr>
          <w:rFonts w:asciiTheme="majorHAnsi" w:hAnsiTheme="majorHAnsi" w:cstheme="majorHAnsi"/>
          <w:sz w:val="24"/>
          <w:szCs w:val="24"/>
        </w:rPr>
      </w:pPr>
      <w:r w:rsidRPr="005F0784">
        <w:rPr>
          <w:rFonts w:asciiTheme="majorHAnsi" w:hAnsiTheme="majorHAnsi" w:cstheme="majorHAnsi"/>
          <w:sz w:val="24"/>
          <w:szCs w:val="24"/>
        </w:rPr>
        <w:t xml:space="preserve">Dweck, C (2017) </w:t>
      </w:r>
      <w:r w:rsidR="009B7E23">
        <w:rPr>
          <w:rFonts w:asciiTheme="majorHAnsi" w:hAnsiTheme="majorHAnsi" w:cstheme="majorHAnsi"/>
          <w:sz w:val="24"/>
          <w:szCs w:val="24"/>
        </w:rPr>
        <w:t>‘</w:t>
      </w:r>
      <w:r w:rsidRPr="005F0784">
        <w:rPr>
          <w:rFonts w:asciiTheme="majorHAnsi" w:hAnsiTheme="majorHAnsi" w:cstheme="majorHAnsi"/>
          <w:bCs/>
          <w:sz w:val="24"/>
          <w:szCs w:val="24"/>
        </w:rPr>
        <w:t>Growth mindset is on a firm foundation, but we</w:t>
      </w:r>
      <w:r>
        <w:rPr>
          <w:rFonts w:asciiTheme="majorHAnsi" w:hAnsiTheme="majorHAnsi" w:cstheme="majorHAnsi"/>
          <w:bCs/>
          <w:sz w:val="24"/>
          <w:szCs w:val="24"/>
        </w:rPr>
        <w:t>’</w:t>
      </w:r>
      <w:r w:rsidRPr="005F0784">
        <w:rPr>
          <w:rFonts w:asciiTheme="majorHAnsi" w:hAnsiTheme="majorHAnsi" w:cstheme="majorHAnsi"/>
          <w:bCs/>
          <w:sz w:val="24"/>
          <w:szCs w:val="24"/>
        </w:rPr>
        <w:t>re still building the house</w:t>
      </w:r>
      <w:r w:rsidR="009B7E23">
        <w:rPr>
          <w:rFonts w:asciiTheme="majorHAnsi" w:hAnsiTheme="majorHAnsi" w:cstheme="majorHAnsi"/>
          <w:bCs/>
          <w:sz w:val="24"/>
          <w:szCs w:val="24"/>
        </w:rPr>
        <w:t>’</w:t>
      </w:r>
      <w:r w:rsidRPr="005F0784">
        <w:rPr>
          <w:rFonts w:asciiTheme="majorHAnsi" w:hAnsiTheme="majorHAnsi" w:cstheme="majorHAnsi"/>
          <w:b/>
          <w:bCs/>
          <w:sz w:val="24"/>
          <w:szCs w:val="24"/>
        </w:rPr>
        <w:t xml:space="preserve"> </w:t>
      </w:r>
      <w:r w:rsidRPr="005F0784">
        <w:rPr>
          <w:rFonts w:asciiTheme="majorHAnsi" w:hAnsiTheme="majorHAnsi" w:cstheme="majorHAnsi"/>
          <w:bCs/>
          <w:sz w:val="24"/>
          <w:szCs w:val="24"/>
        </w:rPr>
        <w:t>Mindset Scholars</w:t>
      </w:r>
      <w:r>
        <w:rPr>
          <w:rFonts w:asciiTheme="majorHAnsi" w:hAnsiTheme="majorHAnsi" w:cstheme="majorHAnsi"/>
          <w:bCs/>
          <w:sz w:val="24"/>
          <w:szCs w:val="24"/>
        </w:rPr>
        <w:t>’</w:t>
      </w:r>
      <w:r w:rsidRPr="005F0784">
        <w:rPr>
          <w:rFonts w:asciiTheme="majorHAnsi" w:hAnsiTheme="majorHAnsi" w:cstheme="majorHAnsi"/>
          <w:bCs/>
          <w:sz w:val="24"/>
          <w:szCs w:val="24"/>
        </w:rPr>
        <w:t xml:space="preserve"> Network </w:t>
      </w:r>
      <w:r w:rsidRPr="005F0784">
        <w:rPr>
          <w:rFonts w:asciiTheme="majorHAnsi" w:hAnsiTheme="majorHAnsi" w:cstheme="majorHAnsi"/>
          <w:sz w:val="24"/>
          <w:szCs w:val="24"/>
        </w:rPr>
        <w:t xml:space="preserve">January 18, 2017 </w:t>
      </w:r>
      <w:r w:rsidRPr="00C41C91">
        <w:rPr>
          <w:rFonts w:asciiTheme="majorHAnsi" w:hAnsiTheme="majorHAnsi" w:cstheme="majorHAnsi"/>
          <w:sz w:val="24"/>
          <w:szCs w:val="24"/>
        </w:rPr>
        <w:t>&lt;</w:t>
      </w:r>
      <w:r w:rsidRPr="005F0784">
        <w:rPr>
          <w:rFonts w:asciiTheme="majorHAnsi" w:hAnsiTheme="majorHAnsi" w:cstheme="majorHAnsi"/>
          <w:sz w:val="24"/>
          <w:szCs w:val="24"/>
        </w:rPr>
        <w:t>https://mindsetscholarsnetwork.org/growth-mindset-firm-foundation-still-building-house/#</w:t>
      </w:r>
      <w:r w:rsidRPr="00C41C91">
        <w:rPr>
          <w:rFonts w:asciiTheme="majorHAnsi" w:hAnsiTheme="majorHAnsi" w:cstheme="majorHAnsi"/>
          <w:sz w:val="24"/>
          <w:szCs w:val="24"/>
        </w:rPr>
        <w:t>&gt;</w:t>
      </w:r>
      <w:r w:rsidRPr="005F0784">
        <w:rPr>
          <w:rFonts w:asciiTheme="majorHAnsi" w:hAnsiTheme="majorHAnsi" w:cstheme="majorHAnsi"/>
          <w:sz w:val="24"/>
          <w:szCs w:val="24"/>
        </w:rPr>
        <w:t xml:space="preserve"> (accessed 18 March 2019)</w:t>
      </w:r>
    </w:p>
    <w:p w14:paraId="4508962B" w14:textId="4E3A7BA3" w:rsidR="00B54124" w:rsidRPr="005F0784" w:rsidRDefault="00B54124" w:rsidP="00B54124">
      <w:pPr>
        <w:spacing w:line="240" w:lineRule="auto"/>
        <w:jc w:val="both"/>
        <w:rPr>
          <w:rFonts w:asciiTheme="majorHAnsi" w:hAnsiTheme="majorHAnsi" w:cstheme="majorHAnsi"/>
          <w:sz w:val="24"/>
          <w:szCs w:val="24"/>
        </w:rPr>
      </w:pPr>
      <w:r w:rsidRPr="00745977">
        <w:rPr>
          <w:rFonts w:asciiTheme="majorHAnsi" w:hAnsiTheme="majorHAnsi" w:cstheme="majorHAnsi"/>
          <w:sz w:val="24"/>
          <w:szCs w:val="24"/>
        </w:rPr>
        <w:lastRenderedPageBreak/>
        <w:t>Favell,</w:t>
      </w:r>
      <w:r>
        <w:rPr>
          <w:rFonts w:asciiTheme="majorHAnsi" w:hAnsiTheme="majorHAnsi" w:cstheme="majorHAnsi"/>
          <w:sz w:val="24"/>
          <w:szCs w:val="24"/>
        </w:rPr>
        <w:t xml:space="preserve"> JH (1972)</w:t>
      </w:r>
      <w:r w:rsidRPr="00745977">
        <w:rPr>
          <w:rFonts w:asciiTheme="majorHAnsi" w:hAnsiTheme="majorHAnsi" w:cstheme="majorHAnsi"/>
          <w:sz w:val="24"/>
          <w:szCs w:val="24"/>
        </w:rPr>
        <w:t xml:space="preserve"> </w:t>
      </w:r>
      <w:r w:rsidR="009B7E23">
        <w:rPr>
          <w:rFonts w:asciiTheme="majorHAnsi" w:hAnsiTheme="majorHAnsi" w:cstheme="majorHAnsi"/>
          <w:sz w:val="24"/>
          <w:szCs w:val="24"/>
        </w:rPr>
        <w:t>‘</w:t>
      </w:r>
      <w:r w:rsidRPr="00745977">
        <w:rPr>
          <w:rFonts w:asciiTheme="majorHAnsi" w:hAnsiTheme="majorHAnsi" w:cstheme="majorHAnsi"/>
          <w:sz w:val="24"/>
          <w:szCs w:val="24"/>
        </w:rPr>
        <w:t>Metacognitive aspects of problem solving</w:t>
      </w:r>
      <w:r w:rsidR="009B7E23">
        <w:rPr>
          <w:rFonts w:asciiTheme="majorHAnsi" w:hAnsiTheme="majorHAnsi" w:cstheme="majorHAnsi"/>
          <w:sz w:val="24"/>
          <w:szCs w:val="24"/>
        </w:rPr>
        <w:t>’</w:t>
      </w:r>
      <w:r w:rsidRPr="00745977">
        <w:rPr>
          <w:rFonts w:asciiTheme="majorHAnsi" w:hAnsiTheme="majorHAnsi" w:cstheme="majorHAnsi"/>
          <w:sz w:val="24"/>
          <w:szCs w:val="24"/>
        </w:rPr>
        <w:t xml:space="preserve"> in LB Resnick (ed) </w:t>
      </w:r>
      <w:r w:rsidRPr="00745977">
        <w:rPr>
          <w:rFonts w:asciiTheme="majorHAnsi" w:hAnsiTheme="majorHAnsi" w:cstheme="majorHAnsi"/>
          <w:i/>
          <w:iCs/>
          <w:sz w:val="24"/>
          <w:szCs w:val="24"/>
        </w:rPr>
        <w:t>Nature of Intelligence</w:t>
      </w:r>
      <w:r>
        <w:rPr>
          <w:rFonts w:asciiTheme="majorHAnsi" w:hAnsiTheme="majorHAnsi" w:cstheme="majorHAnsi"/>
          <w:sz w:val="24"/>
          <w:szCs w:val="24"/>
        </w:rPr>
        <w:t xml:space="preserve">. NJ, </w:t>
      </w:r>
      <w:r w:rsidRPr="00745977">
        <w:rPr>
          <w:rFonts w:asciiTheme="majorHAnsi" w:hAnsiTheme="majorHAnsi" w:cstheme="majorHAnsi"/>
          <w:sz w:val="24"/>
          <w:szCs w:val="24"/>
        </w:rPr>
        <w:t>Hillsdale</w:t>
      </w:r>
    </w:p>
    <w:p w14:paraId="7575C44A" w14:textId="7D04EDBB" w:rsidR="00B54124" w:rsidRDefault="00B54124" w:rsidP="00B54124">
      <w:pPr>
        <w:spacing w:line="240" w:lineRule="auto"/>
        <w:jc w:val="both"/>
        <w:rPr>
          <w:rFonts w:asciiTheme="majorHAnsi" w:hAnsiTheme="majorHAnsi" w:cstheme="majorHAnsi"/>
          <w:sz w:val="24"/>
          <w:szCs w:val="24"/>
        </w:rPr>
      </w:pPr>
      <w:r w:rsidRPr="00127CA5">
        <w:rPr>
          <w:rFonts w:asciiTheme="majorHAnsi" w:hAnsiTheme="majorHAnsi" w:cstheme="majorHAnsi"/>
          <w:sz w:val="24"/>
          <w:szCs w:val="24"/>
        </w:rPr>
        <w:t xml:space="preserve">Field, R and Duffy, J (2012) </w:t>
      </w:r>
      <w:r w:rsidR="009B7E23">
        <w:rPr>
          <w:rFonts w:asciiTheme="majorHAnsi" w:hAnsiTheme="majorHAnsi" w:cstheme="majorHAnsi"/>
          <w:sz w:val="24"/>
          <w:szCs w:val="24"/>
        </w:rPr>
        <w:t>‘</w:t>
      </w:r>
      <w:r w:rsidRPr="00127CA5">
        <w:rPr>
          <w:rFonts w:asciiTheme="majorHAnsi" w:hAnsiTheme="majorHAnsi" w:cstheme="majorHAnsi"/>
          <w:sz w:val="24"/>
          <w:szCs w:val="24"/>
        </w:rPr>
        <w:t>Better to Light a Single Candle than to Curse the Darkness: Promoting Law Student Well-Being through a First Year Law Subject</w:t>
      </w:r>
      <w:r w:rsidR="009B7E23">
        <w:rPr>
          <w:rFonts w:asciiTheme="majorHAnsi" w:hAnsiTheme="majorHAnsi" w:cstheme="majorHAnsi"/>
          <w:sz w:val="24"/>
          <w:szCs w:val="24"/>
        </w:rPr>
        <w:t>’</w:t>
      </w:r>
      <w:r w:rsidRPr="00127CA5">
        <w:rPr>
          <w:rFonts w:asciiTheme="majorHAnsi" w:hAnsiTheme="majorHAnsi" w:cstheme="majorHAnsi"/>
          <w:sz w:val="24"/>
          <w:szCs w:val="24"/>
        </w:rPr>
        <w:t xml:space="preserve"> QUT Law &amp; Justice Journal 12(1), 133-156</w:t>
      </w:r>
    </w:p>
    <w:p w14:paraId="41F82E76" w14:textId="19D7E381" w:rsidR="00B54124" w:rsidRPr="00127CA5" w:rsidRDefault="00B54124" w:rsidP="00B54124">
      <w:pPr>
        <w:spacing w:line="240" w:lineRule="auto"/>
        <w:jc w:val="both"/>
        <w:rPr>
          <w:rFonts w:asciiTheme="majorHAnsi" w:hAnsiTheme="majorHAnsi" w:cstheme="majorHAnsi"/>
          <w:sz w:val="24"/>
          <w:szCs w:val="24"/>
        </w:rPr>
      </w:pPr>
      <w:r w:rsidRPr="005C7214">
        <w:rPr>
          <w:rFonts w:asciiTheme="majorHAnsi" w:hAnsiTheme="majorHAnsi" w:cstheme="majorHAnsi"/>
          <w:sz w:val="24"/>
          <w:szCs w:val="24"/>
        </w:rPr>
        <w:t>Field</w:t>
      </w:r>
      <w:r>
        <w:rPr>
          <w:rFonts w:asciiTheme="majorHAnsi" w:hAnsiTheme="majorHAnsi" w:cstheme="majorHAnsi"/>
          <w:sz w:val="24"/>
          <w:szCs w:val="24"/>
        </w:rPr>
        <w:t>, R</w:t>
      </w:r>
      <w:r w:rsidRPr="005C7214">
        <w:rPr>
          <w:rFonts w:asciiTheme="majorHAnsi" w:hAnsiTheme="majorHAnsi" w:cstheme="majorHAnsi"/>
          <w:sz w:val="24"/>
          <w:szCs w:val="24"/>
        </w:rPr>
        <w:t xml:space="preserve"> et al</w:t>
      </w:r>
      <w:r>
        <w:rPr>
          <w:rFonts w:asciiTheme="majorHAnsi" w:hAnsiTheme="majorHAnsi" w:cstheme="majorHAnsi"/>
          <w:sz w:val="24"/>
          <w:szCs w:val="24"/>
        </w:rPr>
        <w:t xml:space="preserve"> (2013)</w:t>
      </w:r>
      <w:r w:rsidRPr="005C7214">
        <w:rPr>
          <w:rFonts w:asciiTheme="majorHAnsi" w:hAnsiTheme="majorHAnsi" w:cstheme="majorHAnsi"/>
          <w:sz w:val="24"/>
          <w:szCs w:val="24"/>
        </w:rPr>
        <w:t xml:space="preserve"> </w:t>
      </w:r>
      <w:r w:rsidR="009B7E23">
        <w:rPr>
          <w:rFonts w:asciiTheme="majorHAnsi" w:hAnsiTheme="majorHAnsi" w:cstheme="majorHAnsi"/>
          <w:sz w:val="24"/>
          <w:szCs w:val="24"/>
        </w:rPr>
        <w:t>‘</w:t>
      </w:r>
      <w:r w:rsidRPr="005C7214">
        <w:rPr>
          <w:rFonts w:asciiTheme="majorHAnsi" w:hAnsiTheme="majorHAnsi" w:cstheme="majorHAnsi"/>
          <w:sz w:val="24"/>
          <w:szCs w:val="24"/>
        </w:rPr>
        <w:t>Supporting Transition to Law School and Student Well-being: The Role of Professional Legal Identity</w:t>
      </w:r>
      <w:r w:rsidR="009B7E23">
        <w:rPr>
          <w:rFonts w:asciiTheme="majorHAnsi" w:hAnsiTheme="majorHAnsi" w:cstheme="majorHAnsi"/>
          <w:sz w:val="24"/>
          <w:szCs w:val="24"/>
        </w:rPr>
        <w:t>’</w:t>
      </w:r>
      <w:r w:rsidRPr="005C7214">
        <w:rPr>
          <w:rFonts w:asciiTheme="majorHAnsi" w:hAnsiTheme="majorHAnsi" w:cstheme="majorHAnsi"/>
          <w:sz w:val="24"/>
          <w:szCs w:val="24"/>
        </w:rPr>
        <w:t xml:space="preserve"> The International Journal of the First Year in Higher Education, 4(2), 15-25</w:t>
      </w:r>
    </w:p>
    <w:p w14:paraId="691B4E24" w14:textId="4FFCBE17" w:rsidR="00B54124" w:rsidRPr="00C41C91" w:rsidRDefault="00B54124" w:rsidP="00B54124">
      <w:pPr>
        <w:spacing w:line="240" w:lineRule="auto"/>
        <w:jc w:val="both"/>
        <w:rPr>
          <w:rFonts w:asciiTheme="majorHAnsi" w:hAnsiTheme="majorHAnsi" w:cstheme="majorHAnsi"/>
          <w:sz w:val="24"/>
          <w:szCs w:val="24"/>
        </w:rPr>
      </w:pPr>
      <w:r w:rsidRPr="00127CA5">
        <w:rPr>
          <w:rFonts w:asciiTheme="majorHAnsi" w:hAnsiTheme="majorHAnsi" w:cstheme="majorHAnsi"/>
          <w:sz w:val="24"/>
          <w:szCs w:val="24"/>
        </w:rPr>
        <w:t xml:space="preserve">Field, RM, Duffy, J and Huggins, A (2014) </w:t>
      </w:r>
      <w:r w:rsidR="009B7E23">
        <w:rPr>
          <w:rFonts w:asciiTheme="majorHAnsi" w:hAnsiTheme="majorHAnsi" w:cstheme="majorHAnsi"/>
          <w:sz w:val="24"/>
          <w:szCs w:val="24"/>
        </w:rPr>
        <w:t>‘</w:t>
      </w:r>
      <w:r w:rsidRPr="00127CA5">
        <w:rPr>
          <w:rFonts w:asciiTheme="majorHAnsi" w:hAnsiTheme="majorHAnsi" w:cstheme="majorHAnsi"/>
          <w:sz w:val="24"/>
          <w:szCs w:val="24"/>
        </w:rPr>
        <w:t>Independent learning skills, self-determination theory and psychological well-being: strategies for supporting the first</w:t>
      </w:r>
      <w:r>
        <w:rPr>
          <w:rFonts w:asciiTheme="majorHAnsi" w:hAnsiTheme="majorHAnsi" w:cstheme="majorHAnsi"/>
          <w:sz w:val="24"/>
          <w:szCs w:val="24"/>
        </w:rPr>
        <w:t>-</w:t>
      </w:r>
      <w:r w:rsidRPr="00127CA5">
        <w:rPr>
          <w:rFonts w:asciiTheme="majorHAnsi" w:hAnsiTheme="majorHAnsi" w:cstheme="majorHAnsi"/>
          <w:sz w:val="24"/>
          <w:szCs w:val="24"/>
        </w:rPr>
        <w:t>year university experience</w:t>
      </w:r>
      <w:r w:rsidR="009B7E23">
        <w:rPr>
          <w:rFonts w:asciiTheme="majorHAnsi" w:hAnsiTheme="majorHAnsi" w:cstheme="majorHAnsi"/>
          <w:sz w:val="24"/>
          <w:szCs w:val="24"/>
        </w:rPr>
        <w:t>’</w:t>
      </w:r>
      <w:r w:rsidRPr="00127CA5">
        <w:rPr>
          <w:rFonts w:asciiTheme="majorHAnsi" w:hAnsiTheme="majorHAnsi" w:cstheme="majorHAnsi"/>
          <w:sz w:val="24"/>
          <w:szCs w:val="24"/>
        </w:rPr>
        <w:t xml:space="preserve"> International First Year in Higher Education conference, 6-9 July 2014, Darwin Convention and Exhibition Centre, Darwin, NT</w:t>
      </w:r>
    </w:p>
    <w:p w14:paraId="57919CC9" w14:textId="2BC9F2E5" w:rsidR="00B54124" w:rsidRDefault="00B54124" w:rsidP="00B54124">
      <w:pPr>
        <w:spacing w:line="240" w:lineRule="auto"/>
        <w:jc w:val="both"/>
      </w:pPr>
      <w:r w:rsidRPr="006E11D1">
        <w:rPr>
          <w:rFonts w:asciiTheme="majorHAnsi" w:hAnsiTheme="majorHAnsi" w:cstheme="majorHAnsi"/>
          <w:sz w:val="24"/>
          <w:szCs w:val="24"/>
        </w:rPr>
        <w:t xml:space="preserve">Field, R and Kift, S (2010) </w:t>
      </w:r>
      <w:r w:rsidR="009B7E23">
        <w:rPr>
          <w:rFonts w:asciiTheme="majorHAnsi" w:hAnsiTheme="majorHAnsi" w:cstheme="majorHAnsi"/>
          <w:sz w:val="24"/>
          <w:szCs w:val="24"/>
        </w:rPr>
        <w:t>‘</w:t>
      </w:r>
      <w:r w:rsidRPr="006E11D1">
        <w:rPr>
          <w:rFonts w:asciiTheme="majorHAnsi" w:hAnsiTheme="majorHAnsi" w:cstheme="majorHAnsi"/>
          <w:sz w:val="24"/>
          <w:szCs w:val="24"/>
        </w:rPr>
        <w:t>Addressing the high levels of psychological distress in law students through intentional assessment and feedback design in the first</w:t>
      </w:r>
      <w:r>
        <w:rPr>
          <w:rFonts w:asciiTheme="majorHAnsi" w:hAnsiTheme="majorHAnsi" w:cstheme="majorHAnsi"/>
          <w:sz w:val="24"/>
          <w:szCs w:val="24"/>
        </w:rPr>
        <w:t>-</w:t>
      </w:r>
      <w:r w:rsidRPr="006E11D1">
        <w:rPr>
          <w:rFonts w:asciiTheme="majorHAnsi" w:hAnsiTheme="majorHAnsi" w:cstheme="majorHAnsi"/>
          <w:sz w:val="24"/>
          <w:szCs w:val="24"/>
        </w:rPr>
        <w:t>year law curriculum</w:t>
      </w:r>
      <w:r w:rsidR="009B7E23">
        <w:rPr>
          <w:rFonts w:asciiTheme="majorHAnsi" w:hAnsiTheme="majorHAnsi" w:cstheme="majorHAnsi"/>
          <w:sz w:val="24"/>
          <w:szCs w:val="24"/>
        </w:rPr>
        <w:t>’</w:t>
      </w:r>
      <w:r w:rsidRPr="006E11D1">
        <w:rPr>
          <w:rFonts w:asciiTheme="majorHAnsi" w:hAnsiTheme="majorHAnsi" w:cstheme="majorHAnsi"/>
          <w:sz w:val="24"/>
          <w:szCs w:val="24"/>
        </w:rPr>
        <w:t xml:space="preserve"> The International Journal of the First Year in Higher Education 1(1), 65-76</w:t>
      </w:r>
      <w:r w:rsidRPr="00FF314B">
        <w:t xml:space="preserve"> </w:t>
      </w:r>
    </w:p>
    <w:p w14:paraId="08389F78" w14:textId="02A2C4CF" w:rsidR="00B54124" w:rsidRDefault="00B54124" w:rsidP="00B54124">
      <w:pPr>
        <w:spacing w:line="240" w:lineRule="auto"/>
        <w:jc w:val="both"/>
        <w:rPr>
          <w:rFonts w:asciiTheme="majorHAnsi" w:hAnsiTheme="majorHAnsi" w:cstheme="majorHAnsi"/>
          <w:sz w:val="24"/>
          <w:szCs w:val="24"/>
        </w:rPr>
      </w:pPr>
      <w:r w:rsidRPr="00FF314B">
        <w:rPr>
          <w:rFonts w:asciiTheme="majorHAnsi" w:hAnsiTheme="majorHAnsi" w:cstheme="majorHAnsi"/>
          <w:sz w:val="24"/>
          <w:szCs w:val="24"/>
        </w:rPr>
        <w:t xml:space="preserve">Gaiman, </w:t>
      </w:r>
      <w:r>
        <w:rPr>
          <w:rFonts w:asciiTheme="majorHAnsi" w:hAnsiTheme="majorHAnsi" w:cstheme="majorHAnsi"/>
          <w:sz w:val="24"/>
          <w:szCs w:val="24"/>
        </w:rPr>
        <w:t xml:space="preserve">N (2011) </w:t>
      </w:r>
      <w:r w:rsidR="009B7E23">
        <w:rPr>
          <w:rFonts w:asciiTheme="majorHAnsi" w:hAnsiTheme="majorHAnsi" w:cstheme="majorHAnsi"/>
          <w:sz w:val="24"/>
          <w:szCs w:val="24"/>
        </w:rPr>
        <w:t>‘</w:t>
      </w:r>
      <w:r w:rsidRPr="00FF314B">
        <w:rPr>
          <w:rFonts w:asciiTheme="majorHAnsi" w:hAnsiTheme="majorHAnsi" w:cstheme="majorHAnsi"/>
          <w:sz w:val="24"/>
          <w:szCs w:val="24"/>
        </w:rPr>
        <w:t>My New Year Wish</w:t>
      </w:r>
      <w:r w:rsidR="009B7E23">
        <w:rPr>
          <w:rFonts w:asciiTheme="majorHAnsi" w:hAnsiTheme="majorHAnsi" w:cstheme="majorHAnsi"/>
          <w:sz w:val="24"/>
          <w:szCs w:val="24"/>
        </w:rPr>
        <w:t>’</w:t>
      </w:r>
      <w:r w:rsidRPr="00FF314B">
        <w:rPr>
          <w:rFonts w:asciiTheme="majorHAnsi" w:hAnsiTheme="majorHAnsi" w:cstheme="majorHAnsi"/>
          <w:sz w:val="24"/>
          <w:szCs w:val="24"/>
        </w:rPr>
        <w:t xml:space="preserve"> (</w:t>
      </w:r>
      <w:r w:rsidRPr="00FF314B">
        <w:rPr>
          <w:rFonts w:asciiTheme="majorHAnsi" w:hAnsiTheme="majorHAnsi" w:cstheme="majorHAnsi"/>
          <w:i/>
          <w:iCs/>
          <w:sz w:val="24"/>
          <w:szCs w:val="24"/>
        </w:rPr>
        <w:t>Journal</w:t>
      </w:r>
      <w:r w:rsidRPr="00FF314B">
        <w:rPr>
          <w:rFonts w:asciiTheme="majorHAnsi" w:hAnsiTheme="majorHAnsi" w:cstheme="majorHAnsi"/>
          <w:sz w:val="24"/>
          <w:szCs w:val="24"/>
        </w:rPr>
        <w:t>, 31 December 2011) &lt;https://journal.neilgaiman.com/2011/12/my-new-year-wish.html&gt; accessed 28 January 2021</w:t>
      </w:r>
    </w:p>
    <w:p w14:paraId="71A8C364" w14:textId="3CF5100B" w:rsidR="003F5C2E" w:rsidRDefault="00B54124" w:rsidP="003F5C2E">
      <w:pPr>
        <w:jc w:val="both"/>
        <w:rPr>
          <w:rFonts w:asciiTheme="majorHAnsi" w:hAnsiTheme="majorHAnsi" w:cstheme="majorHAnsi"/>
          <w:sz w:val="24"/>
          <w:szCs w:val="24"/>
        </w:rPr>
      </w:pPr>
      <w:r w:rsidRPr="00F47C2B">
        <w:rPr>
          <w:rFonts w:asciiTheme="majorHAnsi" w:hAnsiTheme="majorHAnsi" w:cstheme="majorHAnsi"/>
          <w:sz w:val="24"/>
          <w:szCs w:val="24"/>
        </w:rPr>
        <w:t xml:space="preserve">Greenaway, K et al (2015) </w:t>
      </w:r>
      <w:r w:rsidR="009B7E23">
        <w:rPr>
          <w:rFonts w:asciiTheme="majorHAnsi" w:hAnsiTheme="majorHAnsi" w:cstheme="majorHAnsi"/>
          <w:sz w:val="24"/>
          <w:szCs w:val="24"/>
        </w:rPr>
        <w:t>‘</w:t>
      </w:r>
      <w:r w:rsidRPr="00F47C2B">
        <w:rPr>
          <w:rFonts w:asciiTheme="majorHAnsi" w:hAnsiTheme="majorHAnsi" w:cstheme="majorHAnsi"/>
          <w:sz w:val="24"/>
          <w:szCs w:val="24"/>
        </w:rPr>
        <w:t xml:space="preserve">From </w:t>
      </w:r>
      <w:r w:rsidR="009B7E23">
        <w:rPr>
          <w:rFonts w:asciiTheme="majorHAnsi" w:hAnsiTheme="majorHAnsi" w:cstheme="majorHAnsi"/>
          <w:sz w:val="24"/>
          <w:szCs w:val="24"/>
        </w:rPr>
        <w:t>“</w:t>
      </w:r>
      <w:r w:rsidRPr="00F47C2B">
        <w:rPr>
          <w:rFonts w:asciiTheme="majorHAnsi" w:hAnsiTheme="majorHAnsi" w:cstheme="majorHAnsi"/>
          <w:sz w:val="24"/>
          <w:szCs w:val="24"/>
        </w:rPr>
        <w:t>We</w:t>
      </w:r>
      <w:r w:rsidR="009B7E23">
        <w:rPr>
          <w:rFonts w:asciiTheme="majorHAnsi" w:hAnsiTheme="majorHAnsi" w:cstheme="majorHAnsi"/>
          <w:sz w:val="24"/>
          <w:szCs w:val="24"/>
        </w:rPr>
        <w:t>”</w:t>
      </w:r>
      <w:r w:rsidRPr="00F47C2B">
        <w:rPr>
          <w:rFonts w:asciiTheme="majorHAnsi" w:hAnsiTheme="majorHAnsi" w:cstheme="majorHAnsi"/>
          <w:sz w:val="24"/>
          <w:szCs w:val="24"/>
        </w:rPr>
        <w:t xml:space="preserve"> to </w:t>
      </w:r>
      <w:r w:rsidR="009B7E23">
        <w:rPr>
          <w:rFonts w:asciiTheme="majorHAnsi" w:hAnsiTheme="majorHAnsi" w:cstheme="majorHAnsi"/>
          <w:sz w:val="24"/>
          <w:szCs w:val="24"/>
        </w:rPr>
        <w:t>“</w:t>
      </w:r>
      <w:r w:rsidRPr="00F47C2B">
        <w:rPr>
          <w:rFonts w:asciiTheme="majorHAnsi" w:hAnsiTheme="majorHAnsi" w:cstheme="majorHAnsi"/>
          <w:sz w:val="24"/>
          <w:szCs w:val="24"/>
        </w:rPr>
        <w:t>Me</w:t>
      </w:r>
      <w:r w:rsidR="009B7E23">
        <w:rPr>
          <w:rFonts w:asciiTheme="majorHAnsi" w:hAnsiTheme="majorHAnsi" w:cstheme="majorHAnsi"/>
          <w:sz w:val="24"/>
          <w:szCs w:val="24"/>
        </w:rPr>
        <w:t>”</w:t>
      </w:r>
      <w:r w:rsidRPr="00F47C2B">
        <w:rPr>
          <w:rFonts w:asciiTheme="majorHAnsi" w:hAnsiTheme="majorHAnsi" w:cstheme="majorHAnsi"/>
          <w:sz w:val="24"/>
          <w:szCs w:val="24"/>
        </w:rPr>
        <w:t>: Group Identification Enhances Perceived Personal Control With Consequences for Health and Wellbeing</w:t>
      </w:r>
      <w:r>
        <w:rPr>
          <w:rFonts w:asciiTheme="majorHAnsi" w:hAnsiTheme="majorHAnsi" w:cstheme="majorHAnsi"/>
          <w:sz w:val="24"/>
          <w:szCs w:val="24"/>
        </w:rPr>
        <w:t>”</w:t>
      </w:r>
      <w:r w:rsidRPr="00F47C2B">
        <w:rPr>
          <w:rFonts w:asciiTheme="majorHAnsi" w:hAnsiTheme="majorHAnsi" w:cstheme="majorHAnsi"/>
          <w:sz w:val="24"/>
          <w:szCs w:val="24"/>
        </w:rPr>
        <w:t xml:space="preserve"> Journal of Personality and Social Psychology 109(1), 53-74 </w:t>
      </w:r>
    </w:p>
    <w:p w14:paraId="7F4A66E7" w14:textId="50647E3A" w:rsidR="00B54124" w:rsidRPr="003F5C2E" w:rsidRDefault="003F5C2E" w:rsidP="003F5C2E">
      <w:pPr>
        <w:jc w:val="both"/>
        <w:rPr>
          <w:rFonts w:asciiTheme="majorHAnsi" w:hAnsiTheme="majorHAnsi" w:cstheme="majorHAnsi"/>
          <w:sz w:val="24"/>
          <w:szCs w:val="24"/>
        </w:rPr>
      </w:pPr>
      <w:r w:rsidRPr="003F5C2E">
        <w:rPr>
          <w:rFonts w:asciiTheme="majorHAnsi" w:hAnsiTheme="majorHAnsi" w:cstheme="majorHAnsi"/>
          <w:sz w:val="24"/>
          <w:szCs w:val="24"/>
        </w:rPr>
        <w:t>Grubic,</w:t>
      </w:r>
      <w:r>
        <w:rPr>
          <w:rFonts w:asciiTheme="majorHAnsi" w:hAnsiTheme="majorHAnsi" w:cstheme="majorHAnsi"/>
          <w:sz w:val="24"/>
          <w:szCs w:val="24"/>
        </w:rPr>
        <w:t xml:space="preserve"> N,</w:t>
      </w:r>
      <w:r w:rsidRPr="003F5C2E">
        <w:rPr>
          <w:rFonts w:asciiTheme="majorHAnsi" w:hAnsiTheme="majorHAnsi" w:cstheme="majorHAnsi"/>
          <w:sz w:val="24"/>
          <w:szCs w:val="24"/>
        </w:rPr>
        <w:t xml:space="preserve"> Badovinac</w:t>
      </w:r>
      <w:r>
        <w:rPr>
          <w:rFonts w:asciiTheme="majorHAnsi" w:hAnsiTheme="majorHAnsi" w:cstheme="majorHAnsi"/>
          <w:sz w:val="24"/>
          <w:szCs w:val="24"/>
        </w:rPr>
        <w:t>, S</w:t>
      </w:r>
      <w:r w:rsidRPr="003F5C2E">
        <w:rPr>
          <w:rFonts w:asciiTheme="majorHAnsi" w:hAnsiTheme="majorHAnsi" w:cstheme="majorHAnsi"/>
          <w:sz w:val="24"/>
          <w:szCs w:val="24"/>
        </w:rPr>
        <w:t xml:space="preserve"> and Johri,</w:t>
      </w:r>
      <w:r>
        <w:rPr>
          <w:rFonts w:asciiTheme="majorHAnsi" w:hAnsiTheme="majorHAnsi" w:cstheme="majorHAnsi"/>
          <w:sz w:val="24"/>
          <w:szCs w:val="24"/>
        </w:rPr>
        <w:t xml:space="preserve"> AM (2020)</w:t>
      </w:r>
      <w:r w:rsidRPr="003F5C2E">
        <w:rPr>
          <w:rFonts w:asciiTheme="majorHAnsi" w:hAnsiTheme="majorHAnsi" w:cstheme="majorHAnsi"/>
          <w:sz w:val="24"/>
          <w:szCs w:val="24"/>
        </w:rPr>
        <w:t xml:space="preserve"> ‘Student mental health </w:t>
      </w:r>
      <w:proofErr w:type="gramStart"/>
      <w:r w:rsidRPr="003F5C2E">
        <w:rPr>
          <w:rFonts w:asciiTheme="majorHAnsi" w:hAnsiTheme="majorHAnsi" w:cstheme="majorHAnsi"/>
          <w:sz w:val="24"/>
          <w:szCs w:val="24"/>
        </w:rPr>
        <w:t>in the midst of</w:t>
      </w:r>
      <w:proofErr w:type="gramEnd"/>
      <w:r w:rsidRPr="003F5C2E">
        <w:rPr>
          <w:rFonts w:asciiTheme="majorHAnsi" w:hAnsiTheme="majorHAnsi" w:cstheme="majorHAnsi"/>
          <w:sz w:val="24"/>
          <w:szCs w:val="24"/>
        </w:rPr>
        <w:t xml:space="preserve"> the COVID-19 pandemic: A call for further research and immediate solutions’ International Journal of Social Psychiatry</w:t>
      </w:r>
      <w:r>
        <w:rPr>
          <w:rFonts w:asciiTheme="majorHAnsi" w:hAnsiTheme="majorHAnsi" w:cstheme="majorHAnsi"/>
          <w:sz w:val="24"/>
          <w:szCs w:val="24"/>
        </w:rPr>
        <w:t xml:space="preserve">, </w:t>
      </w:r>
      <w:r w:rsidRPr="003F5C2E">
        <w:rPr>
          <w:rFonts w:asciiTheme="majorHAnsi" w:hAnsiTheme="majorHAnsi" w:cstheme="majorHAnsi"/>
          <w:sz w:val="24"/>
          <w:szCs w:val="24"/>
        </w:rPr>
        <w:t>66(5), 517–518</w:t>
      </w:r>
    </w:p>
    <w:p w14:paraId="645AA17B" w14:textId="77B27DD9" w:rsidR="00B54124" w:rsidRDefault="00B54124" w:rsidP="00B54124">
      <w:pPr>
        <w:spacing w:line="240" w:lineRule="auto"/>
        <w:jc w:val="both"/>
        <w:rPr>
          <w:rFonts w:asciiTheme="majorHAnsi" w:hAnsiTheme="majorHAnsi" w:cstheme="majorHAnsi"/>
          <w:sz w:val="24"/>
          <w:szCs w:val="24"/>
        </w:rPr>
      </w:pPr>
      <w:r w:rsidRPr="00C41C91">
        <w:rPr>
          <w:rFonts w:asciiTheme="majorHAnsi" w:hAnsiTheme="majorHAnsi" w:cstheme="majorHAnsi"/>
          <w:sz w:val="24"/>
          <w:szCs w:val="24"/>
        </w:rPr>
        <w:t>Heath, M, Galloway, K, Sk</w:t>
      </w:r>
      <w:r>
        <w:rPr>
          <w:rFonts w:asciiTheme="majorHAnsi" w:hAnsiTheme="majorHAnsi" w:cstheme="majorHAnsi"/>
          <w:sz w:val="24"/>
          <w:szCs w:val="24"/>
        </w:rPr>
        <w:t>r</w:t>
      </w:r>
      <w:r w:rsidRPr="00C41C91">
        <w:rPr>
          <w:rFonts w:asciiTheme="majorHAnsi" w:hAnsiTheme="majorHAnsi" w:cstheme="majorHAnsi"/>
          <w:sz w:val="24"/>
          <w:szCs w:val="24"/>
        </w:rPr>
        <w:t xml:space="preserve">ead, N, Steel, A and Israel, M (2017) </w:t>
      </w:r>
      <w:r w:rsidR="009B7E23">
        <w:rPr>
          <w:rFonts w:asciiTheme="majorHAnsi" w:hAnsiTheme="majorHAnsi" w:cstheme="majorHAnsi"/>
          <w:sz w:val="24"/>
          <w:szCs w:val="24"/>
        </w:rPr>
        <w:t>‘</w:t>
      </w:r>
      <w:r w:rsidRPr="00C41C91">
        <w:rPr>
          <w:rFonts w:asciiTheme="majorHAnsi" w:hAnsiTheme="majorHAnsi" w:cstheme="majorHAnsi"/>
          <w:sz w:val="24"/>
          <w:szCs w:val="24"/>
        </w:rPr>
        <w:t>Learning to Feel Like a Lawyer: Law Teachers, Sessional Teaching and Emotional Labour in Legal Education</w:t>
      </w:r>
      <w:r w:rsidR="009B7E23">
        <w:rPr>
          <w:rFonts w:asciiTheme="majorHAnsi" w:hAnsiTheme="majorHAnsi" w:cstheme="majorHAnsi"/>
          <w:sz w:val="24"/>
          <w:szCs w:val="24"/>
        </w:rPr>
        <w:t>’</w:t>
      </w:r>
      <w:r w:rsidRPr="00C41C91">
        <w:rPr>
          <w:rFonts w:asciiTheme="majorHAnsi" w:hAnsiTheme="majorHAnsi" w:cstheme="majorHAnsi"/>
          <w:sz w:val="24"/>
          <w:szCs w:val="24"/>
        </w:rPr>
        <w:t xml:space="preserve"> Griffith Law Review, 26(3), 430-457</w:t>
      </w:r>
    </w:p>
    <w:p w14:paraId="6D2DB79C" w14:textId="08048372" w:rsidR="00B54124" w:rsidRDefault="00B54124" w:rsidP="00B54124">
      <w:pPr>
        <w:spacing w:line="240" w:lineRule="auto"/>
        <w:jc w:val="both"/>
        <w:rPr>
          <w:rFonts w:asciiTheme="majorHAnsi" w:hAnsiTheme="majorHAnsi" w:cstheme="majorHAnsi"/>
          <w:sz w:val="24"/>
          <w:szCs w:val="24"/>
        </w:rPr>
      </w:pPr>
      <w:r w:rsidRPr="002544A1">
        <w:rPr>
          <w:rFonts w:asciiTheme="majorHAnsi" w:hAnsiTheme="majorHAnsi" w:cstheme="majorHAnsi"/>
          <w:sz w:val="24"/>
          <w:szCs w:val="24"/>
        </w:rPr>
        <w:t>Horton, J and Tucker</w:t>
      </w:r>
      <w:r>
        <w:rPr>
          <w:rFonts w:asciiTheme="majorHAnsi" w:hAnsiTheme="majorHAnsi" w:cstheme="majorHAnsi"/>
          <w:sz w:val="24"/>
          <w:szCs w:val="24"/>
        </w:rPr>
        <w:t>, F</w:t>
      </w:r>
      <w:r w:rsidRPr="002544A1">
        <w:rPr>
          <w:rFonts w:asciiTheme="majorHAnsi" w:hAnsiTheme="majorHAnsi" w:cstheme="majorHAnsi"/>
          <w:sz w:val="24"/>
          <w:szCs w:val="24"/>
        </w:rPr>
        <w:t xml:space="preserve"> </w:t>
      </w:r>
      <w:r>
        <w:rPr>
          <w:rFonts w:asciiTheme="majorHAnsi" w:hAnsiTheme="majorHAnsi" w:cstheme="majorHAnsi"/>
          <w:sz w:val="24"/>
          <w:szCs w:val="24"/>
        </w:rPr>
        <w:t>(</w:t>
      </w:r>
      <w:r w:rsidRPr="002544A1">
        <w:rPr>
          <w:rFonts w:asciiTheme="majorHAnsi" w:hAnsiTheme="majorHAnsi" w:cstheme="majorHAnsi"/>
          <w:sz w:val="24"/>
          <w:szCs w:val="24"/>
        </w:rPr>
        <w:t>2014</w:t>
      </w:r>
      <w:r>
        <w:rPr>
          <w:rFonts w:asciiTheme="majorHAnsi" w:hAnsiTheme="majorHAnsi" w:cstheme="majorHAnsi"/>
          <w:sz w:val="24"/>
          <w:szCs w:val="24"/>
        </w:rPr>
        <w:t>)</w:t>
      </w:r>
      <w:r w:rsidRPr="002544A1">
        <w:rPr>
          <w:rFonts w:asciiTheme="majorHAnsi" w:hAnsiTheme="majorHAnsi" w:cstheme="majorHAnsi"/>
          <w:sz w:val="24"/>
          <w:szCs w:val="24"/>
        </w:rPr>
        <w:t xml:space="preserve"> </w:t>
      </w:r>
      <w:r w:rsidR="00C426AF">
        <w:rPr>
          <w:rFonts w:asciiTheme="majorHAnsi" w:hAnsiTheme="majorHAnsi" w:cstheme="majorHAnsi"/>
          <w:sz w:val="24"/>
          <w:szCs w:val="24"/>
        </w:rPr>
        <w:t>‘</w:t>
      </w:r>
      <w:r w:rsidRPr="002544A1">
        <w:rPr>
          <w:rFonts w:asciiTheme="majorHAnsi" w:hAnsiTheme="majorHAnsi" w:cstheme="majorHAnsi"/>
          <w:sz w:val="24"/>
          <w:szCs w:val="24"/>
        </w:rPr>
        <w:t>Disabilities in academic workplaces: experiences of human and physical geographers</w:t>
      </w:r>
      <w:r w:rsidR="00C426AF">
        <w:rPr>
          <w:rFonts w:asciiTheme="majorHAnsi" w:hAnsiTheme="majorHAnsi" w:cstheme="majorHAnsi"/>
          <w:sz w:val="24"/>
          <w:szCs w:val="24"/>
        </w:rPr>
        <w:t>’</w:t>
      </w:r>
      <w:r w:rsidRPr="002544A1">
        <w:rPr>
          <w:rFonts w:asciiTheme="majorHAnsi" w:hAnsiTheme="majorHAnsi" w:cstheme="majorHAnsi"/>
          <w:sz w:val="24"/>
          <w:szCs w:val="24"/>
        </w:rPr>
        <w:t xml:space="preserve"> Transactions of the Institute of British Geographers 39 (1), 76-89</w:t>
      </w:r>
    </w:p>
    <w:p w14:paraId="0DE9BD4F" w14:textId="77777777" w:rsidR="00B54124" w:rsidRDefault="00B54124" w:rsidP="00B54124">
      <w:pPr>
        <w:spacing w:line="240" w:lineRule="auto"/>
        <w:jc w:val="both"/>
        <w:rPr>
          <w:rFonts w:asciiTheme="majorHAnsi" w:hAnsiTheme="majorHAnsi" w:cstheme="majorHAnsi"/>
          <w:sz w:val="24"/>
          <w:szCs w:val="24"/>
        </w:rPr>
      </w:pPr>
      <w:r w:rsidRPr="00C14DA0">
        <w:rPr>
          <w:rFonts w:asciiTheme="majorHAnsi" w:hAnsiTheme="majorHAnsi" w:cstheme="majorHAnsi"/>
          <w:sz w:val="24"/>
          <w:szCs w:val="24"/>
        </w:rPr>
        <w:t xml:space="preserve">Hochschild, AR (1983) </w:t>
      </w:r>
      <w:r w:rsidRPr="00C14DA0">
        <w:rPr>
          <w:rFonts w:asciiTheme="majorHAnsi" w:hAnsiTheme="majorHAnsi" w:cstheme="majorHAnsi"/>
          <w:i/>
          <w:sz w:val="24"/>
          <w:szCs w:val="24"/>
        </w:rPr>
        <w:t xml:space="preserve">The Managed Heart: Commercialization of Human Feeling. </w:t>
      </w:r>
      <w:r w:rsidRPr="00C14DA0">
        <w:rPr>
          <w:rFonts w:asciiTheme="majorHAnsi" w:hAnsiTheme="majorHAnsi" w:cstheme="majorHAnsi"/>
          <w:sz w:val="24"/>
          <w:szCs w:val="24"/>
        </w:rPr>
        <w:t>London</w:t>
      </w:r>
      <w:r>
        <w:rPr>
          <w:rFonts w:asciiTheme="majorHAnsi" w:hAnsiTheme="majorHAnsi" w:cstheme="majorHAnsi"/>
          <w:sz w:val="24"/>
          <w:szCs w:val="24"/>
        </w:rPr>
        <w:t>,</w:t>
      </w:r>
      <w:r w:rsidRPr="00C14DA0">
        <w:rPr>
          <w:rFonts w:asciiTheme="majorHAnsi" w:hAnsiTheme="majorHAnsi" w:cstheme="majorHAnsi"/>
          <w:sz w:val="24"/>
          <w:szCs w:val="24"/>
        </w:rPr>
        <w:t xml:space="preserve"> University of California Press</w:t>
      </w:r>
    </w:p>
    <w:p w14:paraId="5B1026E3" w14:textId="77777777" w:rsidR="00B54124" w:rsidRPr="00C41C91" w:rsidRDefault="00B54124" w:rsidP="00B54124">
      <w:pPr>
        <w:spacing w:line="240" w:lineRule="auto"/>
        <w:jc w:val="both"/>
        <w:rPr>
          <w:rFonts w:asciiTheme="majorHAnsi" w:hAnsiTheme="majorHAnsi" w:cstheme="majorHAnsi"/>
          <w:sz w:val="24"/>
          <w:szCs w:val="24"/>
        </w:rPr>
      </w:pPr>
      <w:r w:rsidRPr="00E54AFC">
        <w:rPr>
          <w:rFonts w:asciiTheme="majorHAnsi" w:hAnsiTheme="majorHAnsi" w:cstheme="majorHAnsi"/>
          <w:sz w:val="24"/>
          <w:szCs w:val="24"/>
        </w:rPr>
        <w:t>Jetten</w:t>
      </w:r>
      <w:r>
        <w:rPr>
          <w:rFonts w:asciiTheme="majorHAnsi" w:hAnsiTheme="majorHAnsi" w:cstheme="majorHAnsi"/>
          <w:sz w:val="24"/>
          <w:szCs w:val="24"/>
        </w:rPr>
        <w:t>, J</w:t>
      </w:r>
      <w:r w:rsidRPr="00E54AFC">
        <w:rPr>
          <w:rFonts w:asciiTheme="majorHAnsi" w:hAnsiTheme="majorHAnsi" w:cstheme="majorHAnsi"/>
          <w:sz w:val="24"/>
          <w:szCs w:val="24"/>
        </w:rPr>
        <w:t xml:space="preserve"> et al </w:t>
      </w:r>
      <w:r>
        <w:rPr>
          <w:rFonts w:asciiTheme="majorHAnsi" w:hAnsiTheme="majorHAnsi" w:cstheme="majorHAnsi"/>
          <w:sz w:val="24"/>
          <w:szCs w:val="24"/>
        </w:rPr>
        <w:t xml:space="preserve">(2012) </w:t>
      </w:r>
      <w:r w:rsidRPr="00E54AFC">
        <w:rPr>
          <w:rFonts w:asciiTheme="majorHAnsi" w:hAnsiTheme="majorHAnsi" w:cstheme="majorHAnsi"/>
          <w:i/>
          <w:sz w:val="24"/>
          <w:szCs w:val="24"/>
        </w:rPr>
        <w:t xml:space="preserve">The social cure: Identity, health, and well-being. </w:t>
      </w:r>
      <w:r w:rsidRPr="00E54AFC">
        <w:rPr>
          <w:rFonts w:asciiTheme="majorHAnsi" w:hAnsiTheme="majorHAnsi" w:cstheme="majorHAnsi"/>
          <w:sz w:val="24"/>
          <w:szCs w:val="24"/>
        </w:rPr>
        <w:t>New York, Psychology Press</w:t>
      </w:r>
    </w:p>
    <w:p w14:paraId="15B0AC3B" w14:textId="4AFD1ACD" w:rsidR="00B54124" w:rsidRPr="00D75063" w:rsidRDefault="00B54124" w:rsidP="00B54124">
      <w:pPr>
        <w:spacing w:line="240" w:lineRule="auto"/>
        <w:jc w:val="both"/>
        <w:rPr>
          <w:rFonts w:asciiTheme="majorHAnsi" w:hAnsiTheme="majorHAnsi" w:cstheme="majorHAnsi"/>
          <w:sz w:val="24"/>
          <w:szCs w:val="24"/>
        </w:rPr>
      </w:pPr>
      <w:r w:rsidRPr="00D75063">
        <w:rPr>
          <w:rFonts w:asciiTheme="majorHAnsi" w:hAnsiTheme="majorHAnsi" w:cstheme="majorHAnsi"/>
          <w:sz w:val="24"/>
          <w:szCs w:val="24"/>
        </w:rPr>
        <w:t xml:space="preserve">Jones, E (2018) </w:t>
      </w:r>
      <w:r w:rsidR="00C426AF">
        <w:rPr>
          <w:rFonts w:asciiTheme="majorHAnsi" w:hAnsiTheme="majorHAnsi" w:cstheme="majorHAnsi"/>
          <w:sz w:val="24"/>
          <w:szCs w:val="24"/>
        </w:rPr>
        <w:t>‘</w:t>
      </w:r>
      <w:r w:rsidRPr="00D75063">
        <w:rPr>
          <w:rFonts w:asciiTheme="majorHAnsi" w:hAnsiTheme="majorHAnsi" w:cstheme="majorHAnsi"/>
          <w:sz w:val="24"/>
          <w:szCs w:val="24"/>
        </w:rPr>
        <w:t>Transforming legal education through emotions</w:t>
      </w:r>
      <w:r w:rsidR="00C426AF">
        <w:rPr>
          <w:rFonts w:asciiTheme="majorHAnsi" w:hAnsiTheme="majorHAnsi" w:cstheme="majorHAnsi"/>
          <w:sz w:val="24"/>
          <w:szCs w:val="24"/>
        </w:rPr>
        <w:t>’</w:t>
      </w:r>
      <w:r w:rsidRPr="00D75063">
        <w:rPr>
          <w:rFonts w:asciiTheme="majorHAnsi" w:hAnsiTheme="majorHAnsi" w:cstheme="majorHAnsi"/>
          <w:sz w:val="24"/>
          <w:szCs w:val="24"/>
        </w:rPr>
        <w:t xml:space="preserve"> Legal Studies 38, 450-479</w:t>
      </w:r>
    </w:p>
    <w:p w14:paraId="35CC1E23" w14:textId="77777777" w:rsidR="00B54124" w:rsidRPr="00C41C91" w:rsidRDefault="00B54124" w:rsidP="00B54124">
      <w:pPr>
        <w:spacing w:line="240" w:lineRule="auto"/>
        <w:jc w:val="both"/>
        <w:rPr>
          <w:rFonts w:asciiTheme="majorHAnsi" w:hAnsiTheme="majorHAnsi" w:cstheme="majorHAnsi"/>
          <w:sz w:val="24"/>
          <w:szCs w:val="24"/>
        </w:rPr>
      </w:pPr>
      <w:r w:rsidRPr="00C41C91">
        <w:rPr>
          <w:rFonts w:asciiTheme="majorHAnsi" w:hAnsiTheme="majorHAnsi" w:cstheme="majorHAnsi"/>
          <w:sz w:val="24"/>
          <w:szCs w:val="24"/>
        </w:rPr>
        <w:t xml:space="preserve">Jones, E (2020) </w:t>
      </w:r>
      <w:r w:rsidRPr="00C41C91">
        <w:rPr>
          <w:rFonts w:asciiTheme="majorHAnsi" w:hAnsiTheme="majorHAnsi" w:cstheme="majorHAnsi"/>
          <w:i/>
          <w:iCs/>
          <w:sz w:val="24"/>
          <w:szCs w:val="24"/>
        </w:rPr>
        <w:t xml:space="preserve">Emotions in the Law School: Transforming Legal Education through the Passions. </w:t>
      </w:r>
      <w:r w:rsidRPr="00C41C91">
        <w:rPr>
          <w:rFonts w:asciiTheme="majorHAnsi" w:hAnsiTheme="majorHAnsi" w:cstheme="majorHAnsi"/>
          <w:sz w:val="24"/>
          <w:szCs w:val="24"/>
        </w:rPr>
        <w:t>Abingdon, Routledge</w:t>
      </w:r>
      <w:r w:rsidRPr="00C41C91">
        <w:rPr>
          <w:rFonts w:asciiTheme="majorHAnsi" w:hAnsiTheme="majorHAnsi" w:cstheme="majorHAnsi"/>
        </w:rPr>
        <w:t xml:space="preserve"> </w:t>
      </w:r>
    </w:p>
    <w:p w14:paraId="72AD0239" w14:textId="77777777" w:rsidR="00B54124" w:rsidRPr="00DE6692" w:rsidRDefault="00B54124" w:rsidP="00B54124">
      <w:pPr>
        <w:spacing w:line="240" w:lineRule="auto"/>
        <w:jc w:val="both"/>
        <w:rPr>
          <w:rFonts w:asciiTheme="majorHAnsi" w:hAnsiTheme="majorHAnsi" w:cstheme="majorHAnsi"/>
          <w:sz w:val="24"/>
          <w:szCs w:val="24"/>
        </w:rPr>
      </w:pPr>
      <w:r w:rsidRPr="00DE6692">
        <w:rPr>
          <w:rFonts w:asciiTheme="majorHAnsi" w:hAnsiTheme="majorHAnsi" w:cstheme="majorHAnsi"/>
          <w:sz w:val="24"/>
          <w:szCs w:val="24"/>
        </w:rPr>
        <w:lastRenderedPageBreak/>
        <w:t xml:space="preserve">Kelk, N, Luscombe, G, Medlow, S and Hickie, I (2009) </w:t>
      </w:r>
      <w:r w:rsidRPr="00DE6692">
        <w:rPr>
          <w:rFonts w:asciiTheme="majorHAnsi" w:hAnsiTheme="majorHAnsi" w:cstheme="majorHAnsi"/>
          <w:i/>
          <w:sz w:val="24"/>
          <w:szCs w:val="24"/>
        </w:rPr>
        <w:t xml:space="preserve">Courting the Blues: Attitudes towards depression in Australian law students and legal practitioners. </w:t>
      </w:r>
      <w:r w:rsidRPr="00DE6692">
        <w:rPr>
          <w:rFonts w:asciiTheme="majorHAnsi" w:hAnsiTheme="majorHAnsi" w:cstheme="majorHAnsi"/>
          <w:sz w:val="24"/>
          <w:szCs w:val="24"/>
        </w:rPr>
        <w:t>Brain and Mind Research Institute</w:t>
      </w:r>
      <w:r w:rsidRPr="00C41C91">
        <w:rPr>
          <w:rFonts w:asciiTheme="majorHAnsi" w:hAnsiTheme="majorHAnsi" w:cstheme="majorHAnsi"/>
          <w:sz w:val="24"/>
          <w:szCs w:val="24"/>
        </w:rPr>
        <w:t>,</w:t>
      </w:r>
      <w:r w:rsidRPr="00DE6692">
        <w:rPr>
          <w:rFonts w:asciiTheme="majorHAnsi" w:hAnsiTheme="majorHAnsi" w:cstheme="majorHAnsi"/>
          <w:sz w:val="24"/>
          <w:szCs w:val="24"/>
        </w:rPr>
        <w:t xml:space="preserve"> University of Sydney</w:t>
      </w:r>
    </w:p>
    <w:p w14:paraId="723B38EB" w14:textId="1FD3B458" w:rsidR="00B54124" w:rsidRDefault="00B54124" w:rsidP="00B54124">
      <w:pPr>
        <w:spacing w:line="240" w:lineRule="auto"/>
        <w:jc w:val="both"/>
        <w:rPr>
          <w:rFonts w:asciiTheme="majorHAnsi" w:hAnsiTheme="majorHAnsi" w:cstheme="majorHAnsi"/>
          <w:bCs/>
          <w:sz w:val="24"/>
          <w:szCs w:val="24"/>
        </w:rPr>
      </w:pPr>
      <w:r w:rsidRPr="00C41C91">
        <w:rPr>
          <w:rFonts w:asciiTheme="majorHAnsi" w:hAnsiTheme="majorHAnsi" w:cstheme="majorHAnsi"/>
          <w:bCs/>
          <w:sz w:val="24"/>
          <w:szCs w:val="24"/>
        </w:rPr>
        <w:t xml:space="preserve">SM Kift, KJ Nelson and JA Clarke, </w:t>
      </w:r>
      <w:r w:rsidR="00C426AF">
        <w:rPr>
          <w:rFonts w:asciiTheme="majorHAnsi" w:hAnsiTheme="majorHAnsi" w:cstheme="majorHAnsi"/>
          <w:bCs/>
          <w:sz w:val="24"/>
          <w:szCs w:val="24"/>
        </w:rPr>
        <w:t>‘</w:t>
      </w:r>
      <w:r w:rsidRPr="00C41C91">
        <w:rPr>
          <w:rFonts w:asciiTheme="majorHAnsi" w:hAnsiTheme="majorHAnsi" w:cstheme="majorHAnsi"/>
          <w:bCs/>
          <w:sz w:val="24"/>
          <w:szCs w:val="24"/>
        </w:rPr>
        <w:t>Transition pedagogy: a third</w:t>
      </w:r>
      <w:r>
        <w:rPr>
          <w:rFonts w:asciiTheme="majorHAnsi" w:hAnsiTheme="majorHAnsi" w:cstheme="majorHAnsi"/>
          <w:bCs/>
          <w:sz w:val="24"/>
          <w:szCs w:val="24"/>
        </w:rPr>
        <w:t>-</w:t>
      </w:r>
      <w:r w:rsidRPr="00C41C91">
        <w:rPr>
          <w:rFonts w:asciiTheme="majorHAnsi" w:hAnsiTheme="majorHAnsi" w:cstheme="majorHAnsi"/>
          <w:bCs/>
          <w:sz w:val="24"/>
          <w:szCs w:val="24"/>
        </w:rPr>
        <w:t>generation approach to FYE: a case study of policy and practice for the higher education sector</w:t>
      </w:r>
      <w:r w:rsidR="00C426AF">
        <w:rPr>
          <w:rFonts w:asciiTheme="majorHAnsi" w:hAnsiTheme="majorHAnsi" w:cstheme="majorHAnsi"/>
          <w:bCs/>
          <w:sz w:val="24"/>
          <w:szCs w:val="24"/>
        </w:rPr>
        <w:t>’</w:t>
      </w:r>
      <w:r w:rsidRPr="00C41C91">
        <w:rPr>
          <w:rFonts w:asciiTheme="majorHAnsi" w:hAnsiTheme="majorHAnsi" w:cstheme="majorHAnsi"/>
          <w:bCs/>
          <w:sz w:val="24"/>
          <w:szCs w:val="24"/>
        </w:rPr>
        <w:t xml:space="preserve"> (2010) The International Journal of the First Year in Higher Education 1(1)</w:t>
      </w:r>
    </w:p>
    <w:p w14:paraId="65038515" w14:textId="77777777" w:rsidR="00B54124" w:rsidRDefault="00B54124" w:rsidP="00B54124">
      <w:pPr>
        <w:spacing w:line="240" w:lineRule="auto"/>
        <w:jc w:val="both"/>
        <w:rPr>
          <w:rFonts w:asciiTheme="majorHAnsi" w:hAnsiTheme="majorHAnsi" w:cstheme="majorHAnsi"/>
          <w:bCs/>
          <w:sz w:val="24"/>
          <w:szCs w:val="24"/>
        </w:rPr>
      </w:pPr>
      <w:r w:rsidRPr="00911E03">
        <w:rPr>
          <w:rFonts w:asciiTheme="majorHAnsi" w:hAnsiTheme="majorHAnsi" w:cstheme="majorHAnsi"/>
          <w:bCs/>
          <w:sz w:val="24"/>
          <w:szCs w:val="24"/>
        </w:rPr>
        <w:t xml:space="preserve">Knowles, </w:t>
      </w:r>
      <w:r>
        <w:rPr>
          <w:rFonts w:asciiTheme="majorHAnsi" w:hAnsiTheme="majorHAnsi" w:cstheme="majorHAnsi"/>
          <w:bCs/>
          <w:sz w:val="24"/>
          <w:szCs w:val="24"/>
        </w:rPr>
        <w:t>M (</w:t>
      </w:r>
      <w:r w:rsidRPr="00911E03">
        <w:rPr>
          <w:rFonts w:asciiTheme="majorHAnsi" w:hAnsiTheme="majorHAnsi" w:cstheme="majorHAnsi"/>
          <w:bCs/>
          <w:sz w:val="24"/>
          <w:szCs w:val="24"/>
        </w:rPr>
        <w:t>1984</w:t>
      </w:r>
      <w:r>
        <w:rPr>
          <w:rFonts w:asciiTheme="majorHAnsi" w:hAnsiTheme="majorHAnsi" w:cstheme="majorHAnsi"/>
          <w:bCs/>
          <w:sz w:val="24"/>
          <w:szCs w:val="24"/>
        </w:rPr>
        <w:t xml:space="preserve">) </w:t>
      </w:r>
      <w:r w:rsidRPr="00C27E18">
        <w:rPr>
          <w:rFonts w:asciiTheme="majorHAnsi" w:hAnsiTheme="majorHAnsi" w:cstheme="majorHAnsi"/>
          <w:bCs/>
          <w:i/>
          <w:iCs/>
          <w:sz w:val="24"/>
          <w:szCs w:val="24"/>
        </w:rPr>
        <w:t>Andragogy in Action: Applying Modern Principles of Adult Learning</w:t>
      </w:r>
      <w:r>
        <w:rPr>
          <w:rFonts w:asciiTheme="majorHAnsi" w:hAnsiTheme="majorHAnsi" w:cstheme="majorHAnsi"/>
          <w:bCs/>
          <w:i/>
          <w:iCs/>
          <w:sz w:val="24"/>
          <w:szCs w:val="24"/>
        </w:rPr>
        <w:t>.</w:t>
      </w:r>
      <w:r w:rsidRPr="00C27E18">
        <w:rPr>
          <w:rFonts w:asciiTheme="majorHAnsi" w:hAnsiTheme="majorHAnsi" w:cstheme="majorHAnsi"/>
          <w:bCs/>
          <w:sz w:val="24"/>
          <w:szCs w:val="24"/>
        </w:rPr>
        <w:t xml:space="preserve"> San Francisco, Jossey-Bass</w:t>
      </w:r>
    </w:p>
    <w:p w14:paraId="53155E41" w14:textId="514F6426" w:rsidR="00B54124" w:rsidRPr="00C41C91" w:rsidRDefault="00B54124" w:rsidP="00B54124">
      <w:pPr>
        <w:spacing w:line="240" w:lineRule="auto"/>
        <w:jc w:val="both"/>
        <w:rPr>
          <w:rFonts w:asciiTheme="majorHAnsi" w:hAnsiTheme="majorHAnsi" w:cstheme="majorHAnsi"/>
          <w:bCs/>
          <w:sz w:val="24"/>
          <w:szCs w:val="24"/>
        </w:rPr>
      </w:pPr>
      <w:r w:rsidRPr="009077FC">
        <w:rPr>
          <w:rFonts w:asciiTheme="majorHAnsi" w:hAnsiTheme="majorHAnsi" w:cstheme="majorHAnsi"/>
          <w:bCs/>
          <w:sz w:val="24"/>
          <w:szCs w:val="24"/>
        </w:rPr>
        <w:t>Krieger,</w:t>
      </w:r>
      <w:r>
        <w:rPr>
          <w:rFonts w:asciiTheme="majorHAnsi" w:hAnsiTheme="majorHAnsi" w:cstheme="majorHAnsi"/>
          <w:bCs/>
          <w:sz w:val="24"/>
          <w:szCs w:val="24"/>
        </w:rPr>
        <w:t xml:space="preserve"> LS (2002)</w:t>
      </w:r>
      <w:r w:rsidRPr="009077FC">
        <w:rPr>
          <w:rFonts w:asciiTheme="majorHAnsi" w:hAnsiTheme="majorHAnsi" w:cstheme="majorHAnsi"/>
          <w:bCs/>
          <w:sz w:val="24"/>
          <w:szCs w:val="24"/>
        </w:rPr>
        <w:t xml:space="preserve"> </w:t>
      </w:r>
      <w:r w:rsidR="00C426AF">
        <w:rPr>
          <w:rFonts w:asciiTheme="majorHAnsi" w:hAnsiTheme="majorHAnsi" w:cstheme="majorHAnsi"/>
          <w:bCs/>
          <w:sz w:val="24"/>
          <w:szCs w:val="24"/>
        </w:rPr>
        <w:t>‘</w:t>
      </w:r>
      <w:r w:rsidRPr="009077FC">
        <w:rPr>
          <w:rFonts w:asciiTheme="majorHAnsi" w:hAnsiTheme="majorHAnsi" w:cstheme="majorHAnsi"/>
          <w:bCs/>
          <w:sz w:val="24"/>
          <w:szCs w:val="24"/>
        </w:rPr>
        <w:t>Institutional Denial About the Dark Side of Law School and Fresh Empirical Guidance for Constructively Breaking the Silence</w:t>
      </w:r>
      <w:r w:rsidR="00C426AF">
        <w:rPr>
          <w:rFonts w:asciiTheme="majorHAnsi" w:hAnsiTheme="majorHAnsi" w:cstheme="majorHAnsi"/>
          <w:bCs/>
          <w:sz w:val="24"/>
          <w:szCs w:val="24"/>
        </w:rPr>
        <w:t>’</w:t>
      </w:r>
      <w:r w:rsidRPr="009077FC">
        <w:rPr>
          <w:rFonts w:asciiTheme="majorHAnsi" w:hAnsiTheme="majorHAnsi" w:cstheme="majorHAnsi"/>
          <w:bCs/>
          <w:sz w:val="24"/>
          <w:szCs w:val="24"/>
        </w:rPr>
        <w:t xml:space="preserve"> (2002) Journal of Legal Education, 52(1-2), 112-129</w:t>
      </w:r>
    </w:p>
    <w:p w14:paraId="75CDC577" w14:textId="14FC926A" w:rsidR="00B54124" w:rsidRDefault="00B54124" w:rsidP="00B54124">
      <w:pPr>
        <w:spacing w:line="240" w:lineRule="auto"/>
        <w:jc w:val="both"/>
        <w:rPr>
          <w:rFonts w:asciiTheme="majorHAnsi" w:hAnsiTheme="majorHAnsi" w:cstheme="majorHAnsi"/>
          <w:bCs/>
          <w:sz w:val="24"/>
          <w:szCs w:val="24"/>
        </w:rPr>
      </w:pPr>
      <w:r w:rsidRPr="00C41C91">
        <w:rPr>
          <w:rFonts w:asciiTheme="majorHAnsi" w:hAnsiTheme="majorHAnsi" w:cstheme="majorHAnsi"/>
          <w:bCs/>
          <w:sz w:val="24"/>
          <w:szCs w:val="24"/>
        </w:rPr>
        <w:t xml:space="preserve">Krieger, LS (2002) </w:t>
      </w:r>
      <w:r w:rsidR="00C426AF">
        <w:rPr>
          <w:rFonts w:asciiTheme="majorHAnsi" w:hAnsiTheme="majorHAnsi" w:cstheme="majorHAnsi"/>
          <w:bCs/>
          <w:sz w:val="24"/>
          <w:szCs w:val="24"/>
        </w:rPr>
        <w:t>‘</w:t>
      </w:r>
      <w:r w:rsidRPr="00C41C91">
        <w:rPr>
          <w:rFonts w:asciiTheme="majorHAnsi" w:hAnsiTheme="majorHAnsi" w:cstheme="majorHAnsi"/>
          <w:bCs/>
          <w:sz w:val="24"/>
          <w:szCs w:val="24"/>
        </w:rPr>
        <w:t>Psychological Insights: Why Our Students and Graduates Suffer and What We Might Do About It</w:t>
      </w:r>
      <w:r w:rsidR="00C426AF">
        <w:rPr>
          <w:rFonts w:asciiTheme="majorHAnsi" w:hAnsiTheme="majorHAnsi" w:cstheme="majorHAnsi"/>
          <w:bCs/>
          <w:sz w:val="24"/>
          <w:szCs w:val="24"/>
        </w:rPr>
        <w:t>’</w:t>
      </w:r>
      <w:r w:rsidRPr="00C41C91">
        <w:rPr>
          <w:rFonts w:asciiTheme="majorHAnsi" w:hAnsiTheme="majorHAnsi" w:cstheme="majorHAnsi"/>
          <w:bCs/>
          <w:sz w:val="24"/>
          <w:szCs w:val="24"/>
        </w:rPr>
        <w:t xml:space="preserve"> Journal of the Association of Legal Writing Directors, 1(1), 258-265</w:t>
      </w:r>
    </w:p>
    <w:p w14:paraId="721D6EF9" w14:textId="77777777" w:rsidR="00B54124" w:rsidRDefault="00B54124" w:rsidP="00B54124">
      <w:pPr>
        <w:spacing w:line="240" w:lineRule="auto"/>
        <w:jc w:val="both"/>
        <w:rPr>
          <w:rFonts w:asciiTheme="majorHAnsi" w:hAnsiTheme="majorHAnsi" w:cstheme="majorHAnsi"/>
          <w:bCs/>
          <w:sz w:val="24"/>
          <w:szCs w:val="24"/>
        </w:rPr>
      </w:pPr>
      <w:r w:rsidRPr="00E178C6">
        <w:rPr>
          <w:rFonts w:asciiTheme="majorHAnsi" w:hAnsiTheme="majorHAnsi" w:cstheme="majorHAnsi"/>
          <w:bCs/>
          <w:sz w:val="24"/>
          <w:szCs w:val="24"/>
        </w:rPr>
        <w:t>Kukulska-Hulme</w:t>
      </w:r>
      <w:r>
        <w:rPr>
          <w:rFonts w:asciiTheme="majorHAnsi" w:hAnsiTheme="majorHAnsi" w:cstheme="majorHAnsi"/>
          <w:bCs/>
          <w:sz w:val="24"/>
          <w:szCs w:val="24"/>
        </w:rPr>
        <w:t>, A et al (2021)</w:t>
      </w:r>
      <w:r w:rsidRPr="005D46EF">
        <w:t xml:space="preserve"> </w:t>
      </w:r>
      <w:r w:rsidRPr="005D46EF">
        <w:rPr>
          <w:rFonts w:asciiTheme="majorHAnsi" w:hAnsiTheme="majorHAnsi" w:cstheme="majorHAnsi"/>
          <w:bCs/>
          <w:i/>
          <w:iCs/>
          <w:sz w:val="24"/>
          <w:szCs w:val="24"/>
        </w:rPr>
        <w:t>Innovating Pedagogy 2021: Exploring new forms of teaching, learning and assessment, to guide educators and policy makers.</w:t>
      </w:r>
      <w:r>
        <w:rPr>
          <w:rFonts w:asciiTheme="majorHAnsi" w:hAnsiTheme="majorHAnsi" w:cstheme="majorHAnsi"/>
          <w:bCs/>
          <w:sz w:val="24"/>
          <w:szCs w:val="24"/>
        </w:rPr>
        <w:t xml:space="preserve"> </w:t>
      </w:r>
      <w:r w:rsidRPr="00485945">
        <w:rPr>
          <w:rFonts w:asciiTheme="majorHAnsi" w:hAnsiTheme="majorHAnsi" w:cstheme="majorHAnsi"/>
          <w:bCs/>
          <w:i/>
          <w:iCs/>
          <w:sz w:val="24"/>
          <w:szCs w:val="24"/>
        </w:rPr>
        <w:t xml:space="preserve">Open University Innovation Report 9. </w:t>
      </w:r>
      <w:r w:rsidRPr="00485945">
        <w:rPr>
          <w:rFonts w:asciiTheme="majorHAnsi" w:hAnsiTheme="majorHAnsi" w:cstheme="majorHAnsi"/>
          <w:bCs/>
          <w:sz w:val="24"/>
          <w:szCs w:val="24"/>
        </w:rPr>
        <w:t>Institute of Educational Technology, The Open University</w:t>
      </w:r>
    </w:p>
    <w:p w14:paraId="6E373353" w14:textId="77777777" w:rsidR="00B54124" w:rsidRPr="002F2A0C" w:rsidRDefault="00B54124" w:rsidP="00B54124">
      <w:pPr>
        <w:spacing w:line="240" w:lineRule="auto"/>
        <w:rPr>
          <w:rFonts w:asciiTheme="majorHAnsi" w:hAnsiTheme="majorHAnsi" w:cstheme="majorHAnsi"/>
          <w:bCs/>
          <w:i/>
          <w:sz w:val="24"/>
          <w:szCs w:val="24"/>
        </w:rPr>
      </w:pPr>
      <w:r w:rsidRPr="002F2A0C">
        <w:rPr>
          <w:rFonts w:asciiTheme="majorHAnsi" w:hAnsiTheme="majorHAnsi" w:cstheme="majorHAnsi"/>
          <w:bCs/>
          <w:sz w:val="24"/>
          <w:szCs w:val="24"/>
        </w:rPr>
        <w:t xml:space="preserve">Office for National Statistics (2018) </w:t>
      </w:r>
      <w:r w:rsidRPr="002F2A0C">
        <w:rPr>
          <w:rFonts w:asciiTheme="majorHAnsi" w:hAnsiTheme="majorHAnsi" w:cstheme="majorHAnsi"/>
          <w:bCs/>
          <w:i/>
          <w:sz w:val="24"/>
          <w:szCs w:val="24"/>
        </w:rPr>
        <w:t xml:space="preserve">Measuring National Well-being: Quality of Life in the UK, 2018. </w:t>
      </w:r>
      <w:r w:rsidRPr="002F2A0C">
        <w:rPr>
          <w:rFonts w:asciiTheme="majorHAnsi" w:hAnsiTheme="majorHAnsi" w:cstheme="majorHAnsi"/>
          <w:bCs/>
          <w:sz w:val="24"/>
          <w:szCs w:val="24"/>
        </w:rPr>
        <w:t>London</w:t>
      </w:r>
      <w:r>
        <w:rPr>
          <w:rFonts w:asciiTheme="majorHAnsi" w:hAnsiTheme="majorHAnsi" w:cstheme="majorHAnsi"/>
          <w:bCs/>
          <w:sz w:val="24"/>
          <w:szCs w:val="24"/>
        </w:rPr>
        <w:t>,</w:t>
      </w:r>
      <w:r w:rsidRPr="002F2A0C">
        <w:rPr>
          <w:rFonts w:asciiTheme="majorHAnsi" w:hAnsiTheme="majorHAnsi" w:cstheme="majorHAnsi"/>
          <w:bCs/>
          <w:sz w:val="24"/>
          <w:szCs w:val="24"/>
        </w:rPr>
        <w:t xml:space="preserve"> ONS https://www.ons.gov.uk/peoplepopulationandcommunity/wellbeing/articles/measuringnationalwellbeing/qualityoflifeintheuk2018 (accessed 15 August 2018)</w:t>
      </w:r>
    </w:p>
    <w:p w14:paraId="56B8F482" w14:textId="62897D63" w:rsidR="00B54124" w:rsidRDefault="00B54124" w:rsidP="00B54124">
      <w:pPr>
        <w:spacing w:line="240" w:lineRule="auto"/>
        <w:jc w:val="both"/>
        <w:rPr>
          <w:rFonts w:asciiTheme="majorHAnsi" w:hAnsiTheme="majorHAnsi" w:cstheme="majorHAnsi"/>
        </w:rPr>
      </w:pPr>
      <w:r w:rsidRPr="00C41C91">
        <w:rPr>
          <w:rFonts w:asciiTheme="majorHAnsi" w:hAnsiTheme="majorHAnsi" w:cstheme="majorHAnsi"/>
          <w:bCs/>
          <w:sz w:val="24"/>
          <w:szCs w:val="24"/>
        </w:rPr>
        <w:t xml:space="preserve">Peake, L and Mullings, B (2016) </w:t>
      </w:r>
      <w:r w:rsidR="00C426AF">
        <w:rPr>
          <w:rFonts w:asciiTheme="majorHAnsi" w:hAnsiTheme="majorHAnsi" w:cstheme="majorHAnsi"/>
          <w:bCs/>
          <w:sz w:val="24"/>
          <w:szCs w:val="24"/>
        </w:rPr>
        <w:t>‘</w:t>
      </w:r>
      <w:r w:rsidRPr="00C41C91">
        <w:rPr>
          <w:rFonts w:asciiTheme="majorHAnsi" w:hAnsiTheme="majorHAnsi" w:cstheme="majorHAnsi"/>
          <w:bCs/>
          <w:sz w:val="24"/>
          <w:szCs w:val="24"/>
        </w:rPr>
        <w:t>Critical Reflections on Mental and Emotional Distress in the Academy</w:t>
      </w:r>
      <w:r w:rsidR="00C426AF">
        <w:rPr>
          <w:rFonts w:asciiTheme="majorHAnsi" w:hAnsiTheme="majorHAnsi" w:cstheme="majorHAnsi"/>
          <w:bCs/>
          <w:sz w:val="24"/>
          <w:szCs w:val="24"/>
        </w:rPr>
        <w:t>’</w:t>
      </w:r>
      <w:r w:rsidRPr="00C41C91">
        <w:rPr>
          <w:rFonts w:asciiTheme="majorHAnsi" w:hAnsiTheme="majorHAnsi" w:cstheme="majorHAnsi"/>
          <w:bCs/>
          <w:sz w:val="24"/>
          <w:szCs w:val="24"/>
        </w:rPr>
        <w:t xml:space="preserve"> ACME: An International Journal for Critical Geographies, 2016, 15(2)</w:t>
      </w:r>
      <w:r w:rsidRPr="00C41C91">
        <w:rPr>
          <w:rFonts w:asciiTheme="majorHAnsi" w:hAnsiTheme="majorHAnsi" w:cstheme="majorHAnsi"/>
        </w:rPr>
        <w:t xml:space="preserve">, </w:t>
      </w:r>
      <w:r w:rsidRPr="00F95A89">
        <w:rPr>
          <w:rFonts w:asciiTheme="majorHAnsi" w:hAnsiTheme="majorHAnsi" w:cstheme="majorHAnsi"/>
          <w:sz w:val="24"/>
          <w:szCs w:val="24"/>
        </w:rPr>
        <w:t>253-284</w:t>
      </w:r>
    </w:p>
    <w:p w14:paraId="1088F4B9" w14:textId="77777777" w:rsidR="00B54124" w:rsidRPr="00471AD4" w:rsidRDefault="00B54124" w:rsidP="00B54124">
      <w:pPr>
        <w:spacing w:line="240" w:lineRule="auto"/>
        <w:jc w:val="both"/>
        <w:rPr>
          <w:rFonts w:asciiTheme="majorHAnsi" w:hAnsiTheme="majorHAnsi" w:cstheme="majorHAnsi"/>
          <w:sz w:val="24"/>
          <w:szCs w:val="24"/>
        </w:rPr>
      </w:pPr>
      <w:r w:rsidRPr="00471AD4">
        <w:rPr>
          <w:rFonts w:asciiTheme="majorHAnsi" w:hAnsiTheme="majorHAnsi" w:cstheme="majorHAnsi"/>
          <w:sz w:val="24"/>
          <w:szCs w:val="24"/>
        </w:rPr>
        <w:t xml:space="preserve">Race, </w:t>
      </w:r>
      <w:r>
        <w:rPr>
          <w:rFonts w:asciiTheme="majorHAnsi" w:hAnsiTheme="majorHAnsi" w:cstheme="majorHAnsi"/>
          <w:sz w:val="24"/>
          <w:szCs w:val="24"/>
        </w:rPr>
        <w:t xml:space="preserve">P (2007) </w:t>
      </w:r>
      <w:r w:rsidRPr="00471AD4">
        <w:rPr>
          <w:rFonts w:asciiTheme="majorHAnsi" w:hAnsiTheme="majorHAnsi" w:cstheme="majorHAnsi"/>
          <w:i/>
          <w:iCs/>
          <w:sz w:val="24"/>
          <w:szCs w:val="24"/>
        </w:rPr>
        <w:t>The Lecturer</w:t>
      </w:r>
      <w:r>
        <w:rPr>
          <w:rFonts w:asciiTheme="majorHAnsi" w:hAnsiTheme="majorHAnsi" w:cstheme="majorHAnsi"/>
          <w:i/>
          <w:iCs/>
          <w:sz w:val="24"/>
          <w:szCs w:val="24"/>
        </w:rPr>
        <w:t>’</w:t>
      </w:r>
      <w:r w:rsidRPr="00471AD4">
        <w:rPr>
          <w:rFonts w:asciiTheme="majorHAnsi" w:hAnsiTheme="majorHAnsi" w:cstheme="majorHAnsi"/>
          <w:i/>
          <w:iCs/>
          <w:sz w:val="24"/>
          <w:szCs w:val="24"/>
        </w:rPr>
        <w:t>s Toolkit</w:t>
      </w:r>
      <w:r>
        <w:rPr>
          <w:rFonts w:asciiTheme="majorHAnsi" w:hAnsiTheme="majorHAnsi" w:cstheme="majorHAnsi"/>
          <w:i/>
          <w:iCs/>
          <w:sz w:val="24"/>
          <w:szCs w:val="24"/>
        </w:rPr>
        <w:t>.</w:t>
      </w:r>
      <w:r w:rsidRPr="00471AD4">
        <w:rPr>
          <w:rFonts w:asciiTheme="majorHAnsi" w:hAnsiTheme="majorHAnsi" w:cstheme="majorHAnsi"/>
          <w:sz w:val="24"/>
          <w:szCs w:val="24"/>
        </w:rPr>
        <w:t xml:space="preserve"> London, Kogan Page</w:t>
      </w:r>
    </w:p>
    <w:p w14:paraId="71211A59" w14:textId="77777777" w:rsidR="00B54124" w:rsidRPr="00C41C91" w:rsidRDefault="00B54124" w:rsidP="00B54124">
      <w:pPr>
        <w:spacing w:line="240" w:lineRule="auto"/>
        <w:jc w:val="both"/>
        <w:rPr>
          <w:rFonts w:asciiTheme="majorHAnsi" w:hAnsiTheme="majorHAnsi" w:cstheme="majorHAnsi"/>
          <w:sz w:val="24"/>
          <w:szCs w:val="24"/>
        </w:rPr>
      </w:pPr>
      <w:r w:rsidRPr="008A105C">
        <w:rPr>
          <w:rFonts w:asciiTheme="majorHAnsi" w:hAnsiTheme="majorHAnsi" w:cstheme="majorHAnsi"/>
          <w:sz w:val="24"/>
          <w:szCs w:val="24"/>
        </w:rPr>
        <w:t>Reece</w:t>
      </w:r>
      <w:r>
        <w:rPr>
          <w:rFonts w:asciiTheme="majorHAnsi" w:hAnsiTheme="majorHAnsi" w:cstheme="majorHAnsi"/>
          <w:sz w:val="24"/>
          <w:szCs w:val="24"/>
        </w:rPr>
        <w:t>, I</w:t>
      </w:r>
      <w:r w:rsidRPr="008A105C">
        <w:rPr>
          <w:rFonts w:asciiTheme="majorHAnsi" w:hAnsiTheme="majorHAnsi" w:cstheme="majorHAnsi"/>
          <w:sz w:val="24"/>
          <w:szCs w:val="24"/>
        </w:rPr>
        <w:t xml:space="preserve"> and Walker</w:t>
      </w:r>
      <w:r>
        <w:rPr>
          <w:rFonts w:asciiTheme="majorHAnsi" w:hAnsiTheme="majorHAnsi" w:cstheme="majorHAnsi"/>
          <w:sz w:val="24"/>
          <w:szCs w:val="24"/>
        </w:rPr>
        <w:t>, S (2004)</w:t>
      </w:r>
      <w:r w:rsidRPr="008A105C">
        <w:rPr>
          <w:rFonts w:asciiTheme="majorHAnsi" w:hAnsiTheme="majorHAnsi" w:cstheme="majorHAnsi"/>
          <w:sz w:val="24"/>
          <w:szCs w:val="24"/>
        </w:rPr>
        <w:t xml:space="preserve"> </w:t>
      </w:r>
      <w:r w:rsidRPr="008A105C">
        <w:rPr>
          <w:rFonts w:asciiTheme="majorHAnsi" w:hAnsiTheme="majorHAnsi" w:cstheme="majorHAnsi"/>
          <w:i/>
          <w:iCs/>
          <w:sz w:val="24"/>
          <w:szCs w:val="24"/>
        </w:rPr>
        <w:t>Teaching Training &amp; Learning</w:t>
      </w:r>
      <w:r>
        <w:rPr>
          <w:rFonts w:asciiTheme="majorHAnsi" w:hAnsiTheme="majorHAnsi" w:cstheme="majorHAnsi"/>
          <w:sz w:val="24"/>
          <w:szCs w:val="24"/>
        </w:rPr>
        <w:t xml:space="preserve">. Sunderland, </w:t>
      </w:r>
      <w:r w:rsidRPr="008A105C">
        <w:rPr>
          <w:rFonts w:asciiTheme="majorHAnsi" w:hAnsiTheme="majorHAnsi" w:cstheme="majorHAnsi"/>
          <w:sz w:val="24"/>
          <w:szCs w:val="24"/>
        </w:rPr>
        <w:t>British Education Publishers L</w:t>
      </w:r>
      <w:r>
        <w:rPr>
          <w:rFonts w:asciiTheme="majorHAnsi" w:hAnsiTheme="majorHAnsi" w:cstheme="majorHAnsi"/>
          <w:sz w:val="24"/>
          <w:szCs w:val="24"/>
        </w:rPr>
        <w:t>td</w:t>
      </w:r>
    </w:p>
    <w:p w14:paraId="1DFCAA91" w14:textId="77777777" w:rsidR="00B54124" w:rsidRDefault="00B54124" w:rsidP="00B54124">
      <w:pPr>
        <w:spacing w:line="240" w:lineRule="auto"/>
        <w:jc w:val="both"/>
        <w:rPr>
          <w:rFonts w:asciiTheme="majorHAnsi" w:hAnsiTheme="majorHAnsi" w:cstheme="majorHAnsi"/>
          <w:bCs/>
          <w:sz w:val="24"/>
          <w:szCs w:val="24"/>
        </w:rPr>
      </w:pPr>
      <w:r w:rsidRPr="00C41C91">
        <w:rPr>
          <w:rFonts w:asciiTheme="majorHAnsi" w:hAnsiTheme="majorHAnsi" w:cstheme="majorHAnsi"/>
          <w:bCs/>
          <w:sz w:val="24"/>
          <w:szCs w:val="24"/>
        </w:rPr>
        <w:t>Rogers</w:t>
      </w:r>
      <w:r>
        <w:rPr>
          <w:rFonts w:asciiTheme="majorHAnsi" w:hAnsiTheme="majorHAnsi" w:cstheme="majorHAnsi"/>
          <w:bCs/>
          <w:sz w:val="24"/>
          <w:szCs w:val="24"/>
        </w:rPr>
        <w:t>, A</w:t>
      </w:r>
      <w:r w:rsidRPr="00C41C91">
        <w:rPr>
          <w:rFonts w:asciiTheme="majorHAnsi" w:hAnsiTheme="majorHAnsi" w:cstheme="majorHAnsi"/>
          <w:bCs/>
          <w:sz w:val="24"/>
          <w:szCs w:val="24"/>
        </w:rPr>
        <w:t xml:space="preserve"> and Horrocks</w:t>
      </w:r>
      <w:r>
        <w:rPr>
          <w:rFonts w:asciiTheme="majorHAnsi" w:hAnsiTheme="majorHAnsi" w:cstheme="majorHAnsi"/>
          <w:bCs/>
          <w:sz w:val="24"/>
          <w:szCs w:val="24"/>
        </w:rPr>
        <w:t>, (</w:t>
      </w:r>
      <w:r w:rsidRPr="00C41C91">
        <w:rPr>
          <w:rFonts w:asciiTheme="majorHAnsi" w:hAnsiTheme="majorHAnsi" w:cstheme="majorHAnsi"/>
          <w:bCs/>
          <w:sz w:val="24"/>
          <w:szCs w:val="24"/>
        </w:rPr>
        <w:t xml:space="preserve">2010) </w:t>
      </w:r>
      <w:r w:rsidRPr="00551430">
        <w:rPr>
          <w:rFonts w:asciiTheme="majorHAnsi" w:hAnsiTheme="majorHAnsi" w:cstheme="majorHAnsi"/>
          <w:bCs/>
          <w:i/>
          <w:iCs/>
          <w:sz w:val="24"/>
          <w:szCs w:val="24"/>
        </w:rPr>
        <w:t>Teaching Adults.</w:t>
      </w:r>
      <w:r w:rsidRPr="00C41C91">
        <w:rPr>
          <w:rFonts w:asciiTheme="majorHAnsi" w:hAnsiTheme="majorHAnsi" w:cstheme="majorHAnsi"/>
          <w:bCs/>
          <w:sz w:val="24"/>
          <w:szCs w:val="24"/>
        </w:rPr>
        <w:t xml:space="preserve"> </w:t>
      </w:r>
      <w:r>
        <w:rPr>
          <w:rFonts w:asciiTheme="majorHAnsi" w:hAnsiTheme="majorHAnsi" w:cstheme="majorHAnsi"/>
          <w:bCs/>
          <w:sz w:val="24"/>
          <w:szCs w:val="24"/>
        </w:rPr>
        <w:t xml:space="preserve">Berkshire, </w:t>
      </w:r>
      <w:r w:rsidRPr="00C41C91">
        <w:rPr>
          <w:rFonts w:asciiTheme="majorHAnsi" w:hAnsiTheme="majorHAnsi" w:cstheme="majorHAnsi"/>
          <w:bCs/>
          <w:sz w:val="24"/>
          <w:szCs w:val="24"/>
        </w:rPr>
        <w:t>OUP</w:t>
      </w:r>
    </w:p>
    <w:p w14:paraId="01283540" w14:textId="77777777" w:rsidR="00B54124" w:rsidRPr="00554078" w:rsidRDefault="00B54124" w:rsidP="00B54124">
      <w:pPr>
        <w:spacing w:line="240" w:lineRule="auto"/>
        <w:jc w:val="both"/>
        <w:rPr>
          <w:rFonts w:asciiTheme="majorHAnsi" w:hAnsiTheme="majorHAnsi" w:cstheme="majorHAnsi"/>
          <w:sz w:val="24"/>
          <w:szCs w:val="24"/>
        </w:rPr>
      </w:pPr>
      <w:r w:rsidRPr="00554078">
        <w:rPr>
          <w:rFonts w:asciiTheme="majorHAnsi" w:hAnsiTheme="majorHAnsi" w:cstheme="majorHAnsi"/>
          <w:sz w:val="24"/>
          <w:szCs w:val="24"/>
        </w:rPr>
        <w:t xml:space="preserve">Royal College of Psychiatrists (2011) </w:t>
      </w:r>
      <w:r w:rsidRPr="00554078">
        <w:rPr>
          <w:rFonts w:asciiTheme="majorHAnsi" w:hAnsiTheme="majorHAnsi" w:cstheme="majorHAnsi"/>
          <w:i/>
          <w:sz w:val="24"/>
          <w:szCs w:val="24"/>
        </w:rPr>
        <w:t xml:space="preserve">Mental Health of Students in Higher Education: College report CR166. </w:t>
      </w:r>
      <w:r w:rsidRPr="00554078">
        <w:rPr>
          <w:rFonts w:asciiTheme="majorHAnsi" w:hAnsiTheme="majorHAnsi" w:cstheme="majorHAnsi"/>
          <w:sz w:val="24"/>
          <w:szCs w:val="24"/>
        </w:rPr>
        <w:t>London</w:t>
      </w:r>
      <w:r>
        <w:rPr>
          <w:rFonts w:asciiTheme="majorHAnsi" w:hAnsiTheme="majorHAnsi" w:cstheme="majorHAnsi"/>
          <w:sz w:val="24"/>
          <w:szCs w:val="24"/>
        </w:rPr>
        <w:t xml:space="preserve">, </w:t>
      </w:r>
      <w:r w:rsidRPr="00554078">
        <w:rPr>
          <w:rFonts w:asciiTheme="majorHAnsi" w:hAnsiTheme="majorHAnsi" w:cstheme="majorHAnsi"/>
          <w:sz w:val="24"/>
          <w:szCs w:val="24"/>
        </w:rPr>
        <w:t>RCP</w:t>
      </w:r>
    </w:p>
    <w:p w14:paraId="7E8F910B" w14:textId="19E860EC" w:rsidR="00B54124" w:rsidRPr="00C41C91" w:rsidRDefault="00B54124" w:rsidP="00B54124">
      <w:pPr>
        <w:spacing w:line="240" w:lineRule="auto"/>
        <w:jc w:val="both"/>
        <w:rPr>
          <w:rFonts w:asciiTheme="majorHAnsi" w:hAnsiTheme="majorHAnsi" w:cstheme="majorHAnsi"/>
          <w:bCs/>
          <w:sz w:val="24"/>
          <w:szCs w:val="24"/>
        </w:rPr>
      </w:pPr>
      <w:r w:rsidRPr="00C41C91">
        <w:rPr>
          <w:rFonts w:asciiTheme="majorHAnsi" w:hAnsiTheme="majorHAnsi" w:cstheme="majorHAnsi"/>
          <w:bCs/>
          <w:sz w:val="24"/>
          <w:szCs w:val="24"/>
        </w:rPr>
        <w:t>Ryan</w:t>
      </w:r>
      <w:r>
        <w:rPr>
          <w:rFonts w:asciiTheme="majorHAnsi" w:hAnsiTheme="majorHAnsi" w:cstheme="majorHAnsi"/>
          <w:bCs/>
          <w:sz w:val="24"/>
          <w:szCs w:val="24"/>
        </w:rPr>
        <w:t>, RM</w:t>
      </w:r>
      <w:r w:rsidRPr="00C41C91">
        <w:rPr>
          <w:rFonts w:asciiTheme="majorHAnsi" w:hAnsiTheme="majorHAnsi" w:cstheme="majorHAnsi"/>
          <w:bCs/>
          <w:sz w:val="24"/>
          <w:szCs w:val="24"/>
        </w:rPr>
        <w:t xml:space="preserve"> and Deci</w:t>
      </w:r>
      <w:r>
        <w:rPr>
          <w:rFonts w:asciiTheme="majorHAnsi" w:hAnsiTheme="majorHAnsi" w:cstheme="majorHAnsi"/>
          <w:bCs/>
          <w:sz w:val="24"/>
          <w:szCs w:val="24"/>
        </w:rPr>
        <w:t>, EL</w:t>
      </w:r>
      <w:r w:rsidRPr="00C41C91">
        <w:rPr>
          <w:rFonts w:asciiTheme="majorHAnsi" w:hAnsiTheme="majorHAnsi" w:cstheme="majorHAnsi"/>
          <w:bCs/>
          <w:sz w:val="24"/>
          <w:szCs w:val="24"/>
        </w:rPr>
        <w:t xml:space="preserve"> </w:t>
      </w:r>
      <w:r>
        <w:rPr>
          <w:rFonts w:asciiTheme="majorHAnsi" w:hAnsiTheme="majorHAnsi" w:cstheme="majorHAnsi"/>
          <w:bCs/>
          <w:sz w:val="24"/>
          <w:szCs w:val="24"/>
        </w:rPr>
        <w:t>(</w:t>
      </w:r>
      <w:r w:rsidRPr="00C41C91">
        <w:rPr>
          <w:rFonts w:asciiTheme="majorHAnsi" w:hAnsiTheme="majorHAnsi" w:cstheme="majorHAnsi"/>
          <w:bCs/>
          <w:sz w:val="24"/>
          <w:szCs w:val="24"/>
        </w:rPr>
        <w:t>2000</w:t>
      </w:r>
      <w:r>
        <w:rPr>
          <w:rFonts w:asciiTheme="majorHAnsi" w:hAnsiTheme="majorHAnsi" w:cstheme="majorHAnsi"/>
          <w:bCs/>
          <w:sz w:val="24"/>
          <w:szCs w:val="24"/>
        </w:rPr>
        <w:t xml:space="preserve">) </w:t>
      </w:r>
      <w:r w:rsidR="00C426AF">
        <w:rPr>
          <w:rFonts w:asciiTheme="majorHAnsi" w:hAnsiTheme="majorHAnsi" w:cstheme="majorHAnsi"/>
          <w:bCs/>
          <w:sz w:val="24"/>
          <w:szCs w:val="24"/>
        </w:rPr>
        <w:t>‘</w:t>
      </w:r>
      <w:r>
        <w:rPr>
          <w:rFonts w:asciiTheme="majorHAnsi" w:hAnsiTheme="majorHAnsi" w:cstheme="majorHAnsi"/>
          <w:bCs/>
          <w:sz w:val="24"/>
          <w:szCs w:val="24"/>
        </w:rPr>
        <w:t>Self-Determination Theory and the Facilitation of Intrinsic Motivation, Social Development, and Wellbeing</w:t>
      </w:r>
      <w:r w:rsidR="00C426AF">
        <w:rPr>
          <w:rFonts w:asciiTheme="majorHAnsi" w:hAnsiTheme="majorHAnsi" w:cstheme="majorHAnsi"/>
          <w:bCs/>
          <w:sz w:val="24"/>
          <w:szCs w:val="24"/>
        </w:rPr>
        <w:t>’</w:t>
      </w:r>
      <w:r>
        <w:rPr>
          <w:rFonts w:asciiTheme="majorHAnsi" w:hAnsiTheme="majorHAnsi" w:cstheme="majorHAnsi"/>
          <w:bCs/>
          <w:sz w:val="24"/>
          <w:szCs w:val="24"/>
        </w:rPr>
        <w:t xml:space="preserve"> Behavioural Sciences and the Law, 22(2), 261-286</w:t>
      </w:r>
    </w:p>
    <w:p w14:paraId="64BC470F" w14:textId="2945E8A2" w:rsidR="00B54124" w:rsidRPr="00EF6259" w:rsidRDefault="00B54124" w:rsidP="00B54124">
      <w:pPr>
        <w:spacing w:line="240" w:lineRule="auto"/>
        <w:jc w:val="both"/>
        <w:rPr>
          <w:rFonts w:asciiTheme="majorHAnsi" w:hAnsiTheme="majorHAnsi" w:cstheme="majorHAnsi"/>
          <w:bCs/>
          <w:sz w:val="24"/>
          <w:szCs w:val="24"/>
        </w:rPr>
      </w:pPr>
      <w:r w:rsidRPr="00EF6259">
        <w:rPr>
          <w:rFonts w:asciiTheme="majorHAnsi" w:hAnsiTheme="majorHAnsi" w:cstheme="majorHAnsi"/>
          <w:bCs/>
          <w:sz w:val="24"/>
          <w:szCs w:val="24"/>
        </w:rPr>
        <w:t xml:space="preserve">Sheldon, KM and Krieger, LS (2004) </w:t>
      </w:r>
      <w:r w:rsidR="00C426AF">
        <w:rPr>
          <w:rFonts w:asciiTheme="majorHAnsi" w:hAnsiTheme="majorHAnsi" w:cstheme="majorHAnsi"/>
          <w:bCs/>
          <w:sz w:val="24"/>
          <w:szCs w:val="24"/>
        </w:rPr>
        <w:t>‘</w:t>
      </w:r>
      <w:r w:rsidRPr="00EF6259">
        <w:rPr>
          <w:rFonts w:asciiTheme="majorHAnsi" w:hAnsiTheme="majorHAnsi" w:cstheme="majorHAnsi"/>
          <w:bCs/>
          <w:sz w:val="24"/>
          <w:szCs w:val="24"/>
        </w:rPr>
        <w:t>Does Legal Education have Undermining Effects on Law Students? Evaluating Changes in Motivation, Values and Well-Being</w:t>
      </w:r>
      <w:r w:rsidR="00C426AF">
        <w:rPr>
          <w:rFonts w:asciiTheme="majorHAnsi" w:hAnsiTheme="majorHAnsi" w:cstheme="majorHAnsi"/>
          <w:bCs/>
          <w:sz w:val="24"/>
          <w:szCs w:val="24"/>
        </w:rPr>
        <w:t>’</w:t>
      </w:r>
      <w:r w:rsidRPr="00EF6259">
        <w:rPr>
          <w:rFonts w:asciiTheme="majorHAnsi" w:hAnsiTheme="majorHAnsi" w:cstheme="majorHAnsi"/>
          <w:bCs/>
          <w:sz w:val="24"/>
          <w:szCs w:val="24"/>
        </w:rPr>
        <w:t xml:space="preserve"> </w:t>
      </w:r>
      <w:proofErr w:type="spellStart"/>
      <w:r w:rsidRPr="00EF6259">
        <w:rPr>
          <w:rFonts w:asciiTheme="majorHAnsi" w:hAnsiTheme="majorHAnsi" w:cstheme="majorHAnsi"/>
          <w:bCs/>
          <w:sz w:val="24"/>
          <w:szCs w:val="24"/>
        </w:rPr>
        <w:t>Behavioral</w:t>
      </w:r>
      <w:proofErr w:type="spellEnd"/>
      <w:r w:rsidRPr="00EF6259">
        <w:rPr>
          <w:rFonts w:asciiTheme="majorHAnsi" w:hAnsiTheme="majorHAnsi" w:cstheme="majorHAnsi"/>
          <w:bCs/>
          <w:sz w:val="24"/>
          <w:szCs w:val="24"/>
        </w:rPr>
        <w:t xml:space="preserve"> Sciences and the Law 22, 261-286</w:t>
      </w:r>
    </w:p>
    <w:p w14:paraId="25FEFDC4" w14:textId="79D8E3FA" w:rsidR="00B54124" w:rsidRPr="00EF6259" w:rsidRDefault="00B54124" w:rsidP="00B54124">
      <w:pPr>
        <w:spacing w:line="240" w:lineRule="auto"/>
        <w:jc w:val="both"/>
        <w:rPr>
          <w:rFonts w:asciiTheme="majorHAnsi" w:hAnsiTheme="majorHAnsi" w:cstheme="majorHAnsi"/>
          <w:bCs/>
          <w:sz w:val="24"/>
          <w:szCs w:val="24"/>
        </w:rPr>
      </w:pPr>
      <w:r w:rsidRPr="00EF6259">
        <w:rPr>
          <w:rFonts w:asciiTheme="majorHAnsi" w:hAnsiTheme="majorHAnsi" w:cstheme="majorHAnsi"/>
          <w:bCs/>
          <w:sz w:val="24"/>
          <w:szCs w:val="24"/>
        </w:rPr>
        <w:t xml:space="preserve">Sheldon, KM, and Krieger, LS (2007) </w:t>
      </w:r>
      <w:r w:rsidR="00C426AF">
        <w:rPr>
          <w:rFonts w:asciiTheme="majorHAnsi" w:hAnsiTheme="majorHAnsi" w:cstheme="majorHAnsi"/>
          <w:bCs/>
          <w:sz w:val="24"/>
          <w:szCs w:val="24"/>
        </w:rPr>
        <w:t>‘</w:t>
      </w:r>
      <w:r w:rsidRPr="00EF6259">
        <w:rPr>
          <w:rFonts w:asciiTheme="majorHAnsi" w:hAnsiTheme="majorHAnsi" w:cstheme="majorHAnsi"/>
          <w:bCs/>
          <w:sz w:val="24"/>
          <w:szCs w:val="24"/>
        </w:rPr>
        <w:t>Understanding the Negative Effects of Legal Education on Law Students: A Longitudinal Test of Self-Determination Theory</w:t>
      </w:r>
      <w:r w:rsidR="00C426AF">
        <w:rPr>
          <w:rFonts w:asciiTheme="majorHAnsi" w:hAnsiTheme="majorHAnsi" w:cstheme="majorHAnsi"/>
          <w:bCs/>
          <w:sz w:val="24"/>
          <w:szCs w:val="24"/>
        </w:rPr>
        <w:t>’</w:t>
      </w:r>
      <w:r w:rsidRPr="00EF6259">
        <w:rPr>
          <w:rFonts w:asciiTheme="majorHAnsi" w:hAnsiTheme="majorHAnsi" w:cstheme="majorHAnsi"/>
          <w:bCs/>
          <w:sz w:val="24"/>
          <w:szCs w:val="24"/>
        </w:rPr>
        <w:t xml:space="preserve"> Personality and Social Psychology Bulletin 33(6), 883-897</w:t>
      </w:r>
    </w:p>
    <w:p w14:paraId="425A1096" w14:textId="510B391F" w:rsidR="00B54124" w:rsidRPr="00C41C91" w:rsidRDefault="00B54124" w:rsidP="00B54124">
      <w:pPr>
        <w:spacing w:line="240" w:lineRule="auto"/>
        <w:jc w:val="both"/>
        <w:rPr>
          <w:rFonts w:asciiTheme="majorHAnsi" w:hAnsiTheme="majorHAnsi" w:cstheme="majorHAnsi"/>
          <w:sz w:val="24"/>
          <w:szCs w:val="24"/>
        </w:rPr>
      </w:pPr>
      <w:r w:rsidRPr="00C41C91">
        <w:rPr>
          <w:rFonts w:asciiTheme="majorHAnsi" w:hAnsiTheme="majorHAnsi" w:cstheme="majorHAnsi"/>
          <w:sz w:val="24"/>
          <w:szCs w:val="24"/>
        </w:rPr>
        <w:lastRenderedPageBreak/>
        <w:t>Skread</w:t>
      </w:r>
      <w:r>
        <w:rPr>
          <w:rFonts w:asciiTheme="majorHAnsi" w:hAnsiTheme="majorHAnsi" w:cstheme="majorHAnsi"/>
          <w:sz w:val="24"/>
          <w:szCs w:val="24"/>
        </w:rPr>
        <w:t xml:space="preserve">, NK </w:t>
      </w:r>
      <w:r w:rsidRPr="00C41C91">
        <w:rPr>
          <w:rFonts w:asciiTheme="majorHAnsi" w:hAnsiTheme="majorHAnsi" w:cstheme="majorHAnsi"/>
          <w:sz w:val="24"/>
          <w:szCs w:val="24"/>
        </w:rPr>
        <w:t xml:space="preserve">and Rogers, </w:t>
      </w:r>
      <w:r>
        <w:rPr>
          <w:rFonts w:asciiTheme="majorHAnsi" w:hAnsiTheme="majorHAnsi" w:cstheme="majorHAnsi"/>
          <w:sz w:val="24"/>
          <w:szCs w:val="24"/>
        </w:rPr>
        <w:t>SL (</w:t>
      </w:r>
      <w:r w:rsidRPr="00C41C91">
        <w:rPr>
          <w:rFonts w:asciiTheme="majorHAnsi" w:hAnsiTheme="majorHAnsi" w:cstheme="majorHAnsi"/>
          <w:sz w:val="24"/>
          <w:szCs w:val="24"/>
        </w:rPr>
        <w:t>2014</w:t>
      </w:r>
      <w:r>
        <w:rPr>
          <w:rFonts w:asciiTheme="majorHAnsi" w:hAnsiTheme="majorHAnsi" w:cstheme="majorHAnsi"/>
          <w:sz w:val="24"/>
          <w:szCs w:val="24"/>
        </w:rPr>
        <w:t xml:space="preserve">) </w:t>
      </w:r>
      <w:r w:rsidR="00C426AF">
        <w:rPr>
          <w:rFonts w:asciiTheme="majorHAnsi" w:hAnsiTheme="majorHAnsi" w:cstheme="majorHAnsi"/>
          <w:sz w:val="24"/>
          <w:szCs w:val="24"/>
        </w:rPr>
        <w:t>‘</w:t>
      </w:r>
      <w:r>
        <w:rPr>
          <w:rFonts w:asciiTheme="majorHAnsi" w:hAnsiTheme="majorHAnsi" w:cstheme="majorHAnsi"/>
          <w:sz w:val="24"/>
          <w:szCs w:val="24"/>
        </w:rPr>
        <w:t>Stress, Anxiety and Depression in Law Students: How Student Behaviours Affect Student Wellbeing</w:t>
      </w:r>
      <w:r w:rsidR="00C426AF">
        <w:rPr>
          <w:rFonts w:asciiTheme="majorHAnsi" w:hAnsiTheme="majorHAnsi" w:cstheme="majorHAnsi"/>
          <w:sz w:val="24"/>
          <w:szCs w:val="24"/>
        </w:rPr>
        <w:t>’</w:t>
      </w:r>
      <w:r>
        <w:rPr>
          <w:rFonts w:asciiTheme="majorHAnsi" w:hAnsiTheme="majorHAnsi" w:cstheme="majorHAnsi"/>
          <w:sz w:val="24"/>
          <w:szCs w:val="24"/>
        </w:rPr>
        <w:t xml:space="preserve"> Monash University Law Review, 30(2), 564-587</w:t>
      </w:r>
    </w:p>
    <w:p w14:paraId="143B0FCE" w14:textId="676974E1" w:rsidR="00B54124" w:rsidRPr="008F26B0" w:rsidRDefault="00B54124" w:rsidP="00B54124">
      <w:pPr>
        <w:spacing w:line="240" w:lineRule="auto"/>
        <w:jc w:val="both"/>
        <w:rPr>
          <w:rFonts w:asciiTheme="majorHAnsi" w:hAnsiTheme="majorHAnsi" w:cstheme="majorHAnsi"/>
          <w:bCs/>
          <w:sz w:val="24"/>
          <w:szCs w:val="24"/>
        </w:rPr>
      </w:pPr>
      <w:r w:rsidRPr="00C41C91">
        <w:rPr>
          <w:rFonts w:asciiTheme="majorHAnsi" w:hAnsiTheme="majorHAnsi" w:cstheme="majorHAnsi"/>
          <w:bCs/>
          <w:sz w:val="24"/>
          <w:szCs w:val="24"/>
        </w:rPr>
        <w:t>Strevens</w:t>
      </w:r>
      <w:r>
        <w:rPr>
          <w:rFonts w:asciiTheme="majorHAnsi" w:hAnsiTheme="majorHAnsi" w:cstheme="majorHAnsi"/>
          <w:bCs/>
          <w:sz w:val="24"/>
          <w:szCs w:val="24"/>
        </w:rPr>
        <w:t>, S</w:t>
      </w:r>
      <w:r w:rsidRPr="00C41C91">
        <w:rPr>
          <w:rFonts w:asciiTheme="majorHAnsi" w:hAnsiTheme="majorHAnsi" w:cstheme="majorHAnsi"/>
          <w:bCs/>
          <w:sz w:val="24"/>
          <w:szCs w:val="24"/>
        </w:rPr>
        <w:t xml:space="preserve"> and Wilson</w:t>
      </w:r>
      <w:r>
        <w:rPr>
          <w:rFonts w:asciiTheme="majorHAnsi" w:hAnsiTheme="majorHAnsi" w:cstheme="majorHAnsi"/>
          <w:bCs/>
          <w:sz w:val="24"/>
          <w:szCs w:val="24"/>
        </w:rPr>
        <w:t>, C (2017)</w:t>
      </w:r>
      <w:r w:rsidRPr="00C41C91">
        <w:rPr>
          <w:rFonts w:asciiTheme="majorHAnsi" w:hAnsiTheme="majorHAnsi" w:cstheme="majorHAnsi"/>
          <w:bCs/>
          <w:sz w:val="24"/>
          <w:szCs w:val="24"/>
        </w:rPr>
        <w:t xml:space="preserve"> </w:t>
      </w:r>
      <w:r w:rsidR="00C426AF">
        <w:rPr>
          <w:rFonts w:asciiTheme="majorHAnsi" w:hAnsiTheme="majorHAnsi" w:cstheme="majorHAnsi"/>
          <w:bCs/>
          <w:sz w:val="24"/>
          <w:szCs w:val="24"/>
        </w:rPr>
        <w:t>‘</w:t>
      </w:r>
      <w:r w:rsidRPr="00C41C91">
        <w:rPr>
          <w:rFonts w:asciiTheme="majorHAnsi" w:hAnsiTheme="majorHAnsi" w:cstheme="majorHAnsi"/>
          <w:bCs/>
          <w:sz w:val="24"/>
          <w:szCs w:val="24"/>
        </w:rPr>
        <w:t>Law Student Wellbeing in the UK: a call for curriculum intervention</w:t>
      </w:r>
      <w:r w:rsidR="00C426AF">
        <w:rPr>
          <w:rFonts w:asciiTheme="majorHAnsi" w:hAnsiTheme="majorHAnsi" w:cstheme="majorHAnsi"/>
          <w:bCs/>
          <w:sz w:val="24"/>
          <w:szCs w:val="24"/>
        </w:rPr>
        <w:t xml:space="preserve">’ </w:t>
      </w:r>
      <w:r w:rsidRPr="008F26B0">
        <w:rPr>
          <w:rFonts w:asciiTheme="majorHAnsi" w:hAnsiTheme="majorHAnsi" w:cstheme="majorHAnsi"/>
          <w:bCs/>
          <w:sz w:val="24"/>
          <w:szCs w:val="24"/>
        </w:rPr>
        <w:t>http://law-school.open.ac.uk/sites/law-school.open.ac.uk/files/files/Law student wellbeing in the UK.pdf</w:t>
      </w:r>
      <w:r w:rsidRPr="00C41C91">
        <w:rPr>
          <w:rFonts w:asciiTheme="majorHAnsi" w:hAnsiTheme="majorHAnsi" w:cstheme="majorHAnsi"/>
          <w:bCs/>
          <w:sz w:val="24"/>
          <w:szCs w:val="24"/>
        </w:rPr>
        <w:t xml:space="preserve"> (accessed 29 October 2019)</w:t>
      </w:r>
      <w:r w:rsidRPr="00C41C91">
        <w:rPr>
          <w:rFonts w:asciiTheme="majorHAnsi" w:hAnsiTheme="majorHAnsi" w:cstheme="majorHAnsi"/>
        </w:rPr>
        <w:t xml:space="preserve"> </w:t>
      </w:r>
    </w:p>
    <w:p w14:paraId="38DA05FD" w14:textId="21EBA3D5" w:rsidR="00B54124" w:rsidRPr="0076351D" w:rsidRDefault="00B54124" w:rsidP="00B54124">
      <w:pPr>
        <w:spacing w:line="240" w:lineRule="auto"/>
        <w:jc w:val="both"/>
        <w:rPr>
          <w:rFonts w:asciiTheme="majorHAnsi" w:hAnsiTheme="majorHAnsi" w:cstheme="majorHAnsi"/>
          <w:sz w:val="24"/>
          <w:szCs w:val="24"/>
        </w:rPr>
      </w:pPr>
      <w:r w:rsidRPr="0076351D">
        <w:rPr>
          <w:rFonts w:asciiTheme="majorHAnsi" w:hAnsiTheme="majorHAnsi" w:cstheme="majorHAnsi"/>
          <w:sz w:val="24"/>
          <w:szCs w:val="24"/>
        </w:rPr>
        <w:t xml:space="preserve">Stuart SA, Brown </w:t>
      </w:r>
      <w:r w:rsidR="00492076" w:rsidRPr="0076351D">
        <w:rPr>
          <w:rFonts w:asciiTheme="majorHAnsi" w:hAnsiTheme="majorHAnsi" w:cstheme="majorHAnsi"/>
          <w:sz w:val="24"/>
          <w:szCs w:val="24"/>
        </w:rPr>
        <w:t>MJ,</w:t>
      </w:r>
      <w:r w:rsidRPr="0076351D">
        <w:rPr>
          <w:rFonts w:asciiTheme="majorHAnsi" w:hAnsiTheme="majorHAnsi" w:cstheme="majorHAnsi"/>
          <w:sz w:val="24"/>
          <w:szCs w:val="24"/>
        </w:rPr>
        <w:t xml:space="preserve"> and Draper SW (2004) </w:t>
      </w:r>
      <w:r w:rsidR="003E4975">
        <w:rPr>
          <w:rFonts w:asciiTheme="majorHAnsi" w:hAnsiTheme="majorHAnsi" w:cstheme="majorHAnsi"/>
          <w:sz w:val="24"/>
          <w:szCs w:val="24"/>
        </w:rPr>
        <w:t>‘</w:t>
      </w:r>
      <w:r w:rsidRPr="0076351D">
        <w:rPr>
          <w:rFonts w:asciiTheme="majorHAnsi" w:hAnsiTheme="majorHAnsi" w:cstheme="majorHAnsi"/>
          <w:sz w:val="24"/>
          <w:szCs w:val="24"/>
        </w:rPr>
        <w:t xml:space="preserve">Using an electronic voting system in logic lectures: One </w:t>
      </w:r>
      <w:r w:rsidR="003E4975" w:rsidRPr="0076351D">
        <w:rPr>
          <w:rFonts w:asciiTheme="majorHAnsi" w:hAnsiTheme="majorHAnsi" w:cstheme="majorHAnsi"/>
          <w:sz w:val="24"/>
          <w:szCs w:val="24"/>
        </w:rPr>
        <w:t>practitioner</w:t>
      </w:r>
      <w:r w:rsidR="003E4975">
        <w:rPr>
          <w:rFonts w:asciiTheme="majorHAnsi" w:hAnsiTheme="majorHAnsi" w:cstheme="majorHAnsi"/>
          <w:sz w:val="24"/>
          <w:szCs w:val="24"/>
        </w:rPr>
        <w:t>’</w:t>
      </w:r>
      <w:r w:rsidR="003E4975" w:rsidRPr="0076351D">
        <w:rPr>
          <w:rFonts w:asciiTheme="majorHAnsi" w:hAnsiTheme="majorHAnsi" w:cstheme="majorHAnsi"/>
          <w:sz w:val="24"/>
          <w:szCs w:val="24"/>
        </w:rPr>
        <w:t>s</w:t>
      </w:r>
      <w:r w:rsidRPr="0076351D">
        <w:rPr>
          <w:rFonts w:asciiTheme="majorHAnsi" w:hAnsiTheme="majorHAnsi" w:cstheme="majorHAnsi"/>
          <w:sz w:val="24"/>
          <w:szCs w:val="24"/>
        </w:rPr>
        <w:t xml:space="preserve"> application</w:t>
      </w:r>
      <w:r w:rsidR="003E4975">
        <w:rPr>
          <w:rFonts w:asciiTheme="majorHAnsi" w:hAnsiTheme="majorHAnsi" w:cstheme="majorHAnsi"/>
          <w:sz w:val="24"/>
          <w:szCs w:val="24"/>
        </w:rPr>
        <w:t>’</w:t>
      </w:r>
      <w:r w:rsidRPr="0076351D">
        <w:rPr>
          <w:rFonts w:asciiTheme="majorHAnsi" w:hAnsiTheme="majorHAnsi" w:cstheme="majorHAnsi"/>
          <w:sz w:val="24"/>
          <w:szCs w:val="24"/>
        </w:rPr>
        <w:t>. Journal of Computer Assisted Learning 20(2): 95–102</w:t>
      </w:r>
    </w:p>
    <w:p w14:paraId="1F247E93" w14:textId="5B2A89AE" w:rsidR="00B54124" w:rsidRDefault="00B54124" w:rsidP="00B54124">
      <w:pPr>
        <w:spacing w:line="240" w:lineRule="auto"/>
        <w:jc w:val="both"/>
        <w:rPr>
          <w:rFonts w:asciiTheme="majorHAnsi" w:hAnsiTheme="majorHAnsi" w:cstheme="majorHAnsi"/>
          <w:sz w:val="24"/>
          <w:szCs w:val="24"/>
        </w:rPr>
      </w:pPr>
      <w:r w:rsidRPr="00EC6E9E">
        <w:rPr>
          <w:rFonts w:asciiTheme="majorHAnsi" w:hAnsiTheme="majorHAnsi" w:cstheme="majorHAnsi"/>
          <w:sz w:val="24"/>
          <w:szCs w:val="24"/>
        </w:rPr>
        <w:t xml:space="preserve">Tani, M and Vines, P (2009) </w:t>
      </w:r>
      <w:r w:rsidR="00C426AF">
        <w:rPr>
          <w:rFonts w:asciiTheme="majorHAnsi" w:hAnsiTheme="majorHAnsi" w:cstheme="majorHAnsi"/>
          <w:sz w:val="24"/>
          <w:szCs w:val="24"/>
        </w:rPr>
        <w:t>‘</w:t>
      </w:r>
      <w:r w:rsidRPr="00EC6E9E">
        <w:rPr>
          <w:rFonts w:asciiTheme="majorHAnsi" w:hAnsiTheme="majorHAnsi" w:cstheme="majorHAnsi"/>
          <w:sz w:val="24"/>
          <w:szCs w:val="24"/>
        </w:rPr>
        <w:t>Law Students</w:t>
      </w:r>
      <w:r w:rsidR="00C426AF">
        <w:rPr>
          <w:rFonts w:asciiTheme="majorHAnsi" w:hAnsiTheme="majorHAnsi" w:cstheme="majorHAnsi"/>
          <w:sz w:val="24"/>
          <w:szCs w:val="24"/>
        </w:rPr>
        <w:t>’</w:t>
      </w:r>
      <w:r w:rsidRPr="00EC6E9E">
        <w:rPr>
          <w:rFonts w:asciiTheme="majorHAnsi" w:hAnsiTheme="majorHAnsi" w:cstheme="majorHAnsi"/>
          <w:sz w:val="24"/>
          <w:szCs w:val="24"/>
        </w:rPr>
        <w:t xml:space="preserve"> Attitudes to Legal Education: Pointers to Depression In the Legal Academy and the Profession?</w:t>
      </w:r>
      <w:r w:rsidR="00C426AF">
        <w:rPr>
          <w:rFonts w:asciiTheme="majorHAnsi" w:hAnsiTheme="majorHAnsi" w:cstheme="majorHAnsi"/>
          <w:sz w:val="24"/>
          <w:szCs w:val="24"/>
        </w:rPr>
        <w:t>’</w:t>
      </w:r>
      <w:r w:rsidRPr="00EC6E9E">
        <w:rPr>
          <w:rFonts w:asciiTheme="majorHAnsi" w:hAnsiTheme="majorHAnsi" w:cstheme="majorHAnsi"/>
          <w:sz w:val="24"/>
          <w:szCs w:val="24"/>
        </w:rPr>
        <w:t xml:space="preserve"> Legal Education Review 19(1) Article 2</w:t>
      </w:r>
    </w:p>
    <w:p w14:paraId="561881B4" w14:textId="77777777" w:rsidR="00B54124" w:rsidRDefault="00B54124" w:rsidP="00B54124">
      <w:pPr>
        <w:spacing w:line="240" w:lineRule="auto"/>
        <w:jc w:val="both"/>
        <w:rPr>
          <w:rFonts w:asciiTheme="majorHAnsi" w:hAnsiTheme="majorHAnsi" w:cstheme="majorHAnsi"/>
          <w:sz w:val="24"/>
          <w:szCs w:val="24"/>
        </w:rPr>
      </w:pPr>
      <w:r w:rsidRPr="00324423">
        <w:rPr>
          <w:rFonts w:asciiTheme="majorHAnsi" w:hAnsiTheme="majorHAnsi" w:cstheme="majorHAnsi"/>
          <w:sz w:val="24"/>
          <w:szCs w:val="24"/>
        </w:rPr>
        <w:t xml:space="preserve">Thorley, </w:t>
      </w:r>
      <w:r>
        <w:rPr>
          <w:rFonts w:asciiTheme="majorHAnsi" w:hAnsiTheme="majorHAnsi" w:cstheme="majorHAnsi"/>
          <w:sz w:val="24"/>
          <w:szCs w:val="24"/>
        </w:rPr>
        <w:t xml:space="preserve">C (2017) </w:t>
      </w:r>
      <w:r w:rsidRPr="00324423">
        <w:rPr>
          <w:rFonts w:asciiTheme="majorHAnsi" w:hAnsiTheme="majorHAnsi" w:cstheme="majorHAnsi"/>
          <w:i/>
          <w:iCs/>
          <w:sz w:val="24"/>
          <w:szCs w:val="24"/>
        </w:rPr>
        <w:t>Not by degrees: Improving student mental health in the UK</w:t>
      </w:r>
      <w:r>
        <w:rPr>
          <w:rFonts w:asciiTheme="majorHAnsi" w:hAnsiTheme="majorHAnsi" w:cstheme="majorHAnsi"/>
          <w:i/>
          <w:iCs/>
          <w:sz w:val="24"/>
          <w:szCs w:val="24"/>
        </w:rPr>
        <w:t>’</w:t>
      </w:r>
      <w:r w:rsidRPr="00324423">
        <w:rPr>
          <w:rFonts w:asciiTheme="majorHAnsi" w:hAnsiTheme="majorHAnsi" w:cstheme="majorHAnsi"/>
          <w:i/>
          <w:iCs/>
          <w:sz w:val="24"/>
          <w:szCs w:val="24"/>
        </w:rPr>
        <w:t>s universities</w:t>
      </w:r>
      <w:r>
        <w:rPr>
          <w:rFonts w:asciiTheme="majorHAnsi" w:hAnsiTheme="majorHAnsi" w:cstheme="majorHAnsi"/>
          <w:i/>
          <w:iCs/>
          <w:sz w:val="24"/>
          <w:szCs w:val="24"/>
        </w:rPr>
        <w:t>.</w:t>
      </w:r>
      <w:r w:rsidRPr="00324423">
        <w:rPr>
          <w:rFonts w:asciiTheme="majorHAnsi" w:hAnsiTheme="majorHAnsi" w:cstheme="majorHAnsi"/>
          <w:sz w:val="24"/>
          <w:szCs w:val="24"/>
        </w:rPr>
        <w:t xml:space="preserve"> Institute for Public Policy Research</w:t>
      </w:r>
    </w:p>
    <w:p w14:paraId="0534A7FE" w14:textId="4BFE613C" w:rsidR="00B54124" w:rsidRPr="00EC6E9E" w:rsidRDefault="00B54124" w:rsidP="00B54124">
      <w:pPr>
        <w:spacing w:line="240" w:lineRule="auto"/>
        <w:jc w:val="both"/>
        <w:rPr>
          <w:rFonts w:asciiTheme="majorHAnsi" w:hAnsiTheme="majorHAnsi" w:cstheme="majorHAnsi"/>
          <w:sz w:val="24"/>
          <w:szCs w:val="24"/>
        </w:rPr>
      </w:pPr>
      <w:r w:rsidRPr="00E02F28">
        <w:rPr>
          <w:rFonts w:asciiTheme="majorHAnsi" w:hAnsiTheme="majorHAnsi" w:cstheme="majorHAnsi"/>
          <w:sz w:val="24"/>
          <w:szCs w:val="24"/>
        </w:rPr>
        <w:t>Towness O</w:t>
      </w:r>
      <w:r>
        <w:rPr>
          <w:rFonts w:asciiTheme="majorHAnsi" w:hAnsiTheme="majorHAnsi" w:cstheme="majorHAnsi"/>
          <w:sz w:val="24"/>
          <w:szCs w:val="24"/>
        </w:rPr>
        <w:t>’</w:t>
      </w:r>
      <w:r w:rsidRPr="00E02F28">
        <w:rPr>
          <w:rFonts w:asciiTheme="majorHAnsi" w:hAnsiTheme="majorHAnsi" w:cstheme="majorHAnsi"/>
          <w:sz w:val="24"/>
          <w:szCs w:val="24"/>
        </w:rPr>
        <w:t>Brien</w:t>
      </w:r>
      <w:r>
        <w:rPr>
          <w:rFonts w:asciiTheme="majorHAnsi" w:hAnsiTheme="majorHAnsi" w:cstheme="majorHAnsi"/>
          <w:sz w:val="24"/>
          <w:szCs w:val="24"/>
        </w:rPr>
        <w:t>, M</w:t>
      </w:r>
      <w:r w:rsidRPr="00E02F28">
        <w:rPr>
          <w:rFonts w:asciiTheme="majorHAnsi" w:hAnsiTheme="majorHAnsi" w:cstheme="majorHAnsi"/>
          <w:sz w:val="24"/>
          <w:szCs w:val="24"/>
        </w:rPr>
        <w:t xml:space="preserve"> et al</w:t>
      </w:r>
      <w:r>
        <w:rPr>
          <w:rFonts w:asciiTheme="majorHAnsi" w:hAnsiTheme="majorHAnsi" w:cstheme="majorHAnsi"/>
          <w:sz w:val="24"/>
          <w:szCs w:val="24"/>
        </w:rPr>
        <w:t xml:space="preserve"> (2011)</w:t>
      </w:r>
      <w:r w:rsidRPr="00E02F28">
        <w:rPr>
          <w:rFonts w:asciiTheme="majorHAnsi" w:hAnsiTheme="majorHAnsi" w:cstheme="majorHAnsi"/>
          <w:sz w:val="24"/>
          <w:szCs w:val="24"/>
        </w:rPr>
        <w:t xml:space="preserve"> </w:t>
      </w:r>
      <w:r w:rsidR="00C426AF">
        <w:rPr>
          <w:rFonts w:asciiTheme="majorHAnsi" w:hAnsiTheme="majorHAnsi" w:cstheme="majorHAnsi"/>
          <w:sz w:val="24"/>
          <w:szCs w:val="24"/>
        </w:rPr>
        <w:t>‘</w:t>
      </w:r>
      <w:r w:rsidRPr="00E02F28">
        <w:rPr>
          <w:rFonts w:asciiTheme="majorHAnsi" w:hAnsiTheme="majorHAnsi" w:cstheme="majorHAnsi"/>
          <w:sz w:val="24"/>
          <w:szCs w:val="24"/>
        </w:rPr>
        <w:t>No Time to Lose: Negative Impact on Law Student Wellbeing May Begin in Year One</w:t>
      </w:r>
      <w:r w:rsidR="00C426AF">
        <w:rPr>
          <w:rFonts w:asciiTheme="majorHAnsi" w:hAnsiTheme="majorHAnsi" w:cstheme="majorHAnsi"/>
          <w:sz w:val="24"/>
          <w:szCs w:val="24"/>
        </w:rPr>
        <w:t>’</w:t>
      </w:r>
      <w:r>
        <w:rPr>
          <w:rFonts w:asciiTheme="majorHAnsi" w:hAnsiTheme="majorHAnsi" w:cstheme="majorHAnsi"/>
          <w:sz w:val="24"/>
          <w:szCs w:val="24"/>
        </w:rPr>
        <w:t xml:space="preserve"> </w:t>
      </w:r>
      <w:r w:rsidRPr="00E02F28">
        <w:rPr>
          <w:rFonts w:asciiTheme="majorHAnsi" w:hAnsiTheme="majorHAnsi" w:cstheme="majorHAnsi"/>
          <w:sz w:val="24"/>
          <w:szCs w:val="24"/>
        </w:rPr>
        <w:t>The International Journal of the First Year in Higher Education, 2(2), 49-60</w:t>
      </w:r>
    </w:p>
    <w:p w14:paraId="501D6755" w14:textId="17D987ED" w:rsidR="00B54124" w:rsidRDefault="00B54124" w:rsidP="00B54124">
      <w:pPr>
        <w:spacing w:line="240" w:lineRule="auto"/>
        <w:jc w:val="both"/>
        <w:rPr>
          <w:rFonts w:asciiTheme="majorHAnsi" w:hAnsiTheme="majorHAnsi" w:cstheme="majorHAnsi"/>
          <w:bCs/>
          <w:sz w:val="24"/>
          <w:szCs w:val="24"/>
        </w:rPr>
      </w:pPr>
      <w:r w:rsidRPr="00C41C91">
        <w:rPr>
          <w:rFonts w:asciiTheme="majorHAnsi" w:hAnsiTheme="majorHAnsi" w:cstheme="majorHAnsi"/>
          <w:bCs/>
          <w:sz w:val="24"/>
          <w:szCs w:val="24"/>
        </w:rPr>
        <w:t>Towness O</w:t>
      </w:r>
      <w:r>
        <w:rPr>
          <w:rFonts w:asciiTheme="majorHAnsi" w:hAnsiTheme="majorHAnsi" w:cstheme="majorHAnsi"/>
          <w:bCs/>
          <w:sz w:val="24"/>
          <w:szCs w:val="24"/>
        </w:rPr>
        <w:t>’</w:t>
      </w:r>
      <w:r w:rsidRPr="00C41C91">
        <w:rPr>
          <w:rFonts w:asciiTheme="majorHAnsi" w:hAnsiTheme="majorHAnsi" w:cstheme="majorHAnsi"/>
          <w:bCs/>
          <w:sz w:val="24"/>
          <w:szCs w:val="24"/>
        </w:rPr>
        <w:t xml:space="preserve">Brien, M, Tang, S and Hall, K (2011) </w:t>
      </w:r>
      <w:r w:rsidR="00C426AF">
        <w:rPr>
          <w:rFonts w:asciiTheme="majorHAnsi" w:hAnsiTheme="majorHAnsi" w:cstheme="majorHAnsi"/>
          <w:bCs/>
          <w:sz w:val="24"/>
          <w:szCs w:val="24"/>
        </w:rPr>
        <w:t>‘</w:t>
      </w:r>
      <w:r w:rsidRPr="00C41C91">
        <w:rPr>
          <w:rFonts w:asciiTheme="majorHAnsi" w:hAnsiTheme="majorHAnsi" w:cstheme="majorHAnsi"/>
          <w:bCs/>
          <w:sz w:val="24"/>
          <w:szCs w:val="24"/>
        </w:rPr>
        <w:t>Changing our thinking: Empirical research on law student wellbeing, thinking styles and the law curriculum</w:t>
      </w:r>
      <w:r w:rsidR="00C426AF">
        <w:rPr>
          <w:rFonts w:asciiTheme="majorHAnsi" w:hAnsiTheme="majorHAnsi" w:cstheme="majorHAnsi"/>
          <w:bCs/>
          <w:sz w:val="24"/>
          <w:szCs w:val="24"/>
        </w:rPr>
        <w:t>’</w:t>
      </w:r>
      <w:r w:rsidRPr="00C41C91">
        <w:rPr>
          <w:rFonts w:asciiTheme="majorHAnsi" w:hAnsiTheme="majorHAnsi" w:cstheme="majorHAnsi"/>
          <w:bCs/>
          <w:sz w:val="24"/>
          <w:szCs w:val="24"/>
        </w:rPr>
        <w:t xml:space="preserve"> 21 Legal Education Review 149</w:t>
      </w:r>
    </w:p>
    <w:p w14:paraId="21BC2A74" w14:textId="77777777" w:rsidR="00B54124" w:rsidRDefault="00B54124" w:rsidP="00B54124">
      <w:pPr>
        <w:spacing w:line="240" w:lineRule="auto"/>
        <w:rPr>
          <w:rFonts w:asciiTheme="majorHAnsi" w:hAnsiTheme="majorHAnsi" w:cstheme="majorHAnsi"/>
          <w:sz w:val="24"/>
          <w:szCs w:val="24"/>
        </w:rPr>
      </w:pPr>
    </w:p>
    <w:sectPr w:rsidR="00B54124">
      <w:footerReference w:type="defaul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mma Jones" w:date="2021-10-25T13:24:00Z" w:initials="EJ">
    <w:p w14:paraId="44A166CF" w14:textId="24305283" w:rsidR="007068A9" w:rsidRDefault="007068A9">
      <w:pPr>
        <w:pStyle w:val="CommentText"/>
      </w:pPr>
      <w:r>
        <w:rPr>
          <w:rStyle w:val="CommentReference"/>
        </w:rPr>
        <w:annotationRef/>
      </w:r>
      <w:r>
        <w:t>I think this should be ‘good’ or ‘positive’ mental health, as everyone ha mental health, or you could just say ‘wellbeing’.</w:t>
      </w:r>
    </w:p>
  </w:comment>
  <w:comment w:id="1" w:author="Stella Coyle" w:date="2021-11-11T16:37:00Z" w:initials="SC">
    <w:p w14:paraId="7369A229" w14:textId="77777777" w:rsidR="00DF5B4A" w:rsidRDefault="00DF5B4A">
      <w:pPr>
        <w:pStyle w:val="CommentText"/>
      </w:pPr>
      <w:r>
        <w:rPr>
          <w:rStyle w:val="CommentReference"/>
        </w:rPr>
        <w:annotationRef/>
      </w:r>
      <w:r>
        <w:t>I agree that ‘wellbeing’ is fine on its own.</w:t>
      </w:r>
    </w:p>
    <w:p w14:paraId="0CBFB9EF" w14:textId="0A763205" w:rsidR="00DF5B4A" w:rsidRDefault="00DF5B4A">
      <w:pPr>
        <w:pStyle w:val="CommentText"/>
      </w:pPr>
    </w:p>
  </w:comment>
  <w:comment w:id="3" w:author="Emma Jones" w:date="2021-10-25T13:25:00Z" w:initials="EJ">
    <w:p w14:paraId="49C58147" w14:textId="196D1677" w:rsidR="0060211B" w:rsidRDefault="0060211B">
      <w:pPr>
        <w:pStyle w:val="CommentText"/>
      </w:pPr>
      <w:r>
        <w:rPr>
          <w:rStyle w:val="CommentReference"/>
        </w:rPr>
        <w:annotationRef/>
      </w:r>
      <w:r>
        <w:t xml:space="preserve">This is a concept, rather than a programme, I </w:t>
      </w:r>
      <w:proofErr w:type="gramStart"/>
      <w:r>
        <w:t>think?</w:t>
      </w:r>
      <w:proofErr w:type="gramEnd"/>
    </w:p>
  </w:comment>
  <w:comment w:id="4" w:author="Stella Coyle" w:date="2021-11-11T16:38:00Z" w:initials="SC">
    <w:p w14:paraId="01317ECD" w14:textId="2BE2F9A4" w:rsidR="00DF5B4A" w:rsidRDefault="00DF5B4A">
      <w:pPr>
        <w:pStyle w:val="CommentText"/>
      </w:pPr>
      <w:r>
        <w:rPr>
          <w:rStyle w:val="CommentReference"/>
        </w:rPr>
        <w:annotationRef/>
      </w:r>
      <w:r>
        <w:t>Amended, thank you.</w:t>
      </w:r>
    </w:p>
  </w:comment>
  <w:comment w:id="8" w:author="Caroline Strevens" w:date="2021-10-21T09:39:00Z" w:initials="CS">
    <w:p w14:paraId="2F951B60" w14:textId="72264B83" w:rsidR="00345228" w:rsidRDefault="00345228">
      <w:pPr>
        <w:pStyle w:val="CommentText"/>
      </w:pPr>
      <w:r>
        <w:rPr>
          <w:rStyle w:val="CommentReference"/>
        </w:rPr>
        <w:annotationRef/>
      </w:r>
      <w:r>
        <w:t>In what respect?</w:t>
      </w:r>
    </w:p>
  </w:comment>
  <w:comment w:id="9" w:author="Stella Coyle" w:date="2021-11-11T16:39:00Z" w:initials="SC">
    <w:p w14:paraId="0FE3D636" w14:textId="00FDD081" w:rsidR="00DF5B4A" w:rsidRDefault="00DF5B4A">
      <w:pPr>
        <w:pStyle w:val="CommentText"/>
      </w:pPr>
      <w:r>
        <w:rPr>
          <w:rStyle w:val="CommentReference"/>
        </w:rPr>
        <w:annotationRef/>
      </w:r>
      <w:r>
        <w:t>Amended to indicate that this was through the module evaluation.</w:t>
      </w:r>
    </w:p>
  </w:comment>
  <w:comment w:id="10" w:author="Caroline Strevens" w:date="2021-10-21T09:38:00Z" w:initials="CS">
    <w:p w14:paraId="72B4C266" w14:textId="64E13AAE" w:rsidR="00CE757E" w:rsidRDefault="00CE757E">
      <w:pPr>
        <w:pStyle w:val="CommentText"/>
      </w:pPr>
      <w:r>
        <w:rPr>
          <w:rStyle w:val="CommentReference"/>
        </w:rPr>
        <w:annotationRef/>
      </w:r>
      <w:r w:rsidR="00345228">
        <w:t>Do you know this</w:t>
      </w:r>
      <w:proofErr w:type="gramStart"/>
      <w:r w:rsidR="00345228">
        <w:t xml:space="preserve">?  </w:t>
      </w:r>
      <w:proofErr w:type="gramEnd"/>
      <w:r w:rsidR="00345228">
        <w:t>It’s a possibility!</w:t>
      </w:r>
    </w:p>
  </w:comment>
  <w:comment w:id="11" w:author="Stella Coyle" w:date="2021-11-11T16:40:00Z" w:initials="SC">
    <w:p w14:paraId="6F4DE3E9" w14:textId="77450A19" w:rsidR="00DF5B4A" w:rsidRDefault="00DF5B4A">
      <w:pPr>
        <w:pStyle w:val="CommentText"/>
      </w:pPr>
      <w:r>
        <w:rPr>
          <w:rStyle w:val="CommentReference"/>
        </w:rPr>
        <w:annotationRef/>
      </w:r>
      <w:r>
        <w:t xml:space="preserve">Conceded, and amended accordingly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15" w:author="Caroline Strevens" w:date="2021-10-21T09:45:00Z" w:initials="CS">
    <w:p w14:paraId="00854CBA" w14:textId="21B123D3" w:rsidR="00345228" w:rsidRDefault="00345228">
      <w:pPr>
        <w:pStyle w:val="CommentText"/>
      </w:pPr>
      <w:r>
        <w:rPr>
          <w:rStyle w:val="CommentReference"/>
        </w:rPr>
        <w:annotationRef/>
      </w:r>
      <w:r>
        <w:t>Aimed at enhancing unless you measured that it has enhanced?</w:t>
      </w:r>
    </w:p>
  </w:comment>
  <w:comment w:id="16" w:author="Stella Coyle" w:date="2021-11-11T16:43:00Z" w:initials="SC">
    <w:p w14:paraId="027151BF" w14:textId="061A0D01" w:rsidR="00D3599D" w:rsidRDefault="00D3599D">
      <w:pPr>
        <w:pStyle w:val="CommentText"/>
      </w:pPr>
      <w:r>
        <w:rPr>
          <w:rStyle w:val="CommentReference"/>
        </w:rPr>
        <w:annotationRef/>
      </w:r>
      <w:r>
        <w:t>Agreed – and amended accordingly.</w:t>
      </w:r>
    </w:p>
  </w:comment>
  <w:comment w:id="17" w:author="Caroline Strevens" w:date="2021-10-21T09:45:00Z" w:initials="CS">
    <w:p w14:paraId="23B8077B" w14:textId="11529E31" w:rsidR="00345228" w:rsidRDefault="00345228">
      <w:pPr>
        <w:pStyle w:val="CommentText"/>
      </w:pPr>
      <w:r>
        <w:rPr>
          <w:rStyle w:val="CommentReference"/>
        </w:rPr>
        <w:annotationRef/>
      </w:r>
      <w:r>
        <w:t>How do you know this?</w:t>
      </w:r>
    </w:p>
  </w:comment>
  <w:comment w:id="18" w:author="Stella Coyle" w:date="2021-11-11T16:45:00Z" w:initials="SC">
    <w:p w14:paraId="768649A6" w14:textId="78D48DCD" w:rsidR="00D3599D" w:rsidRDefault="00D3599D">
      <w:pPr>
        <w:pStyle w:val="CommentText"/>
      </w:pPr>
      <w:r>
        <w:rPr>
          <w:rStyle w:val="CommentReference"/>
        </w:rPr>
        <w:annotationRef/>
      </w:r>
      <w:r>
        <w:t>‘as evidenced in our team meetings’ added.</w:t>
      </w:r>
    </w:p>
  </w:comment>
  <w:comment w:id="19" w:author="Caroline Strevens" w:date="2021-10-21T09:50:00Z" w:initials="CS">
    <w:p w14:paraId="1F214DE1" w14:textId="14A86F5C" w:rsidR="001569A1" w:rsidRDefault="001569A1">
      <w:pPr>
        <w:pStyle w:val="CommentText"/>
      </w:pPr>
      <w:r>
        <w:rPr>
          <w:rStyle w:val="CommentReference"/>
        </w:rPr>
        <w:annotationRef/>
      </w:r>
      <w:r>
        <w:t>Not sure what point you are making here – please can you elaborate?</w:t>
      </w:r>
    </w:p>
  </w:comment>
  <w:comment w:id="20" w:author="Stella Coyle" w:date="2021-11-11T16:47:00Z" w:initials="SC">
    <w:p w14:paraId="69A3E9ED" w14:textId="7555F4EC" w:rsidR="008329CE" w:rsidRDefault="008329CE">
      <w:pPr>
        <w:pStyle w:val="CommentText"/>
      </w:pPr>
      <w:r>
        <w:rPr>
          <w:rStyle w:val="CommentReference"/>
        </w:rPr>
        <w:annotationRef/>
      </w:r>
      <w:r>
        <w:t xml:space="preserve">Amended to </w:t>
      </w:r>
      <w:proofErr w:type="gramStart"/>
      <w:r>
        <w:t>say</w:t>
      </w:r>
      <w:proofErr w:type="gramEnd"/>
      <w:r>
        <w:t xml:space="preserve"> ‘and some may have found the lack of in-person contact difficult to cope with’.</w:t>
      </w:r>
    </w:p>
  </w:comment>
  <w:comment w:id="21" w:author="Caroline Strevens" w:date="2021-10-21T09:52:00Z" w:initials="CS">
    <w:p w14:paraId="1CC4D06D" w14:textId="04D840F9" w:rsidR="001569A1" w:rsidRDefault="001569A1">
      <w:pPr>
        <w:pStyle w:val="CommentText"/>
      </w:pPr>
      <w:r>
        <w:rPr>
          <w:rStyle w:val="CommentReference"/>
        </w:rPr>
        <w:annotationRef/>
      </w:r>
      <w:r>
        <w:t xml:space="preserve">This is interesting – perhaps the focus of a new article. I am interested in the comments you make about staff but since you did not specifically survey them perhaps the comments need to be more </w:t>
      </w:r>
      <w:proofErr w:type="gramStart"/>
      <w:r>
        <w:t>qualified?</w:t>
      </w:r>
      <w:proofErr w:type="gramEnd"/>
    </w:p>
  </w:comment>
  <w:comment w:id="22" w:author="Stella Coyle" w:date="2021-11-11T16:50:00Z" w:initials="SC">
    <w:p w14:paraId="68EDCFEC" w14:textId="4557AAE5" w:rsidR="008329CE" w:rsidRDefault="008329CE">
      <w:pPr>
        <w:pStyle w:val="CommentText"/>
      </w:pPr>
      <w:r>
        <w:rPr>
          <w:rStyle w:val="CommentReference"/>
        </w:rPr>
        <w:annotationRef/>
      </w:r>
      <w:r>
        <w:t>Agreed – I have reworded it to indicate that this feedback came during team meetings.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A166CF" w15:done="0"/>
  <w15:commentEx w15:paraId="0CBFB9EF" w15:paraIdParent="44A166CF" w15:done="0"/>
  <w15:commentEx w15:paraId="49C58147" w15:done="0"/>
  <w15:commentEx w15:paraId="01317ECD" w15:paraIdParent="49C58147" w15:done="0"/>
  <w15:commentEx w15:paraId="2F951B60" w15:done="0"/>
  <w15:commentEx w15:paraId="0FE3D636" w15:paraIdParent="2F951B60" w15:done="0"/>
  <w15:commentEx w15:paraId="72B4C266" w15:done="0"/>
  <w15:commentEx w15:paraId="6F4DE3E9" w15:paraIdParent="72B4C266" w15:done="0"/>
  <w15:commentEx w15:paraId="00854CBA" w15:done="0"/>
  <w15:commentEx w15:paraId="027151BF" w15:paraIdParent="00854CBA" w15:done="0"/>
  <w15:commentEx w15:paraId="23B8077B" w15:done="0"/>
  <w15:commentEx w15:paraId="768649A6" w15:paraIdParent="23B8077B" w15:done="0"/>
  <w15:commentEx w15:paraId="1F214DE1" w15:done="0"/>
  <w15:commentEx w15:paraId="69A3E9ED" w15:paraIdParent="1F214DE1" w15:done="0"/>
  <w15:commentEx w15:paraId="1CC4D06D" w15:done="0"/>
  <w15:commentEx w15:paraId="68EDCFEC" w15:paraIdParent="1CC4D0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12E7E" w16cex:dateUtc="2021-10-25T12:24:00Z"/>
  <w16cex:commentExtensible w16cex:durableId="2537C54A" w16cex:dateUtc="2021-11-11T16:37:00Z"/>
  <w16cex:commentExtensible w16cex:durableId="25212ECE" w16cex:dateUtc="2021-10-25T12:25:00Z"/>
  <w16cex:commentExtensible w16cex:durableId="2537C57C" w16cex:dateUtc="2021-11-11T16:38:00Z"/>
  <w16cex:commentExtensible w16cex:durableId="251BB3C4" w16cex:dateUtc="2021-10-21T08:39:00Z"/>
  <w16cex:commentExtensible w16cex:durableId="2537C5CF" w16cex:dateUtc="2021-11-11T16:39:00Z"/>
  <w16cex:commentExtensible w16cex:durableId="251BB39A" w16cex:dateUtc="2021-10-21T08:38:00Z"/>
  <w16cex:commentExtensible w16cex:durableId="2537C617" w16cex:dateUtc="2021-11-11T16:40:00Z"/>
  <w16cex:commentExtensible w16cex:durableId="251BB51D" w16cex:dateUtc="2021-10-21T08:45:00Z"/>
  <w16cex:commentExtensible w16cex:durableId="2537C6CB" w16cex:dateUtc="2021-11-11T16:43:00Z"/>
  <w16cex:commentExtensible w16cex:durableId="251BB542" w16cex:dateUtc="2021-10-21T08:45:00Z"/>
  <w16cex:commentExtensible w16cex:durableId="2537C711" w16cex:dateUtc="2021-11-11T16:45:00Z"/>
  <w16cex:commentExtensible w16cex:durableId="251BB661" w16cex:dateUtc="2021-10-21T08:50:00Z"/>
  <w16cex:commentExtensible w16cex:durableId="2537C7AC" w16cex:dateUtc="2021-11-11T16:47:00Z"/>
  <w16cex:commentExtensible w16cex:durableId="251BB6F4" w16cex:dateUtc="2021-10-21T08:52:00Z"/>
  <w16cex:commentExtensible w16cex:durableId="2537C853" w16cex:dateUtc="2021-11-11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A166CF" w16cid:durableId="25212E7E"/>
  <w16cid:commentId w16cid:paraId="0CBFB9EF" w16cid:durableId="2537C54A"/>
  <w16cid:commentId w16cid:paraId="49C58147" w16cid:durableId="25212ECE"/>
  <w16cid:commentId w16cid:paraId="01317ECD" w16cid:durableId="2537C57C"/>
  <w16cid:commentId w16cid:paraId="2F951B60" w16cid:durableId="251BB3C4"/>
  <w16cid:commentId w16cid:paraId="0FE3D636" w16cid:durableId="2537C5CF"/>
  <w16cid:commentId w16cid:paraId="72B4C266" w16cid:durableId="251BB39A"/>
  <w16cid:commentId w16cid:paraId="6F4DE3E9" w16cid:durableId="2537C617"/>
  <w16cid:commentId w16cid:paraId="00854CBA" w16cid:durableId="251BB51D"/>
  <w16cid:commentId w16cid:paraId="027151BF" w16cid:durableId="2537C6CB"/>
  <w16cid:commentId w16cid:paraId="23B8077B" w16cid:durableId="251BB542"/>
  <w16cid:commentId w16cid:paraId="768649A6" w16cid:durableId="2537C711"/>
  <w16cid:commentId w16cid:paraId="1F214DE1" w16cid:durableId="251BB661"/>
  <w16cid:commentId w16cid:paraId="69A3E9ED" w16cid:durableId="2537C7AC"/>
  <w16cid:commentId w16cid:paraId="1CC4D06D" w16cid:durableId="251BB6F4"/>
  <w16cid:commentId w16cid:paraId="68EDCFEC" w16cid:durableId="2537C8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8F786" w14:textId="77777777" w:rsidR="005E17FE" w:rsidRDefault="005E17FE" w:rsidP="00910280">
      <w:pPr>
        <w:spacing w:after="0" w:line="240" w:lineRule="auto"/>
      </w:pPr>
      <w:r>
        <w:separator/>
      </w:r>
    </w:p>
  </w:endnote>
  <w:endnote w:type="continuationSeparator" w:id="0">
    <w:p w14:paraId="769319A9" w14:textId="77777777" w:rsidR="005E17FE" w:rsidRDefault="005E17FE" w:rsidP="00910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46544"/>
      <w:docPartObj>
        <w:docPartGallery w:val="Page Numbers (Bottom of Page)"/>
        <w:docPartUnique/>
      </w:docPartObj>
    </w:sdtPr>
    <w:sdtEndPr>
      <w:rPr>
        <w:noProof/>
      </w:rPr>
    </w:sdtEndPr>
    <w:sdtContent>
      <w:p w14:paraId="7A64B5DF" w14:textId="5A62045A" w:rsidR="005017D2" w:rsidRDefault="005017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0E367C" w14:textId="77777777" w:rsidR="005017D2" w:rsidRDefault="00501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F71D9" w14:textId="77777777" w:rsidR="005E17FE" w:rsidRDefault="005E17FE" w:rsidP="00910280">
      <w:pPr>
        <w:spacing w:after="0" w:line="240" w:lineRule="auto"/>
      </w:pPr>
      <w:r>
        <w:separator/>
      </w:r>
    </w:p>
  </w:footnote>
  <w:footnote w:type="continuationSeparator" w:id="0">
    <w:p w14:paraId="0D8034C6" w14:textId="77777777" w:rsidR="005E17FE" w:rsidRDefault="005E17FE" w:rsidP="00910280">
      <w:pPr>
        <w:spacing w:after="0" w:line="240" w:lineRule="auto"/>
      </w:pPr>
      <w:r>
        <w:continuationSeparator/>
      </w:r>
    </w:p>
  </w:footnote>
  <w:footnote w:id="1">
    <w:p w14:paraId="1573C19D" w14:textId="77777777" w:rsidR="00F02D91" w:rsidRDefault="00F02D91" w:rsidP="00F02D91">
      <w:pPr>
        <w:pStyle w:val="FootnoteText"/>
      </w:pPr>
      <w:r>
        <w:rPr>
          <w:rStyle w:val="FootnoteReference"/>
        </w:rPr>
        <w:footnoteRef/>
      </w:r>
      <w:r>
        <w:t xml:space="preserve"> NK </w:t>
      </w:r>
      <w:r w:rsidRPr="00DE4408">
        <w:t>Skread</w:t>
      </w:r>
      <w:r>
        <w:t xml:space="preserve"> </w:t>
      </w:r>
      <w:r w:rsidRPr="00DE4408">
        <w:t xml:space="preserve">and </w:t>
      </w:r>
      <w:r>
        <w:t xml:space="preserve">SL </w:t>
      </w:r>
      <w:r w:rsidRPr="00DE4408">
        <w:t>Rogers</w:t>
      </w:r>
      <w:r>
        <w:t>,</w:t>
      </w:r>
      <w:r w:rsidRPr="00DE4408">
        <w:t xml:space="preserve"> ‘Stress, Anxiety and Depression in Law Students: How Student Behaviours Affect Student Wellbeing’ Monash University Law Review (2014</w:t>
      </w:r>
      <w:r>
        <w:t xml:space="preserve">), </w:t>
      </w:r>
      <w:r w:rsidRPr="00DE4408">
        <w:t>30(2), 564-587</w:t>
      </w:r>
    </w:p>
  </w:footnote>
  <w:footnote w:id="2">
    <w:p w14:paraId="2B0EFE4D" w14:textId="48877E1D" w:rsidR="005017D2" w:rsidRDefault="005017D2" w:rsidP="00040C61">
      <w:pPr>
        <w:pStyle w:val="FootnoteText"/>
      </w:pPr>
      <w:r>
        <w:rPr>
          <w:rStyle w:val="FootnoteReference"/>
        </w:rPr>
        <w:footnoteRef/>
      </w:r>
      <w:r>
        <w:t xml:space="preserve"> J Duffy, R Field </w:t>
      </w:r>
      <w:r w:rsidRPr="00ED02AE">
        <w:t xml:space="preserve">and </w:t>
      </w:r>
      <w:r>
        <w:t xml:space="preserve">M Shirley, </w:t>
      </w:r>
      <w:r w:rsidR="00EF3BF6">
        <w:t>‘</w:t>
      </w:r>
      <w:r w:rsidRPr="00ED02AE">
        <w:t>Engaging Law Students to Promote Psycholog</w:t>
      </w:r>
      <w:r>
        <w:t>ical Health</w:t>
      </w:r>
      <w:r w:rsidR="00EF3BF6">
        <w:t>’</w:t>
      </w:r>
      <w:r>
        <w:t xml:space="preserve"> </w:t>
      </w:r>
      <w:r w:rsidRPr="00ED02AE">
        <w:t xml:space="preserve">(2011) </w:t>
      </w:r>
      <w:r>
        <w:t>Alt LJ 36 (4), 250-4</w:t>
      </w:r>
    </w:p>
  </w:footnote>
  <w:footnote w:id="3">
    <w:p w14:paraId="10ABBF55" w14:textId="783A8D61" w:rsidR="005017D2" w:rsidRDefault="005017D2" w:rsidP="009D356A">
      <w:pPr>
        <w:pStyle w:val="FootnoteText"/>
      </w:pPr>
      <w:r>
        <w:rPr>
          <w:rStyle w:val="FootnoteReference"/>
        </w:rPr>
        <w:footnoteRef/>
      </w:r>
      <w:r>
        <w:t xml:space="preserve"> SM Kift,</w:t>
      </w:r>
      <w:r w:rsidRPr="00ED02AE">
        <w:t xml:space="preserve"> </w:t>
      </w:r>
      <w:r>
        <w:t xml:space="preserve">KJ Nelson </w:t>
      </w:r>
      <w:r w:rsidRPr="00ED02AE">
        <w:t xml:space="preserve">and </w:t>
      </w:r>
      <w:r>
        <w:t xml:space="preserve">JA Clarke, </w:t>
      </w:r>
      <w:r w:rsidR="00F30EAF">
        <w:t>‘</w:t>
      </w:r>
      <w:r w:rsidRPr="00ED02AE">
        <w:t>Transition pedagogy: a third</w:t>
      </w:r>
      <w:r w:rsidR="0048602C">
        <w:t>-</w:t>
      </w:r>
      <w:r w:rsidRPr="00ED02AE">
        <w:t>generation approach to FYE: a case study of policy and practice for the higher education sector</w:t>
      </w:r>
      <w:r w:rsidR="00F30EAF">
        <w:t>’</w:t>
      </w:r>
      <w:r w:rsidRPr="00ED02AE">
        <w:t xml:space="preserve"> (2010) The International Journal of the First Year in Higher Education 1(1), 1-20</w:t>
      </w:r>
    </w:p>
  </w:footnote>
  <w:footnote w:id="4">
    <w:p w14:paraId="3810F8F7" w14:textId="4ADF45A9" w:rsidR="00BD1323" w:rsidRDefault="00BD1323">
      <w:pPr>
        <w:pStyle w:val="FootnoteText"/>
      </w:pPr>
      <w:r w:rsidRPr="00493636">
        <w:rPr>
          <w:rStyle w:val="FootnoteReference"/>
        </w:rPr>
        <w:footnoteRef/>
      </w:r>
      <w:r w:rsidRPr="00493636">
        <w:t xml:space="preserve"> See </w:t>
      </w:r>
      <w:r w:rsidR="00465CDF" w:rsidRPr="00493636">
        <w:t xml:space="preserve">for example </w:t>
      </w:r>
      <w:r w:rsidR="001F1DB5" w:rsidRPr="00493636">
        <w:t xml:space="preserve">C </w:t>
      </w:r>
      <w:r w:rsidR="00465CDF" w:rsidRPr="00493636">
        <w:t xml:space="preserve">Thorley, </w:t>
      </w:r>
      <w:r w:rsidR="00465CDF" w:rsidRPr="00493636">
        <w:rPr>
          <w:i/>
        </w:rPr>
        <w:t>Not by degrees: Improving student mental health in the UK’s universities</w:t>
      </w:r>
      <w:r w:rsidR="001F1DB5" w:rsidRPr="00493636">
        <w:rPr>
          <w:i/>
        </w:rPr>
        <w:t xml:space="preserve"> </w:t>
      </w:r>
      <w:r w:rsidR="001F1DB5" w:rsidRPr="00493636">
        <w:t>(</w:t>
      </w:r>
      <w:r w:rsidR="000E6578" w:rsidRPr="00493636">
        <w:t>Institute for Public Policy Research</w:t>
      </w:r>
      <w:r w:rsidR="000E6578">
        <w:t xml:space="preserve">, </w:t>
      </w:r>
      <w:r w:rsidR="001F1DB5" w:rsidRPr="00493636">
        <w:t>2017)</w:t>
      </w:r>
      <w:r w:rsidR="00D736F3" w:rsidRPr="00493636">
        <w:t>; Emma Jones</w:t>
      </w:r>
      <w:r w:rsidR="00C0280B">
        <w:t xml:space="preserve">, </w:t>
      </w:r>
      <w:r w:rsidR="00C0280B" w:rsidRPr="00973C65">
        <w:rPr>
          <w:i/>
          <w:iCs/>
        </w:rPr>
        <w:t>Emotions in the Law School: Transforming Legal Education through the Passions</w:t>
      </w:r>
      <w:r w:rsidR="00C0280B">
        <w:t xml:space="preserve"> (</w:t>
      </w:r>
      <w:r w:rsidR="00C0280B" w:rsidRPr="00973C65">
        <w:t>Routledge</w:t>
      </w:r>
      <w:r w:rsidR="00C0280B">
        <w:t>, 2020);</w:t>
      </w:r>
      <w:r w:rsidR="00366796" w:rsidRPr="00493636">
        <w:t xml:space="preserve"> 126-9</w:t>
      </w:r>
      <w:r w:rsidR="00D736F3" w:rsidRPr="00493636">
        <w:t>;</w:t>
      </w:r>
      <w:r w:rsidR="00493636" w:rsidRPr="00493636">
        <w:rPr>
          <w:bCs/>
        </w:rPr>
        <w:t xml:space="preserve"> Caroline Strevens and Clare Wilson, ‘Law Student Wellbeing in the UK: a call for curriculum intervention’ (2016) &lt;http://law-school.open.ac.uk/sites/law-school.open.ac.uk/files/files/Law student wellbeing in the UK.pdf&gt; (accessed 29 October 2019)</w:t>
      </w:r>
    </w:p>
  </w:footnote>
  <w:footnote w:id="5">
    <w:p w14:paraId="78BFF775" w14:textId="5EF11D64" w:rsidR="004E3298" w:rsidRDefault="00E210CE" w:rsidP="004E3298">
      <w:pPr>
        <w:pStyle w:val="FootnoteText"/>
      </w:pPr>
      <w:r>
        <w:rPr>
          <w:rStyle w:val="FootnoteReference"/>
        </w:rPr>
        <w:footnoteRef/>
      </w:r>
      <w:r>
        <w:t xml:space="preserve"> </w:t>
      </w:r>
      <w:r w:rsidR="006176A3">
        <w:t xml:space="preserve">See for example </w:t>
      </w:r>
      <w:bookmarkStart w:id="2" w:name="_Hlk79656076"/>
      <w:r w:rsidR="002F09DC" w:rsidRPr="002F09DC">
        <w:t>Nicholas Grubic, Shaylea Badovinac and Amer M Johri</w:t>
      </w:r>
      <w:r w:rsidR="002F09DC">
        <w:t>, ‘</w:t>
      </w:r>
      <w:r w:rsidR="006176A3" w:rsidRPr="006176A3">
        <w:t xml:space="preserve">Student mental health </w:t>
      </w:r>
      <w:proofErr w:type="gramStart"/>
      <w:r w:rsidR="006176A3" w:rsidRPr="006176A3">
        <w:t>in the midst of</w:t>
      </w:r>
      <w:proofErr w:type="gramEnd"/>
      <w:r w:rsidR="006176A3" w:rsidRPr="006176A3">
        <w:t xml:space="preserve"> the COVID-19 pandemic: A call for further research and immediate solutions</w:t>
      </w:r>
      <w:r w:rsidR="002F09DC">
        <w:t>’</w:t>
      </w:r>
      <w:r w:rsidR="004E3298">
        <w:t xml:space="preserve"> International Journal of </w:t>
      </w:r>
    </w:p>
    <w:p w14:paraId="08ECE839" w14:textId="53D50EFD" w:rsidR="00E210CE" w:rsidRDefault="004E3298" w:rsidP="004E3298">
      <w:pPr>
        <w:pStyle w:val="FootnoteText"/>
      </w:pPr>
      <w:r>
        <w:t>Social Psychiatry 2020, Vol 66(5), 517–518</w:t>
      </w:r>
      <w:bookmarkEnd w:id="2"/>
      <w:r w:rsidR="000B307F">
        <w:t xml:space="preserve"> </w:t>
      </w:r>
    </w:p>
  </w:footnote>
  <w:footnote w:id="6">
    <w:p w14:paraId="69665DB1" w14:textId="2F29BD7A" w:rsidR="00191B60" w:rsidRPr="00566CB2" w:rsidRDefault="00191B60" w:rsidP="00191B60">
      <w:pPr>
        <w:pStyle w:val="FootnoteText"/>
        <w:rPr>
          <w:bCs/>
        </w:rPr>
      </w:pPr>
      <w:r>
        <w:rPr>
          <w:rStyle w:val="FootnoteReference"/>
        </w:rPr>
        <w:footnoteRef/>
      </w:r>
      <w:r>
        <w:t xml:space="preserve"> </w:t>
      </w:r>
      <w:r w:rsidR="007D3C30">
        <w:t xml:space="preserve">L </w:t>
      </w:r>
      <w:r w:rsidR="00566CB2" w:rsidRPr="009965C8">
        <w:rPr>
          <w:bCs/>
        </w:rPr>
        <w:t>Bleasdale</w:t>
      </w:r>
      <w:r w:rsidR="007D3C30">
        <w:rPr>
          <w:bCs/>
        </w:rPr>
        <w:t xml:space="preserve"> </w:t>
      </w:r>
      <w:r w:rsidR="00566CB2" w:rsidRPr="009965C8">
        <w:rPr>
          <w:bCs/>
        </w:rPr>
        <w:t xml:space="preserve">and </w:t>
      </w:r>
      <w:r w:rsidR="007D3C30">
        <w:rPr>
          <w:bCs/>
        </w:rPr>
        <w:t xml:space="preserve">S </w:t>
      </w:r>
      <w:r w:rsidR="00566CB2" w:rsidRPr="009965C8">
        <w:rPr>
          <w:bCs/>
        </w:rPr>
        <w:t>Humphreys</w:t>
      </w:r>
      <w:r w:rsidR="007D3C30">
        <w:rPr>
          <w:bCs/>
        </w:rPr>
        <w:t xml:space="preserve">, </w:t>
      </w:r>
      <w:r w:rsidR="00566CB2" w:rsidRPr="009965C8">
        <w:rPr>
          <w:bCs/>
          <w:i/>
        </w:rPr>
        <w:t>Undergraduate resilience research project: Project Report</w:t>
      </w:r>
      <w:r w:rsidR="007D3C30">
        <w:rPr>
          <w:bCs/>
          <w:i/>
        </w:rPr>
        <w:t xml:space="preserve"> </w:t>
      </w:r>
      <w:r w:rsidR="00D41A37">
        <w:rPr>
          <w:bCs/>
        </w:rPr>
        <w:t>(</w:t>
      </w:r>
      <w:r w:rsidR="00566CB2" w:rsidRPr="009965C8">
        <w:rPr>
          <w:bCs/>
        </w:rPr>
        <w:t>Leeds Institute for Teaching Excellence</w:t>
      </w:r>
      <w:r w:rsidR="00D41A37">
        <w:rPr>
          <w:bCs/>
        </w:rPr>
        <w:t xml:space="preserve">, 2018) </w:t>
      </w:r>
      <w:r w:rsidR="00566CB2" w:rsidRPr="009965C8">
        <w:rPr>
          <w:bCs/>
        </w:rPr>
        <w:t>&lt;http://teachingexcellence.leeds.ac.uk/wpcontent/uploads/2018/01/LITEbleasdalehumphreys_fullreport_online.pdf&gt; accessed 7 January 2019</w:t>
      </w:r>
    </w:p>
  </w:footnote>
  <w:footnote w:id="7">
    <w:p w14:paraId="4699039A" w14:textId="5BCFEB0E" w:rsidR="00242F55" w:rsidRDefault="00242F55" w:rsidP="00242F55">
      <w:pPr>
        <w:pStyle w:val="FootnoteText"/>
      </w:pPr>
      <w:r>
        <w:rPr>
          <w:rStyle w:val="FootnoteReference"/>
        </w:rPr>
        <w:footnoteRef/>
      </w:r>
      <w:r>
        <w:t xml:space="preserve"> </w:t>
      </w:r>
      <w:r w:rsidR="00CE06F8" w:rsidRPr="00CE06F8">
        <w:rPr>
          <w:bCs/>
        </w:rPr>
        <w:t>Duffy</w:t>
      </w:r>
      <w:r w:rsidR="0060562A">
        <w:rPr>
          <w:bCs/>
        </w:rPr>
        <w:t xml:space="preserve"> et al </w:t>
      </w:r>
      <w:r w:rsidR="00B22316" w:rsidRPr="00274F7B">
        <w:rPr>
          <w:bCs/>
        </w:rPr>
        <w:t>(n</w:t>
      </w:r>
      <w:r w:rsidR="003309CC">
        <w:rPr>
          <w:bCs/>
        </w:rPr>
        <w:t>2</w:t>
      </w:r>
      <w:r w:rsidR="00B22316" w:rsidRPr="00274F7B">
        <w:rPr>
          <w:bCs/>
        </w:rPr>
        <w:t>),</w:t>
      </w:r>
      <w:r w:rsidR="00B22316">
        <w:rPr>
          <w:bCs/>
        </w:rPr>
        <w:t xml:space="preserve"> </w:t>
      </w:r>
      <w:r w:rsidR="00CE06F8">
        <w:t>250</w:t>
      </w:r>
    </w:p>
  </w:footnote>
  <w:footnote w:id="8">
    <w:p w14:paraId="29EBE783" w14:textId="3561116B" w:rsidR="00052C2C" w:rsidRDefault="00052C2C" w:rsidP="00052C2C">
      <w:pPr>
        <w:pStyle w:val="FootnoteText"/>
      </w:pPr>
      <w:r>
        <w:rPr>
          <w:rStyle w:val="FootnoteReference"/>
        </w:rPr>
        <w:footnoteRef/>
      </w:r>
      <w:r>
        <w:t xml:space="preserve"> </w:t>
      </w:r>
      <w:r w:rsidR="00310971">
        <w:t xml:space="preserve">Emma </w:t>
      </w:r>
      <w:r w:rsidR="00310971" w:rsidRPr="00D75063">
        <w:t>Jones,</w:t>
      </w:r>
      <w:r w:rsidR="00310971">
        <w:t xml:space="preserve"> </w:t>
      </w:r>
      <w:r w:rsidR="00310971" w:rsidRPr="00D75063">
        <w:t xml:space="preserve">‘Transforming legal education through emotions’ </w:t>
      </w:r>
      <w:r w:rsidR="00310971">
        <w:t xml:space="preserve">(2018) </w:t>
      </w:r>
      <w:r w:rsidR="00310971" w:rsidRPr="00D75063">
        <w:t>Legal Studies 38, 450-479</w:t>
      </w:r>
    </w:p>
  </w:footnote>
  <w:footnote w:id="9">
    <w:p w14:paraId="1EF4D649" w14:textId="77777777" w:rsidR="0060524C" w:rsidRPr="003A3191" w:rsidRDefault="0060524C" w:rsidP="0060524C">
      <w:pPr>
        <w:pStyle w:val="FootnoteText"/>
        <w:rPr>
          <w:bCs/>
        </w:rPr>
      </w:pPr>
      <w:r>
        <w:rPr>
          <w:rStyle w:val="FootnoteReference"/>
        </w:rPr>
        <w:footnoteRef/>
      </w:r>
      <w:r>
        <w:t xml:space="preserve"> A </w:t>
      </w:r>
      <w:r w:rsidRPr="00287668">
        <w:rPr>
          <w:bCs/>
        </w:rPr>
        <w:t>Curzon-Hobson ‘A Pedagogy of Trust in Higher Learning’</w:t>
      </w:r>
      <w:r>
        <w:rPr>
          <w:bCs/>
        </w:rPr>
        <w:t xml:space="preserve"> </w:t>
      </w:r>
      <w:r w:rsidRPr="00287668">
        <w:rPr>
          <w:bCs/>
        </w:rPr>
        <w:t>(2002) Teaching in Higher Education 7(3), 265-276</w:t>
      </w:r>
    </w:p>
  </w:footnote>
  <w:footnote w:id="10">
    <w:p w14:paraId="0A274396" w14:textId="55492E8B" w:rsidR="00B3384A" w:rsidRDefault="00B3384A" w:rsidP="00B3384A">
      <w:pPr>
        <w:pStyle w:val="FootnoteText"/>
      </w:pPr>
      <w:r>
        <w:rPr>
          <w:rStyle w:val="FootnoteReference"/>
        </w:rPr>
        <w:footnoteRef/>
      </w:r>
      <w:r>
        <w:t xml:space="preserve"> Neil Gaiman, ‘</w:t>
      </w:r>
      <w:r w:rsidRPr="00CB48DB">
        <w:t>My New Year Wish</w:t>
      </w:r>
      <w:r>
        <w:t>’ (</w:t>
      </w:r>
      <w:r w:rsidRPr="00F01D42">
        <w:rPr>
          <w:i/>
          <w:iCs/>
        </w:rPr>
        <w:t>Journal</w:t>
      </w:r>
      <w:r>
        <w:t>, 31 December 2011) &lt;</w:t>
      </w:r>
      <w:r w:rsidRPr="006D22C3">
        <w:t>https://journal.neilgaiman.com/2011/12/my-new-year-wish.html</w:t>
      </w:r>
      <w:r>
        <w:t>&gt; accessed 28 January 2021</w:t>
      </w:r>
      <w:r w:rsidR="00C94017">
        <w:t xml:space="preserve"> and reproduced with kind permission of the author.</w:t>
      </w:r>
    </w:p>
  </w:footnote>
  <w:footnote w:id="11">
    <w:p w14:paraId="4799E05C" w14:textId="0BFFB8EA" w:rsidR="00614C52" w:rsidRDefault="00614C52" w:rsidP="00614C52">
      <w:pPr>
        <w:pStyle w:val="FootnoteText"/>
      </w:pPr>
      <w:r>
        <w:rPr>
          <w:rStyle w:val="FootnoteReference"/>
        </w:rPr>
        <w:footnoteRef/>
      </w:r>
      <w:r>
        <w:t xml:space="preserve"> </w:t>
      </w:r>
      <w:r w:rsidR="00DD3B1E">
        <w:t xml:space="preserve">M </w:t>
      </w:r>
      <w:r w:rsidR="00DD3B1E" w:rsidRPr="00EC6E9E">
        <w:t>Tani</w:t>
      </w:r>
      <w:r w:rsidR="00DD3B1E">
        <w:t xml:space="preserve"> </w:t>
      </w:r>
      <w:r w:rsidR="00DD3B1E" w:rsidRPr="00EC6E9E">
        <w:t xml:space="preserve">and </w:t>
      </w:r>
      <w:r w:rsidR="00415DE0">
        <w:t xml:space="preserve">P </w:t>
      </w:r>
      <w:r w:rsidR="00DD3B1E" w:rsidRPr="00EC6E9E">
        <w:t>Vines</w:t>
      </w:r>
      <w:r w:rsidR="00415DE0">
        <w:t xml:space="preserve"> </w:t>
      </w:r>
      <w:r w:rsidR="00DD3B1E" w:rsidRPr="00EC6E9E">
        <w:t xml:space="preserve">‘Law Students’ Attitudes to Legal Education: Pointers to Depression In the Legal Academy and the Profession?’ </w:t>
      </w:r>
      <w:r w:rsidR="00415DE0">
        <w:t xml:space="preserve">(2009) </w:t>
      </w:r>
      <w:r w:rsidR="00DD3B1E" w:rsidRPr="00EC6E9E">
        <w:t>Legal Education Review 19(1) Article 2</w:t>
      </w:r>
    </w:p>
  </w:footnote>
  <w:footnote w:id="12">
    <w:p w14:paraId="7540FE03" w14:textId="3C99724A" w:rsidR="00614C52" w:rsidRPr="0063169B" w:rsidRDefault="00614C52" w:rsidP="00614C52">
      <w:pPr>
        <w:pStyle w:val="FootnoteText"/>
      </w:pPr>
      <w:r w:rsidRPr="0063169B">
        <w:rPr>
          <w:rStyle w:val="FootnoteReference"/>
        </w:rPr>
        <w:footnoteRef/>
      </w:r>
      <w:r w:rsidRPr="0063169B">
        <w:t xml:space="preserve"> </w:t>
      </w:r>
      <w:r w:rsidR="00CE7DB3">
        <w:t>(n11)</w:t>
      </w:r>
      <w:r w:rsidR="00415DE0" w:rsidRPr="0063169B">
        <w:t>,</w:t>
      </w:r>
      <w:r w:rsidRPr="0063169B">
        <w:t xml:space="preserve"> 24-27</w:t>
      </w:r>
    </w:p>
  </w:footnote>
  <w:footnote w:id="13">
    <w:p w14:paraId="595DBC10" w14:textId="6C5E7A08" w:rsidR="00614C52" w:rsidRPr="0063169B" w:rsidRDefault="00614C52" w:rsidP="00614C52">
      <w:pPr>
        <w:pStyle w:val="FootnoteText"/>
      </w:pPr>
      <w:r w:rsidRPr="0063169B">
        <w:rPr>
          <w:rStyle w:val="FootnoteReference"/>
        </w:rPr>
        <w:footnoteRef/>
      </w:r>
      <w:r w:rsidRPr="0063169B">
        <w:t xml:space="preserve"> </w:t>
      </w:r>
      <w:r w:rsidR="00CE7DB3">
        <w:t>(n11)</w:t>
      </w:r>
      <w:r w:rsidRPr="0063169B">
        <w:t>, 25</w:t>
      </w:r>
    </w:p>
  </w:footnote>
  <w:footnote w:id="14">
    <w:p w14:paraId="7C049F21" w14:textId="64E36DBF" w:rsidR="00614C52" w:rsidRPr="0063169B" w:rsidRDefault="00614C52" w:rsidP="00614C52">
      <w:pPr>
        <w:pStyle w:val="FootnoteText"/>
      </w:pPr>
      <w:r w:rsidRPr="0063169B">
        <w:rPr>
          <w:rStyle w:val="FootnoteReference"/>
        </w:rPr>
        <w:footnoteRef/>
      </w:r>
      <w:r w:rsidRPr="0063169B">
        <w:t xml:space="preserve"> </w:t>
      </w:r>
      <w:r w:rsidR="00CE7DB3">
        <w:t>(n11)</w:t>
      </w:r>
      <w:r w:rsidRPr="0063169B">
        <w:t>, 29</w:t>
      </w:r>
    </w:p>
  </w:footnote>
  <w:footnote w:id="15">
    <w:p w14:paraId="57E367DB" w14:textId="77777777" w:rsidR="006B3F52" w:rsidRDefault="006B3F52" w:rsidP="006B3F52">
      <w:pPr>
        <w:pStyle w:val="FootnoteText"/>
      </w:pPr>
      <w:r>
        <w:rPr>
          <w:rStyle w:val="FootnoteReference"/>
        </w:rPr>
        <w:footnoteRef/>
      </w:r>
      <w:r>
        <w:t xml:space="preserve"> See for example T </w:t>
      </w:r>
      <w:r w:rsidRPr="00810F53">
        <w:t>Cruwys</w:t>
      </w:r>
      <w:r>
        <w:t xml:space="preserve"> </w:t>
      </w:r>
      <w:r w:rsidRPr="00810F53">
        <w:t xml:space="preserve">et al ‘Depression and Social Identity: An Integrative Review’ </w:t>
      </w:r>
      <w:r>
        <w:t xml:space="preserve">(2014) </w:t>
      </w:r>
      <w:r w:rsidRPr="00810F53">
        <w:t>Personality and Social Psychology Review 18(3)</w:t>
      </w:r>
      <w:r>
        <w:t>,</w:t>
      </w:r>
      <w:r w:rsidRPr="00810F53">
        <w:t xml:space="preserve"> 215-238</w:t>
      </w:r>
      <w:r>
        <w:t xml:space="preserve">; J </w:t>
      </w:r>
      <w:r w:rsidRPr="00981A58">
        <w:t>Jetten</w:t>
      </w:r>
      <w:r>
        <w:t xml:space="preserve"> et al </w:t>
      </w:r>
      <w:r w:rsidRPr="00981A58">
        <w:rPr>
          <w:i/>
        </w:rPr>
        <w:t xml:space="preserve">The social cure: Identity, health, and well-being. </w:t>
      </w:r>
      <w:r>
        <w:t>(</w:t>
      </w:r>
      <w:r w:rsidRPr="00981A58">
        <w:t>Psychology Press</w:t>
      </w:r>
      <w:r>
        <w:t>, 2012)</w:t>
      </w:r>
    </w:p>
  </w:footnote>
  <w:footnote w:id="16">
    <w:p w14:paraId="4A142CE0" w14:textId="77777777" w:rsidR="006B3F52" w:rsidRDefault="006B3F52" w:rsidP="006B3F52">
      <w:pPr>
        <w:pStyle w:val="FootnoteText"/>
      </w:pPr>
      <w:r>
        <w:rPr>
          <w:rStyle w:val="FootnoteReference"/>
        </w:rPr>
        <w:footnoteRef/>
      </w:r>
      <w:r>
        <w:t xml:space="preserve"> K </w:t>
      </w:r>
      <w:r w:rsidRPr="00A83FB2">
        <w:t>Greenaway</w:t>
      </w:r>
      <w:r>
        <w:t xml:space="preserve"> </w:t>
      </w:r>
      <w:r w:rsidRPr="00A83FB2">
        <w:t xml:space="preserve">et al ‘From “We” to “Me”: Group Identification Enhances Perceived Personal Control With Consequences for Health and Wellbeing’ </w:t>
      </w:r>
      <w:r>
        <w:t xml:space="preserve">(2015) </w:t>
      </w:r>
      <w:r w:rsidRPr="00A83FB2">
        <w:t xml:space="preserve">Journal of Personality and Social Psychology 109(1), 53-74 </w:t>
      </w:r>
    </w:p>
  </w:footnote>
  <w:footnote w:id="17">
    <w:p w14:paraId="030A71EF" w14:textId="77777777" w:rsidR="006B3F52" w:rsidRDefault="006B3F52" w:rsidP="006B3F52">
      <w:pPr>
        <w:pStyle w:val="FootnoteText"/>
      </w:pPr>
      <w:r>
        <w:rPr>
          <w:rStyle w:val="FootnoteReference"/>
        </w:rPr>
        <w:footnoteRef/>
      </w:r>
      <w:r>
        <w:t xml:space="preserve"> A Bergin and K Pakenham, ‘Law Student Stress: Relationships Between Academic Demands, Social Isolation, Career Pressure, Study/Life Imbalance and Adjustment Outcomes in Law Students’ (2015) Psychiatry, Psychology and Law, 22(3),388-406, 400</w:t>
      </w:r>
    </w:p>
  </w:footnote>
  <w:footnote w:id="18">
    <w:p w14:paraId="42C18829" w14:textId="77777777" w:rsidR="006B3F52" w:rsidRPr="00064E90" w:rsidRDefault="006B3F52" w:rsidP="006B3F52">
      <w:pPr>
        <w:pStyle w:val="FootnoteText"/>
        <w:rPr>
          <w:bCs/>
        </w:rPr>
      </w:pPr>
      <w:r>
        <w:rPr>
          <w:rStyle w:val="FootnoteReference"/>
        </w:rPr>
        <w:footnoteRef/>
      </w:r>
      <w:r>
        <w:t xml:space="preserve"> N </w:t>
      </w:r>
      <w:r w:rsidRPr="00F3483B">
        <w:rPr>
          <w:bCs/>
        </w:rPr>
        <w:t>Bromberger, ‘Enhancing Law Student Learning – The Nurturing Teacher’ (2010) Legal Education Review 20</w:t>
      </w:r>
      <w:r>
        <w:rPr>
          <w:bCs/>
        </w:rPr>
        <w:t>(</w:t>
      </w:r>
      <w:r w:rsidRPr="00F3483B">
        <w:rPr>
          <w:bCs/>
        </w:rPr>
        <w:t>1</w:t>
      </w:r>
      <w:r>
        <w:rPr>
          <w:bCs/>
        </w:rPr>
        <w:t>)</w:t>
      </w:r>
      <w:r w:rsidRPr="00F3483B">
        <w:rPr>
          <w:bCs/>
        </w:rPr>
        <w:t>, Article 4</w:t>
      </w:r>
    </w:p>
  </w:footnote>
  <w:footnote w:id="19">
    <w:p w14:paraId="055BDA9C" w14:textId="77777777" w:rsidR="00BE1242" w:rsidRDefault="00BE1242" w:rsidP="00BE1242">
      <w:pPr>
        <w:pStyle w:val="FootnoteText"/>
      </w:pPr>
      <w:r>
        <w:rPr>
          <w:rStyle w:val="FootnoteReference"/>
        </w:rPr>
        <w:footnoteRef/>
      </w:r>
      <w:r>
        <w:t xml:space="preserve"> See for example N </w:t>
      </w:r>
      <w:r w:rsidRPr="00DE6692">
        <w:t>Kelk</w:t>
      </w:r>
      <w:r>
        <w:t xml:space="preserve"> et al, </w:t>
      </w:r>
      <w:r w:rsidRPr="00DE6692">
        <w:rPr>
          <w:i/>
        </w:rPr>
        <w:t>Courting the Blues: Attitudes towards depression in Australian law students and legal practitioners</w:t>
      </w:r>
      <w:r>
        <w:rPr>
          <w:i/>
        </w:rPr>
        <w:t>.</w:t>
      </w:r>
      <w:r w:rsidRPr="00DE6692">
        <w:rPr>
          <w:i/>
        </w:rPr>
        <w:t xml:space="preserve"> </w:t>
      </w:r>
      <w:r>
        <w:rPr>
          <w:iCs/>
        </w:rPr>
        <w:t>(</w:t>
      </w:r>
      <w:r w:rsidRPr="00DE6692">
        <w:t>Brain and Mind Research Institute</w:t>
      </w:r>
      <w:r w:rsidRPr="00B67A6B">
        <w:t>,</w:t>
      </w:r>
      <w:r w:rsidRPr="00DE6692">
        <w:t xml:space="preserve"> University of Sydney</w:t>
      </w:r>
      <w:r>
        <w:t xml:space="preserve"> 2009)</w:t>
      </w:r>
    </w:p>
  </w:footnote>
  <w:footnote w:id="20">
    <w:p w14:paraId="2FDE42DA" w14:textId="77777777" w:rsidR="00BE1242" w:rsidRDefault="00BE1242" w:rsidP="00BE1242">
      <w:pPr>
        <w:pStyle w:val="FootnoteText"/>
      </w:pPr>
      <w:r>
        <w:rPr>
          <w:rStyle w:val="FootnoteReference"/>
        </w:rPr>
        <w:footnoteRef/>
      </w:r>
      <w:r>
        <w:t xml:space="preserve"> </w:t>
      </w:r>
      <w:r w:rsidRPr="00293176">
        <w:t xml:space="preserve">Office for National Statistics </w:t>
      </w:r>
      <w:r w:rsidRPr="00293176">
        <w:rPr>
          <w:i/>
        </w:rPr>
        <w:t xml:space="preserve">Measuring National Well-being: Quality of Life in the UK, 2018. </w:t>
      </w:r>
      <w:r w:rsidRPr="00293176">
        <w:t xml:space="preserve">London: ONS </w:t>
      </w:r>
      <w:r>
        <w:t>&lt;</w:t>
      </w:r>
      <w:r w:rsidRPr="00593E93">
        <w:t>https://www.ons.gov.uk/peoplepopulationandcommunity/wellbeing/articles/measuringnationalwellbeing/qualityoflifeintheuk2018</w:t>
      </w:r>
      <w:r>
        <w:t>&gt;</w:t>
      </w:r>
      <w:r w:rsidRPr="00293176">
        <w:t xml:space="preserve"> (accessed 15 August 2018)</w:t>
      </w:r>
    </w:p>
  </w:footnote>
  <w:footnote w:id="21">
    <w:p w14:paraId="7CB7772A" w14:textId="77777777" w:rsidR="00BE1242" w:rsidRDefault="00BE1242" w:rsidP="00BE1242">
      <w:pPr>
        <w:pStyle w:val="FootnoteText"/>
      </w:pPr>
      <w:r>
        <w:rPr>
          <w:rStyle w:val="FootnoteReference"/>
        </w:rPr>
        <w:footnoteRef/>
      </w:r>
      <w:r>
        <w:t xml:space="preserve"> </w:t>
      </w:r>
      <w:r w:rsidRPr="00D459DF">
        <w:t>Royal College of Psychiatrists</w:t>
      </w:r>
      <w:r>
        <w:t>,</w:t>
      </w:r>
      <w:r w:rsidRPr="00D459DF">
        <w:t xml:space="preserve"> </w:t>
      </w:r>
      <w:r w:rsidRPr="00D459DF">
        <w:rPr>
          <w:i/>
        </w:rPr>
        <w:t>Mental Health of Students in Higher Education: College report CR166.</w:t>
      </w:r>
      <w:r>
        <w:rPr>
          <w:i/>
        </w:rPr>
        <w:t xml:space="preserve"> </w:t>
      </w:r>
      <w:r w:rsidRPr="00D459DF">
        <w:rPr>
          <w:iCs/>
        </w:rPr>
        <w:t>(</w:t>
      </w:r>
      <w:r>
        <w:rPr>
          <w:iCs/>
        </w:rPr>
        <w:t xml:space="preserve">RCP, </w:t>
      </w:r>
      <w:r w:rsidRPr="00D459DF">
        <w:rPr>
          <w:iCs/>
        </w:rPr>
        <w:t>2011)</w:t>
      </w:r>
    </w:p>
  </w:footnote>
  <w:footnote w:id="22">
    <w:p w14:paraId="34E777C8" w14:textId="3F8E448A" w:rsidR="00521552" w:rsidRDefault="00521552" w:rsidP="00521552">
      <w:pPr>
        <w:pStyle w:val="FootnoteText"/>
      </w:pPr>
      <w:r>
        <w:rPr>
          <w:rStyle w:val="FootnoteReference"/>
        </w:rPr>
        <w:footnoteRef/>
      </w:r>
      <w:r>
        <w:t xml:space="preserve"> </w:t>
      </w:r>
      <w:r w:rsidRPr="000114D6">
        <w:t>(n1</w:t>
      </w:r>
      <w:r w:rsidR="001C65A1">
        <w:t>9</w:t>
      </w:r>
      <w:r w:rsidRPr="000114D6">
        <w:t>)</w:t>
      </w:r>
      <w:r>
        <w:t xml:space="preserve"> </w:t>
      </w:r>
    </w:p>
  </w:footnote>
  <w:footnote w:id="23">
    <w:p w14:paraId="57E9FF64" w14:textId="6BD99B12" w:rsidR="00AA24E3" w:rsidRDefault="00AA24E3" w:rsidP="00AA24E3">
      <w:pPr>
        <w:pStyle w:val="FootnoteText"/>
      </w:pPr>
      <w:r>
        <w:rPr>
          <w:rStyle w:val="FootnoteReference"/>
        </w:rPr>
        <w:footnoteRef/>
      </w:r>
      <w:r>
        <w:t xml:space="preserve"> See Jones </w:t>
      </w:r>
      <w:r w:rsidRPr="00436396">
        <w:t>(n</w:t>
      </w:r>
      <w:r w:rsidR="003E32EF">
        <w:t>8</w:t>
      </w:r>
      <w:r w:rsidRPr="00436396">
        <w:t>),</w:t>
      </w:r>
      <w:r>
        <w:t xml:space="preserve"> 136</w:t>
      </w:r>
    </w:p>
  </w:footnote>
  <w:footnote w:id="24">
    <w:p w14:paraId="541F0917" w14:textId="77777777" w:rsidR="00C91EB7" w:rsidRDefault="00C91EB7" w:rsidP="00C91EB7">
      <w:pPr>
        <w:pStyle w:val="FootnoteText"/>
      </w:pPr>
      <w:r>
        <w:rPr>
          <w:rStyle w:val="FootnoteReference"/>
        </w:rPr>
        <w:footnoteRef/>
      </w:r>
      <w:r>
        <w:t xml:space="preserve"> L </w:t>
      </w:r>
      <w:r w:rsidRPr="00875BCB">
        <w:rPr>
          <w:bCs/>
        </w:rPr>
        <w:t>Peake</w:t>
      </w:r>
      <w:r>
        <w:rPr>
          <w:bCs/>
        </w:rPr>
        <w:t xml:space="preserve"> </w:t>
      </w:r>
      <w:r w:rsidRPr="00875BCB">
        <w:rPr>
          <w:bCs/>
        </w:rPr>
        <w:t>and</w:t>
      </w:r>
      <w:r>
        <w:rPr>
          <w:bCs/>
        </w:rPr>
        <w:t xml:space="preserve"> B</w:t>
      </w:r>
      <w:r w:rsidRPr="00875BCB">
        <w:rPr>
          <w:bCs/>
        </w:rPr>
        <w:t xml:space="preserve"> Mullings, ‘Critical Reflections on Mental and Emotional Distress in the Academy’ ACME: An International Journal for Critical Geographies </w:t>
      </w:r>
      <w:r>
        <w:rPr>
          <w:bCs/>
        </w:rPr>
        <w:t>(</w:t>
      </w:r>
      <w:r w:rsidRPr="00875BCB">
        <w:rPr>
          <w:bCs/>
        </w:rPr>
        <w:t>2016</w:t>
      </w:r>
      <w:r>
        <w:rPr>
          <w:bCs/>
        </w:rPr>
        <w:t>)</w:t>
      </w:r>
      <w:r w:rsidRPr="00875BCB">
        <w:rPr>
          <w:bCs/>
        </w:rPr>
        <w:t xml:space="preserve"> 15(2)</w:t>
      </w:r>
      <w:r w:rsidRPr="00875BCB">
        <w:t>, 253-284</w:t>
      </w:r>
      <w:r>
        <w:t>, 273</w:t>
      </w:r>
    </w:p>
  </w:footnote>
  <w:footnote w:id="25">
    <w:p w14:paraId="76D9C0D9" w14:textId="77777777" w:rsidR="0088556F" w:rsidRDefault="0088556F" w:rsidP="0088556F">
      <w:pPr>
        <w:pStyle w:val="FootnoteText"/>
      </w:pPr>
      <w:r>
        <w:rPr>
          <w:rStyle w:val="FootnoteReference"/>
        </w:rPr>
        <w:footnoteRef/>
      </w:r>
      <w:r>
        <w:t xml:space="preserve"> John </w:t>
      </w:r>
      <w:r w:rsidRPr="000C06EC">
        <w:t>Horton</w:t>
      </w:r>
      <w:r>
        <w:t xml:space="preserve"> </w:t>
      </w:r>
      <w:r w:rsidRPr="000C06EC">
        <w:t>and Faith Tucker, ‘Disabilities in academic workplaces: experiences of human and physical geographers’, (2014) Transactions of the Institute of British Geographers 39 (1), 76-89</w:t>
      </w:r>
      <w:r>
        <w:t xml:space="preserve">, </w:t>
      </w:r>
      <w:r w:rsidRPr="00300993">
        <w:t>85</w:t>
      </w:r>
    </w:p>
  </w:footnote>
  <w:footnote w:id="26">
    <w:p w14:paraId="24F94F62" w14:textId="3B8A8AB0" w:rsidR="005A7FD0" w:rsidRDefault="005A7FD0" w:rsidP="005A7FD0">
      <w:pPr>
        <w:pStyle w:val="FootnoteText"/>
      </w:pPr>
      <w:r>
        <w:rPr>
          <w:rStyle w:val="FootnoteReference"/>
        </w:rPr>
        <w:footnoteRef/>
      </w:r>
      <w:r>
        <w:t xml:space="preserve"> See Jones </w:t>
      </w:r>
      <w:r w:rsidRPr="008204E5">
        <w:t>(n</w:t>
      </w:r>
      <w:r w:rsidR="003E32EF">
        <w:t>8</w:t>
      </w:r>
      <w:r w:rsidRPr="008204E5">
        <w:t>),</w:t>
      </w:r>
      <w:r w:rsidR="001402B7">
        <w:t xml:space="preserve"> </w:t>
      </w:r>
      <w:r>
        <w:t xml:space="preserve">161 </w:t>
      </w:r>
    </w:p>
  </w:footnote>
  <w:footnote w:id="27">
    <w:p w14:paraId="5C1C4855" w14:textId="77777777" w:rsidR="00007855" w:rsidRDefault="00007855" w:rsidP="00007855">
      <w:pPr>
        <w:pStyle w:val="FootnoteText"/>
      </w:pPr>
      <w:r>
        <w:rPr>
          <w:rStyle w:val="FootnoteReference"/>
        </w:rPr>
        <w:footnoteRef/>
      </w:r>
      <w:r>
        <w:t xml:space="preserve"> M Heath et al, ‘Learning to Feel Like a Lawyer: Law Teachers, Sessional Teaching and Emotional Labour in Legal Education’ (2017) Griffith Law Review, 26(3), 430-457</w:t>
      </w:r>
    </w:p>
  </w:footnote>
  <w:footnote w:id="28">
    <w:p w14:paraId="4C7961B9" w14:textId="77777777" w:rsidR="003E15EC" w:rsidRDefault="003E15EC" w:rsidP="003E15EC">
      <w:pPr>
        <w:pStyle w:val="FootnoteText"/>
      </w:pPr>
      <w:r>
        <w:rPr>
          <w:rStyle w:val="FootnoteReference"/>
        </w:rPr>
        <w:footnoteRef/>
      </w:r>
      <w:r>
        <w:t xml:space="preserve"> KE </w:t>
      </w:r>
      <w:r w:rsidRPr="004523A8">
        <w:t>Berry</w:t>
      </w:r>
      <w:r>
        <w:t xml:space="preserve"> </w:t>
      </w:r>
      <w:r w:rsidRPr="004523A8">
        <w:t xml:space="preserve">and </w:t>
      </w:r>
      <w:r>
        <w:t xml:space="preserve">SF </w:t>
      </w:r>
      <w:r w:rsidRPr="004523A8">
        <w:t>Cassidy</w:t>
      </w:r>
      <w:r>
        <w:t xml:space="preserve">, </w:t>
      </w:r>
      <w:r w:rsidRPr="004523A8">
        <w:t>‘Emotional labour in university lecturers: considerations for higher education institutions’ (2013) Journal of Curriculum and Teaching 2(2): 22-36</w:t>
      </w:r>
    </w:p>
  </w:footnote>
  <w:footnote w:id="29">
    <w:p w14:paraId="64EB932B" w14:textId="77777777" w:rsidR="00FC6A4F" w:rsidRDefault="00FC6A4F" w:rsidP="00FC6A4F">
      <w:pPr>
        <w:pStyle w:val="FootnoteText"/>
      </w:pPr>
      <w:r>
        <w:rPr>
          <w:rStyle w:val="FootnoteReference"/>
        </w:rPr>
        <w:footnoteRef/>
      </w:r>
      <w:r>
        <w:t xml:space="preserve"> AR </w:t>
      </w:r>
      <w:r w:rsidRPr="002D5FFD">
        <w:t xml:space="preserve">Hochschild, </w:t>
      </w:r>
      <w:r w:rsidRPr="002D5FFD">
        <w:rPr>
          <w:i/>
        </w:rPr>
        <w:t>The Managed Heart: Commercialization of Human Feeling</w:t>
      </w:r>
      <w:r>
        <w:rPr>
          <w:i/>
        </w:rPr>
        <w:t xml:space="preserve"> </w:t>
      </w:r>
      <w:r>
        <w:rPr>
          <w:iCs/>
        </w:rPr>
        <w:t>(1983)</w:t>
      </w:r>
      <w:r w:rsidRPr="002D5FFD">
        <w:rPr>
          <w:i/>
        </w:rPr>
        <w:t xml:space="preserve"> </w:t>
      </w:r>
      <w:r w:rsidRPr="002D5FFD">
        <w:t>University of California Press</w:t>
      </w:r>
    </w:p>
  </w:footnote>
  <w:footnote w:id="30">
    <w:p w14:paraId="3C79CB0A" w14:textId="77777777" w:rsidR="00FC6A4F" w:rsidRDefault="00FC6A4F" w:rsidP="00FC6A4F">
      <w:pPr>
        <w:pStyle w:val="FootnoteText"/>
      </w:pPr>
      <w:r>
        <w:rPr>
          <w:rStyle w:val="FootnoteReference"/>
        </w:rPr>
        <w:footnoteRef/>
      </w:r>
      <w:r>
        <w:t xml:space="preserve"> S </w:t>
      </w:r>
      <w:r w:rsidRPr="00E04CB4">
        <w:t>Shuler</w:t>
      </w:r>
      <w:r>
        <w:t xml:space="preserve"> </w:t>
      </w:r>
      <w:r w:rsidRPr="00E04CB4">
        <w:t xml:space="preserve">and </w:t>
      </w:r>
      <w:r>
        <w:t xml:space="preserve">BD </w:t>
      </w:r>
      <w:r w:rsidRPr="00E04CB4">
        <w:t>Sypher</w:t>
      </w:r>
      <w:r>
        <w:t>,</w:t>
      </w:r>
      <w:r w:rsidRPr="00E04CB4">
        <w:t xml:space="preserve"> ‘Seeking emotional labor: When managing the heart enhances the work experience’ (2000) Management Communication Quarterly 14(1), 50-89</w:t>
      </w:r>
    </w:p>
  </w:footnote>
  <w:footnote w:id="31">
    <w:p w14:paraId="2E36F6F6" w14:textId="77777777" w:rsidR="006D28BE" w:rsidRPr="00F40F4D" w:rsidRDefault="006D28BE" w:rsidP="006D28BE">
      <w:pPr>
        <w:pStyle w:val="FootnoteText"/>
        <w:rPr>
          <w:bCs/>
        </w:rPr>
      </w:pPr>
      <w:r>
        <w:rPr>
          <w:rStyle w:val="FootnoteReference"/>
        </w:rPr>
        <w:footnoteRef/>
      </w:r>
      <w:r>
        <w:t xml:space="preserve"> KM </w:t>
      </w:r>
      <w:r w:rsidRPr="00EF6259">
        <w:rPr>
          <w:bCs/>
        </w:rPr>
        <w:t xml:space="preserve">Sheldon and </w:t>
      </w:r>
      <w:r>
        <w:rPr>
          <w:bCs/>
        </w:rPr>
        <w:t xml:space="preserve">LS </w:t>
      </w:r>
      <w:r w:rsidRPr="00EF6259">
        <w:rPr>
          <w:bCs/>
        </w:rPr>
        <w:t>Krieger</w:t>
      </w:r>
      <w:r>
        <w:rPr>
          <w:bCs/>
        </w:rPr>
        <w:t xml:space="preserve"> </w:t>
      </w:r>
      <w:r w:rsidRPr="00EF6259">
        <w:rPr>
          <w:bCs/>
        </w:rPr>
        <w:t>‘Understanding the Negative Effects of Legal Education on Law Students: A Longitudinal Test of Self-Determination Theory’ (2007) Personality and Social Psychology Bulletin 33(6), 883-897</w:t>
      </w:r>
    </w:p>
  </w:footnote>
  <w:footnote w:id="32">
    <w:p w14:paraId="0DAD1416" w14:textId="7B7DE21F" w:rsidR="006D28BE" w:rsidRDefault="006D28BE" w:rsidP="006D28BE">
      <w:pPr>
        <w:pStyle w:val="FootnoteText"/>
      </w:pPr>
      <w:r>
        <w:rPr>
          <w:rStyle w:val="FootnoteReference"/>
        </w:rPr>
        <w:footnoteRef/>
      </w:r>
      <w:r>
        <w:t xml:space="preserve"> </w:t>
      </w:r>
      <w:r w:rsidR="008204E5">
        <w:t>LS Krieger, ‘Institutional Denial About the Dark Side of Law School and Fresh Empirical Guidance for Constructively Breaking the Silence’ (2002) Journal of Legal Education, 52(1-2), 112-129, 11</w:t>
      </w:r>
      <w:r w:rsidR="00742F50">
        <w:t>9</w:t>
      </w:r>
    </w:p>
  </w:footnote>
  <w:footnote w:id="33">
    <w:p w14:paraId="651676B0" w14:textId="2F575B60" w:rsidR="00614C52" w:rsidRPr="009340FD" w:rsidRDefault="00614C52" w:rsidP="00614C52">
      <w:pPr>
        <w:pStyle w:val="FootnoteText"/>
        <w:rPr>
          <w:bCs/>
        </w:rPr>
      </w:pPr>
      <w:r>
        <w:rPr>
          <w:rStyle w:val="FootnoteReference"/>
        </w:rPr>
        <w:footnoteRef/>
      </w:r>
      <w:r>
        <w:t xml:space="preserve"> </w:t>
      </w:r>
      <w:r w:rsidR="009340FD">
        <w:t xml:space="preserve">M </w:t>
      </w:r>
      <w:r w:rsidR="009340FD" w:rsidRPr="008C53BA">
        <w:rPr>
          <w:bCs/>
        </w:rPr>
        <w:t>Del Mar,</w:t>
      </w:r>
      <w:r w:rsidR="009340FD">
        <w:rPr>
          <w:bCs/>
        </w:rPr>
        <w:t xml:space="preserve"> </w:t>
      </w:r>
      <w:r w:rsidR="009340FD" w:rsidRPr="008C53BA">
        <w:rPr>
          <w:bCs/>
        </w:rPr>
        <w:t xml:space="preserve">‘Legal Understanding and the Affective Imagination’ in Maharg, P and Maughan, C (eds) </w:t>
      </w:r>
      <w:r w:rsidR="009340FD" w:rsidRPr="008C53BA">
        <w:rPr>
          <w:bCs/>
          <w:i/>
        </w:rPr>
        <w:t xml:space="preserve">Affect and Legal Education: Emotion in Learning and Teaching the Law. </w:t>
      </w:r>
      <w:r w:rsidR="002B042C">
        <w:rPr>
          <w:bCs/>
          <w:iCs/>
        </w:rPr>
        <w:t>(</w:t>
      </w:r>
      <w:r w:rsidR="009340FD" w:rsidRPr="008C53BA">
        <w:rPr>
          <w:bCs/>
        </w:rPr>
        <w:t>Routledge</w:t>
      </w:r>
      <w:r w:rsidR="005F3F1C">
        <w:rPr>
          <w:bCs/>
        </w:rPr>
        <w:t>, 2011)</w:t>
      </w:r>
    </w:p>
  </w:footnote>
  <w:footnote w:id="34">
    <w:p w14:paraId="29D43274" w14:textId="1740371F" w:rsidR="00614C52" w:rsidRDefault="00614C52" w:rsidP="00614C52">
      <w:pPr>
        <w:pStyle w:val="FootnoteText"/>
      </w:pPr>
      <w:r>
        <w:rPr>
          <w:rStyle w:val="FootnoteReference"/>
        </w:rPr>
        <w:footnoteRef/>
      </w:r>
      <w:r>
        <w:t xml:space="preserve"> </w:t>
      </w:r>
      <w:r w:rsidR="006E288A">
        <w:t xml:space="preserve">H </w:t>
      </w:r>
      <w:r w:rsidR="006E288A" w:rsidRPr="006E288A">
        <w:t>Brayne, ‘Learning to Think like a Lawyer – One Law Teacher’s Exploration of the Relevance of Evolutionary Psychology’</w:t>
      </w:r>
      <w:r w:rsidR="00204725">
        <w:t xml:space="preserve"> </w:t>
      </w:r>
      <w:r w:rsidR="00204725" w:rsidRPr="006E288A">
        <w:t>(2002)</w:t>
      </w:r>
      <w:r w:rsidR="006E288A" w:rsidRPr="006E288A">
        <w:t xml:space="preserve"> International Journal of the Legal Profession 9(3), 283-311</w:t>
      </w:r>
      <w:r w:rsidR="00204725">
        <w:t xml:space="preserve">, </w:t>
      </w:r>
      <w:r w:rsidRPr="00911E03">
        <w:t>297</w:t>
      </w:r>
    </w:p>
  </w:footnote>
  <w:footnote w:id="35">
    <w:p w14:paraId="7FCAE8AD" w14:textId="77777777" w:rsidR="00E23A7A" w:rsidRDefault="00E23A7A" w:rsidP="00E23A7A">
      <w:pPr>
        <w:pStyle w:val="FootnoteText"/>
      </w:pPr>
      <w:r>
        <w:rPr>
          <w:rStyle w:val="FootnoteReference"/>
        </w:rPr>
        <w:footnoteRef/>
      </w:r>
      <w:r>
        <w:t xml:space="preserve"> I </w:t>
      </w:r>
      <w:r w:rsidRPr="002A2619">
        <w:t xml:space="preserve">Reece </w:t>
      </w:r>
      <w:r>
        <w:t>and S</w:t>
      </w:r>
      <w:r w:rsidRPr="002A2619">
        <w:t xml:space="preserve"> Walker </w:t>
      </w:r>
      <w:r w:rsidRPr="00485972">
        <w:rPr>
          <w:i/>
          <w:iCs/>
        </w:rPr>
        <w:t>Teaching Training &amp; Learning</w:t>
      </w:r>
      <w:r w:rsidRPr="002A2619">
        <w:t xml:space="preserve"> </w:t>
      </w:r>
      <w:r>
        <w:t xml:space="preserve">(2004, </w:t>
      </w:r>
      <w:r w:rsidRPr="002A2619">
        <w:t>British Education Publishers L</w:t>
      </w:r>
      <w:r>
        <w:t xml:space="preserve">td), </w:t>
      </w:r>
      <w:r w:rsidRPr="002A2619">
        <w:t>79</w:t>
      </w:r>
      <w:r>
        <w:t>-</w:t>
      </w:r>
      <w:r w:rsidRPr="002A2619">
        <w:t>80</w:t>
      </w:r>
    </w:p>
  </w:footnote>
  <w:footnote w:id="36">
    <w:p w14:paraId="02B054F3" w14:textId="5D7AFAC1" w:rsidR="006332F0" w:rsidRDefault="006332F0" w:rsidP="006332F0">
      <w:pPr>
        <w:pStyle w:val="FootnoteText"/>
      </w:pPr>
      <w:r>
        <w:rPr>
          <w:rStyle w:val="FootnoteReference"/>
        </w:rPr>
        <w:footnoteRef/>
      </w:r>
      <w:r>
        <w:t xml:space="preserve"> </w:t>
      </w:r>
      <w:proofErr w:type="gramStart"/>
      <w:r w:rsidR="00742F50">
        <w:t>A</w:t>
      </w:r>
      <w:proofErr w:type="gramEnd"/>
      <w:r w:rsidR="00742F50">
        <w:t xml:space="preserve"> </w:t>
      </w:r>
      <w:r w:rsidR="00742F50" w:rsidRPr="006F59BB">
        <w:t>Armitage</w:t>
      </w:r>
      <w:r w:rsidR="00742F50">
        <w:t xml:space="preserve"> et al, </w:t>
      </w:r>
      <w:r w:rsidR="00742F50" w:rsidRPr="0099500E">
        <w:rPr>
          <w:i/>
          <w:iCs/>
        </w:rPr>
        <w:t>Teaching and Training in Post-Compulsory Education</w:t>
      </w:r>
      <w:r w:rsidR="00742F50">
        <w:t xml:space="preserve"> (OUP, 2007)</w:t>
      </w:r>
    </w:p>
  </w:footnote>
  <w:footnote w:id="37">
    <w:p w14:paraId="03AA06B4" w14:textId="49888774" w:rsidR="00CE1A9A" w:rsidRDefault="00CE1A9A" w:rsidP="00CE1A9A">
      <w:pPr>
        <w:pStyle w:val="FootnoteText"/>
      </w:pPr>
      <w:r>
        <w:rPr>
          <w:rStyle w:val="FootnoteReference"/>
        </w:rPr>
        <w:footnoteRef/>
      </w:r>
      <w:r>
        <w:t xml:space="preserve"> </w:t>
      </w:r>
      <w:r w:rsidR="000337ED">
        <w:t xml:space="preserve">See Jones </w:t>
      </w:r>
      <w:r w:rsidRPr="00AD16C8">
        <w:t>(n</w:t>
      </w:r>
      <w:r w:rsidR="003E32EF">
        <w:t>8</w:t>
      </w:r>
      <w:r w:rsidRPr="00AD16C8">
        <w:t>)</w:t>
      </w:r>
      <w:r w:rsidR="00CC5F45">
        <w:t>, 104</w:t>
      </w:r>
    </w:p>
  </w:footnote>
  <w:footnote w:id="38">
    <w:p w14:paraId="60B6C0B6" w14:textId="2367632F" w:rsidR="00F47E5D" w:rsidRDefault="00F47E5D" w:rsidP="00F47E5D">
      <w:pPr>
        <w:pStyle w:val="FootnoteText"/>
      </w:pPr>
      <w:r>
        <w:rPr>
          <w:rStyle w:val="FootnoteReference"/>
        </w:rPr>
        <w:footnoteRef/>
      </w:r>
      <w:r>
        <w:t xml:space="preserve"> </w:t>
      </w:r>
      <w:r w:rsidR="00742F50" w:rsidRPr="00742F50">
        <w:t>(n</w:t>
      </w:r>
      <w:r w:rsidR="0060403B">
        <w:t>8</w:t>
      </w:r>
      <w:r w:rsidR="00742F50" w:rsidRPr="00742F50">
        <w:t>),</w:t>
      </w:r>
      <w:r w:rsidR="00742F50">
        <w:t xml:space="preserve"> </w:t>
      </w:r>
      <w:r>
        <w:t>79</w:t>
      </w:r>
    </w:p>
  </w:footnote>
  <w:footnote w:id="39">
    <w:p w14:paraId="5E0BF89B" w14:textId="77777777" w:rsidR="00F47E5D" w:rsidRDefault="00F47E5D" w:rsidP="00F47E5D">
      <w:pPr>
        <w:pStyle w:val="FootnoteText"/>
      </w:pPr>
      <w:r>
        <w:rPr>
          <w:rStyle w:val="FootnoteReference"/>
        </w:rPr>
        <w:footnoteRef/>
      </w:r>
      <w:r>
        <w:t xml:space="preserve"> JH Favell, ‘Metacognitive aspects of problem solving’ in LB Resnick (ed) </w:t>
      </w:r>
      <w:r w:rsidRPr="0052285A">
        <w:rPr>
          <w:i/>
          <w:iCs/>
        </w:rPr>
        <w:t>Nature of Intelligence</w:t>
      </w:r>
      <w:r>
        <w:t xml:space="preserve"> (Hillsdale, 1972)</w:t>
      </w:r>
    </w:p>
  </w:footnote>
  <w:footnote w:id="40">
    <w:p w14:paraId="743B07CB" w14:textId="11A5723B" w:rsidR="00446B81" w:rsidRDefault="00446B81" w:rsidP="00446B81">
      <w:pPr>
        <w:pStyle w:val="FootnoteText"/>
      </w:pPr>
      <w:r>
        <w:rPr>
          <w:rStyle w:val="FootnoteReference"/>
        </w:rPr>
        <w:footnoteRef/>
      </w:r>
      <w:r>
        <w:t xml:space="preserve"> </w:t>
      </w:r>
      <w:r w:rsidR="00253EB9">
        <w:t xml:space="preserve">Alan Rogers and Naomi Horrocks (2010) </w:t>
      </w:r>
      <w:r w:rsidR="00253EB9" w:rsidRPr="0066330F">
        <w:rPr>
          <w:i/>
          <w:iCs/>
        </w:rPr>
        <w:t>Teaching Adult</w:t>
      </w:r>
      <w:r w:rsidR="00253EB9">
        <w:rPr>
          <w:i/>
          <w:iCs/>
        </w:rPr>
        <w:t>s</w:t>
      </w:r>
      <w:r w:rsidR="00253EB9">
        <w:t xml:space="preserve"> (OUP, 2010), 275</w:t>
      </w:r>
    </w:p>
  </w:footnote>
  <w:footnote w:id="41">
    <w:p w14:paraId="5A467F83" w14:textId="77777777" w:rsidR="003B437C" w:rsidRDefault="003B437C" w:rsidP="003B437C">
      <w:pPr>
        <w:pStyle w:val="FootnoteText"/>
      </w:pPr>
      <w:r>
        <w:rPr>
          <w:rStyle w:val="FootnoteReference"/>
        </w:rPr>
        <w:footnoteRef/>
      </w:r>
      <w:r>
        <w:t xml:space="preserve"> Carol S Dweck, </w:t>
      </w:r>
      <w:r w:rsidRPr="00F74E55">
        <w:rPr>
          <w:i/>
        </w:rPr>
        <w:t>Self-theories: their role in motivation, personality, and development</w:t>
      </w:r>
      <w:r>
        <w:t xml:space="preserve"> (Psychology Press, 2000)</w:t>
      </w:r>
    </w:p>
  </w:footnote>
  <w:footnote w:id="42">
    <w:p w14:paraId="02363C93" w14:textId="29B11D21" w:rsidR="004B214F" w:rsidRPr="007E2C1A" w:rsidRDefault="004B214F" w:rsidP="004B214F">
      <w:pPr>
        <w:pStyle w:val="FootnoteText"/>
        <w:rPr>
          <w:iCs/>
        </w:rPr>
      </w:pPr>
      <w:r>
        <w:rPr>
          <w:rStyle w:val="FootnoteReference"/>
        </w:rPr>
        <w:footnoteRef/>
      </w:r>
      <w:r>
        <w:t xml:space="preserve"> </w:t>
      </w:r>
      <w:r w:rsidR="007712BA">
        <w:t>(</w:t>
      </w:r>
      <w:r w:rsidR="000337ED">
        <w:t>n41)</w:t>
      </w:r>
    </w:p>
  </w:footnote>
  <w:footnote w:id="43">
    <w:p w14:paraId="0D6B58AF" w14:textId="77777777" w:rsidR="0036595E" w:rsidRDefault="0036595E" w:rsidP="0036595E">
      <w:pPr>
        <w:pStyle w:val="FootnoteText"/>
      </w:pPr>
      <w:r>
        <w:rPr>
          <w:rStyle w:val="FootnoteReference"/>
        </w:rPr>
        <w:footnoteRef/>
      </w:r>
      <w:r>
        <w:t xml:space="preserve"> Robin Alexander, </w:t>
      </w:r>
      <w:r w:rsidRPr="007472B6">
        <w:rPr>
          <w:i/>
          <w:iCs/>
        </w:rPr>
        <w:t>Essays on Pedagogy</w:t>
      </w:r>
      <w:r>
        <w:t xml:space="preserve"> (Routledge, 2008) 93</w:t>
      </w:r>
    </w:p>
  </w:footnote>
  <w:footnote w:id="44">
    <w:p w14:paraId="6A35FC20" w14:textId="0AB73C55" w:rsidR="0036595E" w:rsidRPr="007068A9" w:rsidRDefault="0036595E" w:rsidP="0036595E">
      <w:pPr>
        <w:pStyle w:val="FootnoteText"/>
        <w:rPr>
          <w:lang w:val="pt-PT"/>
        </w:rPr>
      </w:pPr>
      <w:r>
        <w:rPr>
          <w:rStyle w:val="FootnoteReference"/>
        </w:rPr>
        <w:footnoteRef/>
      </w:r>
      <w:r w:rsidRPr="007068A9">
        <w:rPr>
          <w:lang w:val="pt-PT"/>
        </w:rPr>
        <w:t xml:space="preserve"> </w:t>
      </w:r>
      <w:bookmarkStart w:id="7" w:name="_Hlk62531369"/>
      <w:r w:rsidRPr="007068A9">
        <w:rPr>
          <w:lang w:val="pt-PT"/>
        </w:rPr>
        <w:t>(n</w:t>
      </w:r>
      <w:r w:rsidR="007712BA" w:rsidRPr="007068A9">
        <w:rPr>
          <w:lang w:val="pt-PT"/>
        </w:rPr>
        <w:t>40</w:t>
      </w:r>
      <w:r w:rsidRPr="007068A9">
        <w:rPr>
          <w:lang w:val="pt-PT"/>
        </w:rPr>
        <w:t>), 273</w:t>
      </w:r>
      <w:bookmarkEnd w:id="7"/>
    </w:p>
  </w:footnote>
  <w:footnote w:id="45">
    <w:p w14:paraId="34164D90" w14:textId="3292307B" w:rsidR="0036595E" w:rsidRPr="007068A9" w:rsidRDefault="0036595E" w:rsidP="0036595E">
      <w:pPr>
        <w:pStyle w:val="FootnoteText"/>
        <w:rPr>
          <w:lang w:val="pt-PT"/>
        </w:rPr>
      </w:pPr>
      <w:r>
        <w:rPr>
          <w:rStyle w:val="FootnoteReference"/>
        </w:rPr>
        <w:footnoteRef/>
      </w:r>
      <w:r w:rsidRPr="007068A9">
        <w:rPr>
          <w:lang w:val="pt-PT"/>
        </w:rPr>
        <w:t xml:space="preserve"> </w:t>
      </w:r>
      <w:r w:rsidR="000337ED" w:rsidRPr="007068A9">
        <w:rPr>
          <w:lang w:val="pt-PT"/>
        </w:rPr>
        <w:t>(n43), 113</w:t>
      </w:r>
    </w:p>
  </w:footnote>
  <w:footnote w:id="46">
    <w:p w14:paraId="708BB2AD" w14:textId="35426089" w:rsidR="00AA5C56" w:rsidRPr="007068A9" w:rsidRDefault="00AA5C56" w:rsidP="00AA5C56">
      <w:pPr>
        <w:pStyle w:val="FootnoteText"/>
        <w:rPr>
          <w:lang w:val="pt-PT"/>
        </w:rPr>
      </w:pPr>
      <w:r>
        <w:rPr>
          <w:rStyle w:val="FootnoteReference"/>
        </w:rPr>
        <w:footnoteRef/>
      </w:r>
      <w:r w:rsidRPr="007068A9">
        <w:rPr>
          <w:lang w:val="pt-PT"/>
        </w:rPr>
        <w:t xml:space="preserve"> See Jones (n</w:t>
      </w:r>
      <w:r w:rsidR="003E32EF" w:rsidRPr="007068A9">
        <w:rPr>
          <w:lang w:val="pt-PT"/>
        </w:rPr>
        <w:t>8</w:t>
      </w:r>
      <w:r w:rsidRPr="007068A9">
        <w:rPr>
          <w:lang w:val="pt-PT"/>
        </w:rPr>
        <w:t>), 132</w:t>
      </w:r>
    </w:p>
  </w:footnote>
  <w:footnote w:id="47">
    <w:p w14:paraId="073CFF38" w14:textId="77777777" w:rsidR="00192554" w:rsidRDefault="00192554" w:rsidP="00192554">
      <w:pPr>
        <w:pStyle w:val="FootnoteText"/>
      </w:pPr>
      <w:r>
        <w:rPr>
          <w:rStyle w:val="FootnoteReference"/>
        </w:rPr>
        <w:footnoteRef/>
      </w:r>
      <w:r>
        <w:t xml:space="preserve"> RM Ryan and EL Deci, ‘Self-Determination Theory and the Facilitation of Intrinsic Motivation, Social Development, and Well-being’ (2000) American Psychologist, 55(1), 68-78</w:t>
      </w:r>
    </w:p>
  </w:footnote>
  <w:footnote w:id="48">
    <w:p w14:paraId="2400F5AC" w14:textId="08FCC68F" w:rsidR="00167A26" w:rsidRDefault="00167A26">
      <w:pPr>
        <w:pStyle w:val="FootnoteText"/>
      </w:pPr>
      <w:r>
        <w:rPr>
          <w:rStyle w:val="FootnoteReference"/>
        </w:rPr>
        <w:footnoteRef/>
      </w:r>
      <w:r>
        <w:t xml:space="preserve"> For a detailed analysis of this session, see </w:t>
      </w:r>
      <w:r w:rsidR="000306F7">
        <w:t xml:space="preserve">S Coyle, </w:t>
      </w:r>
      <w:r w:rsidR="003C1ABE">
        <w:t>‘</w:t>
      </w:r>
      <w:r w:rsidR="003C1ABE" w:rsidRPr="003C1ABE">
        <w:t>Using Mentimeter to Engage First Year Law Students in Wellbeing Awareness</w:t>
      </w:r>
      <w:r w:rsidR="003C1ABE">
        <w:t xml:space="preserve">’ </w:t>
      </w:r>
      <w:r w:rsidR="0002694B">
        <w:t xml:space="preserve">(2021) </w:t>
      </w:r>
      <w:r w:rsidR="003C1ABE">
        <w:t xml:space="preserve">Journal of Academic Development </w:t>
      </w:r>
      <w:r w:rsidR="001F5F42">
        <w:t>and Education 13</w:t>
      </w:r>
    </w:p>
  </w:footnote>
  <w:footnote w:id="49">
    <w:p w14:paraId="1BE922AF" w14:textId="1C85484A" w:rsidR="00B54885" w:rsidRPr="00B54885" w:rsidRDefault="00036B04" w:rsidP="00B54885">
      <w:pPr>
        <w:pStyle w:val="FootnoteText"/>
      </w:pPr>
      <w:r>
        <w:rPr>
          <w:rStyle w:val="FootnoteReference"/>
        </w:rPr>
        <w:footnoteRef/>
      </w:r>
      <w:r>
        <w:t xml:space="preserve"> </w:t>
      </w:r>
      <w:r w:rsidR="00B54885">
        <w:t xml:space="preserve">See for example S </w:t>
      </w:r>
      <w:r w:rsidR="00B54885" w:rsidRPr="00B54885">
        <w:t xml:space="preserve">Stuart, </w:t>
      </w:r>
      <w:r w:rsidR="00B54885">
        <w:t xml:space="preserve">M </w:t>
      </w:r>
      <w:r w:rsidR="00B54885" w:rsidRPr="00B54885">
        <w:t>Brown</w:t>
      </w:r>
      <w:r w:rsidR="00B54885">
        <w:t xml:space="preserve"> </w:t>
      </w:r>
      <w:r w:rsidR="00B54885" w:rsidRPr="00B54885">
        <w:t xml:space="preserve">and </w:t>
      </w:r>
      <w:r w:rsidR="00B54885">
        <w:t xml:space="preserve">S </w:t>
      </w:r>
      <w:r w:rsidR="00B54885" w:rsidRPr="00B54885">
        <w:t>Draper, S</w:t>
      </w:r>
      <w:r w:rsidR="003E4975">
        <w:t xml:space="preserve">, </w:t>
      </w:r>
      <w:r w:rsidR="00B54885" w:rsidRPr="00B54885">
        <w:t xml:space="preserve">‘Using electronic voting system in logic lectures: one practitioner’s application’ </w:t>
      </w:r>
      <w:r w:rsidR="003E4975">
        <w:t xml:space="preserve">(2004) </w:t>
      </w:r>
      <w:r w:rsidR="00B54885" w:rsidRPr="00B54885">
        <w:rPr>
          <w:i/>
          <w:iCs/>
        </w:rPr>
        <w:t>Journal of Computer Assisted Learning</w:t>
      </w:r>
      <w:r w:rsidR="003E4975">
        <w:rPr>
          <w:i/>
          <w:iCs/>
        </w:rPr>
        <w:t xml:space="preserve"> </w:t>
      </w:r>
      <w:r w:rsidR="00B54885" w:rsidRPr="00B54885">
        <w:t>20, 95-102</w:t>
      </w:r>
    </w:p>
    <w:p w14:paraId="3B5BF825" w14:textId="59E46745" w:rsidR="00036B04" w:rsidRDefault="00036B04">
      <w:pPr>
        <w:pStyle w:val="FootnoteText"/>
      </w:pPr>
    </w:p>
  </w:footnote>
  <w:footnote w:id="50">
    <w:p w14:paraId="75BA7E0D" w14:textId="11FB5FEC" w:rsidR="00C30703" w:rsidRDefault="00C30703" w:rsidP="00C30703">
      <w:pPr>
        <w:pStyle w:val="FootnoteText"/>
      </w:pPr>
      <w:r>
        <w:rPr>
          <w:rStyle w:val="FootnoteReference"/>
        </w:rPr>
        <w:footnoteRef/>
      </w:r>
      <w:r>
        <w:t xml:space="preserve"> Krieger</w:t>
      </w:r>
      <w:r w:rsidR="006979C1">
        <w:t xml:space="preserve"> </w:t>
      </w:r>
      <w:r w:rsidR="00742F50">
        <w:t>(n3</w:t>
      </w:r>
      <w:r w:rsidR="00097392">
        <w:t>2</w:t>
      </w:r>
      <w:r w:rsidR="00742F50">
        <w:t xml:space="preserve">), </w:t>
      </w:r>
      <w:r>
        <w:t>117</w:t>
      </w:r>
    </w:p>
  </w:footnote>
  <w:footnote w:id="51">
    <w:p w14:paraId="0E82C105" w14:textId="77777777" w:rsidR="00C30703" w:rsidRDefault="00C30703" w:rsidP="00C30703">
      <w:pPr>
        <w:pStyle w:val="FootnoteText"/>
      </w:pPr>
      <w:r>
        <w:rPr>
          <w:rStyle w:val="FootnoteReference"/>
        </w:rPr>
        <w:footnoteRef/>
      </w:r>
      <w:r>
        <w:t xml:space="preserve"> M Towness O’Brien et al, ‘No Time to Lose: Negative Impact on Law Student Wellbeing May Begin in Year One’ (2011) The International Journal of the First Year in Higher Education, 2(2), 49-60</w:t>
      </w:r>
    </w:p>
  </w:footnote>
  <w:footnote w:id="52">
    <w:p w14:paraId="3C64D041" w14:textId="77777777" w:rsidR="00D34F57" w:rsidRPr="005835A8" w:rsidRDefault="00D34F57" w:rsidP="00D34F57">
      <w:pPr>
        <w:pStyle w:val="FootnoteText"/>
        <w:rPr>
          <w:bCs/>
          <w:highlight w:val="yellow"/>
        </w:rPr>
      </w:pPr>
      <w:r>
        <w:rPr>
          <w:rStyle w:val="FootnoteReference"/>
        </w:rPr>
        <w:footnoteRef/>
      </w:r>
      <w:r>
        <w:t xml:space="preserve"> A </w:t>
      </w:r>
      <w:r w:rsidRPr="005835A8">
        <w:rPr>
          <w:bCs/>
        </w:rPr>
        <w:t>Kukulska-Hulme et al</w:t>
      </w:r>
      <w:r>
        <w:rPr>
          <w:bCs/>
        </w:rPr>
        <w:t>,</w:t>
      </w:r>
      <w:r w:rsidRPr="005835A8">
        <w:t xml:space="preserve"> </w:t>
      </w:r>
      <w:r w:rsidRPr="005835A8">
        <w:rPr>
          <w:bCs/>
          <w:i/>
          <w:iCs/>
        </w:rPr>
        <w:t xml:space="preserve">Innovating Pedagogy 2021: Exploring new forms of teaching, learning and assessment, to guide educators and policy makers. </w:t>
      </w:r>
      <w:r>
        <w:rPr>
          <w:bCs/>
        </w:rPr>
        <w:t>(</w:t>
      </w:r>
      <w:r w:rsidRPr="005835A8">
        <w:rPr>
          <w:bCs/>
        </w:rPr>
        <w:t>Open University</w:t>
      </w:r>
      <w:r>
        <w:rPr>
          <w:bCs/>
        </w:rPr>
        <w:t xml:space="preserve"> 2021)</w:t>
      </w:r>
    </w:p>
  </w:footnote>
  <w:footnote w:id="53">
    <w:p w14:paraId="11EEE4DC" w14:textId="77777777" w:rsidR="00436396" w:rsidRDefault="00436396" w:rsidP="00436396">
      <w:pPr>
        <w:pStyle w:val="FootnoteText"/>
      </w:pPr>
      <w:r>
        <w:rPr>
          <w:rStyle w:val="FootnoteReference"/>
        </w:rPr>
        <w:footnoteRef/>
      </w:r>
      <w:r>
        <w:t xml:space="preserve"> R Field et al, ‘Supporting Transition to Law School and Student Well-being: The Role of Professional Legal Identity’ (2013) The International Journal of the First Year in Higher Education, 4(2), 15-25, 15</w:t>
      </w:r>
    </w:p>
  </w:footnote>
  <w:footnote w:id="54">
    <w:p w14:paraId="14CE8565" w14:textId="2626F5DA" w:rsidR="00436396" w:rsidRDefault="00436396" w:rsidP="00436396">
      <w:pPr>
        <w:pStyle w:val="FootnoteText"/>
      </w:pPr>
      <w:r>
        <w:rPr>
          <w:rStyle w:val="FootnoteReference"/>
        </w:rPr>
        <w:footnoteRef/>
      </w:r>
      <w:r>
        <w:t xml:space="preserve"> Tani and Vines </w:t>
      </w:r>
      <w:r w:rsidR="00CE7DB3">
        <w:t>(n11)</w:t>
      </w:r>
    </w:p>
  </w:footnote>
  <w:footnote w:id="55">
    <w:p w14:paraId="3FFEEBD9" w14:textId="77777777" w:rsidR="00D3599D" w:rsidRDefault="00D3599D" w:rsidP="00D3599D">
      <w:pPr>
        <w:pStyle w:val="FootnoteText"/>
      </w:pPr>
      <w:r>
        <w:rPr>
          <w:rStyle w:val="FootnoteReference"/>
        </w:rPr>
        <w:footnoteRef/>
      </w:r>
      <w:r>
        <w:t xml:space="preserve"> </w:t>
      </w:r>
      <w:proofErr w:type="spellStart"/>
      <w:r w:rsidRPr="00105D97">
        <w:t>Tehmina</w:t>
      </w:r>
      <w:proofErr w:type="spellEnd"/>
      <w:r w:rsidRPr="00105D97">
        <w:t xml:space="preserve"> Basit, </w:t>
      </w:r>
      <w:r w:rsidRPr="007F6504">
        <w:rPr>
          <w:i/>
          <w:iCs/>
        </w:rPr>
        <w:t>Conducting research in Educational Contexts</w:t>
      </w:r>
      <w:r w:rsidRPr="00105D97">
        <w:t xml:space="preserve"> (Continuum 2010), </w:t>
      </w:r>
      <w:r>
        <w:t>85</w:t>
      </w:r>
    </w:p>
  </w:footnote>
  <w:footnote w:id="56">
    <w:p w14:paraId="48059865" w14:textId="2396365F" w:rsidR="002C7592" w:rsidRDefault="002C7592">
      <w:pPr>
        <w:pStyle w:val="FootnoteText"/>
      </w:pPr>
      <w:r>
        <w:rPr>
          <w:rStyle w:val="FootnoteReference"/>
        </w:rPr>
        <w:footnoteRef/>
      </w:r>
      <w:r>
        <w:t xml:space="preserve"> </w:t>
      </w:r>
      <w:r w:rsidRPr="002C7592">
        <w:t xml:space="preserve">Alan Bryman, </w:t>
      </w:r>
      <w:r w:rsidRPr="007F6504">
        <w:rPr>
          <w:i/>
          <w:iCs/>
        </w:rPr>
        <w:t>Social Research Methods</w:t>
      </w:r>
      <w:r w:rsidRPr="002C7592">
        <w:t xml:space="preserve"> (OUP 2016), 2</w:t>
      </w:r>
      <w:r>
        <w:t>55</w:t>
      </w:r>
    </w:p>
  </w:footnote>
  <w:footnote w:id="57">
    <w:p w14:paraId="031BFAFB" w14:textId="01E78CD7" w:rsidR="002C7592" w:rsidRDefault="002C7592">
      <w:pPr>
        <w:pStyle w:val="FootnoteText"/>
      </w:pPr>
      <w:r>
        <w:rPr>
          <w:rStyle w:val="FootnoteReference"/>
        </w:rPr>
        <w:footnoteRef/>
      </w:r>
      <w:r>
        <w:t xml:space="preserve"> </w:t>
      </w:r>
      <w:r w:rsidR="007E0856">
        <w:t>(n56)</w:t>
      </w:r>
      <w:r w:rsidRPr="002C7592">
        <w:t>, 2</w:t>
      </w:r>
      <w:r>
        <w:t>52</w:t>
      </w:r>
    </w:p>
  </w:footnote>
  <w:footnote w:id="58">
    <w:p w14:paraId="6DD7CE2A" w14:textId="2B12CE54" w:rsidR="003108E6" w:rsidRDefault="003108E6" w:rsidP="003108E6">
      <w:pPr>
        <w:pStyle w:val="FootnoteText"/>
      </w:pPr>
      <w:r>
        <w:rPr>
          <w:rStyle w:val="FootnoteReference"/>
        </w:rPr>
        <w:footnoteRef/>
      </w:r>
      <w:r>
        <w:t xml:space="preserve"> </w:t>
      </w:r>
      <w:bookmarkStart w:id="12" w:name="_Hlk62563573"/>
      <w:r w:rsidR="007E0856">
        <w:t>(n56)</w:t>
      </w:r>
      <w:r>
        <w:t xml:space="preserve">, </w:t>
      </w:r>
      <w:r w:rsidR="0075649D">
        <w:t>235</w:t>
      </w:r>
      <w:bookmarkEnd w:id="12"/>
    </w:p>
  </w:footnote>
  <w:footnote w:id="59">
    <w:p w14:paraId="565EDC8B" w14:textId="77777777" w:rsidR="00413283" w:rsidRDefault="00413283" w:rsidP="00413283">
      <w:pPr>
        <w:pStyle w:val="FootnoteText"/>
      </w:pPr>
      <w:r>
        <w:rPr>
          <w:rStyle w:val="FootnoteReference"/>
        </w:rPr>
        <w:footnoteRef/>
      </w:r>
      <w:r>
        <w:t xml:space="preserve"> (n55), 17-18</w:t>
      </w:r>
    </w:p>
  </w:footnote>
  <w:footnote w:id="60">
    <w:p w14:paraId="1CCC23BB" w14:textId="77777777" w:rsidR="00EF6989" w:rsidRDefault="00EF6989" w:rsidP="00EF6989">
      <w:pPr>
        <w:pStyle w:val="FootnoteText"/>
      </w:pPr>
      <w:r>
        <w:rPr>
          <w:rStyle w:val="FootnoteReference"/>
        </w:rPr>
        <w:footnoteRef/>
      </w:r>
      <w:r>
        <w:t xml:space="preserve"> (n56), 223</w:t>
      </w:r>
    </w:p>
  </w:footnote>
  <w:footnote w:id="61">
    <w:p w14:paraId="3049CCD7" w14:textId="018D340F" w:rsidR="0075649D" w:rsidRDefault="0075649D">
      <w:pPr>
        <w:pStyle w:val="FootnoteText"/>
      </w:pPr>
      <w:r>
        <w:rPr>
          <w:rStyle w:val="FootnoteReference"/>
        </w:rPr>
        <w:footnoteRef/>
      </w:r>
      <w:r>
        <w:t xml:space="preserve"> </w:t>
      </w:r>
      <w:bookmarkStart w:id="13" w:name="_Hlk79585740"/>
      <w:r w:rsidR="007E0856">
        <w:t>(n56)</w:t>
      </w:r>
      <w:r w:rsidRPr="0075649D">
        <w:t>, 23</w:t>
      </w:r>
      <w:r>
        <w:t>1</w:t>
      </w:r>
      <w:bookmarkEnd w:id="13"/>
    </w:p>
  </w:footnote>
  <w:footnote w:id="62">
    <w:p w14:paraId="620FA182" w14:textId="6D0DD9C6" w:rsidR="001A2FA7" w:rsidRDefault="001A2FA7">
      <w:pPr>
        <w:pStyle w:val="FootnoteText"/>
      </w:pPr>
      <w:r>
        <w:rPr>
          <w:rStyle w:val="FootnoteReference"/>
        </w:rPr>
        <w:footnoteRef/>
      </w:r>
      <w:r>
        <w:t xml:space="preserve"> </w:t>
      </w:r>
      <w:r w:rsidR="007E0856">
        <w:t>(n55)</w:t>
      </w:r>
      <w:r w:rsidRPr="001A2FA7">
        <w:t xml:space="preserve">, </w:t>
      </w:r>
      <w:r>
        <w:t>98</w:t>
      </w:r>
    </w:p>
  </w:footnote>
  <w:footnote w:id="63">
    <w:p w14:paraId="557956E6" w14:textId="4768757B" w:rsidR="00105D97" w:rsidRDefault="00105D97">
      <w:pPr>
        <w:pStyle w:val="FootnoteText"/>
      </w:pPr>
      <w:r>
        <w:rPr>
          <w:rStyle w:val="FootnoteReference"/>
        </w:rPr>
        <w:footnoteRef/>
      </w:r>
      <w:r>
        <w:t xml:space="preserve"> </w:t>
      </w:r>
      <w:r w:rsidR="007E0856">
        <w:t>(n56)</w:t>
      </w:r>
      <w:r w:rsidRPr="0075649D">
        <w:t>, 2</w:t>
      </w:r>
      <w:r>
        <w:t>22</w:t>
      </w:r>
    </w:p>
  </w:footnote>
  <w:footnote w:id="64">
    <w:p w14:paraId="024EDA91" w14:textId="4C4311D9" w:rsidR="005017D2" w:rsidRDefault="005017D2" w:rsidP="004C4A67">
      <w:pPr>
        <w:pStyle w:val="FootnoteText"/>
      </w:pPr>
      <w:r>
        <w:rPr>
          <w:rStyle w:val="FootnoteReference"/>
        </w:rPr>
        <w:footnoteRef/>
      </w:r>
      <w:r>
        <w:t xml:space="preserve"> </w:t>
      </w:r>
      <w:r w:rsidR="00B60DF0" w:rsidRPr="000A54DF">
        <w:t>(n</w:t>
      </w:r>
      <w:r w:rsidR="000A54DF" w:rsidRPr="000A54DF">
        <w:t>4</w:t>
      </w:r>
      <w:r w:rsidR="001758FF">
        <w:t>0</w:t>
      </w:r>
      <w:r w:rsidR="00B60DF0" w:rsidRPr="000A54DF">
        <w:t>),</w:t>
      </w:r>
      <w:r w:rsidR="00CF6D61">
        <w:t xml:space="preserve"> </w:t>
      </w:r>
      <w:r>
        <w:t>130-131</w:t>
      </w:r>
    </w:p>
  </w:footnote>
  <w:footnote w:id="65">
    <w:p w14:paraId="1E4825FB" w14:textId="77777777" w:rsidR="0023203F" w:rsidRDefault="0023203F" w:rsidP="0023203F">
      <w:pPr>
        <w:pStyle w:val="FootnoteText"/>
      </w:pPr>
      <w:r>
        <w:rPr>
          <w:rStyle w:val="FootnoteReference"/>
        </w:rPr>
        <w:footnoteRef/>
      </w:r>
      <w:r>
        <w:t xml:space="preserve"> (n10)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1FF"/>
    <w:multiLevelType w:val="hybridMultilevel"/>
    <w:tmpl w:val="1B34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F6387"/>
    <w:multiLevelType w:val="hybridMultilevel"/>
    <w:tmpl w:val="2006DB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2819C0"/>
    <w:multiLevelType w:val="hybridMultilevel"/>
    <w:tmpl w:val="3A32E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46320"/>
    <w:multiLevelType w:val="hybridMultilevel"/>
    <w:tmpl w:val="2320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72FED"/>
    <w:multiLevelType w:val="hybridMultilevel"/>
    <w:tmpl w:val="82F69E62"/>
    <w:lvl w:ilvl="0" w:tplc="B02867F0">
      <w:start w:val="1"/>
      <w:numFmt w:val="bullet"/>
      <w:lvlText w:val="•"/>
      <w:lvlJc w:val="left"/>
      <w:pPr>
        <w:ind w:left="762" w:hanging="360"/>
      </w:pPr>
      <w:rPr>
        <w:rFonts w:ascii="Arial" w:hAnsi="Aria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5" w15:restartNumberingAfterBreak="0">
    <w:nsid w:val="203D6D76"/>
    <w:multiLevelType w:val="hybridMultilevel"/>
    <w:tmpl w:val="4BD233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1BB33A0"/>
    <w:multiLevelType w:val="hybridMultilevel"/>
    <w:tmpl w:val="8B12A9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6C87A5A"/>
    <w:multiLevelType w:val="hybridMultilevel"/>
    <w:tmpl w:val="65A29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3274A"/>
    <w:multiLevelType w:val="hybridMultilevel"/>
    <w:tmpl w:val="DB5C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F0B58"/>
    <w:multiLevelType w:val="hybridMultilevel"/>
    <w:tmpl w:val="9DE841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03B7ABD"/>
    <w:multiLevelType w:val="hybridMultilevel"/>
    <w:tmpl w:val="FAB46220"/>
    <w:lvl w:ilvl="0" w:tplc="B02867F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F64CF"/>
    <w:multiLevelType w:val="hybridMultilevel"/>
    <w:tmpl w:val="3FAAB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28322F"/>
    <w:multiLevelType w:val="hybridMultilevel"/>
    <w:tmpl w:val="E2B02F0E"/>
    <w:lvl w:ilvl="0" w:tplc="B02867F0">
      <w:start w:val="1"/>
      <w:numFmt w:val="bullet"/>
      <w:lvlText w:val="•"/>
      <w:lvlJc w:val="left"/>
      <w:pPr>
        <w:tabs>
          <w:tab w:val="num" w:pos="720"/>
        </w:tabs>
        <w:ind w:left="720" w:hanging="360"/>
      </w:pPr>
      <w:rPr>
        <w:rFonts w:ascii="Arial" w:hAnsi="Arial" w:hint="default"/>
      </w:rPr>
    </w:lvl>
    <w:lvl w:ilvl="1" w:tplc="B82A985A" w:tentative="1">
      <w:start w:val="1"/>
      <w:numFmt w:val="bullet"/>
      <w:lvlText w:val="•"/>
      <w:lvlJc w:val="left"/>
      <w:pPr>
        <w:tabs>
          <w:tab w:val="num" w:pos="1440"/>
        </w:tabs>
        <w:ind w:left="1440" w:hanging="360"/>
      </w:pPr>
      <w:rPr>
        <w:rFonts w:ascii="Arial" w:hAnsi="Arial" w:hint="default"/>
      </w:rPr>
    </w:lvl>
    <w:lvl w:ilvl="2" w:tplc="1B807BDC" w:tentative="1">
      <w:start w:val="1"/>
      <w:numFmt w:val="bullet"/>
      <w:lvlText w:val="•"/>
      <w:lvlJc w:val="left"/>
      <w:pPr>
        <w:tabs>
          <w:tab w:val="num" w:pos="2160"/>
        </w:tabs>
        <w:ind w:left="2160" w:hanging="360"/>
      </w:pPr>
      <w:rPr>
        <w:rFonts w:ascii="Arial" w:hAnsi="Arial" w:hint="default"/>
      </w:rPr>
    </w:lvl>
    <w:lvl w:ilvl="3" w:tplc="47166992" w:tentative="1">
      <w:start w:val="1"/>
      <w:numFmt w:val="bullet"/>
      <w:lvlText w:val="•"/>
      <w:lvlJc w:val="left"/>
      <w:pPr>
        <w:tabs>
          <w:tab w:val="num" w:pos="2880"/>
        </w:tabs>
        <w:ind w:left="2880" w:hanging="360"/>
      </w:pPr>
      <w:rPr>
        <w:rFonts w:ascii="Arial" w:hAnsi="Arial" w:hint="default"/>
      </w:rPr>
    </w:lvl>
    <w:lvl w:ilvl="4" w:tplc="7E1A07FC" w:tentative="1">
      <w:start w:val="1"/>
      <w:numFmt w:val="bullet"/>
      <w:lvlText w:val="•"/>
      <w:lvlJc w:val="left"/>
      <w:pPr>
        <w:tabs>
          <w:tab w:val="num" w:pos="3600"/>
        </w:tabs>
        <w:ind w:left="3600" w:hanging="360"/>
      </w:pPr>
      <w:rPr>
        <w:rFonts w:ascii="Arial" w:hAnsi="Arial" w:hint="default"/>
      </w:rPr>
    </w:lvl>
    <w:lvl w:ilvl="5" w:tplc="CB32E6A0" w:tentative="1">
      <w:start w:val="1"/>
      <w:numFmt w:val="bullet"/>
      <w:lvlText w:val="•"/>
      <w:lvlJc w:val="left"/>
      <w:pPr>
        <w:tabs>
          <w:tab w:val="num" w:pos="4320"/>
        </w:tabs>
        <w:ind w:left="4320" w:hanging="360"/>
      </w:pPr>
      <w:rPr>
        <w:rFonts w:ascii="Arial" w:hAnsi="Arial" w:hint="default"/>
      </w:rPr>
    </w:lvl>
    <w:lvl w:ilvl="6" w:tplc="46C8CC40" w:tentative="1">
      <w:start w:val="1"/>
      <w:numFmt w:val="bullet"/>
      <w:lvlText w:val="•"/>
      <w:lvlJc w:val="left"/>
      <w:pPr>
        <w:tabs>
          <w:tab w:val="num" w:pos="5040"/>
        </w:tabs>
        <w:ind w:left="5040" w:hanging="360"/>
      </w:pPr>
      <w:rPr>
        <w:rFonts w:ascii="Arial" w:hAnsi="Arial" w:hint="default"/>
      </w:rPr>
    </w:lvl>
    <w:lvl w:ilvl="7" w:tplc="3F786916" w:tentative="1">
      <w:start w:val="1"/>
      <w:numFmt w:val="bullet"/>
      <w:lvlText w:val="•"/>
      <w:lvlJc w:val="left"/>
      <w:pPr>
        <w:tabs>
          <w:tab w:val="num" w:pos="5760"/>
        </w:tabs>
        <w:ind w:left="5760" w:hanging="360"/>
      </w:pPr>
      <w:rPr>
        <w:rFonts w:ascii="Arial" w:hAnsi="Arial" w:hint="default"/>
      </w:rPr>
    </w:lvl>
    <w:lvl w:ilvl="8" w:tplc="C914925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646F41"/>
    <w:multiLevelType w:val="hybridMultilevel"/>
    <w:tmpl w:val="A07414A8"/>
    <w:lvl w:ilvl="0" w:tplc="B02867F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B77963"/>
    <w:multiLevelType w:val="hybridMultilevel"/>
    <w:tmpl w:val="745A296A"/>
    <w:lvl w:ilvl="0" w:tplc="B02867F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04288D"/>
    <w:multiLevelType w:val="hybridMultilevel"/>
    <w:tmpl w:val="3FFAA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CF2499"/>
    <w:multiLevelType w:val="hybridMultilevel"/>
    <w:tmpl w:val="6A909E74"/>
    <w:lvl w:ilvl="0" w:tplc="B02867F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B84463"/>
    <w:multiLevelType w:val="hybridMultilevel"/>
    <w:tmpl w:val="B680E3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9816982"/>
    <w:multiLevelType w:val="hybridMultilevel"/>
    <w:tmpl w:val="11486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821CA1"/>
    <w:multiLevelType w:val="hybridMultilevel"/>
    <w:tmpl w:val="2A043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095993"/>
    <w:multiLevelType w:val="hybridMultilevel"/>
    <w:tmpl w:val="38AEC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4C5D82"/>
    <w:multiLevelType w:val="hybridMultilevel"/>
    <w:tmpl w:val="F950F558"/>
    <w:lvl w:ilvl="0" w:tplc="FA0ADA1E">
      <w:start w:val="1"/>
      <w:numFmt w:val="bullet"/>
      <w:lvlText w:val="•"/>
      <w:lvlJc w:val="left"/>
      <w:pPr>
        <w:tabs>
          <w:tab w:val="num" w:pos="720"/>
        </w:tabs>
        <w:ind w:left="720" w:hanging="360"/>
      </w:pPr>
      <w:rPr>
        <w:rFonts w:ascii="Arial" w:hAnsi="Arial" w:hint="default"/>
      </w:rPr>
    </w:lvl>
    <w:lvl w:ilvl="1" w:tplc="4D7C1F36">
      <w:numFmt w:val="bullet"/>
      <w:lvlText w:val="•"/>
      <w:lvlJc w:val="left"/>
      <w:pPr>
        <w:tabs>
          <w:tab w:val="num" w:pos="1440"/>
        </w:tabs>
        <w:ind w:left="1440" w:hanging="360"/>
      </w:pPr>
      <w:rPr>
        <w:rFonts w:ascii="Arial" w:hAnsi="Arial" w:hint="default"/>
      </w:rPr>
    </w:lvl>
    <w:lvl w:ilvl="2" w:tplc="DA36E03C">
      <w:numFmt w:val="bullet"/>
      <w:lvlText w:val="•"/>
      <w:lvlJc w:val="left"/>
      <w:pPr>
        <w:tabs>
          <w:tab w:val="num" w:pos="2160"/>
        </w:tabs>
        <w:ind w:left="2160" w:hanging="360"/>
      </w:pPr>
      <w:rPr>
        <w:rFonts w:ascii="Arial" w:hAnsi="Arial" w:hint="default"/>
      </w:rPr>
    </w:lvl>
    <w:lvl w:ilvl="3" w:tplc="EA7C1780" w:tentative="1">
      <w:start w:val="1"/>
      <w:numFmt w:val="bullet"/>
      <w:lvlText w:val="•"/>
      <w:lvlJc w:val="left"/>
      <w:pPr>
        <w:tabs>
          <w:tab w:val="num" w:pos="2880"/>
        </w:tabs>
        <w:ind w:left="2880" w:hanging="360"/>
      </w:pPr>
      <w:rPr>
        <w:rFonts w:ascii="Arial" w:hAnsi="Arial" w:hint="default"/>
      </w:rPr>
    </w:lvl>
    <w:lvl w:ilvl="4" w:tplc="E4C2A146" w:tentative="1">
      <w:start w:val="1"/>
      <w:numFmt w:val="bullet"/>
      <w:lvlText w:val="•"/>
      <w:lvlJc w:val="left"/>
      <w:pPr>
        <w:tabs>
          <w:tab w:val="num" w:pos="3600"/>
        </w:tabs>
        <w:ind w:left="3600" w:hanging="360"/>
      </w:pPr>
      <w:rPr>
        <w:rFonts w:ascii="Arial" w:hAnsi="Arial" w:hint="default"/>
      </w:rPr>
    </w:lvl>
    <w:lvl w:ilvl="5" w:tplc="A6FA5E1A" w:tentative="1">
      <w:start w:val="1"/>
      <w:numFmt w:val="bullet"/>
      <w:lvlText w:val="•"/>
      <w:lvlJc w:val="left"/>
      <w:pPr>
        <w:tabs>
          <w:tab w:val="num" w:pos="4320"/>
        </w:tabs>
        <w:ind w:left="4320" w:hanging="360"/>
      </w:pPr>
      <w:rPr>
        <w:rFonts w:ascii="Arial" w:hAnsi="Arial" w:hint="default"/>
      </w:rPr>
    </w:lvl>
    <w:lvl w:ilvl="6" w:tplc="93606A56" w:tentative="1">
      <w:start w:val="1"/>
      <w:numFmt w:val="bullet"/>
      <w:lvlText w:val="•"/>
      <w:lvlJc w:val="left"/>
      <w:pPr>
        <w:tabs>
          <w:tab w:val="num" w:pos="5040"/>
        </w:tabs>
        <w:ind w:left="5040" w:hanging="360"/>
      </w:pPr>
      <w:rPr>
        <w:rFonts w:ascii="Arial" w:hAnsi="Arial" w:hint="default"/>
      </w:rPr>
    </w:lvl>
    <w:lvl w:ilvl="7" w:tplc="066230D4" w:tentative="1">
      <w:start w:val="1"/>
      <w:numFmt w:val="bullet"/>
      <w:lvlText w:val="•"/>
      <w:lvlJc w:val="left"/>
      <w:pPr>
        <w:tabs>
          <w:tab w:val="num" w:pos="5760"/>
        </w:tabs>
        <w:ind w:left="5760" w:hanging="360"/>
      </w:pPr>
      <w:rPr>
        <w:rFonts w:ascii="Arial" w:hAnsi="Arial" w:hint="default"/>
      </w:rPr>
    </w:lvl>
    <w:lvl w:ilvl="8" w:tplc="BF2EBDF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2EA7042"/>
    <w:multiLevelType w:val="hybridMultilevel"/>
    <w:tmpl w:val="DB4A4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EA6F0F"/>
    <w:multiLevelType w:val="hybridMultilevel"/>
    <w:tmpl w:val="DCC86A1C"/>
    <w:lvl w:ilvl="0" w:tplc="17D6AEA2">
      <w:start w:val="1"/>
      <w:numFmt w:val="decimal"/>
      <w:lvlText w:val="%1."/>
      <w:lvlJc w:val="left"/>
      <w:pPr>
        <w:tabs>
          <w:tab w:val="num" w:pos="720"/>
        </w:tabs>
        <w:ind w:left="720" w:hanging="360"/>
      </w:pPr>
    </w:lvl>
    <w:lvl w:ilvl="1" w:tplc="19FAE018" w:tentative="1">
      <w:start w:val="1"/>
      <w:numFmt w:val="decimal"/>
      <w:lvlText w:val="%2."/>
      <w:lvlJc w:val="left"/>
      <w:pPr>
        <w:tabs>
          <w:tab w:val="num" w:pos="1440"/>
        </w:tabs>
        <w:ind w:left="1440" w:hanging="360"/>
      </w:pPr>
    </w:lvl>
    <w:lvl w:ilvl="2" w:tplc="7A4C11C4" w:tentative="1">
      <w:start w:val="1"/>
      <w:numFmt w:val="decimal"/>
      <w:lvlText w:val="%3."/>
      <w:lvlJc w:val="left"/>
      <w:pPr>
        <w:tabs>
          <w:tab w:val="num" w:pos="2160"/>
        </w:tabs>
        <w:ind w:left="2160" w:hanging="360"/>
      </w:pPr>
    </w:lvl>
    <w:lvl w:ilvl="3" w:tplc="E23CC670" w:tentative="1">
      <w:start w:val="1"/>
      <w:numFmt w:val="decimal"/>
      <w:lvlText w:val="%4."/>
      <w:lvlJc w:val="left"/>
      <w:pPr>
        <w:tabs>
          <w:tab w:val="num" w:pos="2880"/>
        </w:tabs>
        <w:ind w:left="2880" w:hanging="360"/>
      </w:pPr>
    </w:lvl>
    <w:lvl w:ilvl="4" w:tplc="56EAB2AE" w:tentative="1">
      <w:start w:val="1"/>
      <w:numFmt w:val="decimal"/>
      <w:lvlText w:val="%5."/>
      <w:lvlJc w:val="left"/>
      <w:pPr>
        <w:tabs>
          <w:tab w:val="num" w:pos="3600"/>
        </w:tabs>
        <w:ind w:left="3600" w:hanging="360"/>
      </w:pPr>
    </w:lvl>
    <w:lvl w:ilvl="5" w:tplc="39AE5864" w:tentative="1">
      <w:start w:val="1"/>
      <w:numFmt w:val="decimal"/>
      <w:lvlText w:val="%6."/>
      <w:lvlJc w:val="left"/>
      <w:pPr>
        <w:tabs>
          <w:tab w:val="num" w:pos="4320"/>
        </w:tabs>
        <w:ind w:left="4320" w:hanging="360"/>
      </w:pPr>
    </w:lvl>
    <w:lvl w:ilvl="6" w:tplc="545EFBDA" w:tentative="1">
      <w:start w:val="1"/>
      <w:numFmt w:val="decimal"/>
      <w:lvlText w:val="%7."/>
      <w:lvlJc w:val="left"/>
      <w:pPr>
        <w:tabs>
          <w:tab w:val="num" w:pos="5040"/>
        </w:tabs>
        <w:ind w:left="5040" w:hanging="360"/>
      </w:pPr>
    </w:lvl>
    <w:lvl w:ilvl="7" w:tplc="6F5A57DA" w:tentative="1">
      <w:start w:val="1"/>
      <w:numFmt w:val="decimal"/>
      <w:lvlText w:val="%8."/>
      <w:lvlJc w:val="left"/>
      <w:pPr>
        <w:tabs>
          <w:tab w:val="num" w:pos="5760"/>
        </w:tabs>
        <w:ind w:left="5760" w:hanging="360"/>
      </w:pPr>
    </w:lvl>
    <w:lvl w:ilvl="8" w:tplc="CF50E22C" w:tentative="1">
      <w:start w:val="1"/>
      <w:numFmt w:val="decimal"/>
      <w:lvlText w:val="%9."/>
      <w:lvlJc w:val="left"/>
      <w:pPr>
        <w:tabs>
          <w:tab w:val="num" w:pos="6480"/>
        </w:tabs>
        <w:ind w:left="6480" w:hanging="360"/>
      </w:pPr>
    </w:lvl>
  </w:abstractNum>
  <w:abstractNum w:abstractNumId="24" w15:restartNumberingAfterBreak="0">
    <w:nsid w:val="767E0EBE"/>
    <w:multiLevelType w:val="hybridMultilevel"/>
    <w:tmpl w:val="60923A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19"/>
  </w:num>
  <w:num w:numId="4">
    <w:abstractNumId w:val="23"/>
  </w:num>
  <w:num w:numId="5">
    <w:abstractNumId w:val="12"/>
  </w:num>
  <w:num w:numId="6">
    <w:abstractNumId w:val="21"/>
  </w:num>
  <w:num w:numId="7">
    <w:abstractNumId w:val="18"/>
  </w:num>
  <w:num w:numId="8">
    <w:abstractNumId w:val="3"/>
  </w:num>
  <w:num w:numId="9">
    <w:abstractNumId w:val="6"/>
  </w:num>
  <w:num w:numId="10">
    <w:abstractNumId w:val="0"/>
  </w:num>
  <w:num w:numId="11">
    <w:abstractNumId w:val="1"/>
  </w:num>
  <w:num w:numId="12">
    <w:abstractNumId w:val="9"/>
  </w:num>
  <w:num w:numId="13">
    <w:abstractNumId w:val="17"/>
  </w:num>
  <w:num w:numId="14">
    <w:abstractNumId w:val="5"/>
  </w:num>
  <w:num w:numId="15">
    <w:abstractNumId w:val="8"/>
  </w:num>
  <w:num w:numId="16">
    <w:abstractNumId w:val="13"/>
  </w:num>
  <w:num w:numId="17">
    <w:abstractNumId w:val="16"/>
  </w:num>
  <w:num w:numId="18">
    <w:abstractNumId w:val="4"/>
  </w:num>
  <w:num w:numId="19">
    <w:abstractNumId w:val="10"/>
  </w:num>
  <w:num w:numId="20">
    <w:abstractNumId w:val="14"/>
  </w:num>
  <w:num w:numId="21">
    <w:abstractNumId w:val="24"/>
  </w:num>
  <w:num w:numId="22">
    <w:abstractNumId w:val="22"/>
  </w:num>
  <w:num w:numId="23">
    <w:abstractNumId w:val="11"/>
  </w:num>
  <w:num w:numId="24">
    <w:abstractNumId w:val="20"/>
  </w:num>
  <w:num w:numId="2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 Jones">
    <w15:presenceInfo w15:providerId="AD" w15:userId="S::emma.j.jones@sheffield.ac.uk::90c7a1cb-b880-4351-a5d4-1e4826832bf1"/>
  </w15:person>
  <w15:person w15:author="Stella Coyle">
    <w15:presenceInfo w15:providerId="Windows Live" w15:userId="fff88f4d8b692dc0"/>
  </w15:person>
  <w15:person w15:author="Caroline Strevens">
    <w15:presenceInfo w15:providerId="AD" w15:userId="S-1-5-21-579868786-2669328126-3886333572-823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80"/>
    <w:rsid w:val="000008DB"/>
    <w:rsid w:val="00000CC9"/>
    <w:rsid w:val="00001EBE"/>
    <w:rsid w:val="00006797"/>
    <w:rsid w:val="000074BF"/>
    <w:rsid w:val="00007855"/>
    <w:rsid w:val="00007C76"/>
    <w:rsid w:val="00007D7E"/>
    <w:rsid w:val="000106E7"/>
    <w:rsid w:val="0001085A"/>
    <w:rsid w:val="000114D6"/>
    <w:rsid w:val="0001328E"/>
    <w:rsid w:val="0001339C"/>
    <w:rsid w:val="000163FF"/>
    <w:rsid w:val="00017AB0"/>
    <w:rsid w:val="00017B92"/>
    <w:rsid w:val="000227BE"/>
    <w:rsid w:val="00024086"/>
    <w:rsid w:val="00025ABD"/>
    <w:rsid w:val="00026864"/>
    <w:rsid w:val="0002694B"/>
    <w:rsid w:val="00030020"/>
    <w:rsid w:val="000306F7"/>
    <w:rsid w:val="000337ED"/>
    <w:rsid w:val="0003568B"/>
    <w:rsid w:val="0003609C"/>
    <w:rsid w:val="00036B04"/>
    <w:rsid w:val="00040705"/>
    <w:rsid w:val="00040C61"/>
    <w:rsid w:val="00041E37"/>
    <w:rsid w:val="00041F51"/>
    <w:rsid w:val="00041FA8"/>
    <w:rsid w:val="000423AE"/>
    <w:rsid w:val="00043572"/>
    <w:rsid w:val="000437C0"/>
    <w:rsid w:val="00043C72"/>
    <w:rsid w:val="00044BFC"/>
    <w:rsid w:val="00045C26"/>
    <w:rsid w:val="00046345"/>
    <w:rsid w:val="00052C2C"/>
    <w:rsid w:val="00053B0F"/>
    <w:rsid w:val="0005517E"/>
    <w:rsid w:val="00060D13"/>
    <w:rsid w:val="000612E2"/>
    <w:rsid w:val="00061814"/>
    <w:rsid w:val="00062C14"/>
    <w:rsid w:val="00064E90"/>
    <w:rsid w:val="00064F0C"/>
    <w:rsid w:val="00065463"/>
    <w:rsid w:val="0006707F"/>
    <w:rsid w:val="0006748A"/>
    <w:rsid w:val="000675B9"/>
    <w:rsid w:val="00067C7F"/>
    <w:rsid w:val="00070F9E"/>
    <w:rsid w:val="00071068"/>
    <w:rsid w:val="00073520"/>
    <w:rsid w:val="00073C18"/>
    <w:rsid w:val="00074B83"/>
    <w:rsid w:val="000751B8"/>
    <w:rsid w:val="00077724"/>
    <w:rsid w:val="00077EB8"/>
    <w:rsid w:val="000808AE"/>
    <w:rsid w:val="000809A1"/>
    <w:rsid w:val="000826A9"/>
    <w:rsid w:val="0008346F"/>
    <w:rsid w:val="0008355E"/>
    <w:rsid w:val="00083E90"/>
    <w:rsid w:val="000867DF"/>
    <w:rsid w:val="00087C9C"/>
    <w:rsid w:val="00091096"/>
    <w:rsid w:val="00091720"/>
    <w:rsid w:val="00094391"/>
    <w:rsid w:val="00094926"/>
    <w:rsid w:val="000969CC"/>
    <w:rsid w:val="00097392"/>
    <w:rsid w:val="000979C7"/>
    <w:rsid w:val="00097CE3"/>
    <w:rsid w:val="000A2E2C"/>
    <w:rsid w:val="000A4415"/>
    <w:rsid w:val="000A4F56"/>
    <w:rsid w:val="000A54DF"/>
    <w:rsid w:val="000A5AE6"/>
    <w:rsid w:val="000A6CE8"/>
    <w:rsid w:val="000A6FF6"/>
    <w:rsid w:val="000A7EFD"/>
    <w:rsid w:val="000B1298"/>
    <w:rsid w:val="000B2F40"/>
    <w:rsid w:val="000B307F"/>
    <w:rsid w:val="000B3676"/>
    <w:rsid w:val="000B39E1"/>
    <w:rsid w:val="000B4126"/>
    <w:rsid w:val="000C06EC"/>
    <w:rsid w:val="000C1580"/>
    <w:rsid w:val="000C199B"/>
    <w:rsid w:val="000C41F6"/>
    <w:rsid w:val="000C6629"/>
    <w:rsid w:val="000D0B8F"/>
    <w:rsid w:val="000D10FC"/>
    <w:rsid w:val="000D1BE9"/>
    <w:rsid w:val="000D27B6"/>
    <w:rsid w:val="000D2904"/>
    <w:rsid w:val="000D2C1E"/>
    <w:rsid w:val="000D2E67"/>
    <w:rsid w:val="000D3CAC"/>
    <w:rsid w:val="000D4EBE"/>
    <w:rsid w:val="000D7EAA"/>
    <w:rsid w:val="000E008B"/>
    <w:rsid w:val="000E106F"/>
    <w:rsid w:val="000E13BE"/>
    <w:rsid w:val="000E2D44"/>
    <w:rsid w:val="000E43F3"/>
    <w:rsid w:val="000E5113"/>
    <w:rsid w:val="000E5DA0"/>
    <w:rsid w:val="000E6578"/>
    <w:rsid w:val="000F0624"/>
    <w:rsid w:val="000F08FF"/>
    <w:rsid w:val="000F0E2F"/>
    <w:rsid w:val="000F15D9"/>
    <w:rsid w:val="000F2889"/>
    <w:rsid w:val="000F424B"/>
    <w:rsid w:val="000F4F83"/>
    <w:rsid w:val="000F57B5"/>
    <w:rsid w:val="000F60CA"/>
    <w:rsid w:val="000F752D"/>
    <w:rsid w:val="00100C69"/>
    <w:rsid w:val="001021D9"/>
    <w:rsid w:val="00102F29"/>
    <w:rsid w:val="00104C06"/>
    <w:rsid w:val="00105D97"/>
    <w:rsid w:val="001074E9"/>
    <w:rsid w:val="00110931"/>
    <w:rsid w:val="00112651"/>
    <w:rsid w:val="00112D07"/>
    <w:rsid w:val="00112F41"/>
    <w:rsid w:val="001152F7"/>
    <w:rsid w:val="00115349"/>
    <w:rsid w:val="00115647"/>
    <w:rsid w:val="001211BC"/>
    <w:rsid w:val="00121576"/>
    <w:rsid w:val="001258AC"/>
    <w:rsid w:val="001266E0"/>
    <w:rsid w:val="00126DB6"/>
    <w:rsid w:val="001277DC"/>
    <w:rsid w:val="00132455"/>
    <w:rsid w:val="00132B7B"/>
    <w:rsid w:val="00132BD7"/>
    <w:rsid w:val="00134887"/>
    <w:rsid w:val="00134AC9"/>
    <w:rsid w:val="001352C9"/>
    <w:rsid w:val="00135988"/>
    <w:rsid w:val="00136A5B"/>
    <w:rsid w:val="00136FA3"/>
    <w:rsid w:val="00137ADA"/>
    <w:rsid w:val="001402B7"/>
    <w:rsid w:val="001405F4"/>
    <w:rsid w:val="001412D3"/>
    <w:rsid w:val="001416E3"/>
    <w:rsid w:val="00141C84"/>
    <w:rsid w:val="00141E55"/>
    <w:rsid w:val="00141FC0"/>
    <w:rsid w:val="001440E8"/>
    <w:rsid w:val="001446AB"/>
    <w:rsid w:val="00144AA3"/>
    <w:rsid w:val="00146492"/>
    <w:rsid w:val="00147724"/>
    <w:rsid w:val="001504A8"/>
    <w:rsid w:val="0015311F"/>
    <w:rsid w:val="00153795"/>
    <w:rsid w:val="001548A9"/>
    <w:rsid w:val="001569A1"/>
    <w:rsid w:val="001572E4"/>
    <w:rsid w:val="001573DE"/>
    <w:rsid w:val="001619F8"/>
    <w:rsid w:val="0016217A"/>
    <w:rsid w:val="00163D73"/>
    <w:rsid w:val="001644C4"/>
    <w:rsid w:val="0016473B"/>
    <w:rsid w:val="001657C6"/>
    <w:rsid w:val="001663B2"/>
    <w:rsid w:val="001667E6"/>
    <w:rsid w:val="00166ACB"/>
    <w:rsid w:val="00167385"/>
    <w:rsid w:val="00167A26"/>
    <w:rsid w:val="00170857"/>
    <w:rsid w:val="00171048"/>
    <w:rsid w:val="001714AC"/>
    <w:rsid w:val="00172D7B"/>
    <w:rsid w:val="0017576A"/>
    <w:rsid w:val="0017585A"/>
    <w:rsid w:val="001758FF"/>
    <w:rsid w:val="0017599D"/>
    <w:rsid w:val="00176E2B"/>
    <w:rsid w:val="00177B61"/>
    <w:rsid w:val="00180CA5"/>
    <w:rsid w:val="00182059"/>
    <w:rsid w:val="00183AD4"/>
    <w:rsid w:val="00183C02"/>
    <w:rsid w:val="00183CE5"/>
    <w:rsid w:val="00184E0C"/>
    <w:rsid w:val="00184F36"/>
    <w:rsid w:val="0018762D"/>
    <w:rsid w:val="00191198"/>
    <w:rsid w:val="00191295"/>
    <w:rsid w:val="00191B60"/>
    <w:rsid w:val="00192554"/>
    <w:rsid w:val="001943A3"/>
    <w:rsid w:val="001950EA"/>
    <w:rsid w:val="00195ECA"/>
    <w:rsid w:val="00197635"/>
    <w:rsid w:val="001A023C"/>
    <w:rsid w:val="001A0BA7"/>
    <w:rsid w:val="001A0D92"/>
    <w:rsid w:val="001A0F49"/>
    <w:rsid w:val="001A2FA7"/>
    <w:rsid w:val="001A4221"/>
    <w:rsid w:val="001A4AD0"/>
    <w:rsid w:val="001A5A2E"/>
    <w:rsid w:val="001A643E"/>
    <w:rsid w:val="001A7402"/>
    <w:rsid w:val="001B0478"/>
    <w:rsid w:val="001B47B1"/>
    <w:rsid w:val="001B5D36"/>
    <w:rsid w:val="001C0432"/>
    <w:rsid w:val="001C11FB"/>
    <w:rsid w:val="001C1A33"/>
    <w:rsid w:val="001C42D7"/>
    <w:rsid w:val="001C48AA"/>
    <w:rsid w:val="001C65A1"/>
    <w:rsid w:val="001C6669"/>
    <w:rsid w:val="001C6B9E"/>
    <w:rsid w:val="001D0306"/>
    <w:rsid w:val="001D10AB"/>
    <w:rsid w:val="001D5835"/>
    <w:rsid w:val="001D63E7"/>
    <w:rsid w:val="001D6EB8"/>
    <w:rsid w:val="001D6EED"/>
    <w:rsid w:val="001D7D9A"/>
    <w:rsid w:val="001E44DD"/>
    <w:rsid w:val="001E495E"/>
    <w:rsid w:val="001E4B80"/>
    <w:rsid w:val="001F036A"/>
    <w:rsid w:val="001F07FD"/>
    <w:rsid w:val="001F0850"/>
    <w:rsid w:val="001F195E"/>
    <w:rsid w:val="001F1DB5"/>
    <w:rsid w:val="001F2D9D"/>
    <w:rsid w:val="001F3289"/>
    <w:rsid w:val="001F367F"/>
    <w:rsid w:val="001F3A19"/>
    <w:rsid w:val="001F420E"/>
    <w:rsid w:val="001F5F42"/>
    <w:rsid w:val="001F5F4E"/>
    <w:rsid w:val="001F6CE7"/>
    <w:rsid w:val="001F6D64"/>
    <w:rsid w:val="001F7794"/>
    <w:rsid w:val="001F78B3"/>
    <w:rsid w:val="00200E0E"/>
    <w:rsid w:val="0020251F"/>
    <w:rsid w:val="0020265F"/>
    <w:rsid w:val="002036EB"/>
    <w:rsid w:val="00204725"/>
    <w:rsid w:val="002050AC"/>
    <w:rsid w:val="00206548"/>
    <w:rsid w:val="00206DFB"/>
    <w:rsid w:val="00211507"/>
    <w:rsid w:val="002127A7"/>
    <w:rsid w:val="00212BCC"/>
    <w:rsid w:val="00213764"/>
    <w:rsid w:val="00214759"/>
    <w:rsid w:val="00214CCF"/>
    <w:rsid w:val="00216FFA"/>
    <w:rsid w:val="00217C6C"/>
    <w:rsid w:val="00220AAF"/>
    <w:rsid w:val="002248DB"/>
    <w:rsid w:val="00224AA3"/>
    <w:rsid w:val="00226F98"/>
    <w:rsid w:val="002317F5"/>
    <w:rsid w:val="0023203F"/>
    <w:rsid w:val="0024093B"/>
    <w:rsid w:val="00241C75"/>
    <w:rsid w:val="00242F55"/>
    <w:rsid w:val="00242FD0"/>
    <w:rsid w:val="00244319"/>
    <w:rsid w:val="0024482F"/>
    <w:rsid w:val="00245A76"/>
    <w:rsid w:val="002472F4"/>
    <w:rsid w:val="00252F79"/>
    <w:rsid w:val="00253EB9"/>
    <w:rsid w:val="0025405F"/>
    <w:rsid w:val="0025428A"/>
    <w:rsid w:val="0025472A"/>
    <w:rsid w:val="002557D4"/>
    <w:rsid w:val="00257861"/>
    <w:rsid w:val="00257C61"/>
    <w:rsid w:val="00260BD0"/>
    <w:rsid w:val="0026121D"/>
    <w:rsid w:val="0026207E"/>
    <w:rsid w:val="0026345A"/>
    <w:rsid w:val="00263598"/>
    <w:rsid w:val="00267381"/>
    <w:rsid w:val="00267F71"/>
    <w:rsid w:val="00270FE3"/>
    <w:rsid w:val="00272EE6"/>
    <w:rsid w:val="00274F7B"/>
    <w:rsid w:val="00277597"/>
    <w:rsid w:val="002820DE"/>
    <w:rsid w:val="002835C5"/>
    <w:rsid w:val="002840D8"/>
    <w:rsid w:val="00285A71"/>
    <w:rsid w:val="0028692D"/>
    <w:rsid w:val="0028747F"/>
    <w:rsid w:val="002878CF"/>
    <w:rsid w:val="002920FD"/>
    <w:rsid w:val="00292AD3"/>
    <w:rsid w:val="00293176"/>
    <w:rsid w:val="002936EE"/>
    <w:rsid w:val="00294F5A"/>
    <w:rsid w:val="002957CF"/>
    <w:rsid w:val="0029608A"/>
    <w:rsid w:val="0029698E"/>
    <w:rsid w:val="002A1387"/>
    <w:rsid w:val="002A2246"/>
    <w:rsid w:val="002A2501"/>
    <w:rsid w:val="002A2684"/>
    <w:rsid w:val="002A3F9C"/>
    <w:rsid w:val="002A41F8"/>
    <w:rsid w:val="002A47E0"/>
    <w:rsid w:val="002A5B48"/>
    <w:rsid w:val="002A6E4A"/>
    <w:rsid w:val="002A7F40"/>
    <w:rsid w:val="002B042C"/>
    <w:rsid w:val="002B1EAA"/>
    <w:rsid w:val="002B2A6E"/>
    <w:rsid w:val="002B3388"/>
    <w:rsid w:val="002B3548"/>
    <w:rsid w:val="002B382D"/>
    <w:rsid w:val="002B615E"/>
    <w:rsid w:val="002B6EF3"/>
    <w:rsid w:val="002C1129"/>
    <w:rsid w:val="002C17B9"/>
    <w:rsid w:val="002C19C9"/>
    <w:rsid w:val="002C365C"/>
    <w:rsid w:val="002C406C"/>
    <w:rsid w:val="002C45B2"/>
    <w:rsid w:val="002C65F1"/>
    <w:rsid w:val="002C7592"/>
    <w:rsid w:val="002D0239"/>
    <w:rsid w:val="002D054B"/>
    <w:rsid w:val="002D0690"/>
    <w:rsid w:val="002D1296"/>
    <w:rsid w:val="002D3479"/>
    <w:rsid w:val="002D5FE1"/>
    <w:rsid w:val="002D5FFD"/>
    <w:rsid w:val="002D735A"/>
    <w:rsid w:val="002D7763"/>
    <w:rsid w:val="002E1B93"/>
    <w:rsid w:val="002E2669"/>
    <w:rsid w:val="002E335A"/>
    <w:rsid w:val="002E3361"/>
    <w:rsid w:val="002E3A0F"/>
    <w:rsid w:val="002E4342"/>
    <w:rsid w:val="002E60D5"/>
    <w:rsid w:val="002E64F6"/>
    <w:rsid w:val="002E7724"/>
    <w:rsid w:val="002E7CCF"/>
    <w:rsid w:val="002F09DC"/>
    <w:rsid w:val="002F11CE"/>
    <w:rsid w:val="002F173F"/>
    <w:rsid w:val="002F3187"/>
    <w:rsid w:val="002F59F9"/>
    <w:rsid w:val="00300993"/>
    <w:rsid w:val="0030146A"/>
    <w:rsid w:val="0030161C"/>
    <w:rsid w:val="00301E9F"/>
    <w:rsid w:val="00305154"/>
    <w:rsid w:val="00305492"/>
    <w:rsid w:val="00305A88"/>
    <w:rsid w:val="00305CA7"/>
    <w:rsid w:val="003065B7"/>
    <w:rsid w:val="0030772C"/>
    <w:rsid w:val="00307860"/>
    <w:rsid w:val="003108E6"/>
    <w:rsid w:val="00310971"/>
    <w:rsid w:val="003112C5"/>
    <w:rsid w:val="00311BD8"/>
    <w:rsid w:val="003127BD"/>
    <w:rsid w:val="003130AA"/>
    <w:rsid w:val="0031348B"/>
    <w:rsid w:val="00313727"/>
    <w:rsid w:val="00313C70"/>
    <w:rsid w:val="003140CD"/>
    <w:rsid w:val="00314779"/>
    <w:rsid w:val="00316696"/>
    <w:rsid w:val="0031678E"/>
    <w:rsid w:val="00317193"/>
    <w:rsid w:val="00317FBB"/>
    <w:rsid w:val="00321D44"/>
    <w:rsid w:val="003224F9"/>
    <w:rsid w:val="00323A09"/>
    <w:rsid w:val="003249F8"/>
    <w:rsid w:val="00326494"/>
    <w:rsid w:val="00326CDF"/>
    <w:rsid w:val="00327542"/>
    <w:rsid w:val="003279FA"/>
    <w:rsid w:val="003309CC"/>
    <w:rsid w:val="003312C0"/>
    <w:rsid w:val="00331B10"/>
    <w:rsid w:val="00331BCE"/>
    <w:rsid w:val="003333E4"/>
    <w:rsid w:val="00335632"/>
    <w:rsid w:val="00335AD8"/>
    <w:rsid w:val="0033604D"/>
    <w:rsid w:val="00336F7B"/>
    <w:rsid w:val="0033763A"/>
    <w:rsid w:val="00337A98"/>
    <w:rsid w:val="00340C7D"/>
    <w:rsid w:val="00342113"/>
    <w:rsid w:val="00342D88"/>
    <w:rsid w:val="0034301A"/>
    <w:rsid w:val="00343A62"/>
    <w:rsid w:val="00343D04"/>
    <w:rsid w:val="00345115"/>
    <w:rsid w:val="00345228"/>
    <w:rsid w:val="0034531E"/>
    <w:rsid w:val="0034555B"/>
    <w:rsid w:val="003456DA"/>
    <w:rsid w:val="00347075"/>
    <w:rsid w:val="003472A6"/>
    <w:rsid w:val="00350127"/>
    <w:rsid w:val="0035033F"/>
    <w:rsid w:val="0035067D"/>
    <w:rsid w:val="00351DF9"/>
    <w:rsid w:val="0035220C"/>
    <w:rsid w:val="00354E7A"/>
    <w:rsid w:val="00360095"/>
    <w:rsid w:val="00360956"/>
    <w:rsid w:val="00360AEC"/>
    <w:rsid w:val="00361D08"/>
    <w:rsid w:val="00361FB7"/>
    <w:rsid w:val="003627D9"/>
    <w:rsid w:val="00363222"/>
    <w:rsid w:val="003642C1"/>
    <w:rsid w:val="00364F0B"/>
    <w:rsid w:val="0036502E"/>
    <w:rsid w:val="0036595E"/>
    <w:rsid w:val="00366796"/>
    <w:rsid w:val="00367012"/>
    <w:rsid w:val="00367D24"/>
    <w:rsid w:val="00371DB6"/>
    <w:rsid w:val="00372395"/>
    <w:rsid w:val="00373E2A"/>
    <w:rsid w:val="0037593D"/>
    <w:rsid w:val="00375FEC"/>
    <w:rsid w:val="00380AED"/>
    <w:rsid w:val="00380CD6"/>
    <w:rsid w:val="00382D99"/>
    <w:rsid w:val="00384875"/>
    <w:rsid w:val="00390541"/>
    <w:rsid w:val="003908C5"/>
    <w:rsid w:val="00391167"/>
    <w:rsid w:val="003913EF"/>
    <w:rsid w:val="0039345F"/>
    <w:rsid w:val="00393606"/>
    <w:rsid w:val="00395043"/>
    <w:rsid w:val="00395F8A"/>
    <w:rsid w:val="0039674C"/>
    <w:rsid w:val="003A2BCE"/>
    <w:rsid w:val="003A2EA9"/>
    <w:rsid w:val="003A3191"/>
    <w:rsid w:val="003A5E5A"/>
    <w:rsid w:val="003A6D9E"/>
    <w:rsid w:val="003B3E46"/>
    <w:rsid w:val="003B42B3"/>
    <w:rsid w:val="003B437C"/>
    <w:rsid w:val="003B5389"/>
    <w:rsid w:val="003B5C9F"/>
    <w:rsid w:val="003B6924"/>
    <w:rsid w:val="003B6AA8"/>
    <w:rsid w:val="003C1ABE"/>
    <w:rsid w:val="003C1C32"/>
    <w:rsid w:val="003C475D"/>
    <w:rsid w:val="003C5088"/>
    <w:rsid w:val="003C71A0"/>
    <w:rsid w:val="003C72E7"/>
    <w:rsid w:val="003D03DE"/>
    <w:rsid w:val="003D190E"/>
    <w:rsid w:val="003D1C9B"/>
    <w:rsid w:val="003D1F68"/>
    <w:rsid w:val="003D355F"/>
    <w:rsid w:val="003D47BC"/>
    <w:rsid w:val="003D55BD"/>
    <w:rsid w:val="003D69D2"/>
    <w:rsid w:val="003D77B3"/>
    <w:rsid w:val="003D79FD"/>
    <w:rsid w:val="003E0D93"/>
    <w:rsid w:val="003E1490"/>
    <w:rsid w:val="003E15EC"/>
    <w:rsid w:val="003E1D95"/>
    <w:rsid w:val="003E2892"/>
    <w:rsid w:val="003E28C0"/>
    <w:rsid w:val="003E2FD0"/>
    <w:rsid w:val="003E32EF"/>
    <w:rsid w:val="003E3851"/>
    <w:rsid w:val="003E4975"/>
    <w:rsid w:val="003E5A1E"/>
    <w:rsid w:val="003E6709"/>
    <w:rsid w:val="003E6CD8"/>
    <w:rsid w:val="003E6F41"/>
    <w:rsid w:val="003F0A96"/>
    <w:rsid w:val="003F21EE"/>
    <w:rsid w:val="003F3E95"/>
    <w:rsid w:val="003F477D"/>
    <w:rsid w:val="003F5C2E"/>
    <w:rsid w:val="003F6C99"/>
    <w:rsid w:val="003F6DA0"/>
    <w:rsid w:val="00400442"/>
    <w:rsid w:val="00401ADC"/>
    <w:rsid w:val="0040305D"/>
    <w:rsid w:val="00403381"/>
    <w:rsid w:val="00403719"/>
    <w:rsid w:val="00405239"/>
    <w:rsid w:val="0040546E"/>
    <w:rsid w:val="004054E9"/>
    <w:rsid w:val="00405738"/>
    <w:rsid w:val="00407083"/>
    <w:rsid w:val="00410641"/>
    <w:rsid w:val="00410932"/>
    <w:rsid w:val="004111C2"/>
    <w:rsid w:val="00411602"/>
    <w:rsid w:val="004126BA"/>
    <w:rsid w:val="00413283"/>
    <w:rsid w:val="00414BDB"/>
    <w:rsid w:val="00414C61"/>
    <w:rsid w:val="00415832"/>
    <w:rsid w:val="00415DE0"/>
    <w:rsid w:val="004164F5"/>
    <w:rsid w:val="00421DFE"/>
    <w:rsid w:val="00422940"/>
    <w:rsid w:val="00423C45"/>
    <w:rsid w:val="0042574B"/>
    <w:rsid w:val="004268C4"/>
    <w:rsid w:val="0043361B"/>
    <w:rsid w:val="0043403D"/>
    <w:rsid w:val="00435642"/>
    <w:rsid w:val="0043583D"/>
    <w:rsid w:val="00435BD1"/>
    <w:rsid w:val="00436396"/>
    <w:rsid w:val="004365B1"/>
    <w:rsid w:val="00436E56"/>
    <w:rsid w:val="00437380"/>
    <w:rsid w:val="004401DA"/>
    <w:rsid w:val="004410DA"/>
    <w:rsid w:val="00441326"/>
    <w:rsid w:val="00441A87"/>
    <w:rsid w:val="00441AB7"/>
    <w:rsid w:val="00445817"/>
    <w:rsid w:val="00446B81"/>
    <w:rsid w:val="00450366"/>
    <w:rsid w:val="0045064D"/>
    <w:rsid w:val="00451E6D"/>
    <w:rsid w:val="004523A8"/>
    <w:rsid w:val="00452FDF"/>
    <w:rsid w:val="00453EC7"/>
    <w:rsid w:val="00454498"/>
    <w:rsid w:val="004545DB"/>
    <w:rsid w:val="004558A6"/>
    <w:rsid w:val="00456092"/>
    <w:rsid w:val="00457BC4"/>
    <w:rsid w:val="00457DFE"/>
    <w:rsid w:val="00462EB5"/>
    <w:rsid w:val="0046557E"/>
    <w:rsid w:val="004658B0"/>
    <w:rsid w:val="00465CDF"/>
    <w:rsid w:val="0046651C"/>
    <w:rsid w:val="004668BD"/>
    <w:rsid w:val="004671FA"/>
    <w:rsid w:val="004700E6"/>
    <w:rsid w:val="004735DB"/>
    <w:rsid w:val="004740C4"/>
    <w:rsid w:val="00474AA5"/>
    <w:rsid w:val="004751C5"/>
    <w:rsid w:val="00475C7C"/>
    <w:rsid w:val="0047640E"/>
    <w:rsid w:val="004818F6"/>
    <w:rsid w:val="00481B7C"/>
    <w:rsid w:val="004831AD"/>
    <w:rsid w:val="00485972"/>
    <w:rsid w:val="0048602C"/>
    <w:rsid w:val="004864F3"/>
    <w:rsid w:val="0048712E"/>
    <w:rsid w:val="00487984"/>
    <w:rsid w:val="00487EC9"/>
    <w:rsid w:val="004901E6"/>
    <w:rsid w:val="00491A1A"/>
    <w:rsid w:val="00491C93"/>
    <w:rsid w:val="00492076"/>
    <w:rsid w:val="00493636"/>
    <w:rsid w:val="00493842"/>
    <w:rsid w:val="00496FA9"/>
    <w:rsid w:val="0049727A"/>
    <w:rsid w:val="004A058E"/>
    <w:rsid w:val="004A0C04"/>
    <w:rsid w:val="004A2A83"/>
    <w:rsid w:val="004A3FB9"/>
    <w:rsid w:val="004A47F8"/>
    <w:rsid w:val="004A4A05"/>
    <w:rsid w:val="004A524C"/>
    <w:rsid w:val="004A5889"/>
    <w:rsid w:val="004A6CD7"/>
    <w:rsid w:val="004A713D"/>
    <w:rsid w:val="004A7D50"/>
    <w:rsid w:val="004B1513"/>
    <w:rsid w:val="004B214F"/>
    <w:rsid w:val="004B3472"/>
    <w:rsid w:val="004B3856"/>
    <w:rsid w:val="004B3FA4"/>
    <w:rsid w:val="004B4135"/>
    <w:rsid w:val="004B6412"/>
    <w:rsid w:val="004B68BB"/>
    <w:rsid w:val="004B6D70"/>
    <w:rsid w:val="004B74C0"/>
    <w:rsid w:val="004B7C38"/>
    <w:rsid w:val="004B7CF7"/>
    <w:rsid w:val="004C0219"/>
    <w:rsid w:val="004C07FE"/>
    <w:rsid w:val="004C109F"/>
    <w:rsid w:val="004C1B1D"/>
    <w:rsid w:val="004C1BDE"/>
    <w:rsid w:val="004C216C"/>
    <w:rsid w:val="004C3F5D"/>
    <w:rsid w:val="004C4A67"/>
    <w:rsid w:val="004C7C55"/>
    <w:rsid w:val="004C7E48"/>
    <w:rsid w:val="004D0C82"/>
    <w:rsid w:val="004D1239"/>
    <w:rsid w:val="004D13A9"/>
    <w:rsid w:val="004D1C7E"/>
    <w:rsid w:val="004D2F50"/>
    <w:rsid w:val="004E03C9"/>
    <w:rsid w:val="004E0469"/>
    <w:rsid w:val="004E1825"/>
    <w:rsid w:val="004E1D53"/>
    <w:rsid w:val="004E233D"/>
    <w:rsid w:val="004E24AB"/>
    <w:rsid w:val="004E2D39"/>
    <w:rsid w:val="004E2E82"/>
    <w:rsid w:val="004E3298"/>
    <w:rsid w:val="004E4681"/>
    <w:rsid w:val="004E6694"/>
    <w:rsid w:val="004E6C5B"/>
    <w:rsid w:val="004F02F4"/>
    <w:rsid w:val="004F154F"/>
    <w:rsid w:val="004F647B"/>
    <w:rsid w:val="004F6C11"/>
    <w:rsid w:val="00500455"/>
    <w:rsid w:val="00500A9F"/>
    <w:rsid w:val="005017D2"/>
    <w:rsid w:val="00501FAE"/>
    <w:rsid w:val="00504882"/>
    <w:rsid w:val="0050619D"/>
    <w:rsid w:val="0050637F"/>
    <w:rsid w:val="00506B10"/>
    <w:rsid w:val="00510EE7"/>
    <w:rsid w:val="0051244D"/>
    <w:rsid w:val="00514342"/>
    <w:rsid w:val="005150EF"/>
    <w:rsid w:val="005154B6"/>
    <w:rsid w:val="00516AB8"/>
    <w:rsid w:val="005211C7"/>
    <w:rsid w:val="00521552"/>
    <w:rsid w:val="005221B6"/>
    <w:rsid w:val="005225F2"/>
    <w:rsid w:val="0052285A"/>
    <w:rsid w:val="00523253"/>
    <w:rsid w:val="00523772"/>
    <w:rsid w:val="00523F34"/>
    <w:rsid w:val="00524519"/>
    <w:rsid w:val="005251BB"/>
    <w:rsid w:val="005252C6"/>
    <w:rsid w:val="005306E5"/>
    <w:rsid w:val="00530E73"/>
    <w:rsid w:val="005310FF"/>
    <w:rsid w:val="0053398D"/>
    <w:rsid w:val="005347B2"/>
    <w:rsid w:val="00536706"/>
    <w:rsid w:val="00536E8B"/>
    <w:rsid w:val="00537627"/>
    <w:rsid w:val="005405CE"/>
    <w:rsid w:val="00541404"/>
    <w:rsid w:val="00542A4D"/>
    <w:rsid w:val="00542A98"/>
    <w:rsid w:val="0054344F"/>
    <w:rsid w:val="00543703"/>
    <w:rsid w:val="005438E5"/>
    <w:rsid w:val="00545918"/>
    <w:rsid w:val="00545F1E"/>
    <w:rsid w:val="00546E45"/>
    <w:rsid w:val="00547E68"/>
    <w:rsid w:val="005519B0"/>
    <w:rsid w:val="00551B1E"/>
    <w:rsid w:val="00552047"/>
    <w:rsid w:val="0055223C"/>
    <w:rsid w:val="0055261B"/>
    <w:rsid w:val="00553E35"/>
    <w:rsid w:val="00553E88"/>
    <w:rsid w:val="00554AE1"/>
    <w:rsid w:val="0055642D"/>
    <w:rsid w:val="00556A00"/>
    <w:rsid w:val="00557507"/>
    <w:rsid w:val="0056063D"/>
    <w:rsid w:val="00560664"/>
    <w:rsid w:val="00560742"/>
    <w:rsid w:val="0056143C"/>
    <w:rsid w:val="00561949"/>
    <w:rsid w:val="00562AEE"/>
    <w:rsid w:val="00562F93"/>
    <w:rsid w:val="00565272"/>
    <w:rsid w:val="00566CB2"/>
    <w:rsid w:val="00567802"/>
    <w:rsid w:val="00570333"/>
    <w:rsid w:val="00570A18"/>
    <w:rsid w:val="00571C11"/>
    <w:rsid w:val="0057290C"/>
    <w:rsid w:val="00572AD3"/>
    <w:rsid w:val="00572B86"/>
    <w:rsid w:val="005730F2"/>
    <w:rsid w:val="0057336F"/>
    <w:rsid w:val="005741B3"/>
    <w:rsid w:val="00574DD6"/>
    <w:rsid w:val="005762D7"/>
    <w:rsid w:val="005775CD"/>
    <w:rsid w:val="005805FA"/>
    <w:rsid w:val="005835A8"/>
    <w:rsid w:val="005854EB"/>
    <w:rsid w:val="00586493"/>
    <w:rsid w:val="005871FF"/>
    <w:rsid w:val="00587C0C"/>
    <w:rsid w:val="005901ED"/>
    <w:rsid w:val="00590519"/>
    <w:rsid w:val="00593E93"/>
    <w:rsid w:val="00596961"/>
    <w:rsid w:val="0059706A"/>
    <w:rsid w:val="005A0757"/>
    <w:rsid w:val="005A0B90"/>
    <w:rsid w:val="005A1601"/>
    <w:rsid w:val="005A326A"/>
    <w:rsid w:val="005A35C2"/>
    <w:rsid w:val="005A4478"/>
    <w:rsid w:val="005A4AD6"/>
    <w:rsid w:val="005A7FD0"/>
    <w:rsid w:val="005B0643"/>
    <w:rsid w:val="005B2A46"/>
    <w:rsid w:val="005B2CB4"/>
    <w:rsid w:val="005B3683"/>
    <w:rsid w:val="005B6486"/>
    <w:rsid w:val="005B79F8"/>
    <w:rsid w:val="005C25D2"/>
    <w:rsid w:val="005C2C25"/>
    <w:rsid w:val="005C5697"/>
    <w:rsid w:val="005C71CD"/>
    <w:rsid w:val="005D20BA"/>
    <w:rsid w:val="005D50BE"/>
    <w:rsid w:val="005D5215"/>
    <w:rsid w:val="005D591E"/>
    <w:rsid w:val="005D5D14"/>
    <w:rsid w:val="005D6899"/>
    <w:rsid w:val="005D7669"/>
    <w:rsid w:val="005D7A53"/>
    <w:rsid w:val="005D7AA7"/>
    <w:rsid w:val="005E17FE"/>
    <w:rsid w:val="005E343D"/>
    <w:rsid w:val="005E4D72"/>
    <w:rsid w:val="005E516C"/>
    <w:rsid w:val="005E57E8"/>
    <w:rsid w:val="005E5AA3"/>
    <w:rsid w:val="005E5EA2"/>
    <w:rsid w:val="005E6046"/>
    <w:rsid w:val="005E6B1F"/>
    <w:rsid w:val="005F1F08"/>
    <w:rsid w:val="005F1F0D"/>
    <w:rsid w:val="005F3F1C"/>
    <w:rsid w:val="005F4F47"/>
    <w:rsid w:val="005F57EB"/>
    <w:rsid w:val="005F5BBB"/>
    <w:rsid w:val="005F665A"/>
    <w:rsid w:val="005F68FD"/>
    <w:rsid w:val="005F69F5"/>
    <w:rsid w:val="0060211B"/>
    <w:rsid w:val="00602620"/>
    <w:rsid w:val="00603B6B"/>
    <w:rsid w:val="0060403B"/>
    <w:rsid w:val="0060524C"/>
    <w:rsid w:val="0060562A"/>
    <w:rsid w:val="006064EF"/>
    <w:rsid w:val="0060671F"/>
    <w:rsid w:val="0060795B"/>
    <w:rsid w:val="00610061"/>
    <w:rsid w:val="006119C5"/>
    <w:rsid w:val="00611A7C"/>
    <w:rsid w:val="00611F54"/>
    <w:rsid w:val="00612537"/>
    <w:rsid w:val="0061255D"/>
    <w:rsid w:val="00612C27"/>
    <w:rsid w:val="00612F82"/>
    <w:rsid w:val="00614C52"/>
    <w:rsid w:val="00616536"/>
    <w:rsid w:val="0061715F"/>
    <w:rsid w:val="006176A3"/>
    <w:rsid w:val="0062108E"/>
    <w:rsid w:val="00622D2E"/>
    <w:rsid w:val="00624B32"/>
    <w:rsid w:val="006260CE"/>
    <w:rsid w:val="00626582"/>
    <w:rsid w:val="0062670F"/>
    <w:rsid w:val="00626F80"/>
    <w:rsid w:val="00627E31"/>
    <w:rsid w:val="00630DAC"/>
    <w:rsid w:val="0063169B"/>
    <w:rsid w:val="00631D0E"/>
    <w:rsid w:val="00632D4F"/>
    <w:rsid w:val="00632FF1"/>
    <w:rsid w:val="006332F0"/>
    <w:rsid w:val="006357B5"/>
    <w:rsid w:val="00635B9E"/>
    <w:rsid w:val="00635EF1"/>
    <w:rsid w:val="00636C71"/>
    <w:rsid w:val="006427FB"/>
    <w:rsid w:val="00642E16"/>
    <w:rsid w:val="006430A9"/>
    <w:rsid w:val="00643DC3"/>
    <w:rsid w:val="00645974"/>
    <w:rsid w:val="00646FAE"/>
    <w:rsid w:val="00647363"/>
    <w:rsid w:val="0065034F"/>
    <w:rsid w:val="0065250D"/>
    <w:rsid w:val="006532F4"/>
    <w:rsid w:val="00653C9C"/>
    <w:rsid w:val="00654288"/>
    <w:rsid w:val="00655354"/>
    <w:rsid w:val="00655A2D"/>
    <w:rsid w:val="00656970"/>
    <w:rsid w:val="00656BB8"/>
    <w:rsid w:val="00660186"/>
    <w:rsid w:val="0066122A"/>
    <w:rsid w:val="00663102"/>
    <w:rsid w:val="0066330F"/>
    <w:rsid w:val="00663DEB"/>
    <w:rsid w:val="006640D7"/>
    <w:rsid w:val="00664B3D"/>
    <w:rsid w:val="00665645"/>
    <w:rsid w:val="0066642C"/>
    <w:rsid w:val="0066656A"/>
    <w:rsid w:val="00666DAE"/>
    <w:rsid w:val="006709BF"/>
    <w:rsid w:val="00671389"/>
    <w:rsid w:val="0067276C"/>
    <w:rsid w:val="0067297E"/>
    <w:rsid w:val="00674978"/>
    <w:rsid w:val="0068199C"/>
    <w:rsid w:val="00682091"/>
    <w:rsid w:val="00682F7D"/>
    <w:rsid w:val="006856DB"/>
    <w:rsid w:val="0068617F"/>
    <w:rsid w:val="00686218"/>
    <w:rsid w:val="006876E6"/>
    <w:rsid w:val="00690E60"/>
    <w:rsid w:val="00692061"/>
    <w:rsid w:val="006923B1"/>
    <w:rsid w:val="00692510"/>
    <w:rsid w:val="00692E2E"/>
    <w:rsid w:val="00697343"/>
    <w:rsid w:val="006979C1"/>
    <w:rsid w:val="00697AE7"/>
    <w:rsid w:val="00697D57"/>
    <w:rsid w:val="006A1D8A"/>
    <w:rsid w:val="006A3BA6"/>
    <w:rsid w:val="006A53A3"/>
    <w:rsid w:val="006A6882"/>
    <w:rsid w:val="006A6BF2"/>
    <w:rsid w:val="006B3A9F"/>
    <w:rsid w:val="006B3F52"/>
    <w:rsid w:val="006B4190"/>
    <w:rsid w:val="006B59B5"/>
    <w:rsid w:val="006B6C69"/>
    <w:rsid w:val="006C1308"/>
    <w:rsid w:val="006C131A"/>
    <w:rsid w:val="006C2AE3"/>
    <w:rsid w:val="006C34CD"/>
    <w:rsid w:val="006C3B11"/>
    <w:rsid w:val="006C43B0"/>
    <w:rsid w:val="006C4520"/>
    <w:rsid w:val="006C5AC3"/>
    <w:rsid w:val="006C5D0F"/>
    <w:rsid w:val="006C6DA3"/>
    <w:rsid w:val="006D0992"/>
    <w:rsid w:val="006D22C3"/>
    <w:rsid w:val="006D28BE"/>
    <w:rsid w:val="006D29DC"/>
    <w:rsid w:val="006D354E"/>
    <w:rsid w:val="006D3C53"/>
    <w:rsid w:val="006D74B3"/>
    <w:rsid w:val="006D7586"/>
    <w:rsid w:val="006E078D"/>
    <w:rsid w:val="006E0AD5"/>
    <w:rsid w:val="006E2121"/>
    <w:rsid w:val="006E288A"/>
    <w:rsid w:val="006E364A"/>
    <w:rsid w:val="006E4F92"/>
    <w:rsid w:val="006E5540"/>
    <w:rsid w:val="006E71F2"/>
    <w:rsid w:val="006F1097"/>
    <w:rsid w:val="006F1D77"/>
    <w:rsid w:val="006F2451"/>
    <w:rsid w:val="006F6FC5"/>
    <w:rsid w:val="006F7629"/>
    <w:rsid w:val="006F7662"/>
    <w:rsid w:val="00700228"/>
    <w:rsid w:val="00700CDF"/>
    <w:rsid w:val="00703008"/>
    <w:rsid w:val="007038B2"/>
    <w:rsid w:val="00703EF7"/>
    <w:rsid w:val="0070552E"/>
    <w:rsid w:val="007068A9"/>
    <w:rsid w:val="00711AE8"/>
    <w:rsid w:val="00712523"/>
    <w:rsid w:val="007129B4"/>
    <w:rsid w:val="00714B4E"/>
    <w:rsid w:val="00714D12"/>
    <w:rsid w:val="0071521E"/>
    <w:rsid w:val="0071608E"/>
    <w:rsid w:val="00716750"/>
    <w:rsid w:val="0071741B"/>
    <w:rsid w:val="00717BB4"/>
    <w:rsid w:val="00717FC9"/>
    <w:rsid w:val="00721C5C"/>
    <w:rsid w:val="00722A87"/>
    <w:rsid w:val="007240E0"/>
    <w:rsid w:val="00724BA1"/>
    <w:rsid w:val="00725123"/>
    <w:rsid w:val="007274AC"/>
    <w:rsid w:val="00727F20"/>
    <w:rsid w:val="00732A65"/>
    <w:rsid w:val="00733408"/>
    <w:rsid w:val="00734295"/>
    <w:rsid w:val="007345DA"/>
    <w:rsid w:val="00736531"/>
    <w:rsid w:val="0074107D"/>
    <w:rsid w:val="0074287D"/>
    <w:rsid w:val="00742E4D"/>
    <w:rsid w:val="00742F50"/>
    <w:rsid w:val="00743C6C"/>
    <w:rsid w:val="00743E79"/>
    <w:rsid w:val="00745098"/>
    <w:rsid w:val="007450EC"/>
    <w:rsid w:val="00746064"/>
    <w:rsid w:val="007468F6"/>
    <w:rsid w:val="00746D88"/>
    <w:rsid w:val="007472B6"/>
    <w:rsid w:val="007477A9"/>
    <w:rsid w:val="007477FE"/>
    <w:rsid w:val="0075132B"/>
    <w:rsid w:val="0075294B"/>
    <w:rsid w:val="00752F52"/>
    <w:rsid w:val="007536CD"/>
    <w:rsid w:val="00754CF9"/>
    <w:rsid w:val="0075649D"/>
    <w:rsid w:val="00763653"/>
    <w:rsid w:val="00763BF3"/>
    <w:rsid w:val="007676D8"/>
    <w:rsid w:val="00770867"/>
    <w:rsid w:val="007712BA"/>
    <w:rsid w:val="00772685"/>
    <w:rsid w:val="00774062"/>
    <w:rsid w:val="0077412F"/>
    <w:rsid w:val="00774CDA"/>
    <w:rsid w:val="007765FE"/>
    <w:rsid w:val="007777D8"/>
    <w:rsid w:val="00777F84"/>
    <w:rsid w:val="00781259"/>
    <w:rsid w:val="00782036"/>
    <w:rsid w:val="0078265D"/>
    <w:rsid w:val="00785B4D"/>
    <w:rsid w:val="007863BB"/>
    <w:rsid w:val="0078652A"/>
    <w:rsid w:val="0078678D"/>
    <w:rsid w:val="00790274"/>
    <w:rsid w:val="00791DF7"/>
    <w:rsid w:val="00793AA8"/>
    <w:rsid w:val="0079564C"/>
    <w:rsid w:val="00795DF8"/>
    <w:rsid w:val="00795E07"/>
    <w:rsid w:val="007A08CC"/>
    <w:rsid w:val="007A56E3"/>
    <w:rsid w:val="007A63FA"/>
    <w:rsid w:val="007A67E1"/>
    <w:rsid w:val="007A6A3C"/>
    <w:rsid w:val="007A6F01"/>
    <w:rsid w:val="007B0DCF"/>
    <w:rsid w:val="007B2368"/>
    <w:rsid w:val="007B23A5"/>
    <w:rsid w:val="007B3148"/>
    <w:rsid w:val="007B4C17"/>
    <w:rsid w:val="007B54F4"/>
    <w:rsid w:val="007B5AF2"/>
    <w:rsid w:val="007B5CF7"/>
    <w:rsid w:val="007C0AD0"/>
    <w:rsid w:val="007C0C92"/>
    <w:rsid w:val="007C163A"/>
    <w:rsid w:val="007C2387"/>
    <w:rsid w:val="007C2D77"/>
    <w:rsid w:val="007C4F14"/>
    <w:rsid w:val="007C7494"/>
    <w:rsid w:val="007C7D16"/>
    <w:rsid w:val="007D1439"/>
    <w:rsid w:val="007D3C30"/>
    <w:rsid w:val="007D41CD"/>
    <w:rsid w:val="007D46BD"/>
    <w:rsid w:val="007D5DA4"/>
    <w:rsid w:val="007D61FB"/>
    <w:rsid w:val="007D72A5"/>
    <w:rsid w:val="007E0856"/>
    <w:rsid w:val="007E09D3"/>
    <w:rsid w:val="007E0D29"/>
    <w:rsid w:val="007E10B7"/>
    <w:rsid w:val="007E2C1A"/>
    <w:rsid w:val="007E3E86"/>
    <w:rsid w:val="007E4751"/>
    <w:rsid w:val="007E4F0D"/>
    <w:rsid w:val="007E513A"/>
    <w:rsid w:val="007E5B9D"/>
    <w:rsid w:val="007E6A47"/>
    <w:rsid w:val="007E7E95"/>
    <w:rsid w:val="007F183A"/>
    <w:rsid w:val="007F25C3"/>
    <w:rsid w:val="007F3CF4"/>
    <w:rsid w:val="007F4253"/>
    <w:rsid w:val="007F4F5E"/>
    <w:rsid w:val="007F50D2"/>
    <w:rsid w:val="007F5292"/>
    <w:rsid w:val="007F61B3"/>
    <w:rsid w:val="007F6504"/>
    <w:rsid w:val="007F6A72"/>
    <w:rsid w:val="00803698"/>
    <w:rsid w:val="00803A4F"/>
    <w:rsid w:val="00803A94"/>
    <w:rsid w:val="008043C4"/>
    <w:rsid w:val="00804B34"/>
    <w:rsid w:val="0080515E"/>
    <w:rsid w:val="00806956"/>
    <w:rsid w:val="00810F53"/>
    <w:rsid w:val="00811C0A"/>
    <w:rsid w:val="00811E6D"/>
    <w:rsid w:val="00813719"/>
    <w:rsid w:val="00813CB1"/>
    <w:rsid w:val="00813CBF"/>
    <w:rsid w:val="008148A3"/>
    <w:rsid w:val="008151E8"/>
    <w:rsid w:val="00815462"/>
    <w:rsid w:val="008158E9"/>
    <w:rsid w:val="00815BF5"/>
    <w:rsid w:val="00815DE2"/>
    <w:rsid w:val="0081603C"/>
    <w:rsid w:val="008167EF"/>
    <w:rsid w:val="00816A5F"/>
    <w:rsid w:val="0081733D"/>
    <w:rsid w:val="008204E5"/>
    <w:rsid w:val="0082472C"/>
    <w:rsid w:val="008269DD"/>
    <w:rsid w:val="008278F2"/>
    <w:rsid w:val="008301EC"/>
    <w:rsid w:val="008329CE"/>
    <w:rsid w:val="00835408"/>
    <w:rsid w:val="00835E84"/>
    <w:rsid w:val="008374FD"/>
    <w:rsid w:val="00842146"/>
    <w:rsid w:val="008428AF"/>
    <w:rsid w:val="00842997"/>
    <w:rsid w:val="00843C87"/>
    <w:rsid w:val="00844FFC"/>
    <w:rsid w:val="00847244"/>
    <w:rsid w:val="0085293E"/>
    <w:rsid w:val="00852ED6"/>
    <w:rsid w:val="00855F8E"/>
    <w:rsid w:val="0085703E"/>
    <w:rsid w:val="00857C4B"/>
    <w:rsid w:val="0086107F"/>
    <w:rsid w:val="0086410B"/>
    <w:rsid w:val="00864AEC"/>
    <w:rsid w:val="00864BB4"/>
    <w:rsid w:val="0086515F"/>
    <w:rsid w:val="00865980"/>
    <w:rsid w:val="0087009C"/>
    <w:rsid w:val="00870E2B"/>
    <w:rsid w:val="00872A97"/>
    <w:rsid w:val="00873805"/>
    <w:rsid w:val="008756FD"/>
    <w:rsid w:val="0087589F"/>
    <w:rsid w:val="00875BCB"/>
    <w:rsid w:val="0087738B"/>
    <w:rsid w:val="00877F89"/>
    <w:rsid w:val="00880633"/>
    <w:rsid w:val="008819CB"/>
    <w:rsid w:val="0088344D"/>
    <w:rsid w:val="00883534"/>
    <w:rsid w:val="00883A3F"/>
    <w:rsid w:val="0088556F"/>
    <w:rsid w:val="00886511"/>
    <w:rsid w:val="00886566"/>
    <w:rsid w:val="00887D31"/>
    <w:rsid w:val="00891578"/>
    <w:rsid w:val="00892A26"/>
    <w:rsid w:val="00892DE5"/>
    <w:rsid w:val="008933F8"/>
    <w:rsid w:val="0089464E"/>
    <w:rsid w:val="00895406"/>
    <w:rsid w:val="008954FA"/>
    <w:rsid w:val="00896970"/>
    <w:rsid w:val="00896B4E"/>
    <w:rsid w:val="00897109"/>
    <w:rsid w:val="00897BC8"/>
    <w:rsid w:val="008B0651"/>
    <w:rsid w:val="008B22B2"/>
    <w:rsid w:val="008B497B"/>
    <w:rsid w:val="008C0791"/>
    <w:rsid w:val="008C0BDE"/>
    <w:rsid w:val="008C1D52"/>
    <w:rsid w:val="008C3A9E"/>
    <w:rsid w:val="008C5869"/>
    <w:rsid w:val="008C60C2"/>
    <w:rsid w:val="008C6304"/>
    <w:rsid w:val="008C6585"/>
    <w:rsid w:val="008C727D"/>
    <w:rsid w:val="008D0028"/>
    <w:rsid w:val="008D00FF"/>
    <w:rsid w:val="008D1A42"/>
    <w:rsid w:val="008D1CAE"/>
    <w:rsid w:val="008D4D16"/>
    <w:rsid w:val="008D50B0"/>
    <w:rsid w:val="008D656C"/>
    <w:rsid w:val="008D6A68"/>
    <w:rsid w:val="008D7801"/>
    <w:rsid w:val="008E1E67"/>
    <w:rsid w:val="008E23EC"/>
    <w:rsid w:val="008E3DE0"/>
    <w:rsid w:val="008E460E"/>
    <w:rsid w:val="008E46D8"/>
    <w:rsid w:val="008E6B57"/>
    <w:rsid w:val="008E73A0"/>
    <w:rsid w:val="008F137A"/>
    <w:rsid w:val="008F54DD"/>
    <w:rsid w:val="008F669C"/>
    <w:rsid w:val="008F6ECA"/>
    <w:rsid w:val="009006C1"/>
    <w:rsid w:val="00903EA0"/>
    <w:rsid w:val="0090442F"/>
    <w:rsid w:val="00906D1A"/>
    <w:rsid w:val="00907B61"/>
    <w:rsid w:val="00910280"/>
    <w:rsid w:val="00910B34"/>
    <w:rsid w:val="00911E03"/>
    <w:rsid w:val="0091201A"/>
    <w:rsid w:val="009139DC"/>
    <w:rsid w:val="00913AF9"/>
    <w:rsid w:val="00916228"/>
    <w:rsid w:val="0092079C"/>
    <w:rsid w:val="00921F5E"/>
    <w:rsid w:val="0092372A"/>
    <w:rsid w:val="00924AFD"/>
    <w:rsid w:val="009250A3"/>
    <w:rsid w:val="00926692"/>
    <w:rsid w:val="00926A0B"/>
    <w:rsid w:val="00927E95"/>
    <w:rsid w:val="0093051A"/>
    <w:rsid w:val="00932FE1"/>
    <w:rsid w:val="00933C92"/>
    <w:rsid w:val="009340FD"/>
    <w:rsid w:val="009343E7"/>
    <w:rsid w:val="009429E7"/>
    <w:rsid w:val="00945EE7"/>
    <w:rsid w:val="00946A51"/>
    <w:rsid w:val="00946AC7"/>
    <w:rsid w:val="009477E3"/>
    <w:rsid w:val="009515B4"/>
    <w:rsid w:val="00951A55"/>
    <w:rsid w:val="00952069"/>
    <w:rsid w:val="00953794"/>
    <w:rsid w:val="00955E40"/>
    <w:rsid w:val="00961807"/>
    <w:rsid w:val="0096255A"/>
    <w:rsid w:val="009632C0"/>
    <w:rsid w:val="009632F2"/>
    <w:rsid w:val="00963AB5"/>
    <w:rsid w:val="009647FE"/>
    <w:rsid w:val="00964958"/>
    <w:rsid w:val="009661C1"/>
    <w:rsid w:val="0096646B"/>
    <w:rsid w:val="00966DF7"/>
    <w:rsid w:val="0096704C"/>
    <w:rsid w:val="00967948"/>
    <w:rsid w:val="00973C65"/>
    <w:rsid w:val="00974175"/>
    <w:rsid w:val="00974EF5"/>
    <w:rsid w:val="00974FE7"/>
    <w:rsid w:val="00975181"/>
    <w:rsid w:val="0097558E"/>
    <w:rsid w:val="009771C1"/>
    <w:rsid w:val="00980411"/>
    <w:rsid w:val="009813E6"/>
    <w:rsid w:val="0098192B"/>
    <w:rsid w:val="00981A58"/>
    <w:rsid w:val="00984231"/>
    <w:rsid w:val="00984A1C"/>
    <w:rsid w:val="00985DE1"/>
    <w:rsid w:val="00986775"/>
    <w:rsid w:val="00986E60"/>
    <w:rsid w:val="00987698"/>
    <w:rsid w:val="00991BC9"/>
    <w:rsid w:val="00992CCC"/>
    <w:rsid w:val="009935DC"/>
    <w:rsid w:val="0099500E"/>
    <w:rsid w:val="00996409"/>
    <w:rsid w:val="00996C27"/>
    <w:rsid w:val="009A145E"/>
    <w:rsid w:val="009A2570"/>
    <w:rsid w:val="009A2D0A"/>
    <w:rsid w:val="009A3EA7"/>
    <w:rsid w:val="009A4C75"/>
    <w:rsid w:val="009A5FA6"/>
    <w:rsid w:val="009A68E8"/>
    <w:rsid w:val="009B08AF"/>
    <w:rsid w:val="009B0BFD"/>
    <w:rsid w:val="009B14A3"/>
    <w:rsid w:val="009B3787"/>
    <w:rsid w:val="009B3F68"/>
    <w:rsid w:val="009B5B50"/>
    <w:rsid w:val="009B6000"/>
    <w:rsid w:val="009B7E23"/>
    <w:rsid w:val="009C12AE"/>
    <w:rsid w:val="009C151F"/>
    <w:rsid w:val="009C16D5"/>
    <w:rsid w:val="009C1C53"/>
    <w:rsid w:val="009C1D13"/>
    <w:rsid w:val="009C3D1F"/>
    <w:rsid w:val="009C6850"/>
    <w:rsid w:val="009C7E51"/>
    <w:rsid w:val="009D356A"/>
    <w:rsid w:val="009D3DAD"/>
    <w:rsid w:val="009D41BB"/>
    <w:rsid w:val="009D4206"/>
    <w:rsid w:val="009D5AA2"/>
    <w:rsid w:val="009E1656"/>
    <w:rsid w:val="009E26E9"/>
    <w:rsid w:val="009E555A"/>
    <w:rsid w:val="009E6004"/>
    <w:rsid w:val="009E6D16"/>
    <w:rsid w:val="009F00F1"/>
    <w:rsid w:val="009F12F5"/>
    <w:rsid w:val="009F25AF"/>
    <w:rsid w:val="009F3729"/>
    <w:rsid w:val="009F3EDF"/>
    <w:rsid w:val="009F4789"/>
    <w:rsid w:val="009F625E"/>
    <w:rsid w:val="009F6F12"/>
    <w:rsid w:val="009F775C"/>
    <w:rsid w:val="00A01155"/>
    <w:rsid w:val="00A03887"/>
    <w:rsid w:val="00A04AE7"/>
    <w:rsid w:val="00A04F96"/>
    <w:rsid w:val="00A05BB5"/>
    <w:rsid w:val="00A05BD8"/>
    <w:rsid w:val="00A06AB3"/>
    <w:rsid w:val="00A07652"/>
    <w:rsid w:val="00A11A54"/>
    <w:rsid w:val="00A16198"/>
    <w:rsid w:val="00A169A6"/>
    <w:rsid w:val="00A20A06"/>
    <w:rsid w:val="00A22C5A"/>
    <w:rsid w:val="00A23D4F"/>
    <w:rsid w:val="00A258AE"/>
    <w:rsid w:val="00A27613"/>
    <w:rsid w:val="00A30284"/>
    <w:rsid w:val="00A303AA"/>
    <w:rsid w:val="00A336FB"/>
    <w:rsid w:val="00A35272"/>
    <w:rsid w:val="00A35C05"/>
    <w:rsid w:val="00A36111"/>
    <w:rsid w:val="00A37DA1"/>
    <w:rsid w:val="00A414B9"/>
    <w:rsid w:val="00A43463"/>
    <w:rsid w:val="00A45C61"/>
    <w:rsid w:val="00A461D7"/>
    <w:rsid w:val="00A478D9"/>
    <w:rsid w:val="00A50336"/>
    <w:rsid w:val="00A504DC"/>
    <w:rsid w:val="00A522AA"/>
    <w:rsid w:val="00A527D5"/>
    <w:rsid w:val="00A53006"/>
    <w:rsid w:val="00A53671"/>
    <w:rsid w:val="00A545DD"/>
    <w:rsid w:val="00A55821"/>
    <w:rsid w:val="00A57CA2"/>
    <w:rsid w:val="00A623B2"/>
    <w:rsid w:val="00A63423"/>
    <w:rsid w:val="00A64BA1"/>
    <w:rsid w:val="00A669C8"/>
    <w:rsid w:val="00A67A8C"/>
    <w:rsid w:val="00A724F7"/>
    <w:rsid w:val="00A725A9"/>
    <w:rsid w:val="00A74981"/>
    <w:rsid w:val="00A75998"/>
    <w:rsid w:val="00A75E27"/>
    <w:rsid w:val="00A7674E"/>
    <w:rsid w:val="00A80273"/>
    <w:rsid w:val="00A831DB"/>
    <w:rsid w:val="00A83FB2"/>
    <w:rsid w:val="00A840FF"/>
    <w:rsid w:val="00A845A5"/>
    <w:rsid w:val="00A847B7"/>
    <w:rsid w:val="00A84932"/>
    <w:rsid w:val="00A85A0D"/>
    <w:rsid w:val="00A85FB0"/>
    <w:rsid w:val="00A86281"/>
    <w:rsid w:val="00A9130F"/>
    <w:rsid w:val="00A914A5"/>
    <w:rsid w:val="00A914FC"/>
    <w:rsid w:val="00A91C5E"/>
    <w:rsid w:val="00A9253E"/>
    <w:rsid w:val="00A9292D"/>
    <w:rsid w:val="00A94291"/>
    <w:rsid w:val="00A96471"/>
    <w:rsid w:val="00A978AD"/>
    <w:rsid w:val="00AA0247"/>
    <w:rsid w:val="00AA097F"/>
    <w:rsid w:val="00AA0ABE"/>
    <w:rsid w:val="00AA1197"/>
    <w:rsid w:val="00AA1C86"/>
    <w:rsid w:val="00AA24E3"/>
    <w:rsid w:val="00AA53AF"/>
    <w:rsid w:val="00AA5A84"/>
    <w:rsid w:val="00AA5C56"/>
    <w:rsid w:val="00AA5C7B"/>
    <w:rsid w:val="00AB083D"/>
    <w:rsid w:val="00AB2DF2"/>
    <w:rsid w:val="00AB4363"/>
    <w:rsid w:val="00AB4E7E"/>
    <w:rsid w:val="00AB5248"/>
    <w:rsid w:val="00AB6D46"/>
    <w:rsid w:val="00AB7C21"/>
    <w:rsid w:val="00AC160D"/>
    <w:rsid w:val="00AC2AF5"/>
    <w:rsid w:val="00AC2CBA"/>
    <w:rsid w:val="00AC5557"/>
    <w:rsid w:val="00AD16C8"/>
    <w:rsid w:val="00AD216A"/>
    <w:rsid w:val="00AD35FD"/>
    <w:rsid w:val="00AD6B8D"/>
    <w:rsid w:val="00AD757B"/>
    <w:rsid w:val="00AE0FFD"/>
    <w:rsid w:val="00AE2D6D"/>
    <w:rsid w:val="00AE6299"/>
    <w:rsid w:val="00AE6FA3"/>
    <w:rsid w:val="00AE7E24"/>
    <w:rsid w:val="00AF1A88"/>
    <w:rsid w:val="00AF3C6B"/>
    <w:rsid w:val="00AF4CBB"/>
    <w:rsid w:val="00AF54B3"/>
    <w:rsid w:val="00AF6A19"/>
    <w:rsid w:val="00B0187E"/>
    <w:rsid w:val="00B03097"/>
    <w:rsid w:val="00B03586"/>
    <w:rsid w:val="00B0425A"/>
    <w:rsid w:val="00B04F04"/>
    <w:rsid w:val="00B055C4"/>
    <w:rsid w:val="00B06C0E"/>
    <w:rsid w:val="00B06E88"/>
    <w:rsid w:val="00B10ADE"/>
    <w:rsid w:val="00B10AFC"/>
    <w:rsid w:val="00B1249B"/>
    <w:rsid w:val="00B139D3"/>
    <w:rsid w:val="00B16DCA"/>
    <w:rsid w:val="00B22316"/>
    <w:rsid w:val="00B22AC2"/>
    <w:rsid w:val="00B22BDB"/>
    <w:rsid w:val="00B22E2F"/>
    <w:rsid w:val="00B236AE"/>
    <w:rsid w:val="00B24090"/>
    <w:rsid w:val="00B24C90"/>
    <w:rsid w:val="00B26221"/>
    <w:rsid w:val="00B275BA"/>
    <w:rsid w:val="00B32A01"/>
    <w:rsid w:val="00B3384A"/>
    <w:rsid w:val="00B34F28"/>
    <w:rsid w:val="00B3614C"/>
    <w:rsid w:val="00B3692D"/>
    <w:rsid w:val="00B37B67"/>
    <w:rsid w:val="00B37D8C"/>
    <w:rsid w:val="00B37DAC"/>
    <w:rsid w:val="00B37EAA"/>
    <w:rsid w:val="00B4322F"/>
    <w:rsid w:val="00B436A4"/>
    <w:rsid w:val="00B45A11"/>
    <w:rsid w:val="00B45BE1"/>
    <w:rsid w:val="00B45C9E"/>
    <w:rsid w:val="00B4770A"/>
    <w:rsid w:val="00B5061B"/>
    <w:rsid w:val="00B51859"/>
    <w:rsid w:val="00B52DF8"/>
    <w:rsid w:val="00B5316B"/>
    <w:rsid w:val="00B54124"/>
    <w:rsid w:val="00B547C0"/>
    <w:rsid w:val="00B54885"/>
    <w:rsid w:val="00B54D8A"/>
    <w:rsid w:val="00B56F54"/>
    <w:rsid w:val="00B60DF0"/>
    <w:rsid w:val="00B61A3C"/>
    <w:rsid w:val="00B631FE"/>
    <w:rsid w:val="00B6370A"/>
    <w:rsid w:val="00B63F3C"/>
    <w:rsid w:val="00B64593"/>
    <w:rsid w:val="00B655AA"/>
    <w:rsid w:val="00B6608F"/>
    <w:rsid w:val="00B662F5"/>
    <w:rsid w:val="00B66ADB"/>
    <w:rsid w:val="00B67132"/>
    <w:rsid w:val="00B677E9"/>
    <w:rsid w:val="00B67A6B"/>
    <w:rsid w:val="00B67E72"/>
    <w:rsid w:val="00B70AF1"/>
    <w:rsid w:val="00B719AA"/>
    <w:rsid w:val="00B73086"/>
    <w:rsid w:val="00B73D75"/>
    <w:rsid w:val="00B7575F"/>
    <w:rsid w:val="00B76147"/>
    <w:rsid w:val="00B76560"/>
    <w:rsid w:val="00B76797"/>
    <w:rsid w:val="00B775A7"/>
    <w:rsid w:val="00B812CE"/>
    <w:rsid w:val="00B83C02"/>
    <w:rsid w:val="00B8561D"/>
    <w:rsid w:val="00B878E3"/>
    <w:rsid w:val="00B87D1C"/>
    <w:rsid w:val="00B90640"/>
    <w:rsid w:val="00B90BCC"/>
    <w:rsid w:val="00B915F7"/>
    <w:rsid w:val="00B9214B"/>
    <w:rsid w:val="00B923A6"/>
    <w:rsid w:val="00B92AA4"/>
    <w:rsid w:val="00B94B76"/>
    <w:rsid w:val="00B95C60"/>
    <w:rsid w:val="00B96D5D"/>
    <w:rsid w:val="00B97B03"/>
    <w:rsid w:val="00BA01B7"/>
    <w:rsid w:val="00BA07EB"/>
    <w:rsid w:val="00BA0F0C"/>
    <w:rsid w:val="00BA102F"/>
    <w:rsid w:val="00BA360B"/>
    <w:rsid w:val="00BA3E21"/>
    <w:rsid w:val="00BA4695"/>
    <w:rsid w:val="00BA67D8"/>
    <w:rsid w:val="00BA6A09"/>
    <w:rsid w:val="00BA6D86"/>
    <w:rsid w:val="00BA70B7"/>
    <w:rsid w:val="00BA7312"/>
    <w:rsid w:val="00BB0A71"/>
    <w:rsid w:val="00BB292C"/>
    <w:rsid w:val="00BB5246"/>
    <w:rsid w:val="00BB5A12"/>
    <w:rsid w:val="00BB6DBB"/>
    <w:rsid w:val="00BB744A"/>
    <w:rsid w:val="00BB74FA"/>
    <w:rsid w:val="00BC0A80"/>
    <w:rsid w:val="00BC0B7D"/>
    <w:rsid w:val="00BC128A"/>
    <w:rsid w:val="00BC17B7"/>
    <w:rsid w:val="00BC1BC8"/>
    <w:rsid w:val="00BC23D8"/>
    <w:rsid w:val="00BC26E9"/>
    <w:rsid w:val="00BC27A3"/>
    <w:rsid w:val="00BC38A1"/>
    <w:rsid w:val="00BC3F29"/>
    <w:rsid w:val="00BC40B9"/>
    <w:rsid w:val="00BC464F"/>
    <w:rsid w:val="00BC6690"/>
    <w:rsid w:val="00BC694A"/>
    <w:rsid w:val="00BC7D5A"/>
    <w:rsid w:val="00BD043E"/>
    <w:rsid w:val="00BD1323"/>
    <w:rsid w:val="00BD1551"/>
    <w:rsid w:val="00BD1619"/>
    <w:rsid w:val="00BD16F7"/>
    <w:rsid w:val="00BD3884"/>
    <w:rsid w:val="00BD4AFC"/>
    <w:rsid w:val="00BD6AD2"/>
    <w:rsid w:val="00BE1242"/>
    <w:rsid w:val="00BE1477"/>
    <w:rsid w:val="00BE1D37"/>
    <w:rsid w:val="00BE5136"/>
    <w:rsid w:val="00BE70D3"/>
    <w:rsid w:val="00BF0CC4"/>
    <w:rsid w:val="00BF0D70"/>
    <w:rsid w:val="00BF1EF6"/>
    <w:rsid w:val="00BF231D"/>
    <w:rsid w:val="00BF2591"/>
    <w:rsid w:val="00BF2FEE"/>
    <w:rsid w:val="00BF3EBE"/>
    <w:rsid w:val="00BF4FFA"/>
    <w:rsid w:val="00BF5913"/>
    <w:rsid w:val="00BF5AA8"/>
    <w:rsid w:val="00BF7060"/>
    <w:rsid w:val="00C000E2"/>
    <w:rsid w:val="00C005C5"/>
    <w:rsid w:val="00C00C31"/>
    <w:rsid w:val="00C01BE9"/>
    <w:rsid w:val="00C0280B"/>
    <w:rsid w:val="00C02C26"/>
    <w:rsid w:val="00C0383F"/>
    <w:rsid w:val="00C04F63"/>
    <w:rsid w:val="00C056E5"/>
    <w:rsid w:val="00C05DA7"/>
    <w:rsid w:val="00C07083"/>
    <w:rsid w:val="00C07879"/>
    <w:rsid w:val="00C10349"/>
    <w:rsid w:val="00C10A65"/>
    <w:rsid w:val="00C11B81"/>
    <w:rsid w:val="00C124D0"/>
    <w:rsid w:val="00C124FC"/>
    <w:rsid w:val="00C12521"/>
    <w:rsid w:val="00C161A8"/>
    <w:rsid w:val="00C1701A"/>
    <w:rsid w:val="00C1794C"/>
    <w:rsid w:val="00C20B0B"/>
    <w:rsid w:val="00C210FC"/>
    <w:rsid w:val="00C21AD9"/>
    <w:rsid w:val="00C233A0"/>
    <w:rsid w:val="00C236A2"/>
    <w:rsid w:val="00C2420B"/>
    <w:rsid w:val="00C260F1"/>
    <w:rsid w:val="00C272B6"/>
    <w:rsid w:val="00C272C2"/>
    <w:rsid w:val="00C30703"/>
    <w:rsid w:val="00C337C1"/>
    <w:rsid w:val="00C36812"/>
    <w:rsid w:val="00C426AF"/>
    <w:rsid w:val="00C46575"/>
    <w:rsid w:val="00C46B10"/>
    <w:rsid w:val="00C50DB5"/>
    <w:rsid w:val="00C52C2C"/>
    <w:rsid w:val="00C52EBD"/>
    <w:rsid w:val="00C53CE5"/>
    <w:rsid w:val="00C548DD"/>
    <w:rsid w:val="00C54AEE"/>
    <w:rsid w:val="00C54E4B"/>
    <w:rsid w:val="00C551F2"/>
    <w:rsid w:val="00C56B79"/>
    <w:rsid w:val="00C56F06"/>
    <w:rsid w:val="00C5728D"/>
    <w:rsid w:val="00C57BA3"/>
    <w:rsid w:val="00C606E2"/>
    <w:rsid w:val="00C61067"/>
    <w:rsid w:val="00C63383"/>
    <w:rsid w:val="00C63591"/>
    <w:rsid w:val="00C63889"/>
    <w:rsid w:val="00C64800"/>
    <w:rsid w:val="00C64EF3"/>
    <w:rsid w:val="00C6549F"/>
    <w:rsid w:val="00C67666"/>
    <w:rsid w:val="00C7081E"/>
    <w:rsid w:val="00C71E13"/>
    <w:rsid w:val="00C73C77"/>
    <w:rsid w:val="00C753E1"/>
    <w:rsid w:val="00C75C4B"/>
    <w:rsid w:val="00C7634C"/>
    <w:rsid w:val="00C80022"/>
    <w:rsid w:val="00C8084D"/>
    <w:rsid w:val="00C81B9C"/>
    <w:rsid w:val="00C82998"/>
    <w:rsid w:val="00C83CA6"/>
    <w:rsid w:val="00C84E15"/>
    <w:rsid w:val="00C868A8"/>
    <w:rsid w:val="00C86E1F"/>
    <w:rsid w:val="00C90147"/>
    <w:rsid w:val="00C90329"/>
    <w:rsid w:val="00C91EB7"/>
    <w:rsid w:val="00C922C7"/>
    <w:rsid w:val="00C93A6C"/>
    <w:rsid w:val="00C94017"/>
    <w:rsid w:val="00C94070"/>
    <w:rsid w:val="00C95940"/>
    <w:rsid w:val="00C96082"/>
    <w:rsid w:val="00C96DFA"/>
    <w:rsid w:val="00CA15DC"/>
    <w:rsid w:val="00CA271C"/>
    <w:rsid w:val="00CA2A64"/>
    <w:rsid w:val="00CA379A"/>
    <w:rsid w:val="00CA42B0"/>
    <w:rsid w:val="00CA5BD1"/>
    <w:rsid w:val="00CA68FD"/>
    <w:rsid w:val="00CA6A60"/>
    <w:rsid w:val="00CA7808"/>
    <w:rsid w:val="00CA7B05"/>
    <w:rsid w:val="00CB133A"/>
    <w:rsid w:val="00CB173C"/>
    <w:rsid w:val="00CB48DB"/>
    <w:rsid w:val="00CB5236"/>
    <w:rsid w:val="00CB69AF"/>
    <w:rsid w:val="00CB6FF9"/>
    <w:rsid w:val="00CB7731"/>
    <w:rsid w:val="00CB7C84"/>
    <w:rsid w:val="00CC0905"/>
    <w:rsid w:val="00CC1212"/>
    <w:rsid w:val="00CC2B17"/>
    <w:rsid w:val="00CC35BF"/>
    <w:rsid w:val="00CC558C"/>
    <w:rsid w:val="00CC5F45"/>
    <w:rsid w:val="00CC7028"/>
    <w:rsid w:val="00CC7063"/>
    <w:rsid w:val="00CD0535"/>
    <w:rsid w:val="00CD0A1E"/>
    <w:rsid w:val="00CD1D90"/>
    <w:rsid w:val="00CD28E7"/>
    <w:rsid w:val="00CD3032"/>
    <w:rsid w:val="00CD4B55"/>
    <w:rsid w:val="00CD4BA5"/>
    <w:rsid w:val="00CD613A"/>
    <w:rsid w:val="00CE06F8"/>
    <w:rsid w:val="00CE0D7B"/>
    <w:rsid w:val="00CE0FF7"/>
    <w:rsid w:val="00CE185B"/>
    <w:rsid w:val="00CE1A9A"/>
    <w:rsid w:val="00CE1FCE"/>
    <w:rsid w:val="00CE4F52"/>
    <w:rsid w:val="00CE5EF9"/>
    <w:rsid w:val="00CE757E"/>
    <w:rsid w:val="00CE7DB3"/>
    <w:rsid w:val="00CF02D2"/>
    <w:rsid w:val="00CF0436"/>
    <w:rsid w:val="00CF0F94"/>
    <w:rsid w:val="00CF3122"/>
    <w:rsid w:val="00CF44A8"/>
    <w:rsid w:val="00CF4DF9"/>
    <w:rsid w:val="00CF5896"/>
    <w:rsid w:val="00CF697A"/>
    <w:rsid w:val="00CF6D61"/>
    <w:rsid w:val="00CF7883"/>
    <w:rsid w:val="00D009C4"/>
    <w:rsid w:val="00D012F2"/>
    <w:rsid w:val="00D01586"/>
    <w:rsid w:val="00D018BB"/>
    <w:rsid w:val="00D0643B"/>
    <w:rsid w:val="00D064CF"/>
    <w:rsid w:val="00D068A8"/>
    <w:rsid w:val="00D06A98"/>
    <w:rsid w:val="00D102C2"/>
    <w:rsid w:val="00D118FC"/>
    <w:rsid w:val="00D14361"/>
    <w:rsid w:val="00D14F1C"/>
    <w:rsid w:val="00D1513A"/>
    <w:rsid w:val="00D15B60"/>
    <w:rsid w:val="00D16322"/>
    <w:rsid w:val="00D166F0"/>
    <w:rsid w:val="00D17EEE"/>
    <w:rsid w:val="00D20094"/>
    <w:rsid w:val="00D23FAA"/>
    <w:rsid w:val="00D25DF3"/>
    <w:rsid w:val="00D2697A"/>
    <w:rsid w:val="00D27E93"/>
    <w:rsid w:val="00D30558"/>
    <w:rsid w:val="00D3181F"/>
    <w:rsid w:val="00D32918"/>
    <w:rsid w:val="00D32FD1"/>
    <w:rsid w:val="00D34F57"/>
    <w:rsid w:val="00D3599D"/>
    <w:rsid w:val="00D41A37"/>
    <w:rsid w:val="00D42AE8"/>
    <w:rsid w:val="00D4325F"/>
    <w:rsid w:val="00D459DF"/>
    <w:rsid w:val="00D45D1A"/>
    <w:rsid w:val="00D45D89"/>
    <w:rsid w:val="00D46505"/>
    <w:rsid w:val="00D46FE6"/>
    <w:rsid w:val="00D474BB"/>
    <w:rsid w:val="00D47C3B"/>
    <w:rsid w:val="00D51E29"/>
    <w:rsid w:val="00D5235F"/>
    <w:rsid w:val="00D55AFE"/>
    <w:rsid w:val="00D55EC0"/>
    <w:rsid w:val="00D56BAF"/>
    <w:rsid w:val="00D5762A"/>
    <w:rsid w:val="00D57D83"/>
    <w:rsid w:val="00D618E2"/>
    <w:rsid w:val="00D61BA3"/>
    <w:rsid w:val="00D62ACC"/>
    <w:rsid w:val="00D6307E"/>
    <w:rsid w:val="00D63C2A"/>
    <w:rsid w:val="00D64E9D"/>
    <w:rsid w:val="00D6595D"/>
    <w:rsid w:val="00D702F2"/>
    <w:rsid w:val="00D71053"/>
    <w:rsid w:val="00D71F81"/>
    <w:rsid w:val="00D732E7"/>
    <w:rsid w:val="00D736F3"/>
    <w:rsid w:val="00D7380B"/>
    <w:rsid w:val="00D75777"/>
    <w:rsid w:val="00D75D4F"/>
    <w:rsid w:val="00D76418"/>
    <w:rsid w:val="00D76FBE"/>
    <w:rsid w:val="00D775ED"/>
    <w:rsid w:val="00D77CA0"/>
    <w:rsid w:val="00D814CF"/>
    <w:rsid w:val="00D81631"/>
    <w:rsid w:val="00D83D54"/>
    <w:rsid w:val="00D85E79"/>
    <w:rsid w:val="00D8674F"/>
    <w:rsid w:val="00D90DB8"/>
    <w:rsid w:val="00D9124D"/>
    <w:rsid w:val="00D92C11"/>
    <w:rsid w:val="00D93195"/>
    <w:rsid w:val="00D94E47"/>
    <w:rsid w:val="00D95739"/>
    <w:rsid w:val="00D96AF5"/>
    <w:rsid w:val="00D97513"/>
    <w:rsid w:val="00D97514"/>
    <w:rsid w:val="00D97D1C"/>
    <w:rsid w:val="00DA00E4"/>
    <w:rsid w:val="00DA11B4"/>
    <w:rsid w:val="00DA2369"/>
    <w:rsid w:val="00DA2A05"/>
    <w:rsid w:val="00DA507A"/>
    <w:rsid w:val="00DA6605"/>
    <w:rsid w:val="00DA710C"/>
    <w:rsid w:val="00DB2997"/>
    <w:rsid w:val="00DB3324"/>
    <w:rsid w:val="00DC424E"/>
    <w:rsid w:val="00DC4742"/>
    <w:rsid w:val="00DC481A"/>
    <w:rsid w:val="00DC6142"/>
    <w:rsid w:val="00DC63A9"/>
    <w:rsid w:val="00DC6D43"/>
    <w:rsid w:val="00DD0A98"/>
    <w:rsid w:val="00DD166A"/>
    <w:rsid w:val="00DD1A48"/>
    <w:rsid w:val="00DD3B1E"/>
    <w:rsid w:val="00DD59FE"/>
    <w:rsid w:val="00DD735A"/>
    <w:rsid w:val="00DE09F5"/>
    <w:rsid w:val="00DE315B"/>
    <w:rsid w:val="00DE329C"/>
    <w:rsid w:val="00DE4408"/>
    <w:rsid w:val="00DE4448"/>
    <w:rsid w:val="00DE558B"/>
    <w:rsid w:val="00DE647A"/>
    <w:rsid w:val="00DE71BB"/>
    <w:rsid w:val="00DE73A8"/>
    <w:rsid w:val="00DF0C23"/>
    <w:rsid w:val="00DF17AA"/>
    <w:rsid w:val="00DF2332"/>
    <w:rsid w:val="00DF3F57"/>
    <w:rsid w:val="00DF57D9"/>
    <w:rsid w:val="00DF5B4A"/>
    <w:rsid w:val="00DF6832"/>
    <w:rsid w:val="00E01C48"/>
    <w:rsid w:val="00E02ACE"/>
    <w:rsid w:val="00E04CB4"/>
    <w:rsid w:val="00E057AA"/>
    <w:rsid w:val="00E05E0D"/>
    <w:rsid w:val="00E0747E"/>
    <w:rsid w:val="00E10602"/>
    <w:rsid w:val="00E11BA9"/>
    <w:rsid w:val="00E11C24"/>
    <w:rsid w:val="00E12287"/>
    <w:rsid w:val="00E126D0"/>
    <w:rsid w:val="00E12ACD"/>
    <w:rsid w:val="00E140BA"/>
    <w:rsid w:val="00E1485B"/>
    <w:rsid w:val="00E17F63"/>
    <w:rsid w:val="00E210CE"/>
    <w:rsid w:val="00E223EF"/>
    <w:rsid w:val="00E23A7A"/>
    <w:rsid w:val="00E2410D"/>
    <w:rsid w:val="00E25ECC"/>
    <w:rsid w:val="00E26CB5"/>
    <w:rsid w:val="00E30084"/>
    <w:rsid w:val="00E344DC"/>
    <w:rsid w:val="00E34716"/>
    <w:rsid w:val="00E349DD"/>
    <w:rsid w:val="00E36066"/>
    <w:rsid w:val="00E36406"/>
    <w:rsid w:val="00E379F3"/>
    <w:rsid w:val="00E37D97"/>
    <w:rsid w:val="00E40D5E"/>
    <w:rsid w:val="00E40FEA"/>
    <w:rsid w:val="00E4232B"/>
    <w:rsid w:val="00E42353"/>
    <w:rsid w:val="00E4363B"/>
    <w:rsid w:val="00E43ABA"/>
    <w:rsid w:val="00E43D3D"/>
    <w:rsid w:val="00E44029"/>
    <w:rsid w:val="00E44387"/>
    <w:rsid w:val="00E445E1"/>
    <w:rsid w:val="00E44AD6"/>
    <w:rsid w:val="00E515C1"/>
    <w:rsid w:val="00E5289D"/>
    <w:rsid w:val="00E52ABA"/>
    <w:rsid w:val="00E52B88"/>
    <w:rsid w:val="00E53ABE"/>
    <w:rsid w:val="00E54533"/>
    <w:rsid w:val="00E55B2B"/>
    <w:rsid w:val="00E5656C"/>
    <w:rsid w:val="00E569D2"/>
    <w:rsid w:val="00E56AC2"/>
    <w:rsid w:val="00E57AAA"/>
    <w:rsid w:val="00E6258B"/>
    <w:rsid w:val="00E678BC"/>
    <w:rsid w:val="00E67D69"/>
    <w:rsid w:val="00E71992"/>
    <w:rsid w:val="00E71DE1"/>
    <w:rsid w:val="00E7212C"/>
    <w:rsid w:val="00E72789"/>
    <w:rsid w:val="00E7650B"/>
    <w:rsid w:val="00E803F9"/>
    <w:rsid w:val="00E8106B"/>
    <w:rsid w:val="00E82783"/>
    <w:rsid w:val="00E8327B"/>
    <w:rsid w:val="00E8394F"/>
    <w:rsid w:val="00E841BA"/>
    <w:rsid w:val="00E85B71"/>
    <w:rsid w:val="00E861D5"/>
    <w:rsid w:val="00E86987"/>
    <w:rsid w:val="00E8740D"/>
    <w:rsid w:val="00E874EA"/>
    <w:rsid w:val="00E87585"/>
    <w:rsid w:val="00E87BEF"/>
    <w:rsid w:val="00E87CAF"/>
    <w:rsid w:val="00E91007"/>
    <w:rsid w:val="00E94092"/>
    <w:rsid w:val="00E95056"/>
    <w:rsid w:val="00E954F6"/>
    <w:rsid w:val="00E95D72"/>
    <w:rsid w:val="00E96E21"/>
    <w:rsid w:val="00EA24F3"/>
    <w:rsid w:val="00EA278C"/>
    <w:rsid w:val="00EA6792"/>
    <w:rsid w:val="00EA7FF2"/>
    <w:rsid w:val="00EB2B54"/>
    <w:rsid w:val="00EB33C3"/>
    <w:rsid w:val="00EB37F3"/>
    <w:rsid w:val="00EB4159"/>
    <w:rsid w:val="00EB52B5"/>
    <w:rsid w:val="00EB5CFB"/>
    <w:rsid w:val="00EC0554"/>
    <w:rsid w:val="00EC0D59"/>
    <w:rsid w:val="00EC16C8"/>
    <w:rsid w:val="00EC16ED"/>
    <w:rsid w:val="00EC2FDA"/>
    <w:rsid w:val="00EC47D6"/>
    <w:rsid w:val="00EC583E"/>
    <w:rsid w:val="00EC5D1D"/>
    <w:rsid w:val="00EC5F10"/>
    <w:rsid w:val="00EC6931"/>
    <w:rsid w:val="00EC6FD0"/>
    <w:rsid w:val="00ED2BF9"/>
    <w:rsid w:val="00ED3CB6"/>
    <w:rsid w:val="00ED46AD"/>
    <w:rsid w:val="00ED56BC"/>
    <w:rsid w:val="00ED6CE2"/>
    <w:rsid w:val="00ED7A27"/>
    <w:rsid w:val="00EE1219"/>
    <w:rsid w:val="00EE1450"/>
    <w:rsid w:val="00EE27DB"/>
    <w:rsid w:val="00EE363D"/>
    <w:rsid w:val="00EE40E6"/>
    <w:rsid w:val="00EE4F31"/>
    <w:rsid w:val="00EE6EFB"/>
    <w:rsid w:val="00EF0CF4"/>
    <w:rsid w:val="00EF3BF6"/>
    <w:rsid w:val="00EF541C"/>
    <w:rsid w:val="00EF6870"/>
    <w:rsid w:val="00EF6989"/>
    <w:rsid w:val="00EF6B7C"/>
    <w:rsid w:val="00EF6F62"/>
    <w:rsid w:val="00EF6F91"/>
    <w:rsid w:val="00F002C1"/>
    <w:rsid w:val="00F00B5C"/>
    <w:rsid w:val="00F01466"/>
    <w:rsid w:val="00F019A5"/>
    <w:rsid w:val="00F01D42"/>
    <w:rsid w:val="00F02A22"/>
    <w:rsid w:val="00F02D91"/>
    <w:rsid w:val="00F03D7C"/>
    <w:rsid w:val="00F04598"/>
    <w:rsid w:val="00F0476C"/>
    <w:rsid w:val="00F07FE1"/>
    <w:rsid w:val="00F10D80"/>
    <w:rsid w:val="00F11DD0"/>
    <w:rsid w:val="00F145BE"/>
    <w:rsid w:val="00F16953"/>
    <w:rsid w:val="00F2007E"/>
    <w:rsid w:val="00F2019E"/>
    <w:rsid w:val="00F21D73"/>
    <w:rsid w:val="00F2231B"/>
    <w:rsid w:val="00F224DD"/>
    <w:rsid w:val="00F22C83"/>
    <w:rsid w:val="00F23213"/>
    <w:rsid w:val="00F24EA2"/>
    <w:rsid w:val="00F255FB"/>
    <w:rsid w:val="00F2572B"/>
    <w:rsid w:val="00F30E85"/>
    <w:rsid w:val="00F30EAF"/>
    <w:rsid w:val="00F357F0"/>
    <w:rsid w:val="00F37393"/>
    <w:rsid w:val="00F4027E"/>
    <w:rsid w:val="00F403F2"/>
    <w:rsid w:val="00F40F4D"/>
    <w:rsid w:val="00F413FC"/>
    <w:rsid w:val="00F41557"/>
    <w:rsid w:val="00F424C6"/>
    <w:rsid w:val="00F44388"/>
    <w:rsid w:val="00F44747"/>
    <w:rsid w:val="00F47E5D"/>
    <w:rsid w:val="00F5069F"/>
    <w:rsid w:val="00F5138D"/>
    <w:rsid w:val="00F516ED"/>
    <w:rsid w:val="00F5207D"/>
    <w:rsid w:val="00F529E1"/>
    <w:rsid w:val="00F552D5"/>
    <w:rsid w:val="00F572EF"/>
    <w:rsid w:val="00F573EF"/>
    <w:rsid w:val="00F60327"/>
    <w:rsid w:val="00F62431"/>
    <w:rsid w:val="00F62DF5"/>
    <w:rsid w:val="00F6479E"/>
    <w:rsid w:val="00F64D0D"/>
    <w:rsid w:val="00F6644B"/>
    <w:rsid w:val="00F7030E"/>
    <w:rsid w:val="00F71378"/>
    <w:rsid w:val="00F71EA2"/>
    <w:rsid w:val="00F72745"/>
    <w:rsid w:val="00F72ACF"/>
    <w:rsid w:val="00F748D2"/>
    <w:rsid w:val="00F75C38"/>
    <w:rsid w:val="00F760B6"/>
    <w:rsid w:val="00F80DD0"/>
    <w:rsid w:val="00F85686"/>
    <w:rsid w:val="00F87CCB"/>
    <w:rsid w:val="00F9147C"/>
    <w:rsid w:val="00F917B4"/>
    <w:rsid w:val="00F91C6D"/>
    <w:rsid w:val="00F92E78"/>
    <w:rsid w:val="00F93305"/>
    <w:rsid w:val="00F933DF"/>
    <w:rsid w:val="00F9349D"/>
    <w:rsid w:val="00F93920"/>
    <w:rsid w:val="00F93CD5"/>
    <w:rsid w:val="00F955B6"/>
    <w:rsid w:val="00FA0DE3"/>
    <w:rsid w:val="00FA1903"/>
    <w:rsid w:val="00FA1DD2"/>
    <w:rsid w:val="00FA39A2"/>
    <w:rsid w:val="00FA515D"/>
    <w:rsid w:val="00FA7A9A"/>
    <w:rsid w:val="00FB0445"/>
    <w:rsid w:val="00FB1DF3"/>
    <w:rsid w:val="00FB2328"/>
    <w:rsid w:val="00FB2727"/>
    <w:rsid w:val="00FB52E6"/>
    <w:rsid w:val="00FB5D67"/>
    <w:rsid w:val="00FB727D"/>
    <w:rsid w:val="00FC009B"/>
    <w:rsid w:val="00FC03C1"/>
    <w:rsid w:val="00FC10F3"/>
    <w:rsid w:val="00FC3D90"/>
    <w:rsid w:val="00FC5250"/>
    <w:rsid w:val="00FC55B9"/>
    <w:rsid w:val="00FC5B69"/>
    <w:rsid w:val="00FC5CAA"/>
    <w:rsid w:val="00FC620D"/>
    <w:rsid w:val="00FC6A4F"/>
    <w:rsid w:val="00FD23D0"/>
    <w:rsid w:val="00FD6789"/>
    <w:rsid w:val="00FE0A12"/>
    <w:rsid w:val="00FE0F7F"/>
    <w:rsid w:val="00FE2792"/>
    <w:rsid w:val="00FE3A31"/>
    <w:rsid w:val="00FE4DD6"/>
    <w:rsid w:val="00FE505C"/>
    <w:rsid w:val="00FE5332"/>
    <w:rsid w:val="00FF0F55"/>
    <w:rsid w:val="00FF18BD"/>
    <w:rsid w:val="00FF2555"/>
    <w:rsid w:val="00FF74DE"/>
    <w:rsid w:val="00FF7D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F3AE0"/>
  <w15:chartTrackingRefBased/>
  <w15:docId w15:val="{4DEA48DC-EEC0-4F04-BDAF-8AD87FDA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727"/>
    <w:pPr>
      <w:spacing w:after="200" w:line="276" w:lineRule="auto"/>
    </w:pPr>
  </w:style>
  <w:style w:type="paragraph" w:styleId="Heading1">
    <w:name w:val="heading 1"/>
    <w:basedOn w:val="Normal"/>
    <w:next w:val="Normal"/>
    <w:link w:val="Heading1Char"/>
    <w:uiPriority w:val="9"/>
    <w:qFormat/>
    <w:rsid w:val="002547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37380"/>
    <w:pPr>
      <w:spacing w:after="0" w:line="240" w:lineRule="auto"/>
    </w:pPr>
    <w:rPr>
      <w:rFonts w:asciiTheme="majorHAnsi" w:hAnsiTheme="majorHAnsi"/>
      <w:sz w:val="20"/>
      <w:szCs w:val="20"/>
    </w:rPr>
  </w:style>
  <w:style w:type="character" w:customStyle="1" w:styleId="FootnoteTextChar">
    <w:name w:val="Footnote Text Char"/>
    <w:basedOn w:val="DefaultParagraphFont"/>
    <w:link w:val="FootnoteText"/>
    <w:uiPriority w:val="99"/>
    <w:rsid w:val="00437380"/>
    <w:rPr>
      <w:rFonts w:asciiTheme="majorHAnsi" w:hAnsiTheme="majorHAnsi"/>
      <w:sz w:val="20"/>
      <w:szCs w:val="20"/>
    </w:rPr>
  </w:style>
  <w:style w:type="character" w:styleId="FootnoteReference">
    <w:name w:val="footnote reference"/>
    <w:basedOn w:val="DefaultParagraphFont"/>
    <w:uiPriority w:val="99"/>
    <w:semiHidden/>
    <w:unhideWhenUsed/>
    <w:rsid w:val="00910280"/>
    <w:rPr>
      <w:vertAlign w:val="superscript"/>
    </w:rPr>
  </w:style>
  <w:style w:type="paragraph" w:styleId="Header">
    <w:name w:val="header"/>
    <w:basedOn w:val="Normal"/>
    <w:link w:val="HeaderChar"/>
    <w:uiPriority w:val="99"/>
    <w:unhideWhenUsed/>
    <w:rsid w:val="00164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73B"/>
  </w:style>
  <w:style w:type="paragraph" w:styleId="Footer">
    <w:name w:val="footer"/>
    <w:basedOn w:val="Normal"/>
    <w:link w:val="FooterChar"/>
    <w:uiPriority w:val="99"/>
    <w:unhideWhenUsed/>
    <w:rsid w:val="00164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73B"/>
  </w:style>
  <w:style w:type="character" w:styleId="Hyperlink">
    <w:name w:val="Hyperlink"/>
    <w:basedOn w:val="DefaultParagraphFont"/>
    <w:uiPriority w:val="99"/>
    <w:unhideWhenUsed/>
    <w:rsid w:val="00BF5AA8"/>
    <w:rPr>
      <w:color w:val="0000FF"/>
      <w:u w:val="single"/>
    </w:rPr>
  </w:style>
  <w:style w:type="paragraph" w:styleId="ListParagraph">
    <w:name w:val="List Paragraph"/>
    <w:basedOn w:val="Normal"/>
    <w:uiPriority w:val="34"/>
    <w:qFormat/>
    <w:rsid w:val="001C6B9E"/>
    <w:pPr>
      <w:ind w:left="720"/>
      <w:contextualSpacing/>
    </w:pPr>
  </w:style>
  <w:style w:type="character" w:styleId="UnresolvedMention">
    <w:name w:val="Unresolved Mention"/>
    <w:basedOn w:val="DefaultParagraphFont"/>
    <w:uiPriority w:val="99"/>
    <w:semiHidden/>
    <w:unhideWhenUsed/>
    <w:rsid w:val="00AA53AF"/>
    <w:rPr>
      <w:color w:val="605E5C"/>
      <w:shd w:val="clear" w:color="auto" w:fill="E1DFDD"/>
    </w:rPr>
  </w:style>
  <w:style w:type="character" w:styleId="FollowedHyperlink">
    <w:name w:val="FollowedHyperlink"/>
    <w:basedOn w:val="DefaultParagraphFont"/>
    <w:uiPriority w:val="99"/>
    <w:semiHidden/>
    <w:unhideWhenUsed/>
    <w:rsid w:val="00D63C2A"/>
    <w:rPr>
      <w:color w:val="954F72" w:themeColor="followedHyperlink"/>
      <w:u w:val="single"/>
    </w:rPr>
  </w:style>
  <w:style w:type="character" w:customStyle="1" w:styleId="Heading1Char">
    <w:name w:val="Heading 1 Char"/>
    <w:basedOn w:val="DefaultParagraphFont"/>
    <w:link w:val="Heading1"/>
    <w:uiPriority w:val="9"/>
    <w:rsid w:val="0025472A"/>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05517E"/>
    <w:rPr>
      <w:sz w:val="16"/>
      <w:szCs w:val="16"/>
    </w:rPr>
  </w:style>
  <w:style w:type="paragraph" w:styleId="CommentText">
    <w:name w:val="annotation text"/>
    <w:basedOn w:val="Normal"/>
    <w:link w:val="CommentTextChar"/>
    <w:uiPriority w:val="99"/>
    <w:semiHidden/>
    <w:unhideWhenUsed/>
    <w:rsid w:val="0005517E"/>
    <w:pPr>
      <w:spacing w:line="240" w:lineRule="auto"/>
    </w:pPr>
    <w:rPr>
      <w:sz w:val="20"/>
      <w:szCs w:val="20"/>
    </w:rPr>
  </w:style>
  <w:style w:type="character" w:customStyle="1" w:styleId="CommentTextChar">
    <w:name w:val="Comment Text Char"/>
    <w:basedOn w:val="DefaultParagraphFont"/>
    <w:link w:val="CommentText"/>
    <w:uiPriority w:val="99"/>
    <w:semiHidden/>
    <w:rsid w:val="0005517E"/>
    <w:rPr>
      <w:sz w:val="20"/>
      <w:szCs w:val="20"/>
    </w:rPr>
  </w:style>
  <w:style w:type="paragraph" w:styleId="CommentSubject">
    <w:name w:val="annotation subject"/>
    <w:basedOn w:val="CommentText"/>
    <w:next w:val="CommentText"/>
    <w:link w:val="CommentSubjectChar"/>
    <w:uiPriority w:val="99"/>
    <w:semiHidden/>
    <w:unhideWhenUsed/>
    <w:rsid w:val="0005517E"/>
    <w:rPr>
      <w:b/>
      <w:bCs/>
    </w:rPr>
  </w:style>
  <w:style w:type="character" w:customStyle="1" w:styleId="CommentSubjectChar">
    <w:name w:val="Comment Subject Char"/>
    <w:basedOn w:val="CommentTextChar"/>
    <w:link w:val="CommentSubject"/>
    <w:uiPriority w:val="99"/>
    <w:semiHidden/>
    <w:rsid w:val="0005517E"/>
    <w:rPr>
      <w:b/>
      <w:bCs/>
      <w:sz w:val="20"/>
      <w:szCs w:val="20"/>
    </w:rPr>
  </w:style>
  <w:style w:type="paragraph" w:styleId="BalloonText">
    <w:name w:val="Balloon Text"/>
    <w:basedOn w:val="Normal"/>
    <w:link w:val="BalloonTextChar"/>
    <w:uiPriority w:val="99"/>
    <w:semiHidden/>
    <w:unhideWhenUsed/>
    <w:rsid w:val="003279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9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82245">
      <w:bodyDiv w:val="1"/>
      <w:marLeft w:val="0"/>
      <w:marRight w:val="0"/>
      <w:marTop w:val="0"/>
      <w:marBottom w:val="0"/>
      <w:divBdr>
        <w:top w:val="none" w:sz="0" w:space="0" w:color="auto"/>
        <w:left w:val="none" w:sz="0" w:space="0" w:color="auto"/>
        <w:bottom w:val="none" w:sz="0" w:space="0" w:color="auto"/>
        <w:right w:val="none" w:sz="0" w:space="0" w:color="auto"/>
      </w:divBdr>
    </w:div>
    <w:div w:id="1284073784">
      <w:bodyDiv w:val="1"/>
      <w:marLeft w:val="0"/>
      <w:marRight w:val="0"/>
      <w:marTop w:val="0"/>
      <w:marBottom w:val="0"/>
      <w:divBdr>
        <w:top w:val="none" w:sz="0" w:space="0" w:color="auto"/>
        <w:left w:val="none" w:sz="0" w:space="0" w:color="auto"/>
        <w:bottom w:val="none" w:sz="0" w:space="0" w:color="auto"/>
        <w:right w:val="none" w:sz="0" w:space="0" w:color="auto"/>
      </w:divBdr>
    </w:div>
    <w:div w:id="209978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352-3350"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0C4A2-E031-4408-B442-7B43D77BC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8312</Words>
  <Characters>47379</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Coyle</dc:creator>
  <cp:keywords/>
  <dc:description/>
  <cp:lastModifiedBy>Stella Coyle</cp:lastModifiedBy>
  <cp:revision>2</cp:revision>
  <cp:lastPrinted>2021-08-20T13:01:00Z</cp:lastPrinted>
  <dcterms:created xsi:type="dcterms:W3CDTF">2021-11-23T13:06:00Z</dcterms:created>
  <dcterms:modified xsi:type="dcterms:W3CDTF">2021-11-23T13:06:00Z</dcterms:modified>
</cp:coreProperties>
</file>