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F96A" w14:textId="482A7DF7" w:rsidR="00ED0E2E" w:rsidRPr="00B5416B" w:rsidRDefault="00ED0E2E" w:rsidP="00ED0E2E">
      <w:pPr>
        <w:spacing w:line="48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Why do UK Firms Repurchase their own Shares?</w:t>
      </w:r>
    </w:p>
    <w:p w14:paraId="2F563BEA" w14:textId="77777777" w:rsidR="00ED0E2E" w:rsidRDefault="00ED0E2E" w:rsidP="00ED0E2E">
      <w:pPr>
        <w:jc w:val="center"/>
      </w:pPr>
      <w:r>
        <w:t>by</w:t>
      </w:r>
    </w:p>
    <w:p w14:paraId="1A4542C6" w14:textId="77777777" w:rsidR="00ED0E2E" w:rsidRDefault="00ED0E2E" w:rsidP="00ED0E2E">
      <w:pPr>
        <w:spacing w:after="0"/>
        <w:jc w:val="center"/>
      </w:pPr>
      <w:r>
        <w:t>Elisabeth Dedman*</w:t>
      </w:r>
    </w:p>
    <w:p w14:paraId="6E1F5355" w14:textId="77777777" w:rsidR="00ED0E2E" w:rsidRDefault="00ED0E2E" w:rsidP="00ED0E2E">
      <w:pPr>
        <w:spacing w:after="0"/>
        <w:jc w:val="center"/>
      </w:pPr>
      <w:r>
        <w:t>Edge Hill University</w:t>
      </w:r>
    </w:p>
    <w:p w14:paraId="42CCE6EE" w14:textId="77777777" w:rsidR="00ED0E2E" w:rsidRDefault="00ED0E2E" w:rsidP="00ED0E2E">
      <w:pPr>
        <w:spacing w:after="0"/>
        <w:jc w:val="center"/>
      </w:pPr>
    </w:p>
    <w:p w14:paraId="49C40676" w14:textId="77777777" w:rsidR="00ED0E2E" w:rsidRDefault="00ED0E2E" w:rsidP="00ED0E2E">
      <w:pPr>
        <w:spacing w:after="0"/>
        <w:jc w:val="center"/>
      </w:pPr>
      <w:r>
        <w:t>Shan Hua</w:t>
      </w:r>
    </w:p>
    <w:p w14:paraId="0038BA15" w14:textId="77777777" w:rsidR="00ED0E2E" w:rsidRDefault="00ED0E2E" w:rsidP="00ED0E2E">
      <w:pPr>
        <w:spacing w:after="0"/>
        <w:jc w:val="center"/>
      </w:pPr>
      <w:r>
        <w:t>University of Bristol</w:t>
      </w:r>
    </w:p>
    <w:p w14:paraId="1B47699C" w14:textId="77777777" w:rsidR="00ED0E2E" w:rsidRDefault="00ED0E2E" w:rsidP="00ED0E2E">
      <w:pPr>
        <w:spacing w:after="0"/>
        <w:jc w:val="center"/>
      </w:pPr>
    </w:p>
    <w:p w14:paraId="1DAB3F12" w14:textId="77777777" w:rsidR="00ED0E2E" w:rsidRDefault="00ED0E2E" w:rsidP="00ED0E2E">
      <w:pPr>
        <w:spacing w:after="0"/>
        <w:jc w:val="center"/>
      </w:pPr>
      <w:r>
        <w:t>Thanamas Kungwal</w:t>
      </w:r>
    </w:p>
    <w:p w14:paraId="4D9F5CA5" w14:textId="77777777" w:rsidR="00ED0E2E" w:rsidRDefault="00ED0E2E" w:rsidP="00ED0E2E">
      <w:pPr>
        <w:spacing w:after="0"/>
        <w:jc w:val="center"/>
      </w:pPr>
      <w:proofErr w:type="spellStart"/>
      <w:r>
        <w:t>Keele</w:t>
      </w:r>
      <w:proofErr w:type="spellEnd"/>
      <w:r>
        <w:t xml:space="preserve"> University</w:t>
      </w:r>
    </w:p>
    <w:p w14:paraId="75B20E3D" w14:textId="77777777" w:rsidR="00ED0E2E" w:rsidRDefault="00ED0E2E" w:rsidP="00ED0E2E">
      <w:pPr>
        <w:spacing w:after="0"/>
        <w:jc w:val="center"/>
      </w:pPr>
    </w:p>
    <w:p w14:paraId="4AD9345E" w14:textId="77777777" w:rsidR="00ED0E2E" w:rsidRDefault="00ED0E2E" w:rsidP="00ED0E2E">
      <w:pPr>
        <w:spacing w:after="0"/>
        <w:jc w:val="center"/>
      </w:pPr>
    </w:p>
    <w:p w14:paraId="09BADDE2" w14:textId="77777777" w:rsidR="00ED0E2E" w:rsidRDefault="00ED0E2E" w:rsidP="00ED0E2E">
      <w:pPr>
        <w:spacing w:after="0"/>
        <w:jc w:val="center"/>
      </w:pPr>
    </w:p>
    <w:p w14:paraId="60DED182" w14:textId="77777777" w:rsidR="00ED0E2E" w:rsidRDefault="00ED0E2E" w:rsidP="00ED0E2E">
      <w:pPr>
        <w:spacing w:after="120"/>
        <w:jc w:val="center"/>
        <w:rPr>
          <w:rFonts w:ascii="Times New Roman" w:eastAsia="Times New Roman" w:hAnsi="Times New Roman" w:cs="Times New Roman"/>
          <w:b/>
        </w:rPr>
      </w:pPr>
      <w:r>
        <w:rPr>
          <w:rFonts w:ascii="Times New Roman" w:eastAsia="Times New Roman" w:hAnsi="Times New Roman" w:cs="Times New Roman"/>
          <w:b/>
        </w:rPr>
        <w:t>ABSTRACT</w:t>
      </w:r>
    </w:p>
    <w:p w14:paraId="5F186116" w14:textId="77777777" w:rsidR="00ED0E2E" w:rsidRDefault="00ED0E2E" w:rsidP="00ED0E2E">
      <w:pPr>
        <w:spacing w:after="120"/>
        <w:ind w:left="964" w:right="964"/>
        <w:jc w:val="both"/>
        <w:rPr>
          <w:rFonts w:ascii="Times New Roman" w:eastAsia="Times New Roman" w:hAnsi="Times New Roman" w:cs="Times New Roman"/>
        </w:rPr>
      </w:pPr>
      <w:r w:rsidRPr="009563BB">
        <w:rPr>
          <w:rFonts w:ascii="Times New Roman" w:eastAsia="Times New Roman" w:hAnsi="Times New Roman" w:cs="Times New Roman"/>
        </w:rPr>
        <w:t xml:space="preserve">We examine the practice of share repurchases in the UK from 2000 to 2016 We find that an important regulatory reform in 2003, which relaxed previously strict rules about repurchases, was followed by a significant increase in repurchase activity by UK </w:t>
      </w:r>
      <w:proofErr w:type="gramStart"/>
      <w:r w:rsidRPr="009563BB">
        <w:rPr>
          <w:rFonts w:ascii="Times New Roman" w:eastAsia="Times New Roman" w:hAnsi="Times New Roman" w:cs="Times New Roman"/>
        </w:rPr>
        <w:t>main-market</w:t>
      </w:r>
      <w:proofErr w:type="gramEnd"/>
      <w:r w:rsidRPr="009563BB">
        <w:rPr>
          <w:rFonts w:ascii="Times New Roman" w:eastAsia="Times New Roman" w:hAnsi="Times New Roman" w:cs="Times New Roman"/>
        </w:rPr>
        <w:t xml:space="preserve"> listed firms We then examine the motivation for repurchases, testing several key hypotheses from prior literature. Our analysis of 6,228 firm years provides support, across both regulatory regimes, for both the free cash flow and the investment hypotheses. However, there are also changes in share repurchase motivations following the easing of restrictions. Important differences between UK and US </w:t>
      </w:r>
      <w:proofErr w:type="spellStart"/>
      <w:r w:rsidRPr="009563BB">
        <w:rPr>
          <w:rFonts w:ascii="Times New Roman" w:eastAsia="Times New Roman" w:hAnsi="Times New Roman" w:cs="Times New Roman"/>
        </w:rPr>
        <w:t>payout</w:t>
      </w:r>
      <w:proofErr w:type="spellEnd"/>
      <w:r w:rsidRPr="009563BB">
        <w:rPr>
          <w:rFonts w:ascii="Times New Roman" w:eastAsia="Times New Roman" w:hAnsi="Times New Roman" w:cs="Times New Roman"/>
        </w:rPr>
        <w:t xml:space="preserve"> practices are identified.</w:t>
      </w:r>
    </w:p>
    <w:p w14:paraId="4551624F" w14:textId="77777777" w:rsidR="00ED0E2E" w:rsidRPr="007B41D0" w:rsidRDefault="00ED0E2E" w:rsidP="00ED0E2E">
      <w:pPr>
        <w:spacing w:after="0"/>
        <w:jc w:val="center"/>
        <w:rPr>
          <w:rFonts w:ascii="Times New Roman" w:hAnsi="Times New Roman" w:cs="Times New Roman"/>
        </w:rPr>
      </w:pPr>
    </w:p>
    <w:p w14:paraId="5E3537F4" w14:textId="77777777" w:rsidR="00ED0E2E" w:rsidRPr="007B41D0" w:rsidRDefault="00ED0E2E" w:rsidP="00ED0E2E">
      <w:pPr>
        <w:spacing w:after="0"/>
        <w:rPr>
          <w:rFonts w:ascii="Times New Roman" w:hAnsi="Times New Roman" w:cs="Times New Roman"/>
        </w:rPr>
      </w:pPr>
      <w:r w:rsidRPr="007B41D0">
        <w:rPr>
          <w:rFonts w:ascii="Times New Roman" w:hAnsi="Times New Roman" w:cs="Times New Roman"/>
        </w:rPr>
        <w:t xml:space="preserve">*Corresponding author: </w:t>
      </w:r>
      <w:hyperlink r:id="rId9" w:history="1">
        <w:r w:rsidRPr="007B41D0">
          <w:rPr>
            <w:rStyle w:val="Hyperlink"/>
            <w:rFonts w:ascii="Times New Roman" w:hAnsi="Times New Roman" w:cs="Times New Roman"/>
          </w:rPr>
          <w:t>dedmane@edgehill.ac.uk</w:t>
        </w:r>
      </w:hyperlink>
    </w:p>
    <w:p w14:paraId="3AB081E1" w14:textId="77777777" w:rsidR="00ED0E2E" w:rsidRDefault="00ED0E2E" w:rsidP="00ED0E2E">
      <w:pPr>
        <w:spacing w:after="0"/>
      </w:pPr>
    </w:p>
    <w:p w14:paraId="552D680F" w14:textId="20736058" w:rsidR="00ED0E2E" w:rsidRDefault="00ED0E2E">
      <w:pPr>
        <w:rPr>
          <w:rFonts w:ascii="Times New Roman" w:eastAsia="Times New Roman" w:hAnsi="Times New Roman" w:cs="Times New Roman"/>
          <w:b/>
          <w:smallCaps/>
          <w:sz w:val="28"/>
          <w:szCs w:val="28"/>
        </w:rPr>
      </w:pPr>
    </w:p>
    <w:p w14:paraId="2E205BCC" w14:textId="77777777" w:rsidR="00ED0E2E" w:rsidRDefault="00ED0E2E">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14:paraId="5205A52B" w14:textId="212F496B" w:rsidR="00A707CF" w:rsidRDefault="0055054A" w:rsidP="00E87442">
      <w:pPr>
        <w:spacing w:line="48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Why do UK Firms Repurchase their own Shares?</w:t>
      </w:r>
    </w:p>
    <w:p w14:paraId="3D9E453A" w14:textId="77777777" w:rsidR="00A707CF" w:rsidRDefault="00A707CF" w:rsidP="00E87442">
      <w:pPr>
        <w:spacing w:after="120" w:line="480" w:lineRule="auto"/>
        <w:jc w:val="both"/>
        <w:rPr>
          <w:rFonts w:ascii="Times New Roman" w:eastAsia="Times New Roman" w:hAnsi="Times New Roman" w:cs="Times New Roman"/>
        </w:rPr>
      </w:pPr>
    </w:p>
    <w:p w14:paraId="7BD29D68" w14:textId="77777777" w:rsidR="00A707CF" w:rsidRDefault="00A707CF" w:rsidP="00E87442">
      <w:pPr>
        <w:tabs>
          <w:tab w:val="left" w:pos="3525"/>
        </w:tabs>
        <w:spacing w:after="120" w:line="480" w:lineRule="auto"/>
        <w:jc w:val="both"/>
        <w:rPr>
          <w:rFonts w:ascii="Times New Roman" w:eastAsia="Times New Roman" w:hAnsi="Times New Roman" w:cs="Times New Roman"/>
          <w:sz w:val="28"/>
          <w:szCs w:val="28"/>
        </w:rPr>
      </w:pPr>
    </w:p>
    <w:p w14:paraId="59ED88BB" w14:textId="77777777" w:rsidR="00A707CF" w:rsidRDefault="0055054A" w:rsidP="00E87442">
      <w:pPr>
        <w:spacing w:after="120" w:line="480" w:lineRule="auto"/>
        <w:jc w:val="center"/>
        <w:rPr>
          <w:rFonts w:ascii="Times New Roman" w:eastAsia="Times New Roman" w:hAnsi="Times New Roman" w:cs="Times New Roman"/>
          <w:b/>
        </w:rPr>
      </w:pPr>
      <w:r>
        <w:rPr>
          <w:rFonts w:ascii="Times New Roman" w:eastAsia="Times New Roman" w:hAnsi="Times New Roman" w:cs="Times New Roman"/>
          <w:b/>
        </w:rPr>
        <w:t>ABSTRACT</w:t>
      </w:r>
    </w:p>
    <w:p w14:paraId="7A1F52F2" w14:textId="1615387D" w:rsidR="00A707CF" w:rsidRDefault="009563BB" w:rsidP="00E87442">
      <w:pPr>
        <w:spacing w:after="120" w:line="480" w:lineRule="auto"/>
        <w:ind w:left="964" w:right="964"/>
        <w:jc w:val="both"/>
        <w:rPr>
          <w:rFonts w:ascii="Times New Roman" w:eastAsia="Times New Roman" w:hAnsi="Times New Roman" w:cs="Times New Roman"/>
        </w:rPr>
      </w:pPr>
      <w:r w:rsidRPr="009563BB">
        <w:rPr>
          <w:rFonts w:ascii="Times New Roman" w:eastAsia="Times New Roman" w:hAnsi="Times New Roman" w:cs="Times New Roman"/>
        </w:rPr>
        <w:t xml:space="preserve">We examine the practice of share repurchases in the UK from 2000 to 2016 We find that an important regulatory reform in 2003, which relaxed previously strict rules about repurchases, was followed by a significant increase in repurchase activity by UK </w:t>
      </w:r>
      <w:proofErr w:type="gramStart"/>
      <w:r w:rsidRPr="009563BB">
        <w:rPr>
          <w:rFonts w:ascii="Times New Roman" w:eastAsia="Times New Roman" w:hAnsi="Times New Roman" w:cs="Times New Roman"/>
        </w:rPr>
        <w:t>main-market</w:t>
      </w:r>
      <w:proofErr w:type="gramEnd"/>
      <w:r w:rsidRPr="009563BB">
        <w:rPr>
          <w:rFonts w:ascii="Times New Roman" w:eastAsia="Times New Roman" w:hAnsi="Times New Roman" w:cs="Times New Roman"/>
        </w:rPr>
        <w:t xml:space="preserve"> listed firms We then examine the motivation for repurchases, testing several key hypotheses from prior literature. Our analysis of 6,228 firm years provides support, across both regulatory regimes, for both the free cash flow and the investment hypotheses. However, there are also changes in share repurchase motivations following the easing of restrictions. Important differences between UK and US </w:t>
      </w:r>
      <w:proofErr w:type="spellStart"/>
      <w:r w:rsidRPr="009563BB">
        <w:rPr>
          <w:rFonts w:ascii="Times New Roman" w:eastAsia="Times New Roman" w:hAnsi="Times New Roman" w:cs="Times New Roman"/>
        </w:rPr>
        <w:t>payout</w:t>
      </w:r>
      <w:proofErr w:type="spellEnd"/>
      <w:r w:rsidRPr="009563BB">
        <w:rPr>
          <w:rFonts w:ascii="Times New Roman" w:eastAsia="Times New Roman" w:hAnsi="Times New Roman" w:cs="Times New Roman"/>
        </w:rPr>
        <w:t xml:space="preserve"> practices are identified.</w:t>
      </w:r>
    </w:p>
    <w:p w14:paraId="4724C77C" w14:textId="77777777" w:rsidR="009563BB" w:rsidRDefault="009563BB" w:rsidP="00E87442">
      <w:pPr>
        <w:spacing w:after="120" w:line="480" w:lineRule="auto"/>
        <w:ind w:left="964" w:right="964"/>
        <w:jc w:val="both"/>
        <w:rPr>
          <w:rFonts w:ascii="Times New Roman" w:eastAsia="Times New Roman" w:hAnsi="Times New Roman" w:cs="Times New Roman"/>
        </w:rPr>
      </w:pPr>
    </w:p>
    <w:p w14:paraId="1EBDFE16" w14:textId="77777777" w:rsidR="00A707CF" w:rsidRDefault="0055054A" w:rsidP="0055612F">
      <w:pPr>
        <w:spacing w:after="120" w:line="480" w:lineRule="auto"/>
        <w:ind w:left="964" w:right="964"/>
        <w:rPr>
          <w:rFonts w:ascii="Times New Roman" w:eastAsia="Times New Roman" w:hAnsi="Times New Roman" w:cs="Times New Roman"/>
        </w:rPr>
        <w:sectPr w:rsidR="00A707CF">
          <w:footerReference w:type="default" r:id="rId10"/>
          <w:pgSz w:w="11906" w:h="16838"/>
          <w:pgMar w:top="1440" w:right="1440" w:bottom="1440" w:left="1440" w:header="708" w:footer="708" w:gutter="0"/>
          <w:pgNumType w:start="1"/>
          <w:cols w:space="720"/>
        </w:sectPr>
      </w:pPr>
      <w:r>
        <w:rPr>
          <w:rFonts w:ascii="Times New Roman" w:eastAsia="Times New Roman" w:hAnsi="Times New Roman" w:cs="Times New Roman"/>
        </w:rPr>
        <w:t xml:space="preserve">JEL Codes and Keywords: G35,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Policy (Share Repurchases); G38, Regulation.</w:t>
      </w:r>
    </w:p>
    <w:p w14:paraId="79C94251" w14:textId="77777777" w:rsidR="00A707CF" w:rsidRDefault="0055054A" w:rsidP="00E87442">
      <w:pPr>
        <w:spacing w:after="120" w:line="48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Why do UK Firms Repurchase their own Shares?</w:t>
      </w:r>
    </w:p>
    <w:p w14:paraId="390223B3" w14:textId="77777777" w:rsidR="00A707CF" w:rsidRDefault="00A707CF" w:rsidP="00E87442">
      <w:pPr>
        <w:spacing w:after="120" w:line="480" w:lineRule="auto"/>
        <w:jc w:val="both"/>
        <w:rPr>
          <w:rFonts w:ascii="Times New Roman" w:eastAsia="Times New Roman" w:hAnsi="Times New Roman" w:cs="Times New Roman"/>
          <w:b/>
        </w:rPr>
      </w:pPr>
    </w:p>
    <w:p w14:paraId="222050B0" w14:textId="77777777" w:rsidR="00A707CF" w:rsidRDefault="0055054A" w:rsidP="00E87442">
      <w:pPr>
        <w:spacing w:after="280" w:line="480" w:lineRule="auto"/>
        <w:ind w:firstLine="397"/>
        <w:jc w:val="both"/>
        <w:rPr>
          <w:rFonts w:ascii="Times New Roman" w:eastAsia="Times New Roman" w:hAnsi="Times New Roman" w:cs="Times New Roman"/>
          <w:b/>
        </w:rPr>
      </w:pPr>
      <w:r>
        <w:rPr>
          <w:rFonts w:ascii="Times New Roman" w:eastAsia="Times New Roman" w:hAnsi="Times New Roman" w:cs="Times New Roman"/>
          <w:b/>
        </w:rPr>
        <w:t>1. Introduction</w:t>
      </w:r>
    </w:p>
    <w:p w14:paraId="4CC42E6D" w14:textId="536583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In the US, managers have long been able to distribute cash to shareholders </w:t>
      </w:r>
      <w:r>
        <w:rPr>
          <w:rFonts w:ascii="Times New Roman" w:eastAsia="Times New Roman" w:hAnsi="Times New Roman" w:cs="Times New Roman"/>
          <w:i/>
        </w:rPr>
        <w:t>via</w:t>
      </w:r>
      <w:r>
        <w:rPr>
          <w:rFonts w:ascii="Times New Roman" w:eastAsia="Times New Roman" w:hAnsi="Times New Roman" w:cs="Times New Roman"/>
        </w:rPr>
        <w:t xml:space="preserve"> share repurchases. For example, </w:t>
      </w:r>
      <w:proofErr w:type="spellStart"/>
      <w:r>
        <w:rPr>
          <w:rFonts w:ascii="Times New Roman" w:eastAsia="Times New Roman" w:hAnsi="Times New Roman" w:cs="Times New Roman"/>
        </w:rPr>
        <w:t>Grullon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Michaely</w:t>
      </w:r>
      <w:proofErr w:type="spellEnd"/>
      <w:r>
        <w:rPr>
          <w:rFonts w:ascii="Times New Roman" w:eastAsia="Times New Roman" w:hAnsi="Times New Roman" w:cs="Times New Roman"/>
        </w:rPr>
        <w:t xml:space="preserve"> (2002) report that 31% of US firms repurchase</w:t>
      </w:r>
      <w:r w:rsidR="00C56544">
        <w:rPr>
          <w:rFonts w:ascii="Times New Roman" w:eastAsia="Times New Roman" w:hAnsi="Times New Roman" w:cs="Times New Roman"/>
        </w:rPr>
        <w:t>d</w:t>
      </w:r>
      <w:r>
        <w:rPr>
          <w:rFonts w:ascii="Times New Roman" w:eastAsia="Times New Roman" w:hAnsi="Times New Roman" w:cs="Times New Roman"/>
        </w:rPr>
        <w:t xml:space="preserve"> shares in 1972.  Following the adoption of safe harbour provisions contained in Rule 10b-18, instituted in 1982, US repurchase activity increase</w:t>
      </w:r>
      <w:r w:rsidR="005A3A16">
        <w:rPr>
          <w:rFonts w:ascii="Times New Roman" w:eastAsia="Times New Roman" w:hAnsi="Times New Roman" w:cs="Times New Roman"/>
        </w:rPr>
        <w:t>d</w:t>
      </w:r>
      <w:r>
        <w:rPr>
          <w:rFonts w:ascii="Times New Roman" w:eastAsia="Times New Roman" w:hAnsi="Times New Roman" w:cs="Times New Roman"/>
        </w:rPr>
        <w:t xml:space="preserve"> dramatically</w:t>
      </w:r>
      <w:r w:rsidR="00BA77C0">
        <w:rPr>
          <w:rFonts w:ascii="Times New Roman" w:eastAsia="Times New Roman" w:hAnsi="Times New Roman" w:cs="Times New Roman"/>
        </w:rPr>
        <w:t>,</w:t>
      </w:r>
      <w:r>
        <w:rPr>
          <w:rFonts w:ascii="Times New Roman" w:eastAsia="Times New Roman" w:hAnsi="Times New Roman" w:cs="Times New Roman"/>
        </w:rPr>
        <w:t xml:space="preserve">  </w:t>
      </w:r>
      <w:r w:rsidR="005A3A16">
        <w:rPr>
          <w:rFonts w:ascii="Times New Roman" w:eastAsia="Times New Roman" w:hAnsi="Times New Roman" w:cs="Times New Roman"/>
        </w:rPr>
        <w:t>becoming</w:t>
      </w:r>
      <w:r>
        <w:rPr>
          <w:rFonts w:ascii="Times New Roman" w:eastAsia="Times New Roman" w:hAnsi="Times New Roman" w:cs="Times New Roman"/>
        </w:rPr>
        <w:t xml:space="preserve"> the dominant form of distribution in that environment (Skinner, 2008).</w:t>
      </w:r>
      <w:r w:rsidR="005A3A16">
        <w:rPr>
          <w:rFonts w:ascii="Times New Roman" w:eastAsia="Times New Roman" w:hAnsi="Times New Roman" w:cs="Times New Roman"/>
        </w:rPr>
        <w:t xml:space="preserve"> By the late 1990s, dividends recovered and </w:t>
      </w:r>
      <w:r w:rsidR="005D5DC0">
        <w:rPr>
          <w:rFonts w:ascii="Times New Roman" w:eastAsia="Times New Roman" w:hAnsi="Times New Roman" w:cs="Times New Roman"/>
        </w:rPr>
        <w:t>regained</w:t>
      </w:r>
      <w:r w:rsidR="005A3A16">
        <w:rPr>
          <w:rFonts w:ascii="Times New Roman" w:eastAsia="Times New Roman" w:hAnsi="Times New Roman" w:cs="Times New Roman"/>
        </w:rPr>
        <w:t xml:space="preserve"> the same economic significance as share repurchases in the US (Oded, 2020).</w:t>
      </w:r>
      <w:r>
        <w:rPr>
          <w:rFonts w:ascii="Times New Roman" w:eastAsia="Times New Roman" w:hAnsi="Times New Roman" w:cs="Times New Roman"/>
        </w:rPr>
        <w:t xml:space="preserve">  In the UK, </w:t>
      </w:r>
      <w:r w:rsidR="005A3A16">
        <w:rPr>
          <w:rFonts w:ascii="Times New Roman" w:eastAsia="Times New Roman" w:hAnsi="Times New Roman" w:cs="Times New Roman"/>
        </w:rPr>
        <w:t>the story is different, with</w:t>
      </w:r>
      <w:r>
        <w:rPr>
          <w:rFonts w:ascii="Times New Roman" w:eastAsia="Times New Roman" w:hAnsi="Times New Roman" w:cs="Times New Roman"/>
        </w:rPr>
        <w:t xml:space="preserve"> stricter </w:t>
      </w:r>
      <w:proofErr w:type="gramStart"/>
      <w:r>
        <w:rPr>
          <w:rFonts w:ascii="Times New Roman" w:eastAsia="Times New Roman" w:hAnsi="Times New Roman" w:cs="Times New Roman"/>
        </w:rPr>
        <w:t>regulations  historically</w:t>
      </w:r>
      <w:proofErr w:type="gramEnd"/>
      <w:r>
        <w:rPr>
          <w:rFonts w:ascii="Times New Roman" w:eastAsia="Times New Roman" w:hAnsi="Times New Roman" w:cs="Times New Roman"/>
        </w:rPr>
        <w:t xml:space="preserve"> prevent</w:t>
      </w:r>
      <w:r w:rsidR="005A3A16">
        <w:rPr>
          <w:rFonts w:ascii="Times New Roman" w:eastAsia="Times New Roman" w:hAnsi="Times New Roman" w:cs="Times New Roman"/>
        </w:rPr>
        <w:t>ing</w:t>
      </w:r>
      <w:r>
        <w:rPr>
          <w:rFonts w:ascii="Times New Roman" w:eastAsia="Times New Roman" w:hAnsi="Times New Roman" w:cs="Times New Roman"/>
        </w:rPr>
        <w:t xml:space="preserve"> most firms from buying their own shares, with an outright ban until 1981.  From 1981, the law allowed firms to buy back their own shares but required them to be cancelled.  For this reason, share repurchases remained relatively rare in the UK until 2003, when a regulatory reform permitted firms to hold repurchased stock as treasury shares, making them available for use in future transactions, such as takeovers or for use in executive stock option schemes. The significant increase in share repurchase activity </w:t>
      </w:r>
      <w:proofErr w:type="gramStart"/>
      <w:r>
        <w:rPr>
          <w:rFonts w:ascii="Times New Roman" w:eastAsia="Times New Roman" w:hAnsi="Times New Roman" w:cs="Times New Roman"/>
        </w:rPr>
        <w:t>subsequent to</w:t>
      </w:r>
      <w:proofErr w:type="gramEnd"/>
      <w:r>
        <w:rPr>
          <w:rFonts w:ascii="Times New Roman" w:eastAsia="Times New Roman" w:hAnsi="Times New Roman" w:cs="Times New Roman"/>
        </w:rPr>
        <w:t xml:space="preserve"> this reform allows us to examine the practice employing a sample of firms with a higher propensity to repurchase than that available to earlier researchers.  We are therefore able to test several hypotheses identified in prior research, much of which is US-based, regarding the determinants of stock repurchases in the UK, in two different regulatory regimes. </w:t>
      </w:r>
    </w:p>
    <w:p w14:paraId="1D35F82C" w14:textId="56A15445"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Historically,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practices have differed substantially between the UK and US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2011), arguably due</w:t>
      </w:r>
      <w:r w:rsidR="00CA0445">
        <w:rPr>
          <w:rFonts w:ascii="Times New Roman" w:eastAsia="Times New Roman" w:hAnsi="Times New Roman" w:cs="Times New Roman"/>
        </w:rPr>
        <w:t>,</w:t>
      </w:r>
      <w:r>
        <w:rPr>
          <w:rFonts w:ascii="Times New Roman" w:eastAsia="Times New Roman" w:hAnsi="Times New Roman" w:cs="Times New Roman"/>
        </w:rPr>
        <w:t xml:space="preserve"> in part</w:t>
      </w:r>
      <w:r w:rsidR="00CA0445">
        <w:rPr>
          <w:rFonts w:ascii="Times New Roman" w:eastAsia="Times New Roman" w:hAnsi="Times New Roman" w:cs="Times New Roman"/>
        </w:rPr>
        <w:t>,</w:t>
      </w:r>
      <w:r>
        <w:rPr>
          <w:rFonts w:ascii="Times New Roman" w:eastAsia="Times New Roman" w:hAnsi="Times New Roman" w:cs="Times New Roman"/>
        </w:rPr>
        <w:t xml:space="preserve"> to the previously onerous rules regarding share repurchases (Rau and Vermaelen, 2002).  However, there are other institutional differences between the two countries which may affect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practice</w:t>
      </w:r>
      <w:r w:rsidR="00CA0445">
        <w:rPr>
          <w:rFonts w:ascii="Times New Roman" w:eastAsia="Times New Roman" w:hAnsi="Times New Roman" w:cs="Times New Roman"/>
        </w:rPr>
        <w:t>.</w:t>
      </w:r>
      <w:r>
        <w:rPr>
          <w:rFonts w:ascii="Times New Roman" w:eastAsia="Times New Roman" w:hAnsi="Times New Roman" w:cs="Times New Roman"/>
        </w:rPr>
        <w:t xml:space="preserve"> </w:t>
      </w:r>
      <w:r w:rsidR="00CA0445">
        <w:rPr>
          <w:rFonts w:ascii="Times New Roman" w:eastAsia="Times New Roman" w:hAnsi="Times New Roman" w:cs="Times New Roman"/>
        </w:rPr>
        <w:t>O</w:t>
      </w:r>
      <w:r>
        <w:rPr>
          <w:rFonts w:ascii="Times New Roman" w:eastAsia="Times New Roman" w:hAnsi="Times New Roman" w:cs="Times New Roman"/>
        </w:rPr>
        <w:t xml:space="preserve">f note are significant differences in </w:t>
      </w:r>
      <w:r w:rsidR="00CA0445">
        <w:rPr>
          <w:rFonts w:ascii="Times New Roman" w:eastAsia="Times New Roman" w:hAnsi="Times New Roman" w:cs="Times New Roman"/>
        </w:rPr>
        <w:t xml:space="preserve">ownership structure, and in </w:t>
      </w:r>
      <w:r>
        <w:rPr>
          <w:rFonts w:ascii="Times New Roman" w:eastAsia="Times New Roman" w:hAnsi="Times New Roman" w:cs="Times New Roman"/>
        </w:rPr>
        <w:t xml:space="preserve">the structure of executive compensation, </w:t>
      </w:r>
      <w:r w:rsidR="00CA0445">
        <w:rPr>
          <w:rFonts w:ascii="Times New Roman" w:eastAsia="Times New Roman" w:hAnsi="Times New Roman" w:cs="Times New Roman"/>
        </w:rPr>
        <w:t xml:space="preserve">both of which may affect the propensity for firms to </w:t>
      </w:r>
      <w:r w:rsidR="000D779E">
        <w:rPr>
          <w:rFonts w:ascii="Times New Roman" w:eastAsia="Times New Roman" w:hAnsi="Times New Roman" w:cs="Times New Roman"/>
        </w:rPr>
        <w:t>repurchase their own shares</w:t>
      </w:r>
      <w:r>
        <w:rPr>
          <w:rFonts w:ascii="Times New Roman" w:eastAsia="Times New Roman" w:hAnsi="Times New Roman" w:cs="Times New Roman"/>
        </w:rPr>
        <w:t xml:space="preserve">. Whether the 2003 regulatory liberalisation has led to a convergence of UK and US practice in respect of share repurchases is therefore an empirical question, which is addressed in this paper.  </w:t>
      </w:r>
    </w:p>
    <w:p w14:paraId="3A7E6B07" w14:textId="5A18FC5C"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lastRenderedPageBreak/>
        <w:t xml:space="preserve">Using a large sample of </w:t>
      </w:r>
      <w:proofErr w:type="gramStart"/>
      <w:r>
        <w:rPr>
          <w:rFonts w:ascii="Times New Roman" w:eastAsia="Times New Roman" w:hAnsi="Times New Roman" w:cs="Times New Roman"/>
        </w:rPr>
        <w:t>main-market</w:t>
      </w:r>
      <w:proofErr w:type="gramEnd"/>
      <w:r>
        <w:rPr>
          <w:rFonts w:ascii="Times New Roman" w:eastAsia="Times New Roman" w:hAnsi="Times New Roman" w:cs="Times New Roman"/>
        </w:rPr>
        <w:t xml:space="preserve"> listed firms from 2000-2016, we first establish that repurchase activity increases substantially following the reform.  The proportion of sample firms which repurchase shares increases (from 15.</w:t>
      </w:r>
      <w:r w:rsidR="0074611D">
        <w:rPr>
          <w:rFonts w:ascii="Times New Roman" w:eastAsia="Times New Roman" w:hAnsi="Times New Roman" w:cs="Times New Roman"/>
        </w:rPr>
        <w:t>7</w:t>
      </w:r>
      <w:r>
        <w:rPr>
          <w:rFonts w:ascii="Times New Roman" w:eastAsia="Times New Roman" w:hAnsi="Times New Roman" w:cs="Times New Roman"/>
        </w:rPr>
        <w:t>% to 3</w:t>
      </w:r>
      <w:r w:rsidR="0074611D">
        <w:rPr>
          <w:rFonts w:ascii="Times New Roman" w:eastAsia="Times New Roman" w:hAnsi="Times New Roman" w:cs="Times New Roman"/>
        </w:rPr>
        <w:t>7.</w:t>
      </w:r>
      <w:r>
        <w:rPr>
          <w:rFonts w:ascii="Times New Roman" w:eastAsia="Times New Roman" w:hAnsi="Times New Roman" w:cs="Times New Roman"/>
        </w:rPr>
        <w:t>8%), as does the proportion which repurchase in two consecutive years (from 8.</w:t>
      </w:r>
      <w:r w:rsidR="0074611D">
        <w:rPr>
          <w:rFonts w:ascii="Times New Roman" w:eastAsia="Times New Roman" w:hAnsi="Times New Roman" w:cs="Times New Roman"/>
        </w:rPr>
        <w:t>1</w:t>
      </w:r>
      <w:r>
        <w:rPr>
          <w:rFonts w:ascii="Times New Roman" w:eastAsia="Times New Roman" w:hAnsi="Times New Roman" w:cs="Times New Roman"/>
        </w:rPr>
        <w:t>% to 26.</w:t>
      </w:r>
      <w:r w:rsidR="0074611D">
        <w:rPr>
          <w:rFonts w:ascii="Times New Roman" w:eastAsia="Times New Roman" w:hAnsi="Times New Roman" w:cs="Times New Roman"/>
        </w:rPr>
        <w:t>6</w:t>
      </w:r>
      <w:r>
        <w:rPr>
          <w:rFonts w:ascii="Times New Roman" w:eastAsia="Times New Roman" w:hAnsi="Times New Roman" w:cs="Times New Roman"/>
        </w:rPr>
        <w:t xml:space="preserve">%). </w:t>
      </w:r>
      <w:proofErr w:type="gramStart"/>
      <w:r>
        <w:rPr>
          <w:rFonts w:ascii="Times New Roman" w:eastAsia="Times New Roman" w:hAnsi="Times New Roman" w:cs="Times New Roman"/>
        </w:rPr>
        <w:t>Share</w:t>
      </w:r>
      <w:proofErr w:type="gramEnd"/>
      <w:r>
        <w:rPr>
          <w:rFonts w:ascii="Times New Roman" w:eastAsia="Times New Roman" w:hAnsi="Times New Roman" w:cs="Times New Roman"/>
        </w:rPr>
        <w:t xml:space="preserve"> repurchase amounts as a proportion of both retained earnings and of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increase significantly after 2003. However, unlike the situation in the US, share repurchases </w:t>
      </w:r>
      <w:r w:rsidR="0074611D">
        <w:rPr>
          <w:rFonts w:ascii="Times New Roman" w:eastAsia="Times New Roman" w:hAnsi="Times New Roman" w:cs="Times New Roman"/>
        </w:rPr>
        <w:t>never approach</w:t>
      </w:r>
      <w:r>
        <w:rPr>
          <w:rFonts w:ascii="Times New Roman" w:eastAsia="Times New Roman" w:hAnsi="Times New Roman" w:cs="Times New Roman"/>
        </w:rPr>
        <w:t xml:space="preserve"> dividends </w:t>
      </w:r>
      <w:r w:rsidR="0074611D">
        <w:rPr>
          <w:rFonts w:ascii="Times New Roman" w:eastAsia="Times New Roman" w:hAnsi="Times New Roman" w:cs="Times New Roman"/>
        </w:rPr>
        <w:t xml:space="preserve">in their importance </w:t>
      </w:r>
      <w:r>
        <w:rPr>
          <w:rFonts w:ascii="Times New Roman" w:eastAsia="Times New Roman" w:hAnsi="Times New Roman" w:cs="Times New Roman"/>
        </w:rPr>
        <w:t xml:space="preserve">as a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mechanism in the UK</w:t>
      </w:r>
      <w:r w:rsidR="0074611D">
        <w:rPr>
          <w:rFonts w:ascii="Times New Roman" w:eastAsia="Times New Roman" w:hAnsi="Times New Roman" w:cs="Times New Roman"/>
        </w:rPr>
        <w:t>;</w:t>
      </w:r>
      <w:r>
        <w:rPr>
          <w:rFonts w:ascii="Times New Roman" w:eastAsia="Times New Roman" w:hAnsi="Times New Roman" w:cs="Times New Roman"/>
        </w:rPr>
        <w:t xml:space="preserve"> share repurchases amounts as a proportion of net income average 1</w:t>
      </w:r>
      <w:r w:rsidR="00C31E20">
        <w:rPr>
          <w:rFonts w:ascii="Times New Roman" w:eastAsia="Times New Roman" w:hAnsi="Times New Roman" w:cs="Times New Roman"/>
        </w:rPr>
        <w:t>0.9</w:t>
      </w:r>
      <w:r>
        <w:rPr>
          <w:rFonts w:ascii="Times New Roman" w:eastAsia="Times New Roman" w:hAnsi="Times New Roman" w:cs="Times New Roman"/>
        </w:rPr>
        <w:t xml:space="preserve">% following the reforms, which is small compared to over 45% of profits distributed </w:t>
      </w:r>
      <w:r>
        <w:rPr>
          <w:rFonts w:ascii="Times New Roman" w:eastAsia="Times New Roman" w:hAnsi="Times New Roman" w:cs="Times New Roman"/>
          <w:i/>
        </w:rPr>
        <w:t>via</w:t>
      </w:r>
      <w:r>
        <w:rPr>
          <w:rFonts w:ascii="Times New Roman" w:eastAsia="Times New Roman" w:hAnsi="Times New Roman" w:cs="Times New Roman"/>
        </w:rPr>
        <w:t xml:space="preserve"> dividends, with no significant post-reform change in the average dividend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w:t>
      </w:r>
    </w:p>
    <w:p w14:paraId="1EDCCA7B" w14:textId="0B964A9D"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Another stark dissimilarity between the US and UK environments is in the propensity to make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at all. UK firms are much more likely to distribute cash to shareholders, using dividends and/or share repurchases, than US firms. According to the comprehensive sample utilised by Floyd, Li and Skinner (2015), between 2000 and 2012</w:t>
      </w:r>
      <w:r w:rsidR="00C31E20">
        <w:rPr>
          <w:rFonts w:ascii="Times New Roman" w:eastAsia="Times New Roman" w:hAnsi="Times New Roman" w:cs="Times New Roman"/>
        </w:rPr>
        <w:t>,</w:t>
      </w:r>
      <w:r>
        <w:rPr>
          <w:rFonts w:ascii="Times New Roman" w:eastAsia="Times New Roman" w:hAnsi="Times New Roman" w:cs="Times New Roman"/>
        </w:rPr>
        <w:t xml:space="preserve"> 64.5% of US industrial firms make no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to shareholders.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In contrast, our sample reveals that </w:t>
      </w:r>
      <w:proofErr w:type="gramStart"/>
      <w:r>
        <w:rPr>
          <w:rFonts w:ascii="Times New Roman" w:eastAsia="Times New Roman" w:hAnsi="Times New Roman" w:cs="Times New Roman"/>
        </w:rPr>
        <w:t>the vast majority of</w:t>
      </w:r>
      <w:proofErr w:type="gramEnd"/>
      <w:r>
        <w:rPr>
          <w:rFonts w:ascii="Times New Roman" w:eastAsia="Times New Roman" w:hAnsi="Times New Roman" w:cs="Times New Roman"/>
        </w:rPr>
        <w:t xml:space="preserve"> UK non-financial firms make some form of distribution to shareholders, with 33% repurchasing shares, over 80% paying dividends, and fewer than 17% making no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w:t>
      </w:r>
    </w:p>
    <w:p w14:paraId="1750897B"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It is therefore important that the UK setting is examined, rather than relying on results from the US to apply ‘over the pond’.</w:t>
      </w:r>
    </w:p>
    <w:p w14:paraId="07B70163" w14:textId="73C64952" w:rsidR="00A707CF" w:rsidRPr="00A3134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variation in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practice may be partly due to important institutional differences between the two environments, one of which is the structure of corporate ownership, which could affect the demand for share repurchases and dividends. In both the UK and US, the taxation of share </w:t>
      </w:r>
      <w:proofErr w:type="gramStart"/>
      <w:r>
        <w:rPr>
          <w:rFonts w:ascii="Times New Roman" w:eastAsia="Times New Roman" w:hAnsi="Times New Roman" w:cs="Times New Roman"/>
        </w:rPr>
        <w:t>repurchases</w:t>
      </w:r>
      <w:proofErr w:type="gramEnd"/>
      <w:r>
        <w:rPr>
          <w:rFonts w:ascii="Times New Roman" w:eastAsia="Times New Roman" w:hAnsi="Times New Roman" w:cs="Times New Roman"/>
        </w:rPr>
        <w:t xml:space="preserve"> and dividends varies between categories of investor</w:t>
      </w:r>
      <w:r w:rsidR="001E7CB1">
        <w:rPr>
          <w:rFonts w:ascii="Times New Roman" w:eastAsia="Times New Roman" w:hAnsi="Times New Roman" w:cs="Times New Roman"/>
        </w:rPr>
        <w:t xml:space="preserve">, with </w:t>
      </w:r>
      <w:r>
        <w:rPr>
          <w:rFonts w:ascii="Times New Roman" w:eastAsia="Times New Roman" w:hAnsi="Times New Roman" w:cs="Times New Roman"/>
        </w:rPr>
        <w:t>individual investors better off after tax if they receive cash distributions by way of repurchases, whereas institutions are better off receiving dividends.</w:t>
      </w:r>
      <w:r w:rsidR="003D0FE7">
        <w:rPr>
          <w:rFonts w:ascii="Times New Roman" w:eastAsia="Times New Roman" w:hAnsi="Times New Roman" w:cs="Times New Roman"/>
        </w:rPr>
        <w:t xml:space="preserve"> </w:t>
      </w:r>
      <w:r w:rsidR="001E7CB1" w:rsidRPr="001E7CB1">
        <w:rPr>
          <w:rFonts w:ascii="Times New Roman" w:eastAsia="Times New Roman" w:hAnsi="Times New Roman" w:cs="Times New Roman"/>
        </w:rPr>
        <w:t>As Black (1976) points out, where dividends are taxed more heavily than capital gains, and capital gains are not taxed until realised, individual investors will prefer to invest in companies which pay no dividends.</w:t>
      </w:r>
      <w:r w:rsidR="001E7CB1">
        <w:rPr>
          <w:rFonts w:ascii="Times New Roman" w:eastAsia="Times New Roman" w:hAnsi="Times New Roman" w:cs="Times New Roman"/>
        </w:rPr>
        <w:t xml:space="preserve"> However,</w:t>
      </w:r>
      <w:r w:rsidR="001E7CB1">
        <w:rPr>
          <w:rFonts w:ascii="Times New Roman" w:eastAsia="Times New Roman" w:hAnsi="Times New Roman" w:cs="Times New Roman"/>
          <w:i/>
          <w:iCs/>
          <w:color w:val="2F5496" w:themeColor="accent1" w:themeShade="BF"/>
        </w:rPr>
        <w:t xml:space="preserve"> </w:t>
      </w:r>
      <w:r w:rsidR="001E7CB1">
        <w:rPr>
          <w:rFonts w:ascii="Times New Roman" w:eastAsia="Times New Roman" w:hAnsi="Times New Roman" w:cs="Times New Roman"/>
        </w:rPr>
        <w:t>f</w:t>
      </w:r>
      <w:r w:rsidR="003D0FE7">
        <w:rPr>
          <w:rFonts w:ascii="Times New Roman" w:eastAsia="Times New Roman" w:hAnsi="Times New Roman" w:cs="Times New Roman"/>
        </w:rPr>
        <w:t xml:space="preserve">irms may signal </w:t>
      </w:r>
      <w:r w:rsidR="003D0FE7">
        <w:rPr>
          <w:rFonts w:ascii="Times New Roman" w:eastAsia="Times New Roman" w:hAnsi="Times New Roman" w:cs="Times New Roman"/>
        </w:rPr>
        <w:lastRenderedPageBreak/>
        <w:t>their quality by paying regular dividends, in the knowledge that this will attract institutional investors</w:t>
      </w:r>
      <w:r w:rsidR="001E7CB1">
        <w:rPr>
          <w:rFonts w:ascii="Times New Roman" w:eastAsia="Times New Roman" w:hAnsi="Times New Roman" w:cs="Times New Roman"/>
        </w:rPr>
        <w:t>,</w:t>
      </w:r>
      <w:r w:rsidR="003D0FE7">
        <w:rPr>
          <w:rFonts w:ascii="Times New Roman" w:eastAsia="Times New Roman" w:hAnsi="Times New Roman" w:cs="Times New Roman"/>
        </w:rPr>
        <w:t xml:space="preserve"> who provide more rigorous oversight of their management (Allen, Bernardo and Welch, 2000).</w:t>
      </w:r>
      <w:r>
        <w:rPr>
          <w:rFonts w:ascii="Times New Roman" w:eastAsia="Times New Roman" w:hAnsi="Times New Roman" w:cs="Times New Roman"/>
        </w:rPr>
        <w:t xml:space="preserve">  </w:t>
      </w:r>
      <w:r w:rsidR="00A3134F" w:rsidRPr="00A3134F">
        <w:rPr>
          <w:rFonts w:ascii="Times New Roman" w:eastAsia="Times New Roman" w:hAnsi="Times New Roman" w:cs="Times New Roman"/>
        </w:rPr>
        <w:t xml:space="preserve">Over our sample period, Franks (2020) reports that US firms have relatively stable and higher levels of domestic institutional ownership, at around 45%, compared to a decline in this category of ownership in the UK, which reduces from 43% in 2000 to 27% in 2014. Further, US firms have much higher levels of individual ownership than UK firms. Given these differences, it </w:t>
      </w:r>
      <w:r w:rsidR="001E7CB1">
        <w:rPr>
          <w:rFonts w:ascii="Times New Roman" w:eastAsia="Times New Roman" w:hAnsi="Times New Roman" w:cs="Times New Roman"/>
        </w:rPr>
        <w:t xml:space="preserve">is likely </w:t>
      </w:r>
      <w:r w:rsidR="00A3134F" w:rsidRPr="00A3134F">
        <w:rPr>
          <w:rFonts w:ascii="Times New Roman" w:eastAsia="Times New Roman" w:hAnsi="Times New Roman" w:cs="Times New Roman"/>
        </w:rPr>
        <w:t xml:space="preserve">that any clientele </w:t>
      </w:r>
      <w:r w:rsidR="001E7CB1">
        <w:rPr>
          <w:rFonts w:ascii="Times New Roman" w:eastAsia="Times New Roman" w:hAnsi="Times New Roman" w:cs="Times New Roman"/>
        </w:rPr>
        <w:t>considerations</w:t>
      </w:r>
      <w:r w:rsidR="00A3134F" w:rsidRPr="00A3134F">
        <w:rPr>
          <w:rFonts w:ascii="Times New Roman" w:eastAsia="Times New Roman" w:hAnsi="Times New Roman" w:cs="Times New Roman"/>
        </w:rPr>
        <w:t xml:space="preserve"> in </w:t>
      </w:r>
      <w:r w:rsidR="001E7CB1">
        <w:rPr>
          <w:rFonts w:ascii="Times New Roman" w:eastAsia="Times New Roman" w:hAnsi="Times New Roman" w:cs="Times New Roman"/>
        </w:rPr>
        <w:t xml:space="preserve">corporate </w:t>
      </w:r>
      <w:proofErr w:type="spellStart"/>
      <w:r w:rsidR="00A3134F" w:rsidRPr="00A3134F">
        <w:rPr>
          <w:rFonts w:ascii="Times New Roman" w:eastAsia="Times New Roman" w:hAnsi="Times New Roman" w:cs="Times New Roman"/>
        </w:rPr>
        <w:t>payout</w:t>
      </w:r>
      <w:proofErr w:type="spellEnd"/>
      <w:r w:rsidR="00A3134F" w:rsidRPr="00A3134F">
        <w:rPr>
          <w:rFonts w:ascii="Times New Roman" w:eastAsia="Times New Roman" w:hAnsi="Times New Roman" w:cs="Times New Roman"/>
        </w:rPr>
        <w:t xml:space="preserve"> policy will vary between the two countries</w:t>
      </w:r>
      <w:r w:rsidR="00A3134F">
        <w:rPr>
          <w:rFonts w:ascii="Times New Roman" w:eastAsia="Times New Roman" w:hAnsi="Times New Roman" w:cs="Times New Roman"/>
        </w:rPr>
        <w:t>.</w:t>
      </w:r>
    </w:p>
    <w:p w14:paraId="12BCF44E" w14:textId="6E03BA32"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Another factor which increases demand for repurchases in the US is the relatively high stock option compensation paid to US executives compared to their UK counterparts. Lambert, </w:t>
      </w:r>
      <w:proofErr w:type="spellStart"/>
      <w:r>
        <w:rPr>
          <w:rFonts w:ascii="Times New Roman" w:eastAsia="Times New Roman" w:hAnsi="Times New Roman" w:cs="Times New Roman"/>
        </w:rPr>
        <w:t>Lanen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Larcker</w:t>
      </w:r>
      <w:proofErr w:type="spellEnd"/>
      <w:r>
        <w:rPr>
          <w:rFonts w:ascii="Times New Roman" w:eastAsia="Times New Roman" w:hAnsi="Times New Roman" w:cs="Times New Roman"/>
        </w:rPr>
        <w:t xml:space="preserve"> (1989) argue that, as dividend distributions reduce the value of call options, including executive stock options (ESOs), managers of firms introducing stock options are incentivised to reduce dividend payments. Their evidence supports this conjecture. Fenn and Liang (2001) provide additional evidence that managers with ESOs protect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ratios by increasing share repurchases. Thus, marked differences in compensation practice between the US and UK may affect share repurchase propensities. </w:t>
      </w:r>
      <w:proofErr w:type="spellStart"/>
      <w:r>
        <w:rPr>
          <w:rFonts w:ascii="Times New Roman" w:eastAsia="Times New Roman" w:hAnsi="Times New Roman" w:cs="Times New Roman"/>
        </w:rPr>
        <w:t>Conyon</w:t>
      </w:r>
      <w:proofErr w:type="spellEnd"/>
      <w:r>
        <w:rPr>
          <w:rFonts w:ascii="Times New Roman" w:eastAsia="Times New Roman" w:hAnsi="Times New Roman" w:cs="Times New Roman"/>
        </w:rPr>
        <w:t xml:space="preserve">, Fernandes, Ferreira, </w:t>
      </w:r>
      <w:proofErr w:type="gramStart"/>
      <w:r>
        <w:rPr>
          <w:rFonts w:ascii="Times New Roman" w:eastAsia="Times New Roman" w:hAnsi="Times New Roman" w:cs="Times New Roman"/>
        </w:rPr>
        <w:t>Matos</w:t>
      </w:r>
      <w:proofErr w:type="gramEnd"/>
      <w:r>
        <w:rPr>
          <w:rFonts w:ascii="Times New Roman" w:eastAsia="Times New Roman" w:hAnsi="Times New Roman" w:cs="Times New Roman"/>
        </w:rPr>
        <w:t xml:space="preserve"> and Murphy (2011) document such differences, reporting that 49% of US CEOs receive stock option grants compared to 16% in Europe, a statistic consistent with what we find for our UK sample. In a UK study,</w:t>
      </w:r>
      <w:r w:rsidR="00BF6886">
        <w:rPr>
          <w:rFonts w:ascii="Times New Roman" w:eastAsia="Times New Roman" w:hAnsi="Times New Roman" w:cs="Times New Roman"/>
        </w:rPr>
        <w:t xml:space="preserve"> </w:t>
      </w:r>
      <w:r>
        <w:rPr>
          <w:rFonts w:ascii="Times New Roman" w:eastAsia="Times New Roman" w:hAnsi="Times New Roman" w:cs="Times New Roman"/>
        </w:rPr>
        <w:t>Young and Yang (2011) report no significant difference between the proportion of repurchasing and non-repurchasing sample firms which report the existence of stock option based executive compensation plans.</w:t>
      </w:r>
    </w:p>
    <w:p w14:paraId="6B681FFE" w14:textId="1AB09719" w:rsidR="00222386"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rPr>
        <w:t xml:space="preserve">Given the reported divergences in ownership structure, compensation arrangements and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practice across the two countries, it is not clear that the determinants of repurchases will be the same in the UK as they have been found to be in the US. We therefore test the motivation for share repurchases in the UK using a comprehensive set of hypotheses from prior literature, many originating from the US, as described by Dixon, Palmer, Stradling and Woodhead (2008). These include (</w:t>
      </w:r>
      <w:r>
        <w:rPr>
          <w:rFonts w:ascii="Times New Roman" w:eastAsia="Times New Roman" w:hAnsi="Times New Roman" w:cs="Times New Roman"/>
          <w:i/>
        </w:rPr>
        <w:t>H1</w:t>
      </w:r>
      <w:r>
        <w:rPr>
          <w:rFonts w:ascii="Times New Roman" w:eastAsia="Times New Roman" w:hAnsi="Times New Roman" w:cs="Times New Roman"/>
        </w:rPr>
        <w:t>) the leverage/capital structure hypothesis (Dittmar, 2000; Vermaelen, 1981; Rau and Vermaelen, 2002); (</w:t>
      </w:r>
      <w:r>
        <w:rPr>
          <w:rFonts w:ascii="Times New Roman" w:eastAsia="Times New Roman" w:hAnsi="Times New Roman" w:cs="Times New Roman"/>
          <w:i/>
        </w:rPr>
        <w:t>H2</w:t>
      </w:r>
      <w:r>
        <w:rPr>
          <w:rFonts w:ascii="Times New Roman" w:eastAsia="Times New Roman" w:hAnsi="Times New Roman" w:cs="Times New Roman"/>
        </w:rPr>
        <w:t>) the free cash flow hypothesis (</w:t>
      </w:r>
      <w:r w:rsidR="0038727E">
        <w:rPr>
          <w:rFonts w:ascii="Times New Roman" w:eastAsia="Times New Roman" w:hAnsi="Times New Roman" w:cs="Times New Roman"/>
        </w:rPr>
        <w:t>Allen</w:t>
      </w:r>
      <w:r w:rsidR="00E93484">
        <w:rPr>
          <w:rFonts w:ascii="Times New Roman" w:eastAsia="Times New Roman" w:hAnsi="Times New Roman" w:cs="Times New Roman"/>
        </w:rPr>
        <w:t xml:space="preserve"> </w:t>
      </w:r>
      <w:r w:rsidR="00E93484" w:rsidRPr="0038727E">
        <w:rPr>
          <w:rFonts w:ascii="Times New Roman" w:eastAsia="Times New Roman" w:hAnsi="Times New Roman" w:cs="Times New Roman"/>
          <w:i/>
          <w:iCs/>
        </w:rPr>
        <w:t>et al</w:t>
      </w:r>
      <w:r w:rsidR="00E93484">
        <w:rPr>
          <w:rFonts w:ascii="Times New Roman" w:eastAsia="Times New Roman" w:hAnsi="Times New Roman" w:cs="Times New Roman"/>
        </w:rPr>
        <w:t xml:space="preserve">., 2000; Bolton </w:t>
      </w:r>
      <w:r w:rsidR="00E93484" w:rsidRPr="0038727E">
        <w:rPr>
          <w:rFonts w:ascii="Times New Roman" w:eastAsia="Times New Roman" w:hAnsi="Times New Roman" w:cs="Times New Roman"/>
          <w:i/>
          <w:iCs/>
        </w:rPr>
        <w:t>et al</w:t>
      </w:r>
      <w:r w:rsidR="00E93484">
        <w:rPr>
          <w:rFonts w:ascii="Times New Roman" w:eastAsia="Times New Roman" w:hAnsi="Times New Roman" w:cs="Times New Roman"/>
        </w:rPr>
        <w:t xml:space="preserve">., 2011; </w:t>
      </w:r>
      <w:proofErr w:type="spellStart"/>
      <w:r w:rsidR="00E93484">
        <w:rPr>
          <w:rFonts w:ascii="Times New Roman" w:eastAsia="Times New Roman" w:hAnsi="Times New Roman" w:cs="Times New Roman"/>
        </w:rPr>
        <w:t>Chowdry</w:t>
      </w:r>
      <w:proofErr w:type="spellEnd"/>
      <w:r w:rsidR="00E93484">
        <w:rPr>
          <w:rFonts w:ascii="Times New Roman" w:eastAsia="Times New Roman" w:hAnsi="Times New Roman" w:cs="Times New Roman"/>
        </w:rPr>
        <w:t xml:space="preserve"> and </w:t>
      </w:r>
      <w:r w:rsidR="0038727E">
        <w:rPr>
          <w:rFonts w:ascii="Times New Roman" w:eastAsia="Times New Roman" w:hAnsi="Times New Roman" w:cs="Times New Roman"/>
        </w:rPr>
        <w:t xml:space="preserve">Nanda, 1994; </w:t>
      </w:r>
      <w:proofErr w:type="spellStart"/>
      <w:r w:rsidR="0038727E">
        <w:rPr>
          <w:rFonts w:ascii="Times New Roman" w:eastAsia="Times New Roman" w:hAnsi="Times New Roman" w:cs="Times New Roman"/>
        </w:rPr>
        <w:t>Décamps</w:t>
      </w:r>
      <w:proofErr w:type="spellEnd"/>
      <w:r w:rsidR="0038727E">
        <w:rPr>
          <w:rFonts w:ascii="Times New Roman" w:eastAsia="Times New Roman" w:hAnsi="Times New Roman" w:cs="Times New Roman"/>
        </w:rPr>
        <w:t xml:space="preserve"> </w:t>
      </w:r>
      <w:r w:rsidR="0038727E" w:rsidRPr="0038727E">
        <w:rPr>
          <w:rFonts w:ascii="Times New Roman" w:eastAsia="Times New Roman" w:hAnsi="Times New Roman" w:cs="Times New Roman"/>
          <w:i/>
          <w:iCs/>
        </w:rPr>
        <w:t>et al</w:t>
      </w:r>
      <w:r w:rsidR="0038727E">
        <w:rPr>
          <w:rFonts w:ascii="Times New Roman" w:eastAsia="Times New Roman" w:hAnsi="Times New Roman" w:cs="Times New Roman"/>
        </w:rPr>
        <w:t xml:space="preserve">., 2011; </w:t>
      </w:r>
      <w:r w:rsidR="00786F31">
        <w:rPr>
          <w:rFonts w:ascii="Times New Roman" w:eastAsia="Times New Roman" w:hAnsi="Times New Roman" w:cs="Times New Roman"/>
        </w:rPr>
        <w:t xml:space="preserve">Jensen, 1986; </w:t>
      </w:r>
      <w:r w:rsidR="0038727E">
        <w:rPr>
          <w:rFonts w:ascii="Times New Roman" w:eastAsia="Times New Roman" w:hAnsi="Times New Roman" w:cs="Times New Roman"/>
        </w:rPr>
        <w:t>Lambrecht and Myers, 2017; Oded, 2020</w:t>
      </w:r>
      <w:r>
        <w:rPr>
          <w:rFonts w:ascii="Times New Roman" w:eastAsia="Times New Roman" w:hAnsi="Times New Roman" w:cs="Times New Roman"/>
        </w:rPr>
        <w:t>); (</w:t>
      </w:r>
      <w:r>
        <w:rPr>
          <w:rFonts w:ascii="Times New Roman" w:eastAsia="Times New Roman" w:hAnsi="Times New Roman" w:cs="Times New Roman"/>
          <w:i/>
        </w:rPr>
        <w:t>H3</w:t>
      </w:r>
      <w:r>
        <w:rPr>
          <w:rFonts w:ascii="Times New Roman" w:eastAsia="Times New Roman" w:hAnsi="Times New Roman" w:cs="Times New Roman"/>
        </w:rPr>
        <w:t>) the investment hypothesis (</w:t>
      </w:r>
      <w:r w:rsidR="001C1252">
        <w:rPr>
          <w:rFonts w:ascii="Times New Roman" w:eastAsia="Times New Roman" w:hAnsi="Times New Roman" w:cs="Times New Roman"/>
        </w:rPr>
        <w:t xml:space="preserve">Bolton, </w:t>
      </w:r>
      <w:r w:rsidR="001C1252" w:rsidRPr="00565BC7">
        <w:rPr>
          <w:rFonts w:ascii="Times New Roman" w:eastAsia="Times New Roman" w:hAnsi="Times New Roman" w:cs="Times New Roman"/>
          <w:i/>
          <w:iCs/>
        </w:rPr>
        <w:t>et al</w:t>
      </w:r>
      <w:r w:rsidR="001C1252">
        <w:rPr>
          <w:rFonts w:ascii="Times New Roman" w:eastAsia="Times New Roman" w:hAnsi="Times New Roman" w:cs="Times New Roman"/>
        </w:rPr>
        <w:t xml:space="preserve">., 2011; </w:t>
      </w:r>
      <w:proofErr w:type="spellStart"/>
      <w:r>
        <w:rPr>
          <w:rFonts w:ascii="Times New Roman" w:eastAsia="Times New Roman" w:hAnsi="Times New Roman" w:cs="Times New Roman"/>
        </w:rPr>
        <w:t>Brav</w:t>
      </w:r>
      <w:proofErr w:type="spellEnd"/>
      <w:r>
        <w:rPr>
          <w:rFonts w:ascii="Times New Roman" w:eastAsia="Times New Roman" w:hAnsi="Times New Roman" w:cs="Times New Roman"/>
        </w:rPr>
        <w:t xml:space="preserve">, Graham, Harvey and </w:t>
      </w:r>
      <w:proofErr w:type="spellStart"/>
      <w:r>
        <w:rPr>
          <w:rFonts w:ascii="Times New Roman" w:eastAsia="Times New Roman" w:hAnsi="Times New Roman" w:cs="Times New Roman"/>
        </w:rPr>
        <w:lastRenderedPageBreak/>
        <w:t>Michaely</w:t>
      </w:r>
      <w:proofErr w:type="spellEnd"/>
      <w:r>
        <w:rPr>
          <w:rFonts w:ascii="Times New Roman" w:eastAsia="Times New Roman" w:hAnsi="Times New Roman" w:cs="Times New Roman"/>
        </w:rPr>
        <w:t>, 2005</w:t>
      </w:r>
      <w:r w:rsidR="001C1252">
        <w:rPr>
          <w:rFonts w:ascii="Times New Roman" w:eastAsia="Times New Roman" w:hAnsi="Times New Roman" w:cs="Times New Roman"/>
        </w:rPr>
        <w:t>; Oded, 2020</w:t>
      </w:r>
      <w:r>
        <w:rPr>
          <w:rFonts w:ascii="Times New Roman" w:eastAsia="Times New Roman" w:hAnsi="Times New Roman" w:cs="Times New Roman"/>
        </w:rPr>
        <w:t>); (</w:t>
      </w:r>
      <w:r>
        <w:rPr>
          <w:rFonts w:ascii="Times New Roman" w:eastAsia="Times New Roman" w:hAnsi="Times New Roman" w:cs="Times New Roman"/>
          <w:i/>
        </w:rPr>
        <w:t>H4</w:t>
      </w:r>
      <w:r>
        <w:rPr>
          <w:rFonts w:ascii="Times New Roman" w:eastAsia="Times New Roman" w:hAnsi="Times New Roman" w:cs="Times New Roman"/>
        </w:rPr>
        <w:t>) the undervaluation hypothesis (</w:t>
      </w:r>
      <w:r w:rsidR="00786F31">
        <w:rPr>
          <w:rFonts w:ascii="Times New Roman" w:eastAsia="Times New Roman" w:hAnsi="Times New Roman" w:cs="Times New Roman"/>
        </w:rPr>
        <w:t>Ben-</w:t>
      </w:r>
      <w:proofErr w:type="spellStart"/>
      <w:r w:rsidR="00786F31">
        <w:rPr>
          <w:rFonts w:ascii="Times New Roman" w:eastAsia="Times New Roman" w:hAnsi="Times New Roman" w:cs="Times New Roman"/>
        </w:rPr>
        <w:t>Rephael</w:t>
      </w:r>
      <w:proofErr w:type="spellEnd"/>
      <w:r w:rsidR="00786F31">
        <w:rPr>
          <w:rFonts w:ascii="Times New Roman" w:eastAsia="Times New Roman" w:hAnsi="Times New Roman" w:cs="Times New Roman"/>
        </w:rPr>
        <w:t xml:space="preserve"> </w:t>
      </w:r>
      <w:r w:rsidR="00786F31" w:rsidRPr="00786F31">
        <w:rPr>
          <w:rFonts w:ascii="Times New Roman" w:eastAsia="Times New Roman" w:hAnsi="Times New Roman" w:cs="Times New Roman"/>
          <w:i/>
          <w:iCs/>
        </w:rPr>
        <w:t>et al</w:t>
      </w:r>
      <w:r w:rsidR="00786F31">
        <w:rPr>
          <w:rFonts w:ascii="Times New Roman" w:eastAsia="Times New Roman" w:hAnsi="Times New Roman" w:cs="Times New Roman"/>
        </w:rPr>
        <w:t xml:space="preserve">., 2014; </w:t>
      </w:r>
      <w:proofErr w:type="spellStart"/>
      <w:r w:rsidR="00786F31">
        <w:rPr>
          <w:rFonts w:ascii="Times New Roman" w:eastAsia="Times New Roman" w:hAnsi="Times New Roman" w:cs="Times New Roman"/>
        </w:rPr>
        <w:t>Bonaimé</w:t>
      </w:r>
      <w:proofErr w:type="spellEnd"/>
      <w:r w:rsidR="00786F31">
        <w:rPr>
          <w:rFonts w:ascii="Times New Roman" w:eastAsia="Times New Roman" w:hAnsi="Times New Roman" w:cs="Times New Roman"/>
        </w:rPr>
        <w:t xml:space="preserve"> and </w:t>
      </w:r>
      <w:proofErr w:type="spellStart"/>
      <w:r w:rsidR="00786F31">
        <w:rPr>
          <w:rFonts w:ascii="Times New Roman" w:eastAsia="Times New Roman" w:hAnsi="Times New Roman" w:cs="Times New Roman"/>
        </w:rPr>
        <w:t>Ryngaert</w:t>
      </w:r>
      <w:proofErr w:type="spellEnd"/>
      <w:r w:rsidR="00786F31">
        <w:rPr>
          <w:rFonts w:ascii="Times New Roman" w:eastAsia="Times New Roman" w:hAnsi="Times New Roman" w:cs="Times New Roman"/>
        </w:rPr>
        <w:t xml:space="preserve">, 2013; Bond and Zhong, 2015; </w:t>
      </w:r>
      <w:proofErr w:type="spellStart"/>
      <w:r w:rsidR="00786F31">
        <w:rPr>
          <w:rFonts w:ascii="Times New Roman" w:eastAsia="Times New Roman" w:hAnsi="Times New Roman" w:cs="Times New Roman"/>
        </w:rPr>
        <w:t>Brav</w:t>
      </w:r>
      <w:proofErr w:type="spellEnd"/>
      <w:r w:rsidR="00786F31">
        <w:rPr>
          <w:rFonts w:ascii="Times New Roman" w:eastAsia="Times New Roman" w:hAnsi="Times New Roman" w:cs="Times New Roman"/>
        </w:rPr>
        <w:t xml:space="preserve"> </w:t>
      </w:r>
      <w:r w:rsidR="00786F31">
        <w:rPr>
          <w:rFonts w:ascii="Times New Roman" w:eastAsia="Times New Roman" w:hAnsi="Times New Roman" w:cs="Times New Roman"/>
          <w:i/>
        </w:rPr>
        <w:t>et al</w:t>
      </w:r>
      <w:r w:rsidR="00786F31">
        <w:rPr>
          <w:rFonts w:ascii="Times New Roman" w:eastAsia="Times New Roman" w:hAnsi="Times New Roman" w:cs="Times New Roman"/>
        </w:rPr>
        <w:t xml:space="preserve">., 2005; Brennan and </w:t>
      </w:r>
      <w:proofErr w:type="spellStart"/>
      <w:r w:rsidR="00786F31">
        <w:rPr>
          <w:rFonts w:ascii="Times New Roman" w:eastAsia="Times New Roman" w:hAnsi="Times New Roman" w:cs="Times New Roman"/>
        </w:rPr>
        <w:t>Thakor</w:t>
      </w:r>
      <w:proofErr w:type="spellEnd"/>
      <w:r w:rsidR="00786F31">
        <w:rPr>
          <w:rFonts w:ascii="Times New Roman" w:eastAsia="Times New Roman" w:hAnsi="Times New Roman" w:cs="Times New Roman"/>
        </w:rPr>
        <w:t xml:space="preserve">, 1990; Comment and Jarrell, 1991; </w:t>
      </w:r>
      <w:proofErr w:type="spellStart"/>
      <w:r w:rsidR="00786F31">
        <w:rPr>
          <w:rFonts w:ascii="Times New Roman" w:eastAsia="Times New Roman" w:hAnsi="Times New Roman" w:cs="Times New Roman"/>
        </w:rPr>
        <w:t>Chowdry</w:t>
      </w:r>
      <w:proofErr w:type="spellEnd"/>
      <w:r w:rsidR="00786F31">
        <w:rPr>
          <w:rFonts w:ascii="Times New Roman" w:eastAsia="Times New Roman" w:hAnsi="Times New Roman" w:cs="Times New Roman"/>
        </w:rPr>
        <w:t xml:space="preserve"> and Nanda, 1994; </w:t>
      </w:r>
      <w:proofErr w:type="spellStart"/>
      <w:r>
        <w:rPr>
          <w:rFonts w:ascii="Times New Roman" w:eastAsia="Times New Roman" w:hAnsi="Times New Roman" w:cs="Times New Roman"/>
        </w:rPr>
        <w:t>Ikenberry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Lakonishok</w:t>
      </w:r>
      <w:proofErr w:type="spellEnd"/>
      <w:r>
        <w:rPr>
          <w:rFonts w:ascii="Times New Roman" w:eastAsia="Times New Roman" w:hAnsi="Times New Roman" w:cs="Times New Roman"/>
        </w:rPr>
        <w:t xml:space="preserve"> and Vermaelen, 1995;</w:t>
      </w:r>
      <w:r w:rsidR="00786F31">
        <w:rPr>
          <w:rFonts w:ascii="Times New Roman" w:eastAsia="Times New Roman" w:hAnsi="Times New Roman" w:cs="Times New Roman"/>
        </w:rPr>
        <w:t xml:space="preserve"> Oded, 2005; </w:t>
      </w:r>
      <w:proofErr w:type="spellStart"/>
      <w:r w:rsidR="00786F31">
        <w:rPr>
          <w:rFonts w:ascii="Times New Roman" w:eastAsia="Times New Roman" w:hAnsi="Times New Roman" w:cs="Times New Roman"/>
        </w:rPr>
        <w:t>Ofer</w:t>
      </w:r>
      <w:proofErr w:type="spellEnd"/>
      <w:r w:rsidR="00786F31">
        <w:rPr>
          <w:rFonts w:ascii="Times New Roman" w:eastAsia="Times New Roman" w:hAnsi="Times New Roman" w:cs="Times New Roman"/>
        </w:rPr>
        <w:t xml:space="preserve"> and </w:t>
      </w:r>
      <w:proofErr w:type="spellStart"/>
      <w:r w:rsidR="00786F31">
        <w:rPr>
          <w:rFonts w:ascii="Times New Roman" w:eastAsia="Times New Roman" w:hAnsi="Times New Roman" w:cs="Times New Roman"/>
        </w:rPr>
        <w:t>Thakor</w:t>
      </w:r>
      <w:proofErr w:type="spellEnd"/>
      <w:r w:rsidR="00786F31">
        <w:rPr>
          <w:rFonts w:ascii="Times New Roman" w:eastAsia="Times New Roman" w:hAnsi="Times New Roman" w:cs="Times New Roman"/>
        </w:rPr>
        <w:t>, 1987</w:t>
      </w:r>
      <w:r>
        <w:rPr>
          <w:rFonts w:ascii="Times New Roman" w:eastAsia="Times New Roman" w:hAnsi="Times New Roman" w:cs="Times New Roman"/>
        </w:rPr>
        <w:t>); and (</w:t>
      </w:r>
      <w:r>
        <w:rPr>
          <w:rFonts w:ascii="Times New Roman" w:eastAsia="Times New Roman" w:hAnsi="Times New Roman" w:cs="Times New Roman"/>
          <w:i/>
        </w:rPr>
        <w:t>H5</w:t>
      </w:r>
      <w:r>
        <w:rPr>
          <w:rFonts w:ascii="Times New Roman" w:eastAsia="Times New Roman" w:hAnsi="Times New Roman" w:cs="Times New Roman"/>
        </w:rPr>
        <w:t xml:space="preserve">) the dividend substitution hypothesis (Dittmar, 2000; </w:t>
      </w:r>
      <w:proofErr w:type="spellStart"/>
      <w:r>
        <w:rPr>
          <w:rFonts w:ascii="Times New Roman" w:eastAsia="Times New Roman" w:hAnsi="Times New Roman" w:cs="Times New Roman"/>
        </w:rPr>
        <w:t>Grullon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Michaely</w:t>
      </w:r>
      <w:proofErr w:type="spellEnd"/>
      <w:r>
        <w:rPr>
          <w:rFonts w:ascii="Times New Roman" w:eastAsia="Times New Roman" w:hAnsi="Times New Roman" w:cs="Times New Roman"/>
        </w:rPr>
        <w:t xml:space="preserve">, 2002; Skinner, 2008; Andres, </w:t>
      </w:r>
      <w:proofErr w:type="spellStart"/>
      <w:r>
        <w:rPr>
          <w:rFonts w:ascii="Times New Roman" w:eastAsia="Times New Roman" w:hAnsi="Times New Roman" w:cs="Times New Roman"/>
        </w:rPr>
        <w:t>Doumet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Fernau</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Theissen</w:t>
      </w:r>
      <w:proofErr w:type="spellEnd"/>
      <w:r>
        <w:rPr>
          <w:rFonts w:ascii="Times New Roman" w:eastAsia="Times New Roman" w:hAnsi="Times New Roman" w:cs="Times New Roman"/>
        </w:rPr>
        <w:t xml:space="preserve">, 2015).  Motivated by </w:t>
      </w:r>
      <w:r w:rsidR="00F93B08">
        <w:rPr>
          <w:rFonts w:ascii="Times New Roman" w:eastAsia="Times New Roman" w:hAnsi="Times New Roman" w:cs="Times New Roman"/>
        </w:rPr>
        <w:t xml:space="preserve">Oded (2020) and </w:t>
      </w:r>
      <w:r>
        <w:rPr>
          <w:rFonts w:ascii="Times New Roman" w:eastAsia="Times New Roman" w:hAnsi="Times New Roman" w:cs="Times New Roman"/>
        </w:rPr>
        <w:t>Sharma (2011), we also examine the association between measures of corporate governance quality and repurchases (</w:t>
      </w:r>
      <w:r>
        <w:rPr>
          <w:rFonts w:ascii="Times New Roman" w:eastAsia="Times New Roman" w:hAnsi="Times New Roman" w:cs="Times New Roman"/>
          <w:i/>
        </w:rPr>
        <w:t>H6</w:t>
      </w:r>
      <w:r>
        <w:rPr>
          <w:rFonts w:ascii="Times New Roman" w:eastAsia="Times New Roman" w:hAnsi="Times New Roman" w:cs="Times New Roman"/>
        </w:rPr>
        <w:t xml:space="preserve">).  Finally, </w:t>
      </w:r>
      <w:proofErr w:type="gramStart"/>
      <w:r>
        <w:rPr>
          <w:rFonts w:ascii="Times New Roman" w:eastAsia="Times New Roman" w:hAnsi="Times New Roman" w:cs="Times New Roman"/>
        </w:rPr>
        <w:t>in light of</w:t>
      </w:r>
      <w:proofErr w:type="gramEnd"/>
      <w:r>
        <w:rPr>
          <w:rFonts w:ascii="Times New Roman" w:eastAsia="Times New Roman" w:hAnsi="Times New Roman" w:cs="Times New Roman"/>
        </w:rPr>
        <w:t xml:space="preserve"> Lambert </w:t>
      </w:r>
      <w:r>
        <w:rPr>
          <w:rFonts w:ascii="Times New Roman" w:eastAsia="Times New Roman" w:hAnsi="Times New Roman" w:cs="Times New Roman"/>
          <w:i/>
        </w:rPr>
        <w:t>et al.</w:t>
      </w:r>
      <w:r>
        <w:rPr>
          <w:rFonts w:ascii="Times New Roman" w:eastAsia="Times New Roman" w:hAnsi="Times New Roman" w:cs="Times New Roman"/>
        </w:rPr>
        <w:t xml:space="preserve"> (1989) and Fenn and Liang (2001), we test the association between stock options and share repurchases in the UK in our seventh hypothesis </w:t>
      </w:r>
      <w:r>
        <w:rPr>
          <w:rFonts w:ascii="Times New Roman" w:eastAsia="Times New Roman" w:hAnsi="Times New Roman" w:cs="Times New Roman"/>
          <w:i/>
        </w:rPr>
        <w:t>(H7).</w:t>
      </w:r>
      <w:r w:rsidR="00CF5020">
        <w:rPr>
          <w:rFonts w:ascii="Times New Roman" w:eastAsia="Times New Roman" w:hAnsi="Times New Roman" w:cs="Times New Roman"/>
          <w:i/>
        </w:rPr>
        <w:t xml:space="preserve">  </w:t>
      </w:r>
    </w:p>
    <w:p w14:paraId="56786E5E" w14:textId="17B08EEF" w:rsidR="00A707CF" w:rsidRPr="00CF5020"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rPr>
        <w:t xml:space="preserve">Further, if, as prior literature suggests, firms are making rational decisions regarding their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practices, considering the costs and benefits of each option, then reducing the costs of one option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share repurchases following the reform) will potentially change the outcome of these calculations, and thereby the preferences of UK firms in respect of share repurchases. For this reason, we test our hypotheses on the pooled sample and also on regulatory regime sub-samples. We make no predictions about the effect of the reforms on the determinants of share repurchases – we simply acknowledge that there may be some effect and test whether this is the case.  </w:t>
      </w:r>
    </w:p>
    <w:p w14:paraId="652EF978" w14:textId="491BBD79"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employ logit regression models, using the likelihood of a repurchase as the dependent variable, and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models, using the value of repurchases as a proportion of net income, to test the hypotheses. We run the models on the full sample and also on pre/post-reform sub-samples to test for any change in determinants of repurchases or their amounts following the regulatory change.</w:t>
      </w:r>
      <w:r w:rsidR="00102310">
        <w:rPr>
          <w:rFonts w:ascii="Times New Roman" w:eastAsia="Times New Roman" w:hAnsi="Times New Roman" w:cs="Times New Roman"/>
        </w:rPr>
        <w:t xml:space="preserve"> In additional, </w:t>
      </w:r>
      <w:proofErr w:type="spellStart"/>
      <w:r w:rsidR="00102310">
        <w:rPr>
          <w:rFonts w:ascii="Times New Roman" w:eastAsia="Times New Roman" w:hAnsi="Times New Roman" w:cs="Times New Roman"/>
        </w:rPr>
        <w:t>untabulated</w:t>
      </w:r>
      <w:proofErr w:type="spellEnd"/>
      <w:r w:rsidR="00102310">
        <w:rPr>
          <w:rFonts w:ascii="Times New Roman" w:eastAsia="Times New Roman" w:hAnsi="Times New Roman" w:cs="Times New Roman"/>
        </w:rPr>
        <w:t xml:space="preserve"> tests, we restrict the post-reform sample to end in 2006, creating a time-balanced panel of observations, with three years either side of the reform, and repeat our multivariate tests. </w:t>
      </w:r>
    </w:p>
    <w:p w14:paraId="56254AF5" w14:textId="307A346A"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In respect of </w:t>
      </w:r>
      <w:r>
        <w:rPr>
          <w:rFonts w:ascii="Times New Roman" w:eastAsia="Times New Roman" w:hAnsi="Times New Roman" w:cs="Times New Roman"/>
          <w:i/>
        </w:rPr>
        <w:t>H1</w:t>
      </w:r>
      <w:r>
        <w:rPr>
          <w:rFonts w:ascii="Times New Roman" w:eastAsia="Times New Roman" w:hAnsi="Times New Roman" w:cs="Times New Roman"/>
        </w:rPr>
        <w:t>, the leverage hypothesis, we find indebtedness is</w:t>
      </w:r>
      <w:r w:rsidR="00102310">
        <w:rPr>
          <w:rFonts w:ascii="Times New Roman" w:eastAsia="Times New Roman" w:hAnsi="Times New Roman" w:cs="Times New Roman"/>
        </w:rPr>
        <w:t xml:space="preserve"> significantly</w:t>
      </w:r>
      <w:r>
        <w:rPr>
          <w:rFonts w:ascii="Times New Roman" w:eastAsia="Times New Roman" w:hAnsi="Times New Roman" w:cs="Times New Roman"/>
        </w:rPr>
        <w:t xml:space="preserve"> negatively associated with repurchase activity in the pre-reform period only. Th</w:t>
      </w:r>
      <w:r w:rsidR="00102310">
        <w:rPr>
          <w:rFonts w:ascii="Times New Roman" w:eastAsia="Times New Roman" w:hAnsi="Times New Roman" w:cs="Times New Roman"/>
        </w:rPr>
        <w:t>e</w:t>
      </w:r>
      <w:r>
        <w:rPr>
          <w:rFonts w:ascii="Times New Roman" w:eastAsia="Times New Roman" w:hAnsi="Times New Roman" w:cs="Times New Roman"/>
        </w:rPr>
        <w:t xml:space="preserve"> result</w:t>
      </w:r>
      <w:r w:rsidR="00102310">
        <w:rPr>
          <w:rFonts w:ascii="Times New Roman" w:eastAsia="Times New Roman" w:hAnsi="Times New Roman" w:cs="Times New Roman"/>
        </w:rPr>
        <w:t>, though weak,</w:t>
      </w:r>
      <w:r>
        <w:rPr>
          <w:rFonts w:ascii="Times New Roman" w:eastAsia="Times New Roman" w:hAnsi="Times New Roman" w:cs="Times New Roman"/>
        </w:rPr>
        <w:t xml:space="preserve"> is consistent with earlier UK studies using pre-reform data (Oswald and Young, 2008;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During this time, firms may have been using share repurchases to increase leverage and move towards an optimal capital </w:t>
      </w:r>
      <w:r>
        <w:rPr>
          <w:rFonts w:ascii="Times New Roman" w:eastAsia="Times New Roman" w:hAnsi="Times New Roman" w:cs="Times New Roman"/>
        </w:rPr>
        <w:lastRenderedPageBreak/>
        <w:t xml:space="preserve">structure. However, since the regulatory change, </w:t>
      </w:r>
      <w:r w:rsidR="00102310">
        <w:rPr>
          <w:rFonts w:ascii="Times New Roman" w:eastAsia="Times New Roman" w:hAnsi="Times New Roman" w:cs="Times New Roman"/>
        </w:rPr>
        <w:t xml:space="preserve">we find no </w:t>
      </w:r>
      <w:r>
        <w:rPr>
          <w:rFonts w:ascii="Times New Roman" w:eastAsia="Times New Roman" w:hAnsi="Times New Roman" w:cs="Times New Roman"/>
        </w:rPr>
        <w:t xml:space="preserve">evidence that UK firms use share repurchases to increase their indebtedness and change their capital structure.  This represents one apparent change in the motivation for share repurchases following the 2003 reform.  </w:t>
      </w:r>
    </w:p>
    <w:p w14:paraId="6FB97517" w14:textId="28D2F8C3"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In support of </w:t>
      </w:r>
      <w:r>
        <w:rPr>
          <w:rFonts w:ascii="Times New Roman" w:eastAsia="Times New Roman" w:hAnsi="Times New Roman" w:cs="Times New Roman"/>
          <w:i/>
        </w:rPr>
        <w:t>H2</w:t>
      </w:r>
      <w:r>
        <w:rPr>
          <w:rFonts w:ascii="Times New Roman" w:eastAsia="Times New Roman" w:hAnsi="Times New Roman" w:cs="Times New Roman"/>
        </w:rPr>
        <w:t xml:space="preserve">, the free cash flow hypothesis, we find a strong positive association, across both regulatory time periods, between </w:t>
      </w:r>
      <w:r w:rsidR="006563CC">
        <w:rPr>
          <w:rFonts w:ascii="Times New Roman" w:eastAsia="Times New Roman" w:hAnsi="Times New Roman" w:cs="Times New Roman"/>
        </w:rPr>
        <w:t>excess</w:t>
      </w:r>
      <w:r>
        <w:rPr>
          <w:rFonts w:ascii="Times New Roman" w:eastAsia="Times New Roman" w:hAnsi="Times New Roman" w:cs="Times New Roman"/>
        </w:rPr>
        <w:t xml:space="preserve"> cash and the likelihood </w:t>
      </w:r>
      <w:r w:rsidR="00AE3D61">
        <w:rPr>
          <w:rFonts w:ascii="Times New Roman" w:eastAsia="Times New Roman" w:hAnsi="Times New Roman" w:cs="Times New Roman"/>
        </w:rPr>
        <w:t xml:space="preserve">and amount </w:t>
      </w:r>
      <w:r>
        <w:rPr>
          <w:rFonts w:ascii="Times New Roman" w:eastAsia="Times New Roman" w:hAnsi="Times New Roman" w:cs="Times New Roman"/>
        </w:rPr>
        <w:t>of repurchases.  Firms with surplus cash are significantly more likely to buy back their own shares</w:t>
      </w:r>
      <w:r w:rsidR="0019262C">
        <w:rPr>
          <w:rFonts w:ascii="Times New Roman" w:eastAsia="Times New Roman" w:hAnsi="Times New Roman" w:cs="Times New Roman"/>
        </w:rPr>
        <w:t>,</w:t>
      </w:r>
      <w:r w:rsidR="00AE3D61">
        <w:rPr>
          <w:rFonts w:ascii="Times New Roman" w:eastAsia="Times New Roman" w:hAnsi="Times New Roman" w:cs="Times New Roman"/>
        </w:rPr>
        <w:t xml:space="preserve"> and spend more on this,</w:t>
      </w:r>
      <w:r w:rsidR="0019262C">
        <w:rPr>
          <w:rFonts w:ascii="Times New Roman" w:eastAsia="Times New Roman" w:hAnsi="Times New Roman" w:cs="Times New Roman"/>
        </w:rPr>
        <w:t xml:space="preserve"> all else equal</w:t>
      </w:r>
      <w:r>
        <w:rPr>
          <w:rFonts w:ascii="Times New Roman" w:eastAsia="Times New Roman" w:hAnsi="Times New Roman" w:cs="Times New Roman"/>
        </w:rPr>
        <w:t xml:space="preserve">.  </w:t>
      </w:r>
    </w:p>
    <w:p w14:paraId="38CDD643" w14:textId="51D46F3E"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Next, our multivariate tests reveal that firms with greater investment opportunities</w:t>
      </w:r>
      <w:r w:rsidR="00AE3D61">
        <w:rPr>
          <w:rFonts w:ascii="Times New Roman" w:eastAsia="Times New Roman" w:hAnsi="Times New Roman" w:cs="Times New Roman"/>
        </w:rPr>
        <w:t>, measured using the market-to-book ratio,</w:t>
      </w:r>
      <w:r>
        <w:rPr>
          <w:rFonts w:ascii="Times New Roman" w:eastAsia="Times New Roman" w:hAnsi="Times New Roman" w:cs="Times New Roman"/>
        </w:rPr>
        <w:t xml:space="preserve"> </w:t>
      </w:r>
      <w:r w:rsidR="00AE3D61">
        <w:rPr>
          <w:rFonts w:ascii="Times New Roman" w:eastAsia="Times New Roman" w:hAnsi="Times New Roman" w:cs="Times New Roman"/>
        </w:rPr>
        <w:t>have less repurchase activity</w:t>
      </w:r>
      <w:r>
        <w:rPr>
          <w:rFonts w:ascii="Times New Roman" w:eastAsia="Times New Roman" w:hAnsi="Times New Roman" w:cs="Times New Roman"/>
        </w:rPr>
        <w:t xml:space="preserve">, which is consistent with </w:t>
      </w:r>
      <w:r>
        <w:rPr>
          <w:rFonts w:ascii="Times New Roman" w:eastAsia="Times New Roman" w:hAnsi="Times New Roman" w:cs="Times New Roman"/>
          <w:i/>
        </w:rPr>
        <w:t>H3</w:t>
      </w:r>
      <w:r>
        <w:rPr>
          <w:rFonts w:ascii="Times New Roman" w:eastAsia="Times New Roman" w:hAnsi="Times New Roman" w:cs="Times New Roman"/>
        </w:rPr>
        <w:t>. This result holds for both time periods.</w:t>
      </w:r>
    </w:p>
    <w:p w14:paraId="4BA19930" w14:textId="226CF5E5"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According to </w:t>
      </w:r>
      <w:r>
        <w:rPr>
          <w:rFonts w:ascii="Times New Roman" w:eastAsia="Times New Roman" w:hAnsi="Times New Roman" w:cs="Times New Roman"/>
          <w:i/>
        </w:rPr>
        <w:t>H4</w:t>
      </w:r>
      <w:r>
        <w:rPr>
          <w:rFonts w:ascii="Times New Roman" w:eastAsia="Times New Roman" w:hAnsi="Times New Roman" w:cs="Times New Roman"/>
        </w:rPr>
        <w:t xml:space="preserve">, the undervaluation hypothesis, firms </w:t>
      </w:r>
      <w:r w:rsidR="00C57A17">
        <w:rPr>
          <w:rFonts w:ascii="Times New Roman" w:eastAsia="Times New Roman" w:hAnsi="Times New Roman" w:cs="Times New Roman"/>
        </w:rPr>
        <w:t xml:space="preserve">are more likely to </w:t>
      </w:r>
      <w:r>
        <w:rPr>
          <w:rFonts w:ascii="Times New Roman" w:eastAsia="Times New Roman" w:hAnsi="Times New Roman" w:cs="Times New Roman"/>
        </w:rPr>
        <w:t xml:space="preserve"> buy </w:t>
      </w:r>
      <w:r w:rsidR="00C57A17">
        <w:rPr>
          <w:rFonts w:ascii="Times New Roman" w:eastAsia="Times New Roman" w:hAnsi="Times New Roman" w:cs="Times New Roman"/>
        </w:rPr>
        <w:t xml:space="preserve">back </w:t>
      </w:r>
      <w:r>
        <w:rPr>
          <w:rFonts w:ascii="Times New Roman" w:eastAsia="Times New Roman" w:hAnsi="Times New Roman" w:cs="Times New Roman"/>
        </w:rPr>
        <w:t xml:space="preserve">their own shares </w:t>
      </w:r>
      <w:r w:rsidR="00C57A17">
        <w:rPr>
          <w:rFonts w:ascii="Times New Roman" w:eastAsia="Times New Roman" w:hAnsi="Times New Roman" w:cs="Times New Roman"/>
        </w:rPr>
        <w:t>when</w:t>
      </w:r>
      <w:r>
        <w:rPr>
          <w:rFonts w:ascii="Times New Roman" w:eastAsia="Times New Roman" w:hAnsi="Times New Roman" w:cs="Times New Roman"/>
        </w:rPr>
        <w:t xml:space="preserve"> management considers them to be undervalued</w:t>
      </w:r>
      <w:r w:rsidR="00C57A17">
        <w:rPr>
          <w:rFonts w:ascii="Times New Roman" w:eastAsia="Times New Roman" w:hAnsi="Times New Roman" w:cs="Times New Roman"/>
        </w:rPr>
        <w:t>. Whether the motivation is to signal undervaluation, or to execute planned repurchases at a time when the price is low</w:t>
      </w:r>
      <w:r w:rsidR="00F10BE1">
        <w:rPr>
          <w:rFonts w:ascii="Times New Roman" w:eastAsia="Times New Roman" w:hAnsi="Times New Roman" w:cs="Times New Roman"/>
        </w:rPr>
        <w:t>,</w:t>
      </w:r>
      <w:r>
        <w:rPr>
          <w:rFonts w:ascii="Times New Roman" w:eastAsia="Times New Roman" w:hAnsi="Times New Roman" w:cs="Times New Roman"/>
        </w:rPr>
        <w:t xml:space="preserve">  we would expect to observe a negative association between prior share price performance and repurchases. Here we find a second </w:t>
      </w:r>
      <w:r w:rsidR="00A273D1">
        <w:rPr>
          <w:rFonts w:ascii="Times New Roman" w:eastAsia="Times New Roman" w:hAnsi="Times New Roman" w:cs="Times New Roman"/>
        </w:rPr>
        <w:t xml:space="preserve">possible </w:t>
      </w:r>
      <w:r>
        <w:rPr>
          <w:rFonts w:ascii="Times New Roman" w:eastAsia="Times New Roman" w:hAnsi="Times New Roman" w:cs="Times New Roman"/>
        </w:rPr>
        <w:t>change in the drivers of share repurchases in the UK. Whereas our evidence</w:t>
      </w:r>
      <w:r w:rsidR="00A273D1">
        <w:rPr>
          <w:rFonts w:ascii="Times New Roman" w:eastAsia="Times New Roman" w:hAnsi="Times New Roman" w:cs="Times New Roman"/>
        </w:rPr>
        <w:t xml:space="preserve"> weakly</w:t>
      </w:r>
      <w:r>
        <w:rPr>
          <w:rFonts w:ascii="Times New Roman" w:eastAsia="Times New Roman" w:hAnsi="Times New Roman" w:cs="Times New Roman"/>
        </w:rPr>
        <w:t xml:space="preserve"> supports the undervaluation hypothesis in the period prior to the reforms, when repurchased shares had to be cancelled, </w:t>
      </w:r>
      <w:r w:rsidR="005B2D93">
        <w:rPr>
          <w:rFonts w:ascii="Times New Roman" w:eastAsia="Times New Roman" w:hAnsi="Times New Roman" w:cs="Times New Roman"/>
        </w:rPr>
        <w:t>we find</w:t>
      </w:r>
      <w:r>
        <w:rPr>
          <w:rFonts w:ascii="Times New Roman" w:eastAsia="Times New Roman" w:hAnsi="Times New Roman" w:cs="Times New Roman"/>
        </w:rPr>
        <w:t xml:space="preserve"> no </w:t>
      </w:r>
      <w:r w:rsidR="006563CC">
        <w:rPr>
          <w:rFonts w:ascii="Times New Roman" w:eastAsia="Times New Roman" w:hAnsi="Times New Roman" w:cs="Times New Roman"/>
        </w:rPr>
        <w:t xml:space="preserve">significant </w:t>
      </w:r>
      <w:r>
        <w:rPr>
          <w:rFonts w:ascii="Times New Roman" w:eastAsia="Times New Roman" w:hAnsi="Times New Roman" w:cs="Times New Roman"/>
        </w:rPr>
        <w:t xml:space="preserve">association between share price performance and repurchase activity in the post-reform period.  </w:t>
      </w:r>
    </w:p>
    <w:p w14:paraId="117E9FE8" w14:textId="299E67EF"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Opposite to our first prediction </w:t>
      </w:r>
      <w:r w:rsidR="0006395B">
        <w:rPr>
          <w:rFonts w:ascii="Times New Roman" w:eastAsia="Times New Roman" w:hAnsi="Times New Roman" w:cs="Times New Roman"/>
        </w:rPr>
        <w:t>in relation</w:t>
      </w:r>
      <w:r>
        <w:rPr>
          <w:rFonts w:ascii="Times New Roman" w:eastAsia="Times New Roman" w:hAnsi="Times New Roman" w:cs="Times New Roman"/>
        </w:rPr>
        <w:t xml:space="preserve"> to </w:t>
      </w:r>
      <w:r>
        <w:rPr>
          <w:rFonts w:ascii="Times New Roman" w:eastAsia="Times New Roman" w:hAnsi="Times New Roman" w:cs="Times New Roman"/>
          <w:i/>
        </w:rPr>
        <w:t>H5</w:t>
      </w:r>
      <w:r>
        <w:rPr>
          <w:rFonts w:ascii="Times New Roman" w:eastAsia="Times New Roman" w:hAnsi="Times New Roman" w:cs="Times New Roman"/>
        </w:rPr>
        <w:t xml:space="preserve">, there is a positive association, across both time periods, between the amounts paid in share repurchase and dividends, suggesting that share repurchases are paid in addition to dividends in the UK, rather than as a substitute, as </w:t>
      </w:r>
      <w:r w:rsidR="004E0FD6">
        <w:rPr>
          <w:rFonts w:ascii="Times New Roman" w:eastAsia="Times New Roman" w:hAnsi="Times New Roman" w:cs="Times New Roman"/>
        </w:rPr>
        <w:t>has been argued to be</w:t>
      </w:r>
      <w:r>
        <w:rPr>
          <w:rFonts w:ascii="Times New Roman" w:eastAsia="Times New Roman" w:hAnsi="Times New Roman" w:cs="Times New Roman"/>
        </w:rPr>
        <w:t xml:space="preserve"> the case in the US</w:t>
      </w:r>
      <w:r w:rsidR="00617FFA">
        <w:rPr>
          <w:rFonts w:ascii="Times New Roman" w:eastAsia="Times New Roman" w:hAnsi="Times New Roman" w:cs="Times New Roman"/>
        </w:rPr>
        <w:t xml:space="preserve"> (</w:t>
      </w:r>
      <w:proofErr w:type="spellStart"/>
      <w:r w:rsidR="00617FFA">
        <w:rPr>
          <w:rFonts w:ascii="Times New Roman" w:eastAsia="Times New Roman" w:hAnsi="Times New Roman" w:cs="Times New Roman"/>
        </w:rPr>
        <w:t>Grullon</w:t>
      </w:r>
      <w:proofErr w:type="spellEnd"/>
      <w:r w:rsidR="00617FFA">
        <w:rPr>
          <w:rFonts w:ascii="Times New Roman" w:eastAsia="Times New Roman" w:hAnsi="Times New Roman" w:cs="Times New Roman"/>
        </w:rPr>
        <w:t xml:space="preserve"> and </w:t>
      </w:r>
      <w:proofErr w:type="spellStart"/>
      <w:r w:rsidR="00617FFA">
        <w:rPr>
          <w:rFonts w:ascii="Times New Roman" w:eastAsia="Times New Roman" w:hAnsi="Times New Roman" w:cs="Times New Roman"/>
        </w:rPr>
        <w:t>Michaely</w:t>
      </w:r>
      <w:proofErr w:type="spellEnd"/>
      <w:r w:rsidR="00617FFA">
        <w:rPr>
          <w:rFonts w:ascii="Times New Roman" w:eastAsia="Times New Roman" w:hAnsi="Times New Roman" w:cs="Times New Roman"/>
        </w:rPr>
        <w:t>, 2002)</w:t>
      </w:r>
      <w:r>
        <w:rPr>
          <w:rFonts w:ascii="Times New Roman" w:eastAsia="Times New Roman" w:hAnsi="Times New Roman" w:cs="Times New Roman"/>
        </w:rPr>
        <w:t xml:space="preserve">.  Earnings performance is positively related to both repurchase incidence and the repurchase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in both time periods. This is consistent with firms using share repurchases in the same way as they use dividends, </w:t>
      </w:r>
      <w:proofErr w:type="gramStart"/>
      <w:r>
        <w:rPr>
          <w:rFonts w:ascii="Times New Roman" w:eastAsia="Times New Roman" w:hAnsi="Times New Roman" w:cs="Times New Roman"/>
          <w:i/>
        </w:rPr>
        <w:t>i.e</w:t>
      </w:r>
      <w:r>
        <w:rPr>
          <w:rFonts w:ascii="Times New Roman" w:eastAsia="Times New Roman" w:hAnsi="Times New Roman" w:cs="Times New Roman"/>
        </w:rPr>
        <w:t>.</w:t>
      </w:r>
      <w:proofErr w:type="gramEnd"/>
      <w:r>
        <w:rPr>
          <w:rFonts w:ascii="Times New Roman" w:eastAsia="Times New Roman" w:hAnsi="Times New Roman" w:cs="Times New Roman"/>
        </w:rPr>
        <w:t xml:space="preserve"> to distribute current earnings.  Further analysis indicates that the positive association between the amounts distributed by repurchases and dividends is significantly stronger in the later time period. Following Skinner (2008) and Andres </w:t>
      </w:r>
      <w:r>
        <w:rPr>
          <w:rFonts w:ascii="Times New Roman" w:eastAsia="Times New Roman" w:hAnsi="Times New Roman" w:cs="Times New Roman"/>
          <w:i/>
        </w:rPr>
        <w:t>et al</w:t>
      </w:r>
      <w:r>
        <w:rPr>
          <w:rFonts w:ascii="Times New Roman" w:eastAsia="Times New Roman" w:hAnsi="Times New Roman" w:cs="Times New Roman"/>
        </w:rPr>
        <w:t xml:space="preserve">. (2015), we also employ Lintner regressions using both dividends and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(dividends plus share repurchases) to execute further tests of the dividend </w:t>
      </w:r>
      <w:r>
        <w:rPr>
          <w:rFonts w:ascii="Times New Roman" w:eastAsia="Times New Roman" w:hAnsi="Times New Roman" w:cs="Times New Roman"/>
        </w:rPr>
        <w:lastRenderedPageBreak/>
        <w:t xml:space="preserve">substitution hypothesis. If, following the reforms, share repurchases are used instead of dividends to pay out earnings, then we would expect to see a reduction in the speed of adjustment of dividends to earnings but no change in the speed of adjustment of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to earnings. We would also expect to see a reduction in the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in respect of dividends but no change in the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for total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(dividends plus repurchases). Our results are </w:t>
      </w:r>
      <w:r w:rsidRPr="009126B8">
        <w:rPr>
          <w:rFonts w:ascii="Times New Roman" w:eastAsia="Times New Roman" w:hAnsi="Times New Roman" w:cs="Times New Roman"/>
          <w:i/>
          <w:iCs/>
        </w:rPr>
        <w:t>not</w:t>
      </w:r>
      <w:r>
        <w:rPr>
          <w:rFonts w:ascii="Times New Roman" w:eastAsia="Times New Roman" w:hAnsi="Times New Roman" w:cs="Times New Roman"/>
        </w:rPr>
        <w:t xml:space="preserve"> in line with these predictions, with speed of adjustment decreasing in both cases (dividends and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and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ratios increasing following the reforms. The Lintner regressions therefore do not support dividend substitution in the UK. Prior research suggests US managers commit to dividend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targets and use repurchases more flexibly (Dittmar, 2000; </w:t>
      </w:r>
      <w:proofErr w:type="spellStart"/>
      <w:r>
        <w:rPr>
          <w:rFonts w:ascii="Times New Roman" w:eastAsia="Times New Roman" w:hAnsi="Times New Roman" w:cs="Times New Roman"/>
        </w:rPr>
        <w:t>Guay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Harford</w:t>
      </w:r>
      <w:proofErr w:type="spellEnd"/>
      <w:r>
        <w:rPr>
          <w:rFonts w:ascii="Times New Roman" w:eastAsia="Times New Roman" w:hAnsi="Times New Roman" w:cs="Times New Roman"/>
        </w:rPr>
        <w:t xml:space="preserve">, 2000; Jagannathan </w:t>
      </w:r>
      <w:r>
        <w:rPr>
          <w:rFonts w:ascii="Times New Roman" w:eastAsia="Times New Roman" w:hAnsi="Times New Roman" w:cs="Times New Roman"/>
          <w:i/>
        </w:rPr>
        <w:t>et al.</w:t>
      </w:r>
      <w:r>
        <w:rPr>
          <w:rFonts w:ascii="Times New Roman" w:eastAsia="Times New Roman" w:hAnsi="Times New Roman" w:cs="Times New Roman"/>
        </w:rPr>
        <w:t xml:space="preserve">, 2000). Our analysis points to a different situation in the UK, with persistence in the distribution of both repurchases and dividends, consistent with both methods of shareholder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containing some commitment to repeat the exercise in the following year.  In sum, none of our tests provide support for dividend substitution in the UK.</w:t>
      </w:r>
    </w:p>
    <w:p w14:paraId="41C9361D" w14:textId="53EB2AD9"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Next, we consider the association between share repurchases and corporate governance (</w:t>
      </w:r>
      <w:r>
        <w:rPr>
          <w:rFonts w:ascii="Times New Roman" w:eastAsia="Times New Roman" w:hAnsi="Times New Roman" w:cs="Times New Roman"/>
          <w:i/>
        </w:rPr>
        <w:t>H6</w:t>
      </w:r>
      <w:r>
        <w:rPr>
          <w:rFonts w:ascii="Times New Roman" w:eastAsia="Times New Roman" w:hAnsi="Times New Roman" w:cs="Times New Roman"/>
        </w:rPr>
        <w:t xml:space="preserve">). If share repurchases offer a solution to agency problems such as free cash flow retention, then we may expect to observe positive associations between corporate governance mechanisms </w:t>
      </w:r>
      <w:r w:rsidR="00674A09">
        <w:rPr>
          <w:rFonts w:ascii="Times New Roman" w:eastAsia="Times New Roman" w:hAnsi="Times New Roman" w:cs="Times New Roman"/>
        </w:rPr>
        <w:t>(</w:t>
      </w:r>
      <w:r>
        <w:rPr>
          <w:rFonts w:ascii="Times New Roman" w:eastAsia="Times New Roman" w:hAnsi="Times New Roman" w:cs="Times New Roman"/>
        </w:rPr>
        <w:t>such as more independent boards and</w:t>
      </w:r>
      <w:r w:rsidR="00674A09">
        <w:rPr>
          <w:rFonts w:ascii="Times New Roman" w:eastAsia="Times New Roman" w:hAnsi="Times New Roman" w:cs="Times New Roman"/>
        </w:rPr>
        <w:t>/or</w:t>
      </w:r>
      <w:r>
        <w:rPr>
          <w:rFonts w:ascii="Times New Roman" w:eastAsia="Times New Roman" w:hAnsi="Times New Roman" w:cs="Times New Roman"/>
        </w:rPr>
        <w:t xml:space="preserve"> board </w:t>
      </w:r>
      <w:r w:rsidR="00674A09">
        <w:rPr>
          <w:rFonts w:ascii="Times New Roman" w:eastAsia="Times New Roman" w:hAnsi="Times New Roman" w:cs="Times New Roman"/>
        </w:rPr>
        <w:t xml:space="preserve">equity </w:t>
      </w:r>
      <w:r>
        <w:rPr>
          <w:rFonts w:ascii="Times New Roman" w:eastAsia="Times New Roman" w:hAnsi="Times New Roman" w:cs="Times New Roman"/>
        </w:rPr>
        <w:t>ownership</w:t>
      </w:r>
      <w:r w:rsidR="00674A09">
        <w:rPr>
          <w:rFonts w:ascii="Times New Roman" w:eastAsia="Times New Roman" w:hAnsi="Times New Roman" w:cs="Times New Roman"/>
        </w:rPr>
        <w:t>)</w:t>
      </w:r>
      <w:r>
        <w:rPr>
          <w:rFonts w:ascii="Times New Roman" w:eastAsia="Times New Roman" w:hAnsi="Times New Roman" w:cs="Times New Roman"/>
        </w:rPr>
        <w:t xml:space="preserve"> and share repurchase activity. In the US, Sharma (2011) reports a positive association between board independence and the propensity to both pay dividends and repurchase shares. Similarly, we find that more independent boards, measured by the proportion of non-executive directors, are positively associated with both the propensity to repurchase, and the amount distributed by this means.  However, our sub-sample tests reveal that this relationship is only significant post-2003, which we suggest may be due to the publication of the Higgs Report (2003) which emphasised the role of non-executive directors and which was then adopted by the UK Code on Corporate Governance.  No significant association is observed between board ownership of sample firms and their repurchase activity</w:t>
      </w:r>
      <w:r w:rsidR="00617FFA">
        <w:rPr>
          <w:rFonts w:ascii="Times New Roman" w:eastAsia="Times New Roman" w:hAnsi="Times New Roman" w:cs="Times New Roman"/>
        </w:rPr>
        <w:t xml:space="preserve">, though a positive association is predicted according to the </w:t>
      </w:r>
      <w:r w:rsidR="0098781D">
        <w:rPr>
          <w:rFonts w:ascii="Times New Roman" w:eastAsia="Times New Roman" w:hAnsi="Times New Roman" w:cs="Times New Roman"/>
        </w:rPr>
        <w:t xml:space="preserve">theoretical </w:t>
      </w:r>
      <w:r w:rsidR="00617FFA">
        <w:rPr>
          <w:rFonts w:ascii="Times New Roman" w:eastAsia="Times New Roman" w:hAnsi="Times New Roman" w:cs="Times New Roman"/>
        </w:rPr>
        <w:t>model developed by Oded (2020</w:t>
      </w:r>
      <w:r w:rsidR="00C616FB">
        <w:rPr>
          <w:rFonts w:ascii="Times New Roman" w:eastAsia="Times New Roman" w:hAnsi="Times New Roman" w:cs="Times New Roman"/>
        </w:rPr>
        <w:t>).</w:t>
      </w:r>
    </w:p>
    <w:p w14:paraId="5F2DBE2A"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Finally, we find no support for </w:t>
      </w:r>
      <w:r>
        <w:rPr>
          <w:rFonts w:ascii="Times New Roman" w:eastAsia="Times New Roman" w:hAnsi="Times New Roman" w:cs="Times New Roman"/>
          <w:i/>
        </w:rPr>
        <w:t>H7</w:t>
      </w:r>
      <w:r>
        <w:rPr>
          <w:rFonts w:ascii="Times New Roman" w:eastAsia="Times New Roman" w:hAnsi="Times New Roman" w:cs="Times New Roman"/>
        </w:rPr>
        <w:t xml:space="preserve">, with there being no significant association between the awarding of stock option compensation and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policy in the UK, which is different to findings from the US but </w:t>
      </w:r>
      <w:r>
        <w:rPr>
          <w:rFonts w:ascii="Times New Roman" w:eastAsia="Times New Roman" w:hAnsi="Times New Roman" w:cs="Times New Roman"/>
        </w:rPr>
        <w:lastRenderedPageBreak/>
        <w:t>consistent with earlier work from the UK (Young and Yang, 2011). This may be due to the relatively lower importance of stock options in the UK as a component of executive remuneration. If managers are less concerned about the effect of share repurchases on their compensation, then other drivers of the practice are likely to dominate any ESO effect.</w:t>
      </w:r>
    </w:p>
    <w:p w14:paraId="78E543F8" w14:textId="1FC266DE"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Our study contributes to prior literature in several ways. First, we provide evidence of the important effect of liberalising regulatory reforms on the extent of share repurchase activity in the UK</w:t>
      </w:r>
      <w:r w:rsidR="003174A5">
        <w:rPr>
          <w:rFonts w:ascii="Times New Roman" w:eastAsia="Times New Roman" w:hAnsi="Times New Roman" w:cs="Times New Roman"/>
        </w:rPr>
        <w:t>, which we find to be associated with a substantial increase in share repurchases</w:t>
      </w:r>
      <w:r>
        <w:rPr>
          <w:rFonts w:ascii="Times New Roman" w:eastAsia="Times New Roman" w:hAnsi="Times New Roman" w:cs="Times New Roman"/>
        </w:rPr>
        <w:t xml:space="preserve">. Second, we examine the determinants of repurchases using a more comprehensive set of hypotheses than has previously been employed, and we are able to use a much larger sample than was available to earlier researchers. Third, we identify significant changes to the determinants of repurchases following the regulatory change. Fourth, we observe important differences between UK and US practice in this area.  We argue this may be due to institutional differences which remain even after the rules on share repurchases have largely converged. Given the current paucity of post-reform evidence regarding UK firms’ motivations for repurchasing their own shares, the paper is likely to be of interest to regulators, </w:t>
      </w:r>
      <w:r w:rsidR="003174A5">
        <w:rPr>
          <w:rFonts w:ascii="Times New Roman" w:eastAsia="Times New Roman" w:hAnsi="Times New Roman" w:cs="Times New Roman"/>
        </w:rPr>
        <w:t>academics,</w:t>
      </w:r>
      <w:r>
        <w:rPr>
          <w:rFonts w:ascii="Times New Roman" w:eastAsia="Times New Roman" w:hAnsi="Times New Roman" w:cs="Times New Roman"/>
        </w:rPr>
        <w:t xml:space="preserve"> and members of the broader corporate finance community,</w:t>
      </w:r>
    </w:p>
    <w:p w14:paraId="0E6D84D2" w14:textId="614EE536"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rest of the paper is organised as follows. Section 2 provides more detail on the institutional </w:t>
      </w:r>
      <w:r w:rsidR="00AB60B3">
        <w:rPr>
          <w:rFonts w:ascii="Times New Roman" w:eastAsia="Times New Roman" w:hAnsi="Times New Roman" w:cs="Times New Roman"/>
        </w:rPr>
        <w:t xml:space="preserve">background and the </w:t>
      </w:r>
      <w:r>
        <w:rPr>
          <w:rFonts w:ascii="Times New Roman" w:eastAsia="Times New Roman" w:hAnsi="Times New Roman" w:cs="Times New Roman"/>
        </w:rPr>
        <w:t xml:space="preserve">changes which are relevant to this study. Section 3 discusses prior literature and presents the hypotheses to be tested. In Section 4, we document our research methodology. In Section 5 we present our main analyses, with the results of additional tests </w:t>
      </w:r>
      <w:r w:rsidR="00724875">
        <w:rPr>
          <w:rFonts w:ascii="Times New Roman" w:eastAsia="Times New Roman" w:hAnsi="Times New Roman" w:cs="Times New Roman"/>
        </w:rPr>
        <w:t>reported</w:t>
      </w:r>
      <w:r w:rsidR="006563CC">
        <w:rPr>
          <w:rFonts w:ascii="Times New Roman" w:eastAsia="Times New Roman" w:hAnsi="Times New Roman" w:cs="Times New Roman"/>
        </w:rPr>
        <w:t xml:space="preserve"> </w:t>
      </w:r>
      <w:r>
        <w:rPr>
          <w:rFonts w:ascii="Times New Roman" w:eastAsia="Times New Roman" w:hAnsi="Times New Roman" w:cs="Times New Roman"/>
        </w:rPr>
        <w:t xml:space="preserve">in Section 6.  Finally, we sum up and draw conclusions in Section 7. </w:t>
      </w:r>
    </w:p>
    <w:p w14:paraId="1A8D2C5B" w14:textId="77777777" w:rsidR="00A707CF" w:rsidRDefault="0055054A" w:rsidP="00E87442">
      <w:pPr>
        <w:spacing w:after="280" w:line="480" w:lineRule="auto"/>
        <w:ind w:firstLine="397"/>
        <w:jc w:val="both"/>
        <w:rPr>
          <w:rFonts w:ascii="Times New Roman" w:eastAsia="Times New Roman" w:hAnsi="Times New Roman" w:cs="Times New Roman"/>
          <w:b/>
        </w:rPr>
      </w:pPr>
      <w:r>
        <w:rPr>
          <w:rFonts w:ascii="Times New Roman" w:eastAsia="Times New Roman" w:hAnsi="Times New Roman" w:cs="Times New Roman"/>
          <w:b/>
        </w:rPr>
        <w:t>2.  Regulatory Background</w:t>
      </w:r>
    </w:p>
    <w:p w14:paraId="34EB5E26" w14:textId="3E3B09EB"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Prior to 1981, UK legislation prevented companies from repurchasing their own shares, other than redeemable preference shares.  The prohibition was designed to prevent firms from: (a) reducing their capital to the detriment of creditors; (b) privileging certain shareholders in off-market transactions; (c) rigging the market for their shares; and (d) engaging in ‘greenmail’ transactions to ward off takeover threats.  Changes made in the Companies Act of 1981, however, allowed share repurchases as an alternative distribution channel </w:t>
      </w:r>
      <w:r>
        <w:rPr>
          <w:rFonts w:ascii="Times New Roman" w:eastAsia="Times New Roman" w:hAnsi="Times New Roman" w:cs="Times New Roman"/>
        </w:rPr>
        <w:lastRenderedPageBreak/>
        <w:t xml:space="preserve">to UK firms but with some </w:t>
      </w:r>
      <w:proofErr w:type="gramStart"/>
      <w:r>
        <w:rPr>
          <w:rFonts w:ascii="Times New Roman" w:eastAsia="Times New Roman" w:hAnsi="Times New Roman" w:cs="Times New Roman"/>
        </w:rPr>
        <w:t>fairly stringent</w:t>
      </w:r>
      <w:proofErr w:type="gramEnd"/>
      <w:r>
        <w:rPr>
          <w:rFonts w:ascii="Times New Roman" w:eastAsia="Times New Roman" w:hAnsi="Times New Roman" w:cs="Times New Roman"/>
        </w:rPr>
        <w:t xml:space="preserve"> restrictions.  These included: requirements for prior permissions, to be granted with a limited life; quantitative restrictions, with payments to be made from distributable profits; public disclosure of any repurchase amount and price paid by noon the following day, with summary figures disclosed in the annual reports; restrictions relating to timing (to avoid insider trading); and the cancellation of all repurchased shares (Bank of England, 1988).  The Finance Bill 2003 subsequently amended the regulations to allow companies to retain repurchased shares as treasury stock (Dixon </w:t>
      </w:r>
      <w:r>
        <w:rPr>
          <w:rFonts w:ascii="Times New Roman" w:eastAsia="Times New Roman" w:hAnsi="Times New Roman" w:cs="Times New Roman"/>
          <w:i/>
        </w:rPr>
        <w:t>et al.</w:t>
      </w:r>
      <w:r>
        <w:rPr>
          <w:rFonts w:ascii="Times New Roman" w:eastAsia="Times New Roman" w:hAnsi="Times New Roman" w:cs="Times New Roman"/>
        </w:rPr>
        <w:t>, 2008).  The Companies Act 2006, Chapter 6 codifies the changed regulation, which allows publicly listed companies to repurchase their own, fully paid up, qualifying</w:t>
      </w:r>
      <w:r w:rsidR="006563CC">
        <w:rPr>
          <w:rFonts w:ascii="Times New Roman" w:eastAsia="Times New Roman" w:hAnsi="Times New Roman" w:cs="Times New Roman"/>
        </w:rPr>
        <w:t xml:space="preserve"> </w:t>
      </w:r>
      <w:r>
        <w:rPr>
          <w:rFonts w:ascii="Times New Roman" w:eastAsia="Times New Roman" w:hAnsi="Times New Roman" w:cs="Times New Roman"/>
        </w:rPr>
        <w:t>shares out of distributable profits and to hold them as treasury shares.</w:t>
      </w:r>
      <w:r w:rsidR="006563CC" w:rsidRPr="006563CC">
        <w:rPr>
          <w:rFonts w:ascii="Times New Roman" w:eastAsia="Times New Roman" w:hAnsi="Times New Roman" w:cs="Times New Roman"/>
          <w:vertAlign w:val="superscript"/>
        </w:rPr>
        <w:t xml:space="preserve"> </w:t>
      </w:r>
      <w:r w:rsidR="006563CC">
        <w:rPr>
          <w:rFonts w:ascii="Times New Roman" w:eastAsia="Times New Roman" w:hAnsi="Times New Roman" w:cs="Times New Roman"/>
          <w:vertAlign w:val="superscript"/>
        </w:rPr>
        <w:footnoteReference w:id="2"/>
      </w:r>
      <w:r w:rsidR="006563CC">
        <w:rPr>
          <w:rFonts w:ascii="Times New Roman" w:eastAsia="Times New Roman" w:hAnsi="Times New Roman" w:cs="Times New Roman"/>
        </w:rPr>
        <w:t xml:space="preserve"> </w:t>
      </w:r>
      <w:r>
        <w:rPr>
          <w:rFonts w:ascii="Times New Roman" w:eastAsia="Times New Roman" w:hAnsi="Times New Roman" w:cs="Times New Roman"/>
        </w:rPr>
        <w:t xml:space="preserve">  As a company is not allowed to own itself, treasury shares receive no dividends, carry no voting rights, and are not included in the calculation of weighted average number of shares for earnings per share (EPS) calculations. The maximum aggregate nominal value of treasury shares allowable to be held was 10% of the nominal value of the issued share capital of the company at that time (s.725 CA2006).  The 2003 rule change, which came into force in November of that year, introduced a greater degree of flexibility for firms in the management of their capital.  For example, allowing companies to retain repurchased shares made them available for use in future transactions, such as acquisitions (</w:t>
      </w:r>
      <w:proofErr w:type="spellStart"/>
      <w:r>
        <w:rPr>
          <w:rFonts w:ascii="Times New Roman" w:eastAsia="Times New Roman" w:hAnsi="Times New Roman" w:cs="Times New Roman"/>
        </w:rPr>
        <w:t>Andriosopoulos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Lasfer</w:t>
      </w:r>
      <w:proofErr w:type="spellEnd"/>
      <w:r>
        <w:rPr>
          <w:rFonts w:ascii="Times New Roman" w:eastAsia="Times New Roman" w:hAnsi="Times New Roman" w:cs="Times New Roman"/>
        </w:rPr>
        <w:t xml:space="preserve">, 2015).  </w:t>
      </w:r>
    </w:p>
    <w:p w14:paraId="4487AF65"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Early in 2003, the EU Market Abuse Directive 2003/6/EC (MAD) was adopted by the European Parliament and the Council of the European Unions (</w:t>
      </w:r>
      <w:proofErr w:type="spellStart"/>
      <w:r>
        <w:rPr>
          <w:rFonts w:ascii="Times New Roman" w:eastAsia="Times New Roman" w:hAnsi="Times New Roman" w:cs="Times New Roman"/>
        </w:rPr>
        <w:t>Siems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DeCesari</w:t>
      </w:r>
      <w:proofErr w:type="spellEnd"/>
      <w:r>
        <w:rPr>
          <w:rFonts w:ascii="Times New Roman" w:eastAsia="Times New Roman" w:hAnsi="Times New Roman" w:cs="Times New Roman"/>
        </w:rPr>
        <w:t>, 2012).  Replacing the previous regulation on insider dealing, MAD introduced a prohibition on the manipulation of the market value of stock, which could have put managers of share repurchasing firms at risk because share repurchases often affect market prices.  MAD was adopted by the UK in July 2005. Prior to this, however, in December 2003, the European Commission (EC) passed regulation 2273/2003, which provided safe harbour to EU member firms in relation to share repurchases meeting certain criteria, enabling firms to protect themselves from potential penalties arising under MAD (</w:t>
      </w:r>
      <w:proofErr w:type="spellStart"/>
      <w:r>
        <w:rPr>
          <w:rFonts w:ascii="Times New Roman" w:eastAsia="Times New Roman" w:hAnsi="Times New Roman" w:cs="Times New Roman"/>
        </w:rPr>
        <w:t>Siems</w:t>
      </w:r>
      <w:proofErr w:type="spellEnd"/>
      <w:r>
        <w:rPr>
          <w:rFonts w:ascii="Times New Roman" w:eastAsia="Times New Roman" w:hAnsi="Times New Roman" w:cs="Times New Roman"/>
        </w:rPr>
        <w:t xml:space="preserve"> and De </w:t>
      </w:r>
      <w:proofErr w:type="spellStart"/>
      <w:r>
        <w:rPr>
          <w:rFonts w:ascii="Times New Roman" w:eastAsia="Times New Roman" w:hAnsi="Times New Roman" w:cs="Times New Roman"/>
        </w:rPr>
        <w:t>Cesari</w:t>
      </w:r>
      <w:proofErr w:type="spellEnd"/>
      <w:r>
        <w:rPr>
          <w:rFonts w:ascii="Times New Roman" w:eastAsia="Times New Roman" w:hAnsi="Times New Roman" w:cs="Times New Roman"/>
        </w:rPr>
        <w:t xml:space="preserve">, 2012).  The introduction of safe harbour provisions has </w:t>
      </w:r>
      <w:r>
        <w:rPr>
          <w:rFonts w:ascii="Times New Roman" w:eastAsia="Times New Roman" w:hAnsi="Times New Roman" w:cs="Times New Roman"/>
        </w:rPr>
        <w:lastRenderedPageBreak/>
        <w:t>been found to coincide with a significant increase in share repurchase activity in the US (</w:t>
      </w:r>
      <w:proofErr w:type="spellStart"/>
      <w:r>
        <w:rPr>
          <w:rFonts w:ascii="Times New Roman" w:eastAsia="Times New Roman" w:hAnsi="Times New Roman" w:cs="Times New Roman"/>
        </w:rPr>
        <w:t>Grullon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Michaely</w:t>
      </w:r>
      <w:proofErr w:type="spellEnd"/>
      <w:r>
        <w:rPr>
          <w:rFonts w:ascii="Times New Roman" w:eastAsia="Times New Roman" w:hAnsi="Times New Roman" w:cs="Times New Roman"/>
        </w:rPr>
        <w:t xml:space="preserve">, 2002).  </w:t>
      </w:r>
    </w:p>
    <w:p w14:paraId="79FDAFFA" w14:textId="61A2B095" w:rsidR="005454D2"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This study examines the motivation for share repurchases by UK firms before and after these important regulatory changes.  As the 2003 safe harbour provisions preceded the 2005 adoption of MAD, we predict that share repurchase practice will be most affected by the regulatory changes in 2003. We therefore examine time periods from 2000 to 2003 (pre-reform) and then from 2004 to 2016 (post-reform).  The next section discusses prior literature relevant to our investigation.</w:t>
      </w:r>
    </w:p>
    <w:p w14:paraId="29606FB5" w14:textId="77777777" w:rsidR="00A707CF" w:rsidRDefault="0055054A" w:rsidP="00E87442">
      <w:pPr>
        <w:spacing w:after="280" w:line="480" w:lineRule="auto"/>
        <w:ind w:firstLine="397"/>
        <w:jc w:val="both"/>
        <w:rPr>
          <w:rFonts w:ascii="Times New Roman" w:eastAsia="Times New Roman" w:hAnsi="Times New Roman" w:cs="Times New Roman"/>
          <w:b/>
        </w:rPr>
      </w:pPr>
      <w:r>
        <w:rPr>
          <w:rFonts w:ascii="Times New Roman" w:eastAsia="Times New Roman" w:hAnsi="Times New Roman" w:cs="Times New Roman"/>
          <w:b/>
        </w:rPr>
        <w:t>3.  Prior Literature and Hypotheses</w:t>
      </w:r>
    </w:p>
    <w:p w14:paraId="73AA35BD" w14:textId="05E3129B"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Whilst there are many similarities between the US and UK capital markets, the pattern of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in the UK has historically differed from that in the US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w:t>
      </w:r>
      <w:proofErr w:type="gramStart"/>
      <w:r>
        <w:rPr>
          <w:rFonts w:ascii="Times New Roman" w:eastAsia="Times New Roman" w:hAnsi="Times New Roman" w:cs="Times New Roman"/>
        </w:rPr>
        <w:t>In particular, UK</w:t>
      </w:r>
      <w:proofErr w:type="gramEnd"/>
      <w:r>
        <w:rPr>
          <w:rFonts w:ascii="Times New Roman" w:eastAsia="Times New Roman" w:hAnsi="Times New Roman" w:cs="Times New Roman"/>
        </w:rPr>
        <w:t xml:space="preserve"> repurchases represent a much smaller proportion of shareholder distributions</w:t>
      </w:r>
      <w:r w:rsidR="00CA509F">
        <w:rPr>
          <w:rFonts w:ascii="Times New Roman" w:eastAsia="Times New Roman" w:hAnsi="Times New Roman" w:cs="Times New Roman"/>
        </w:rPr>
        <w:t>,</w:t>
      </w:r>
      <w:r>
        <w:rPr>
          <w:rFonts w:ascii="Times New Roman" w:eastAsia="Times New Roman" w:hAnsi="Times New Roman" w:cs="Times New Roman"/>
        </w:rPr>
        <w:t xml:space="preserve"> and convey a much weaker signal</w:t>
      </w:r>
      <w:r w:rsidR="00CA509F">
        <w:rPr>
          <w:rFonts w:ascii="Times New Roman" w:eastAsia="Times New Roman" w:hAnsi="Times New Roman" w:cs="Times New Roman"/>
        </w:rPr>
        <w:t>,</w:t>
      </w:r>
      <w:r>
        <w:rPr>
          <w:rFonts w:ascii="Times New Roman" w:eastAsia="Times New Roman" w:hAnsi="Times New Roman" w:cs="Times New Roman"/>
        </w:rPr>
        <w:t xml:space="preserve"> than in the US stock markets (</w:t>
      </w:r>
      <w:proofErr w:type="spellStart"/>
      <w:r>
        <w:rPr>
          <w:rFonts w:ascii="Times New Roman" w:eastAsia="Times New Roman" w:hAnsi="Times New Roman" w:cs="Times New Roman"/>
        </w:rPr>
        <w:t>Andriosopoulos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Lasfer</w:t>
      </w:r>
      <w:proofErr w:type="spellEnd"/>
      <w:r>
        <w:rPr>
          <w:rFonts w:ascii="Times New Roman" w:eastAsia="Times New Roman" w:hAnsi="Times New Roman" w:cs="Times New Roman"/>
        </w:rPr>
        <w:t xml:space="preserve">, 2015).  Earlier literature argues that the infrequent use of share repurchases in the UK is due to the onerous regulation of the practice relative to the US (Rau and Vermaelen, 2002).   Dhanani and Roberts (2009) provide a summary of these restrictions and show that the UK regulation was amongst the most stringent globally. The 2003 reform substantially liberalised the UK environment with respect to repurchases, though differences in ownership and compensation structure, both of which may affect the demand for repurchases, remain.  The effects of the reforms on UK practice are not clear, cannot be reasonably predicted using US evidence, and are therefore worthy of investigation. </w:t>
      </w:r>
    </w:p>
    <w:p w14:paraId="63DC7C55" w14:textId="734D7B14" w:rsidR="00A707CF" w:rsidRDefault="0055054A" w:rsidP="00E87442">
      <w:pPr>
        <w:spacing w:after="280" w:line="480" w:lineRule="auto"/>
        <w:ind w:firstLine="397"/>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Before the reform, Dixon </w:t>
      </w:r>
      <w:r>
        <w:rPr>
          <w:rFonts w:ascii="Times New Roman" w:eastAsia="Times New Roman" w:hAnsi="Times New Roman" w:cs="Times New Roman"/>
          <w:i/>
        </w:rPr>
        <w:t>et al.,</w:t>
      </w:r>
      <w:r>
        <w:rPr>
          <w:rFonts w:ascii="Times New Roman" w:eastAsia="Times New Roman" w:hAnsi="Times New Roman" w:cs="Times New Roman"/>
        </w:rPr>
        <w:t xml:space="preserve"> (2008) survey finance directors of large UK firms, designing their questionnaire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test five key hypotheses from existing literature.  The literature in this area is mainly based upon the US, where share repurchases have been permitted and popular for a long time (</w:t>
      </w:r>
      <w:proofErr w:type="spellStart"/>
      <w:r>
        <w:rPr>
          <w:rFonts w:ascii="Times New Roman" w:eastAsia="Times New Roman" w:hAnsi="Times New Roman" w:cs="Times New Roman"/>
        </w:rPr>
        <w:t>Grullon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Michaely</w:t>
      </w:r>
      <w:proofErr w:type="spellEnd"/>
      <w:r>
        <w:rPr>
          <w:rFonts w:ascii="Times New Roman" w:eastAsia="Times New Roman" w:hAnsi="Times New Roman" w:cs="Times New Roman"/>
        </w:rPr>
        <w:t xml:space="preserve">, 2002; Skinner, 2008).  The results in Dixon </w:t>
      </w:r>
      <w:r>
        <w:rPr>
          <w:rFonts w:ascii="Times New Roman" w:eastAsia="Times New Roman" w:hAnsi="Times New Roman" w:cs="Times New Roman"/>
          <w:i/>
        </w:rPr>
        <w:t>et al</w:t>
      </w:r>
      <w:r>
        <w:rPr>
          <w:rFonts w:ascii="Times New Roman" w:eastAsia="Times New Roman" w:hAnsi="Times New Roman" w:cs="Times New Roman"/>
        </w:rPr>
        <w:t>. (2008) provide pre-reform support for three of them in the UK (leverage, investment</w:t>
      </w:r>
      <w:r w:rsidR="009E4521">
        <w:rPr>
          <w:rFonts w:ascii="Times New Roman" w:eastAsia="Times New Roman" w:hAnsi="Times New Roman" w:cs="Times New Roman"/>
        </w:rPr>
        <w:t>,</w:t>
      </w:r>
      <w:r>
        <w:rPr>
          <w:rFonts w:ascii="Times New Roman" w:eastAsia="Times New Roman" w:hAnsi="Times New Roman" w:cs="Times New Roman"/>
        </w:rPr>
        <w:t xml:space="preserve"> and undervaluation). We discuss their five hypotheses below, along </w:t>
      </w:r>
      <w:r>
        <w:rPr>
          <w:rFonts w:ascii="Times New Roman" w:eastAsia="Times New Roman" w:hAnsi="Times New Roman" w:cs="Times New Roman"/>
        </w:rPr>
        <w:lastRenderedPageBreak/>
        <w:t xml:space="preserve">with our </w:t>
      </w:r>
      <w:r w:rsidRPr="000776AD">
        <w:rPr>
          <w:rFonts w:ascii="Times New Roman" w:eastAsia="Times New Roman" w:hAnsi="Times New Roman" w:cs="Times New Roman"/>
        </w:rPr>
        <w:t>two</w:t>
      </w:r>
      <w:r>
        <w:rPr>
          <w:rFonts w:ascii="Times New Roman" w:eastAsia="Times New Roman" w:hAnsi="Times New Roman" w:cs="Times New Roman"/>
        </w:rPr>
        <w:t xml:space="preserve"> additions, and make predictions designed to test each of them using a large sample and archival data.</w:t>
      </w:r>
    </w:p>
    <w:p w14:paraId="1C9ABFA5" w14:textId="77777777" w:rsidR="00A707C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3.1 The gearing or leverage (optimal capital structure) hypothesis (H1)</w:t>
      </w:r>
    </w:p>
    <w:p w14:paraId="77B6CC98" w14:textId="23896644"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Repurchases increase gearing so firms which have capacity for more debt may buy back their own shares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move towards a preferred capital structure (</w:t>
      </w:r>
      <w:r w:rsidR="003174A5">
        <w:rPr>
          <w:rFonts w:ascii="Times New Roman" w:eastAsia="Times New Roman" w:hAnsi="Times New Roman" w:cs="Times New Roman"/>
        </w:rPr>
        <w:t xml:space="preserve">Dittmar, 2000; </w:t>
      </w:r>
      <w:proofErr w:type="spellStart"/>
      <w:r>
        <w:rPr>
          <w:rFonts w:ascii="Times New Roman" w:eastAsia="Times New Roman" w:hAnsi="Times New Roman" w:cs="Times New Roman"/>
        </w:rPr>
        <w:t>Farre</w:t>
      </w:r>
      <w:proofErr w:type="spellEnd"/>
      <w:r>
        <w:rPr>
          <w:rFonts w:ascii="Times New Roman" w:eastAsia="Times New Roman" w:hAnsi="Times New Roman" w:cs="Times New Roman"/>
        </w:rPr>
        <w:t xml:space="preserve">-Mensa, </w:t>
      </w:r>
      <w:proofErr w:type="spellStart"/>
      <w:r>
        <w:rPr>
          <w:rFonts w:ascii="Times New Roman" w:eastAsia="Times New Roman" w:hAnsi="Times New Roman" w:cs="Times New Roman"/>
        </w:rPr>
        <w:t>Michaely</w:t>
      </w:r>
      <w:proofErr w:type="spellEnd"/>
      <w:r>
        <w:rPr>
          <w:rFonts w:ascii="Times New Roman" w:eastAsia="Times New Roman" w:hAnsi="Times New Roman" w:cs="Times New Roman"/>
        </w:rPr>
        <w:t xml:space="preserve"> and Schmalz, 2018).  When the repurchase is financed by debt, this can reduce corporate taxes, thereby lowering the company’s cost of capital (Vermaelen, 1981; Rau and Vermaelen, 2002).   Repurchasing respondents to the survey reported in Dixon </w:t>
      </w:r>
      <w:r>
        <w:rPr>
          <w:rFonts w:ascii="Times New Roman" w:eastAsia="Times New Roman" w:hAnsi="Times New Roman" w:cs="Times New Roman"/>
          <w:i/>
        </w:rPr>
        <w:t>et al</w:t>
      </w:r>
      <w:r>
        <w:rPr>
          <w:rFonts w:ascii="Times New Roman" w:eastAsia="Times New Roman" w:hAnsi="Times New Roman" w:cs="Times New Roman"/>
        </w:rPr>
        <w:t xml:space="preserve">. (2008) rank the pursuit of an optimal capital structure as the primary motivation for share repurchases, while increasing gearing is ranked second.  Given that repurchasing shares increases gearing, we expect that firms with relatively low gearing will be more likely to buy back their own shares if the reason for doing so is to improve capital structure. Consistent with this, in the US, Dittmar (2000) finds a negative association between leverage and share repurchases, as does pre-reform research conducted in the UK (Oswald and Young, 2008;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2011). We therefore propose the following:</w:t>
      </w:r>
    </w:p>
    <w:tbl>
      <w:tblPr>
        <w:tblStyle w:val="19"/>
        <w:tblW w:w="9015" w:type="dxa"/>
        <w:tblBorders>
          <w:top w:val="nil"/>
          <w:left w:val="nil"/>
          <w:bottom w:val="nil"/>
          <w:right w:val="nil"/>
          <w:insideH w:val="nil"/>
          <w:insideV w:val="nil"/>
        </w:tblBorders>
        <w:tblLayout w:type="fixed"/>
        <w:tblLook w:val="0400" w:firstRow="0" w:lastRow="0" w:firstColumn="0" w:lastColumn="0" w:noHBand="0" w:noVBand="1"/>
      </w:tblPr>
      <w:tblGrid>
        <w:gridCol w:w="1554"/>
        <w:gridCol w:w="7461"/>
      </w:tblGrid>
      <w:tr w:rsidR="00A707CF" w14:paraId="2392CB39" w14:textId="77777777">
        <w:tc>
          <w:tcPr>
            <w:tcW w:w="1554" w:type="dxa"/>
          </w:tcPr>
          <w:p w14:paraId="3AD3D124" w14:textId="77777777" w:rsidR="00A707CF" w:rsidRDefault="0055054A" w:rsidP="00E87442">
            <w:pPr>
              <w:spacing w:after="120" w:line="480" w:lineRule="auto"/>
              <w:jc w:val="both"/>
              <w:rPr>
                <w:rFonts w:ascii="Times New Roman" w:eastAsia="Times New Roman" w:hAnsi="Times New Roman" w:cs="Times New Roman"/>
                <w:b/>
                <w:i/>
                <w:sz w:val="24"/>
                <w:szCs w:val="24"/>
              </w:rPr>
            </w:pPr>
            <w:bookmarkStart w:id="1" w:name="_heading=h.30j0zll" w:colFirst="0" w:colLast="0"/>
            <w:bookmarkEnd w:id="1"/>
            <w:r>
              <w:rPr>
                <w:rFonts w:ascii="Times New Roman" w:eastAsia="Times New Roman" w:hAnsi="Times New Roman" w:cs="Times New Roman"/>
                <w:b/>
                <w:i/>
                <w:sz w:val="24"/>
                <w:szCs w:val="24"/>
              </w:rPr>
              <w:t>Prediction 1:</w:t>
            </w:r>
          </w:p>
        </w:tc>
        <w:tc>
          <w:tcPr>
            <w:tcW w:w="7461" w:type="dxa"/>
          </w:tcPr>
          <w:p w14:paraId="6B0B1789" w14:textId="77777777" w:rsidR="00A707CF" w:rsidRDefault="0055054A" w:rsidP="00674A09">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There will be greater share repurchase activity from firms with relatively low gearing.</w:t>
            </w:r>
          </w:p>
        </w:tc>
      </w:tr>
    </w:tbl>
    <w:p w14:paraId="5D5637C7" w14:textId="7A9CB549" w:rsidR="00A707CF" w:rsidRDefault="0055054A" w:rsidP="00E87442">
      <w:pPr>
        <w:spacing w:after="280" w:line="480" w:lineRule="auto"/>
        <w:ind w:firstLine="397"/>
        <w:jc w:val="both"/>
        <w:rPr>
          <w:rFonts w:ascii="Times New Roman" w:eastAsia="Times New Roman" w:hAnsi="Times New Roman" w:cs="Times New Roman"/>
          <w:i/>
        </w:rPr>
      </w:pPr>
      <w:bookmarkStart w:id="2" w:name="_Hlk82514256"/>
      <w:r>
        <w:rPr>
          <w:rFonts w:ascii="Times New Roman" w:eastAsia="Times New Roman" w:hAnsi="Times New Roman" w:cs="Times New Roman"/>
          <w:i/>
        </w:rPr>
        <w:t>3.2 The free cash flow hypothesis (H2)</w:t>
      </w:r>
    </w:p>
    <w:p w14:paraId="4FA6B5F8" w14:textId="765EAE25" w:rsidR="00A707CF" w:rsidRDefault="00693392"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Hoarding cash increases agency costs (Bolton, </w:t>
      </w:r>
      <w:proofErr w:type="gramStart"/>
      <w:r>
        <w:rPr>
          <w:rFonts w:ascii="Times New Roman" w:eastAsia="Times New Roman" w:hAnsi="Times New Roman" w:cs="Times New Roman"/>
        </w:rPr>
        <w:t>Chen</w:t>
      </w:r>
      <w:proofErr w:type="gramEnd"/>
      <w:r>
        <w:rPr>
          <w:rFonts w:ascii="Times New Roman" w:eastAsia="Times New Roman" w:hAnsi="Times New Roman" w:cs="Times New Roman"/>
        </w:rPr>
        <w:t xml:space="preserve"> and Wang, 2011</w:t>
      </w:r>
      <w:r w:rsidR="00EF14E2">
        <w:rPr>
          <w:rFonts w:ascii="Times New Roman" w:eastAsia="Times New Roman" w:hAnsi="Times New Roman" w:cs="Times New Roman"/>
        </w:rPr>
        <w:t>;</w:t>
      </w:r>
      <w:r w:rsidR="00EF14E2" w:rsidRPr="00EF14E2">
        <w:rPr>
          <w:rFonts w:ascii="Times New Roman" w:eastAsia="Times New Roman" w:hAnsi="Times New Roman" w:cs="Times New Roman"/>
        </w:rPr>
        <w:t xml:space="preserve"> </w:t>
      </w:r>
      <w:proofErr w:type="spellStart"/>
      <w:r w:rsidR="00EF14E2">
        <w:rPr>
          <w:rFonts w:ascii="Times New Roman" w:eastAsia="Times New Roman" w:hAnsi="Times New Roman" w:cs="Times New Roman"/>
        </w:rPr>
        <w:t>D</w:t>
      </w:r>
      <w:r w:rsidR="00E93484">
        <w:rPr>
          <w:rFonts w:ascii="Times New Roman" w:eastAsia="Times New Roman" w:hAnsi="Times New Roman" w:cs="Times New Roman"/>
        </w:rPr>
        <w:t>é</w:t>
      </w:r>
      <w:r w:rsidR="00EF14E2">
        <w:rPr>
          <w:rFonts w:ascii="Times New Roman" w:eastAsia="Times New Roman" w:hAnsi="Times New Roman" w:cs="Times New Roman"/>
        </w:rPr>
        <w:t>camps</w:t>
      </w:r>
      <w:proofErr w:type="spellEnd"/>
      <w:r w:rsidR="00EF14E2">
        <w:rPr>
          <w:rFonts w:ascii="Times New Roman" w:eastAsia="Times New Roman" w:hAnsi="Times New Roman" w:cs="Times New Roman"/>
        </w:rPr>
        <w:t xml:space="preserve">, </w:t>
      </w:r>
      <w:proofErr w:type="spellStart"/>
      <w:r w:rsidR="00EF14E2">
        <w:rPr>
          <w:rFonts w:ascii="Times New Roman" w:eastAsia="Times New Roman" w:hAnsi="Times New Roman" w:cs="Times New Roman"/>
        </w:rPr>
        <w:t>Mariotti</w:t>
      </w:r>
      <w:proofErr w:type="spellEnd"/>
      <w:r w:rsidR="00EF14E2">
        <w:rPr>
          <w:rFonts w:ascii="Times New Roman" w:eastAsia="Times New Roman" w:hAnsi="Times New Roman" w:cs="Times New Roman"/>
        </w:rPr>
        <w:t>, Rochet and Villeneuve, 2011</w:t>
      </w:r>
      <w:r>
        <w:rPr>
          <w:rFonts w:ascii="Times New Roman" w:eastAsia="Times New Roman" w:hAnsi="Times New Roman" w:cs="Times New Roman"/>
        </w:rPr>
        <w:t xml:space="preserve">). </w:t>
      </w:r>
      <w:r w:rsidR="0055054A">
        <w:rPr>
          <w:rFonts w:ascii="Times New Roman" w:eastAsia="Times New Roman" w:hAnsi="Times New Roman" w:cs="Times New Roman"/>
        </w:rPr>
        <w:t>Unchecked, managers</w:t>
      </w:r>
      <w:r w:rsidR="007C720E">
        <w:rPr>
          <w:rFonts w:ascii="Times New Roman" w:eastAsia="Times New Roman" w:hAnsi="Times New Roman" w:cs="Times New Roman"/>
        </w:rPr>
        <w:t xml:space="preserve"> a</w:t>
      </w:r>
      <w:r w:rsidR="0055054A">
        <w:rPr>
          <w:rFonts w:ascii="Times New Roman" w:eastAsia="Times New Roman" w:hAnsi="Times New Roman" w:cs="Times New Roman"/>
        </w:rPr>
        <w:t>re prone to value-reducing empire-building behaviour (Jensen, 1986).  Rather than distributing surplus cash to investors, they may overinvest</w:t>
      </w:r>
      <w:r w:rsidR="00CE20E6">
        <w:rPr>
          <w:rFonts w:ascii="Times New Roman" w:eastAsia="Times New Roman" w:hAnsi="Times New Roman" w:cs="Times New Roman"/>
        </w:rPr>
        <w:t>,</w:t>
      </w:r>
      <w:r w:rsidR="0055054A">
        <w:rPr>
          <w:rFonts w:ascii="Times New Roman" w:eastAsia="Times New Roman" w:hAnsi="Times New Roman" w:cs="Times New Roman"/>
        </w:rPr>
        <w:t xml:space="preserve"> </w:t>
      </w:r>
      <w:r w:rsidR="005E13A5">
        <w:rPr>
          <w:rFonts w:ascii="Times New Roman" w:eastAsia="Times New Roman" w:hAnsi="Times New Roman" w:cs="Times New Roman"/>
        </w:rPr>
        <w:t xml:space="preserve"> or waste cash on unnecessary expenses (</w:t>
      </w:r>
      <w:proofErr w:type="spellStart"/>
      <w:r w:rsidR="009219B4">
        <w:rPr>
          <w:rFonts w:ascii="Times New Roman" w:eastAsia="Times New Roman" w:hAnsi="Times New Roman" w:cs="Times New Roman"/>
        </w:rPr>
        <w:t>Décamps</w:t>
      </w:r>
      <w:proofErr w:type="spellEnd"/>
      <w:r w:rsidR="009219B4">
        <w:rPr>
          <w:rFonts w:ascii="Times New Roman" w:eastAsia="Times New Roman" w:hAnsi="Times New Roman" w:cs="Times New Roman"/>
        </w:rPr>
        <w:t xml:space="preserve"> </w:t>
      </w:r>
      <w:r w:rsidR="009219B4" w:rsidRPr="00CE5AD1">
        <w:rPr>
          <w:rFonts w:ascii="Times New Roman" w:eastAsia="Times New Roman" w:hAnsi="Times New Roman" w:cs="Times New Roman"/>
          <w:i/>
          <w:iCs/>
        </w:rPr>
        <w:t>et al</w:t>
      </w:r>
      <w:r w:rsidR="009219B4">
        <w:rPr>
          <w:rFonts w:ascii="Times New Roman" w:eastAsia="Times New Roman" w:hAnsi="Times New Roman" w:cs="Times New Roman"/>
        </w:rPr>
        <w:t xml:space="preserve">., 2011; Oded, 2020; </w:t>
      </w:r>
      <w:r w:rsidR="00CE20E6">
        <w:rPr>
          <w:rFonts w:ascii="Times New Roman" w:eastAsia="Times New Roman" w:hAnsi="Times New Roman" w:cs="Times New Roman"/>
        </w:rPr>
        <w:t>Richardson, 2006</w:t>
      </w:r>
      <w:r w:rsidR="005E13A5">
        <w:rPr>
          <w:rFonts w:ascii="Times New Roman" w:eastAsia="Times New Roman" w:hAnsi="Times New Roman" w:cs="Times New Roman"/>
        </w:rPr>
        <w:t>)</w:t>
      </w:r>
      <w:r w:rsidR="0055054A">
        <w:rPr>
          <w:rFonts w:ascii="Times New Roman" w:eastAsia="Times New Roman" w:hAnsi="Times New Roman" w:cs="Times New Roman"/>
        </w:rPr>
        <w:t xml:space="preserve">. </w:t>
      </w:r>
      <w:r w:rsidR="00CE20E6">
        <w:rPr>
          <w:rFonts w:ascii="Times New Roman" w:eastAsia="Times New Roman" w:hAnsi="Times New Roman" w:cs="Times New Roman"/>
        </w:rPr>
        <w:t>T</w:t>
      </w:r>
      <w:r w:rsidR="0055054A">
        <w:rPr>
          <w:rFonts w:ascii="Times New Roman" w:eastAsia="Times New Roman" w:hAnsi="Times New Roman" w:cs="Times New Roman"/>
        </w:rPr>
        <w:t xml:space="preserve">hey are also averse to increasing dividends because of the </w:t>
      </w:r>
      <w:r w:rsidR="009219B4">
        <w:rPr>
          <w:rFonts w:ascii="Times New Roman" w:eastAsia="Times New Roman" w:hAnsi="Times New Roman" w:cs="Times New Roman"/>
        </w:rPr>
        <w:t xml:space="preserve">implicit </w:t>
      </w:r>
      <w:r w:rsidR="0055054A">
        <w:rPr>
          <w:rFonts w:ascii="Times New Roman" w:eastAsia="Times New Roman" w:hAnsi="Times New Roman" w:cs="Times New Roman"/>
        </w:rPr>
        <w:t xml:space="preserve">commitment to maintain </w:t>
      </w:r>
      <w:proofErr w:type="spellStart"/>
      <w:r w:rsidR="0055054A">
        <w:rPr>
          <w:rFonts w:ascii="Times New Roman" w:eastAsia="Times New Roman" w:hAnsi="Times New Roman" w:cs="Times New Roman"/>
        </w:rPr>
        <w:t>payouts</w:t>
      </w:r>
      <w:proofErr w:type="spellEnd"/>
      <w:r w:rsidR="009219B4">
        <w:rPr>
          <w:rFonts w:ascii="Times New Roman" w:eastAsia="Times New Roman" w:hAnsi="Times New Roman" w:cs="Times New Roman"/>
        </w:rPr>
        <w:t>,</w:t>
      </w:r>
      <w:r w:rsidR="00CE20E6">
        <w:rPr>
          <w:rFonts w:ascii="Times New Roman" w:eastAsia="Times New Roman" w:hAnsi="Times New Roman" w:cs="Times New Roman"/>
        </w:rPr>
        <w:t xml:space="preserve"> and the negative stock market response later dividend cuts may elicit</w:t>
      </w:r>
      <w:r w:rsidR="0055054A">
        <w:rPr>
          <w:rFonts w:ascii="Times New Roman" w:eastAsia="Times New Roman" w:hAnsi="Times New Roman" w:cs="Times New Roman"/>
        </w:rPr>
        <w:t xml:space="preserve"> (</w:t>
      </w:r>
      <w:proofErr w:type="spellStart"/>
      <w:r w:rsidR="006563CC">
        <w:rPr>
          <w:rFonts w:ascii="Times New Roman" w:eastAsia="Times New Roman" w:hAnsi="Times New Roman" w:cs="Times New Roman"/>
        </w:rPr>
        <w:t>Brav</w:t>
      </w:r>
      <w:proofErr w:type="spellEnd"/>
      <w:r w:rsidR="006563CC">
        <w:rPr>
          <w:rFonts w:ascii="Times New Roman" w:eastAsia="Times New Roman" w:hAnsi="Times New Roman" w:cs="Times New Roman"/>
        </w:rPr>
        <w:t xml:space="preserve"> </w:t>
      </w:r>
      <w:r w:rsidR="006563CC">
        <w:rPr>
          <w:rFonts w:ascii="Times New Roman" w:eastAsia="Times New Roman" w:hAnsi="Times New Roman" w:cs="Times New Roman"/>
          <w:i/>
        </w:rPr>
        <w:t>et al</w:t>
      </w:r>
      <w:r w:rsidR="006563CC">
        <w:rPr>
          <w:rFonts w:ascii="Times New Roman" w:eastAsia="Times New Roman" w:hAnsi="Times New Roman" w:cs="Times New Roman"/>
        </w:rPr>
        <w:t xml:space="preserve">., 2005; </w:t>
      </w:r>
      <w:r w:rsidR="0055054A">
        <w:rPr>
          <w:rFonts w:ascii="Times New Roman" w:eastAsia="Times New Roman" w:hAnsi="Times New Roman" w:cs="Times New Roman"/>
        </w:rPr>
        <w:t xml:space="preserve">Lintner, 1956).  Share repurchases offer an alternative distribution channel </w:t>
      </w:r>
      <w:r w:rsidR="00CE20E6">
        <w:rPr>
          <w:rFonts w:ascii="Times New Roman" w:eastAsia="Times New Roman" w:hAnsi="Times New Roman" w:cs="Times New Roman"/>
        </w:rPr>
        <w:t xml:space="preserve">which does not contain the same commitment as dividends </w:t>
      </w:r>
      <w:r w:rsidR="0055054A">
        <w:rPr>
          <w:rFonts w:ascii="Times New Roman" w:eastAsia="Times New Roman" w:hAnsi="Times New Roman" w:cs="Times New Roman"/>
        </w:rPr>
        <w:t>(</w:t>
      </w:r>
      <w:r w:rsidR="0019262C">
        <w:rPr>
          <w:rFonts w:ascii="Times New Roman" w:eastAsia="Times New Roman" w:hAnsi="Times New Roman" w:cs="Times New Roman"/>
        </w:rPr>
        <w:t xml:space="preserve">Allen </w:t>
      </w:r>
      <w:r w:rsidR="0019262C" w:rsidRPr="0019262C">
        <w:rPr>
          <w:rFonts w:ascii="Times New Roman" w:eastAsia="Times New Roman" w:hAnsi="Times New Roman" w:cs="Times New Roman"/>
          <w:i/>
          <w:iCs/>
        </w:rPr>
        <w:t>et al</w:t>
      </w:r>
      <w:r w:rsidR="0019262C">
        <w:rPr>
          <w:rFonts w:ascii="Times New Roman" w:eastAsia="Times New Roman" w:hAnsi="Times New Roman" w:cs="Times New Roman"/>
        </w:rPr>
        <w:t xml:space="preserve">., 2000; </w:t>
      </w:r>
      <w:r w:rsidR="0055054A">
        <w:rPr>
          <w:rFonts w:ascii="Times New Roman" w:eastAsia="Times New Roman" w:hAnsi="Times New Roman" w:cs="Times New Roman"/>
        </w:rPr>
        <w:t xml:space="preserve">Skinner, 2008). Evidence from the US suggests managers prefer to use transient cash flow gains to fund share repurchases rather than increase dividends (Dittmar, 2000; </w:t>
      </w:r>
      <w:proofErr w:type="spellStart"/>
      <w:r w:rsidR="0055054A">
        <w:rPr>
          <w:rFonts w:ascii="Times New Roman" w:eastAsia="Times New Roman" w:hAnsi="Times New Roman" w:cs="Times New Roman"/>
        </w:rPr>
        <w:t>Guay</w:t>
      </w:r>
      <w:proofErr w:type="spellEnd"/>
      <w:r w:rsidR="0055054A">
        <w:rPr>
          <w:rFonts w:ascii="Times New Roman" w:eastAsia="Times New Roman" w:hAnsi="Times New Roman" w:cs="Times New Roman"/>
        </w:rPr>
        <w:t xml:space="preserve"> and </w:t>
      </w:r>
      <w:proofErr w:type="spellStart"/>
      <w:r w:rsidR="0055054A">
        <w:rPr>
          <w:rFonts w:ascii="Times New Roman" w:eastAsia="Times New Roman" w:hAnsi="Times New Roman" w:cs="Times New Roman"/>
        </w:rPr>
        <w:t>Harford</w:t>
      </w:r>
      <w:proofErr w:type="spellEnd"/>
      <w:r w:rsidR="0055054A">
        <w:rPr>
          <w:rFonts w:ascii="Times New Roman" w:eastAsia="Times New Roman" w:hAnsi="Times New Roman" w:cs="Times New Roman"/>
        </w:rPr>
        <w:t xml:space="preserve">, 2000; Jagannathan </w:t>
      </w:r>
      <w:r w:rsidR="0055054A">
        <w:rPr>
          <w:rFonts w:ascii="Times New Roman" w:eastAsia="Times New Roman" w:hAnsi="Times New Roman" w:cs="Times New Roman"/>
          <w:i/>
        </w:rPr>
        <w:t>et al</w:t>
      </w:r>
      <w:r w:rsidR="0055054A">
        <w:rPr>
          <w:rFonts w:ascii="Times New Roman" w:eastAsia="Times New Roman" w:hAnsi="Times New Roman" w:cs="Times New Roman"/>
        </w:rPr>
        <w:t xml:space="preserve">., 2000). </w:t>
      </w:r>
      <w:r w:rsidR="00CE20E6">
        <w:rPr>
          <w:rFonts w:ascii="Times New Roman" w:eastAsia="Times New Roman" w:hAnsi="Times New Roman" w:cs="Times New Roman"/>
        </w:rPr>
        <w:t xml:space="preserve">However, transient excess cash </w:t>
      </w:r>
      <w:r w:rsidR="00CE20E6">
        <w:rPr>
          <w:rFonts w:ascii="Times New Roman" w:eastAsia="Times New Roman" w:hAnsi="Times New Roman" w:cs="Times New Roman"/>
        </w:rPr>
        <w:lastRenderedPageBreak/>
        <w:t xml:space="preserve">may not be distributed immediately. </w:t>
      </w:r>
      <w:r w:rsidR="0019262C">
        <w:rPr>
          <w:rFonts w:ascii="Times New Roman" w:eastAsia="Times New Roman" w:hAnsi="Times New Roman" w:cs="Times New Roman"/>
        </w:rPr>
        <w:t>Lambrecht and Myers (2017) describe how profitable firms</w:t>
      </w:r>
      <w:r w:rsidR="003E22E5">
        <w:rPr>
          <w:rFonts w:ascii="Times New Roman" w:eastAsia="Times New Roman" w:hAnsi="Times New Roman" w:cs="Times New Roman"/>
        </w:rPr>
        <w:t xml:space="preserve"> over-retain cash and</w:t>
      </w:r>
      <w:r w:rsidR="0019262C">
        <w:rPr>
          <w:rFonts w:ascii="Times New Roman" w:eastAsia="Times New Roman" w:hAnsi="Times New Roman" w:cs="Times New Roman"/>
        </w:rPr>
        <w:t xml:space="preserve"> become ‘cash </w:t>
      </w:r>
      <w:proofErr w:type="gramStart"/>
      <w:r w:rsidR="009219B4">
        <w:rPr>
          <w:rFonts w:ascii="Times New Roman" w:eastAsia="Times New Roman" w:hAnsi="Times New Roman" w:cs="Times New Roman"/>
        </w:rPr>
        <w:t>cows’</w:t>
      </w:r>
      <w:proofErr w:type="gramEnd"/>
      <w:r w:rsidR="0019262C">
        <w:rPr>
          <w:rFonts w:ascii="Times New Roman" w:eastAsia="Times New Roman" w:hAnsi="Times New Roman" w:cs="Times New Roman"/>
        </w:rPr>
        <w:t xml:space="preserve">. </w:t>
      </w:r>
      <w:proofErr w:type="spellStart"/>
      <w:r w:rsidR="00A90A8F">
        <w:rPr>
          <w:rFonts w:ascii="Times New Roman" w:eastAsia="Times New Roman" w:hAnsi="Times New Roman" w:cs="Times New Roman"/>
        </w:rPr>
        <w:t>Chowdry</w:t>
      </w:r>
      <w:proofErr w:type="spellEnd"/>
      <w:r w:rsidR="00A90A8F">
        <w:rPr>
          <w:rFonts w:ascii="Times New Roman" w:eastAsia="Times New Roman" w:hAnsi="Times New Roman" w:cs="Times New Roman"/>
        </w:rPr>
        <w:t xml:space="preserve"> and Nanda (1994</w:t>
      </w:r>
      <w:r w:rsidR="000B7796">
        <w:rPr>
          <w:rFonts w:ascii="Times New Roman" w:eastAsia="Times New Roman" w:hAnsi="Times New Roman" w:cs="Times New Roman"/>
        </w:rPr>
        <w:t>: 322</w:t>
      </w:r>
      <w:r w:rsidR="00A90A8F">
        <w:rPr>
          <w:rFonts w:ascii="Times New Roman" w:eastAsia="Times New Roman" w:hAnsi="Times New Roman" w:cs="Times New Roman"/>
        </w:rPr>
        <w:t xml:space="preserve">) propose that firms </w:t>
      </w:r>
      <w:r w:rsidR="00501D9C">
        <w:rPr>
          <w:rFonts w:ascii="Times New Roman" w:eastAsia="Times New Roman" w:hAnsi="Times New Roman" w:cs="Times New Roman"/>
        </w:rPr>
        <w:t>‘</w:t>
      </w:r>
      <w:r w:rsidR="00A90A8F" w:rsidRPr="00CE5AD1">
        <w:rPr>
          <w:rFonts w:ascii="Times New Roman" w:eastAsia="Times New Roman" w:hAnsi="Times New Roman" w:cs="Times New Roman"/>
          <w:i/>
          <w:iCs/>
        </w:rPr>
        <w:t xml:space="preserve">carry </w:t>
      </w:r>
      <w:r w:rsidR="00501D9C" w:rsidRPr="00CE5AD1">
        <w:rPr>
          <w:rFonts w:ascii="Times New Roman" w:eastAsia="Times New Roman" w:hAnsi="Times New Roman" w:cs="Times New Roman"/>
          <w:i/>
          <w:iCs/>
        </w:rPr>
        <w:t xml:space="preserve">cash through time so </w:t>
      </w:r>
      <w:r w:rsidR="0019262C">
        <w:rPr>
          <w:rFonts w:ascii="Times New Roman" w:eastAsia="Times New Roman" w:hAnsi="Times New Roman" w:cs="Times New Roman"/>
          <w:i/>
          <w:iCs/>
        </w:rPr>
        <w:t>a</w:t>
      </w:r>
      <w:r w:rsidR="00501D9C" w:rsidRPr="00CE5AD1">
        <w:rPr>
          <w:rFonts w:ascii="Times New Roman" w:eastAsia="Times New Roman" w:hAnsi="Times New Roman" w:cs="Times New Roman"/>
          <w:i/>
          <w:iCs/>
        </w:rPr>
        <w:t>s to be able to distribute it in the form of repurchases at appropriate time</w:t>
      </w:r>
      <w:r w:rsidR="00501D9C">
        <w:rPr>
          <w:rFonts w:ascii="Times New Roman" w:eastAsia="Times New Roman" w:hAnsi="Times New Roman" w:cs="Times New Roman"/>
          <w:i/>
          <w:iCs/>
        </w:rPr>
        <w:t>s</w:t>
      </w:r>
      <w:r w:rsidR="00501D9C">
        <w:rPr>
          <w:rFonts w:ascii="Times New Roman" w:eastAsia="Times New Roman" w:hAnsi="Times New Roman" w:cs="Times New Roman"/>
        </w:rPr>
        <w:t>’, i.e., when the stock price is low, or the accumulation of cash reaches an upper endogenous limit</w:t>
      </w:r>
      <w:r w:rsidR="007C720E">
        <w:rPr>
          <w:rFonts w:ascii="Times New Roman" w:eastAsia="Times New Roman" w:hAnsi="Times New Roman" w:cs="Times New Roman"/>
        </w:rPr>
        <w:t xml:space="preserve">. Bolton </w:t>
      </w:r>
      <w:r w:rsidR="007C720E" w:rsidRPr="00512ED7">
        <w:rPr>
          <w:rFonts w:ascii="Times New Roman" w:eastAsia="Times New Roman" w:hAnsi="Times New Roman" w:cs="Times New Roman"/>
          <w:i/>
          <w:iCs/>
        </w:rPr>
        <w:t>et</w:t>
      </w:r>
      <w:r w:rsidR="00501D9C" w:rsidRPr="00512ED7">
        <w:rPr>
          <w:rFonts w:ascii="Times New Roman" w:eastAsia="Times New Roman" w:hAnsi="Times New Roman" w:cs="Times New Roman"/>
          <w:i/>
          <w:iCs/>
        </w:rPr>
        <w:t xml:space="preserve"> </w:t>
      </w:r>
      <w:r w:rsidR="007C720E" w:rsidRPr="00512ED7">
        <w:rPr>
          <w:rFonts w:ascii="Times New Roman" w:eastAsia="Times New Roman" w:hAnsi="Times New Roman" w:cs="Times New Roman"/>
          <w:i/>
          <w:iCs/>
        </w:rPr>
        <w:t>al</w:t>
      </w:r>
      <w:r w:rsidR="007C720E">
        <w:rPr>
          <w:rFonts w:ascii="Times New Roman" w:eastAsia="Times New Roman" w:hAnsi="Times New Roman" w:cs="Times New Roman"/>
        </w:rPr>
        <w:t xml:space="preserve">. (2011) also demonstrate that firms pay out cash only when holdings are so large as to incur burdensome costs. Theory therefore suggests </w:t>
      </w:r>
      <w:r w:rsidR="00501D9C">
        <w:rPr>
          <w:rFonts w:ascii="Times New Roman" w:eastAsia="Times New Roman" w:hAnsi="Times New Roman" w:cs="Times New Roman"/>
        </w:rPr>
        <w:t xml:space="preserve">a positive association between excess cash and share repurchase activity. </w:t>
      </w:r>
      <w:r w:rsidR="007C720E">
        <w:rPr>
          <w:rFonts w:ascii="Times New Roman" w:eastAsia="Times New Roman" w:hAnsi="Times New Roman" w:cs="Times New Roman"/>
        </w:rPr>
        <w:t xml:space="preserve">Empirical </w:t>
      </w:r>
      <w:r w:rsidR="0055054A">
        <w:rPr>
          <w:rFonts w:ascii="Times New Roman" w:eastAsia="Times New Roman" w:hAnsi="Times New Roman" w:cs="Times New Roman"/>
        </w:rPr>
        <w:t xml:space="preserve">UK research from prior to the regulatory changes of 2003 </w:t>
      </w:r>
      <w:r w:rsidR="00CE20E6">
        <w:rPr>
          <w:rFonts w:ascii="Times New Roman" w:eastAsia="Times New Roman" w:hAnsi="Times New Roman" w:cs="Times New Roman"/>
        </w:rPr>
        <w:t xml:space="preserve">is supportive of theory, </w:t>
      </w:r>
      <w:r w:rsidR="0055054A">
        <w:rPr>
          <w:rFonts w:ascii="Times New Roman" w:eastAsia="Times New Roman" w:hAnsi="Times New Roman" w:cs="Times New Roman"/>
        </w:rPr>
        <w:t>report</w:t>
      </w:r>
      <w:r w:rsidR="00CE20E6">
        <w:rPr>
          <w:rFonts w:ascii="Times New Roman" w:eastAsia="Times New Roman" w:hAnsi="Times New Roman" w:cs="Times New Roman"/>
        </w:rPr>
        <w:t>ing</w:t>
      </w:r>
      <w:r w:rsidR="0055054A">
        <w:rPr>
          <w:rFonts w:ascii="Times New Roman" w:eastAsia="Times New Roman" w:hAnsi="Times New Roman" w:cs="Times New Roman"/>
        </w:rPr>
        <w:t xml:space="preserve"> a positive association between surplus cash and share repurchase activity (Oswald and Young, 2008).  Dixon </w:t>
      </w:r>
      <w:r w:rsidR="0055054A">
        <w:rPr>
          <w:rFonts w:ascii="Times New Roman" w:eastAsia="Times New Roman" w:hAnsi="Times New Roman" w:cs="Times New Roman"/>
          <w:i/>
        </w:rPr>
        <w:t>et al</w:t>
      </w:r>
      <w:r w:rsidR="0055054A">
        <w:rPr>
          <w:rFonts w:ascii="Times New Roman" w:eastAsia="Times New Roman" w:hAnsi="Times New Roman" w:cs="Times New Roman"/>
        </w:rPr>
        <w:t>. (2008) report that returning excess cash to shareholders is ranked third in reasons for share repurchases by large UK firms.  We test this on our sample with our second prediction:</w:t>
      </w:r>
    </w:p>
    <w:tbl>
      <w:tblPr>
        <w:tblStyle w:val="18"/>
        <w:tblW w:w="9015" w:type="dxa"/>
        <w:tblBorders>
          <w:top w:val="nil"/>
          <w:left w:val="nil"/>
          <w:bottom w:val="nil"/>
          <w:right w:val="nil"/>
          <w:insideH w:val="nil"/>
          <w:insideV w:val="nil"/>
        </w:tblBorders>
        <w:tblLayout w:type="fixed"/>
        <w:tblLook w:val="0400" w:firstRow="0" w:lastRow="0" w:firstColumn="0" w:lastColumn="0" w:noHBand="0" w:noVBand="1"/>
      </w:tblPr>
      <w:tblGrid>
        <w:gridCol w:w="1554"/>
        <w:gridCol w:w="7461"/>
      </w:tblGrid>
      <w:tr w:rsidR="00A707CF" w14:paraId="7D0D1769" w14:textId="77777777">
        <w:tc>
          <w:tcPr>
            <w:tcW w:w="1554" w:type="dxa"/>
          </w:tcPr>
          <w:p w14:paraId="499FBB6B" w14:textId="77777777" w:rsidR="00A707CF" w:rsidRDefault="0055054A" w:rsidP="00E87442">
            <w:pPr>
              <w:spacing w:after="120" w:line="480" w:lineRule="auto"/>
              <w:jc w:val="both"/>
              <w:rPr>
                <w:rFonts w:ascii="Times New Roman" w:eastAsia="Times New Roman" w:hAnsi="Times New Roman" w:cs="Times New Roman"/>
                <w:b/>
                <w:i/>
                <w:sz w:val="24"/>
                <w:szCs w:val="24"/>
              </w:rPr>
            </w:pPr>
            <w:bookmarkStart w:id="3" w:name="_heading=h.1fob9te" w:colFirst="0" w:colLast="0"/>
            <w:bookmarkEnd w:id="3"/>
            <w:r>
              <w:rPr>
                <w:rFonts w:ascii="Times New Roman" w:eastAsia="Times New Roman" w:hAnsi="Times New Roman" w:cs="Times New Roman"/>
                <w:b/>
                <w:i/>
                <w:sz w:val="24"/>
                <w:szCs w:val="24"/>
              </w:rPr>
              <w:t>Prediction 2:</w:t>
            </w:r>
          </w:p>
        </w:tc>
        <w:tc>
          <w:tcPr>
            <w:tcW w:w="7461" w:type="dxa"/>
          </w:tcPr>
          <w:p w14:paraId="0FE5C6EC" w14:textId="77777777" w:rsidR="00A707CF" w:rsidRDefault="0055054A" w:rsidP="00E87442">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Share repurchase activity will be greater in firms with more excess cash.</w:t>
            </w:r>
          </w:p>
        </w:tc>
      </w:tr>
    </w:tbl>
    <w:bookmarkEnd w:id="2"/>
    <w:p w14:paraId="37956708" w14:textId="77777777" w:rsidR="00A707CF" w:rsidRDefault="0055054A" w:rsidP="00E87442">
      <w:pPr>
        <w:spacing w:after="280" w:line="480" w:lineRule="auto"/>
        <w:ind w:left="1" w:firstLine="397"/>
        <w:jc w:val="both"/>
        <w:rPr>
          <w:rFonts w:ascii="Times New Roman" w:eastAsia="Times New Roman" w:hAnsi="Times New Roman" w:cs="Times New Roman"/>
          <w:i/>
        </w:rPr>
      </w:pPr>
      <w:r>
        <w:rPr>
          <w:rFonts w:ascii="Times New Roman" w:eastAsia="Times New Roman" w:hAnsi="Times New Roman" w:cs="Times New Roman"/>
          <w:i/>
        </w:rPr>
        <w:t>3.3 The investment hypothesis (H3)</w:t>
      </w:r>
    </w:p>
    <w:p w14:paraId="799E7917" w14:textId="055826E0"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availability of investment opportunities is likely to influence shareholder distribution decisions.  </w:t>
      </w:r>
      <w:r w:rsidR="00647E06">
        <w:rPr>
          <w:rFonts w:ascii="Times New Roman" w:eastAsia="Times New Roman" w:hAnsi="Times New Roman" w:cs="Times New Roman"/>
        </w:rPr>
        <w:t xml:space="preserve">Bolton </w:t>
      </w:r>
      <w:r w:rsidR="00647E06" w:rsidRPr="00286706">
        <w:rPr>
          <w:rFonts w:ascii="Times New Roman" w:eastAsia="Times New Roman" w:hAnsi="Times New Roman" w:cs="Times New Roman"/>
          <w:i/>
          <w:iCs/>
        </w:rPr>
        <w:t>et al</w:t>
      </w:r>
      <w:r w:rsidR="00647E06">
        <w:rPr>
          <w:rFonts w:ascii="Times New Roman" w:eastAsia="Times New Roman" w:hAnsi="Times New Roman" w:cs="Times New Roman"/>
        </w:rPr>
        <w:t xml:space="preserve">. (2011) and Oded (2020) demonstrate theoretically that cash retention is higher when the firm anticipates future investment opportunities. </w:t>
      </w:r>
      <w:r>
        <w:rPr>
          <w:rFonts w:ascii="Times New Roman" w:eastAsia="Times New Roman" w:hAnsi="Times New Roman" w:cs="Times New Roman"/>
        </w:rPr>
        <w:t>Conversely, where a company has limited investment opportunities, they are more likely to repurchase their own shares</w:t>
      </w:r>
      <w:r w:rsidR="0065236D">
        <w:rPr>
          <w:rFonts w:ascii="Times New Roman" w:eastAsia="Times New Roman" w:hAnsi="Times New Roman" w:cs="Times New Roman"/>
        </w:rPr>
        <w:t xml:space="preserve">, </w:t>
      </w:r>
      <w:r w:rsidR="0065236D" w:rsidRPr="0065236D">
        <w:rPr>
          <w:rFonts w:ascii="Times New Roman" w:eastAsia="Times New Roman" w:hAnsi="Times New Roman" w:cs="Times New Roman"/>
          <w:i/>
          <w:iCs/>
        </w:rPr>
        <w:t>unless</w:t>
      </w:r>
      <w:r w:rsidR="0065236D">
        <w:rPr>
          <w:rFonts w:ascii="Times New Roman" w:eastAsia="Times New Roman" w:hAnsi="Times New Roman" w:cs="Times New Roman"/>
        </w:rPr>
        <w:t xml:space="preserve"> they are over-valued, in which case managers may elect to waste free cash (Oded, 2020)</w:t>
      </w:r>
      <w:r>
        <w:rPr>
          <w:rFonts w:ascii="Times New Roman" w:eastAsia="Times New Roman" w:hAnsi="Times New Roman" w:cs="Times New Roman"/>
        </w:rPr>
        <w:t xml:space="preserve">. </w:t>
      </w:r>
      <w:r w:rsidR="00647E06">
        <w:rPr>
          <w:rFonts w:ascii="Times New Roman" w:eastAsia="Times New Roman" w:hAnsi="Times New Roman" w:cs="Times New Roman"/>
        </w:rPr>
        <w:t xml:space="preserve">Empirical work is </w:t>
      </w:r>
      <w:r w:rsidR="00432B0B">
        <w:rPr>
          <w:rFonts w:ascii="Times New Roman" w:eastAsia="Times New Roman" w:hAnsi="Times New Roman" w:cs="Times New Roman"/>
        </w:rPr>
        <w:t xml:space="preserve">again </w:t>
      </w:r>
      <w:r w:rsidR="00647E06">
        <w:rPr>
          <w:rFonts w:ascii="Times New Roman" w:eastAsia="Times New Roman" w:hAnsi="Times New Roman" w:cs="Times New Roman"/>
        </w:rPr>
        <w:t>supportive of theory</w:t>
      </w:r>
      <w:r w:rsidR="00432B0B">
        <w:rPr>
          <w:rFonts w:ascii="Times New Roman" w:eastAsia="Times New Roman" w:hAnsi="Times New Roman" w:cs="Times New Roman"/>
        </w:rPr>
        <w:t xml:space="preserve"> in this regard</w:t>
      </w:r>
      <w:r w:rsidR="00647E06">
        <w:rPr>
          <w:rFonts w:ascii="Times New Roman" w:eastAsia="Times New Roman" w:hAnsi="Times New Roman" w:cs="Times New Roman"/>
        </w:rPr>
        <w:t>. A lack of investment opportunities for available cash was ranked 5</w:t>
      </w:r>
      <w:r w:rsidR="00647E06">
        <w:rPr>
          <w:rFonts w:ascii="Times New Roman" w:eastAsia="Times New Roman" w:hAnsi="Times New Roman" w:cs="Times New Roman"/>
          <w:vertAlign w:val="superscript"/>
        </w:rPr>
        <w:t>th</w:t>
      </w:r>
      <w:r w:rsidR="00647E06">
        <w:rPr>
          <w:rFonts w:ascii="Times New Roman" w:eastAsia="Times New Roman" w:hAnsi="Times New Roman" w:cs="Times New Roman"/>
        </w:rPr>
        <w:t xml:space="preserve"> as a reason for UK share buybacks by repurchasing firms in the survey by Dixon </w:t>
      </w:r>
      <w:r w:rsidR="00647E06">
        <w:rPr>
          <w:rFonts w:ascii="Times New Roman" w:eastAsia="Times New Roman" w:hAnsi="Times New Roman" w:cs="Times New Roman"/>
          <w:i/>
        </w:rPr>
        <w:t>et al</w:t>
      </w:r>
      <w:r w:rsidR="00647E06">
        <w:rPr>
          <w:rFonts w:ascii="Times New Roman" w:eastAsia="Times New Roman" w:hAnsi="Times New Roman" w:cs="Times New Roman"/>
        </w:rPr>
        <w:t xml:space="preserve">. (2008). Using Tobin’s Q (market-to-book ratio) as a proxy for the presence of profitable investment opportunities, both Oswald and Young (2008), and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w:t>
      </w:r>
      <w:r w:rsidR="00647E06">
        <w:rPr>
          <w:rFonts w:ascii="Times New Roman" w:eastAsia="Times New Roman" w:hAnsi="Times New Roman" w:cs="Times New Roman"/>
        </w:rPr>
        <w:t>,</w:t>
      </w:r>
      <w:r>
        <w:rPr>
          <w:rFonts w:ascii="Times New Roman" w:eastAsia="Times New Roman" w:hAnsi="Times New Roman" w:cs="Times New Roman"/>
        </w:rPr>
        <w:t xml:space="preserve"> </w:t>
      </w:r>
      <w:r w:rsidR="00647E06">
        <w:rPr>
          <w:rFonts w:ascii="Times New Roman" w:eastAsia="Times New Roman" w:hAnsi="Times New Roman" w:cs="Times New Roman"/>
        </w:rPr>
        <w:t>report</w:t>
      </w:r>
      <w:r>
        <w:rPr>
          <w:rFonts w:ascii="Times New Roman" w:eastAsia="Times New Roman" w:hAnsi="Times New Roman" w:cs="Times New Roman"/>
        </w:rPr>
        <w:t xml:space="preserve"> that firms with fewer investment opportunities are more likely to repurchase their own shares.  Following these studies, we use the market-to-book ratio as our proxy for investment opportunities and predict the following:</w:t>
      </w:r>
    </w:p>
    <w:tbl>
      <w:tblPr>
        <w:tblStyle w:val="17"/>
        <w:tblW w:w="9015" w:type="dxa"/>
        <w:tblBorders>
          <w:top w:val="nil"/>
          <w:left w:val="nil"/>
          <w:bottom w:val="nil"/>
          <w:right w:val="nil"/>
          <w:insideH w:val="nil"/>
          <w:insideV w:val="nil"/>
        </w:tblBorders>
        <w:tblLayout w:type="fixed"/>
        <w:tblLook w:val="0400" w:firstRow="0" w:lastRow="0" w:firstColumn="0" w:lastColumn="0" w:noHBand="0" w:noVBand="1"/>
      </w:tblPr>
      <w:tblGrid>
        <w:gridCol w:w="1554"/>
        <w:gridCol w:w="7461"/>
      </w:tblGrid>
      <w:tr w:rsidR="00A707CF" w14:paraId="659D6DFA" w14:textId="77777777">
        <w:tc>
          <w:tcPr>
            <w:tcW w:w="1554" w:type="dxa"/>
          </w:tcPr>
          <w:p w14:paraId="4F9869BB" w14:textId="77777777" w:rsidR="00A707CF" w:rsidRDefault="0055054A" w:rsidP="00E87442">
            <w:pPr>
              <w:spacing w:after="120" w:line="480" w:lineRule="auto"/>
              <w:jc w:val="both"/>
              <w:rPr>
                <w:rFonts w:ascii="Times New Roman" w:eastAsia="Times New Roman" w:hAnsi="Times New Roman" w:cs="Times New Roman"/>
                <w:b/>
                <w:i/>
                <w:sz w:val="24"/>
                <w:szCs w:val="24"/>
              </w:rPr>
            </w:pPr>
            <w:bookmarkStart w:id="4" w:name="_heading=h.3znysh7" w:colFirst="0" w:colLast="0"/>
            <w:bookmarkEnd w:id="4"/>
            <w:r>
              <w:rPr>
                <w:rFonts w:ascii="Times New Roman" w:eastAsia="Times New Roman" w:hAnsi="Times New Roman" w:cs="Times New Roman"/>
                <w:b/>
                <w:i/>
                <w:sz w:val="24"/>
                <w:szCs w:val="24"/>
              </w:rPr>
              <w:t>Prediction 3:</w:t>
            </w:r>
          </w:p>
        </w:tc>
        <w:tc>
          <w:tcPr>
            <w:tcW w:w="7461" w:type="dxa"/>
          </w:tcPr>
          <w:p w14:paraId="251D06DF" w14:textId="77777777" w:rsidR="00A707CF" w:rsidRDefault="0055054A" w:rsidP="00E87442">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Share repurchase activity will be greater in firms with lower market-to-book ratios.</w:t>
            </w:r>
          </w:p>
        </w:tc>
      </w:tr>
    </w:tbl>
    <w:p w14:paraId="63910F46" w14:textId="77777777" w:rsidR="00A707CF" w:rsidRDefault="00A707CF" w:rsidP="00E87442">
      <w:pPr>
        <w:spacing w:after="0" w:line="480" w:lineRule="auto"/>
        <w:jc w:val="both"/>
        <w:rPr>
          <w:rFonts w:ascii="Times New Roman" w:eastAsia="Times New Roman" w:hAnsi="Times New Roman" w:cs="Times New Roman"/>
          <w:i/>
        </w:rPr>
      </w:pPr>
    </w:p>
    <w:p w14:paraId="4F03C925" w14:textId="3BCEE8A1" w:rsidR="00A707C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3.4 The undervaluation hypothesis (H4)</w:t>
      </w:r>
    </w:p>
    <w:p w14:paraId="3A44A0E0" w14:textId="37E56339" w:rsidR="004A21DD" w:rsidRDefault="004A21DD"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There are two </w:t>
      </w:r>
      <w:r w:rsidR="007511F8">
        <w:rPr>
          <w:rFonts w:ascii="Times New Roman" w:eastAsia="Times New Roman" w:hAnsi="Times New Roman" w:cs="Times New Roman"/>
        </w:rPr>
        <w:t xml:space="preserve">main </w:t>
      </w:r>
      <w:r>
        <w:rPr>
          <w:rFonts w:ascii="Times New Roman" w:eastAsia="Times New Roman" w:hAnsi="Times New Roman" w:cs="Times New Roman"/>
        </w:rPr>
        <w:t xml:space="preserve">reasons why a firm may repurchase shares when they are relatively low in price: one is to signal undervaluation; the other is to </w:t>
      </w:r>
      <w:r w:rsidR="007511F8">
        <w:rPr>
          <w:rFonts w:ascii="Times New Roman" w:eastAsia="Times New Roman" w:hAnsi="Times New Roman" w:cs="Times New Roman"/>
        </w:rPr>
        <w:t xml:space="preserve">take advantage of a low share price to </w:t>
      </w:r>
      <w:r>
        <w:rPr>
          <w:rFonts w:ascii="Times New Roman" w:eastAsia="Times New Roman" w:hAnsi="Times New Roman" w:cs="Times New Roman"/>
        </w:rPr>
        <w:t>execute planned repurchases. We examine each of these in turn.</w:t>
      </w:r>
    </w:p>
    <w:p w14:paraId="64BCE616" w14:textId="1006A193" w:rsidR="004A21DD" w:rsidRDefault="004A21DD" w:rsidP="00E87442">
      <w:pPr>
        <w:pStyle w:val="ListParagraph"/>
        <w:numPr>
          <w:ilvl w:val="0"/>
          <w:numId w:val="2"/>
        </w:numPr>
        <w:spacing w:after="280" w:line="480" w:lineRule="auto"/>
        <w:jc w:val="both"/>
        <w:rPr>
          <w:rFonts w:ascii="Times New Roman" w:eastAsia="Times New Roman" w:hAnsi="Times New Roman" w:cs="Times New Roman"/>
        </w:rPr>
      </w:pPr>
      <w:r>
        <w:rPr>
          <w:rFonts w:ascii="Times New Roman" w:eastAsia="Times New Roman" w:hAnsi="Times New Roman" w:cs="Times New Roman"/>
        </w:rPr>
        <w:t>Signalling</w:t>
      </w:r>
    </w:p>
    <w:p w14:paraId="59DF5AF3" w14:textId="57348427" w:rsidR="00AC1338" w:rsidRDefault="00F41209" w:rsidP="00E87442">
      <w:pPr>
        <w:spacing w:after="280" w:line="480" w:lineRule="auto"/>
        <w:jc w:val="both"/>
        <w:rPr>
          <w:rFonts w:ascii="Times New Roman" w:eastAsia="Times New Roman" w:hAnsi="Times New Roman" w:cs="Times New Roman"/>
        </w:rPr>
      </w:pPr>
      <w:r>
        <w:rPr>
          <w:rFonts w:ascii="Times New Roman" w:eastAsia="Times New Roman" w:hAnsi="Times New Roman" w:cs="Times New Roman"/>
        </w:rPr>
        <w:t xml:space="preserve">According to the argument developed by </w:t>
      </w:r>
      <w:proofErr w:type="spellStart"/>
      <w:r>
        <w:rPr>
          <w:rFonts w:ascii="Times New Roman" w:eastAsia="Times New Roman" w:hAnsi="Times New Roman" w:cs="Times New Roman"/>
        </w:rPr>
        <w:t>Akerlof</w:t>
      </w:r>
      <w:proofErr w:type="spellEnd"/>
      <w:r>
        <w:rPr>
          <w:rFonts w:ascii="Times New Roman" w:eastAsia="Times New Roman" w:hAnsi="Times New Roman" w:cs="Times New Roman"/>
        </w:rPr>
        <w:t xml:space="preserve"> (1970)</w:t>
      </w:r>
      <w:r w:rsidR="003A15F5">
        <w:rPr>
          <w:rFonts w:ascii="Times New Roman" w:eastAsia="Times New Roman" w:hAnsi="Times New Roman" w:cs="Times New Roman"/>
        </w:rPr>
        <w:t>,</w:t>
      </w:r>
      <w:r>
        <w:rPr>
          <w:rFonts w:ascii="Times New Roman" w:eastAsia="Times New Roman" w:hAnsi="Times New Roman" w:cs="Times New Roman"/>
        </w:rPr>
        <w:t xml:space="preserve"> w</w:t>
      </w:r>
      <w:r w:rsidR="00745BD2">
        <w:rPr>
          <w:rFonts w:ascii="Times New Roman" w:eastAsia="Times New Roman" w:hAnsi="Times New Roman" w:cs="Times New Roman"/>
        </w:rPr>
        <w:t>here there is asymmetry of information between firm managers and capital markets, managers</w:t>
      </w:r>
      <w:r>
        <w:rPr>
          <w:rFonts w:ascii="Times New Roman" w:eastAsia="Times New Roman" w:hAnsi="Times New Roman" w:cs="Times New Roman"/>
        </w:rPr>
        <w:t xml:space="preserve"> of </w:t>
      </w:r>
      <w:r w:rsidR="00786F31">
        <w:rPr>
          <w:rFonts w:ascii="Times New Roman" w:eastAsia="Times New Roman" w:hAnsi="Times New Roman" w:cs="Times New Roman"/>
        </w:rPr>
        <w:t>high-quality</w:t>
      </w:r>
      <w:r>
        <w:rPr>
          <w:rFonts w:ascii="Times New Roman" w:eastAsia="Times New Roman" w:hAnsi="Times New Roman" w:cs="Times New Roman"/>
        </w:rPr>
        <w:t xml:space="preserve"> firms may wish to signal their quality in order that market participants can differentiate them from poor quality firms</w:t>
      </w:r>
      <w:r w:rsidR="008442A8">
        <w:rPr>
          <w:rFonts w:ascii="Times New Roman" w:eastAsia="Times New Roman" w:hAnsi="Times New Roman" w:cs="Times New Roman"/>
        </w:rPr>
        <w:t xml:space="preserve"> </w:t>
      </w:r>
      <w:r w:rsidR="00871D71">
        <w:rPr>
          <w:rFonts w:ascii="Times New Roman" w:eastAsia="Times New Roman" w:hAnsi="Times New Roman" w:cs="Times New Roman"/>
        </w:rPr>
        <w:t>(Oded, 2005)</w:t>
      </w:r>
      <w:r>
        <w:rPr>
          <w:rFonts w:ascii="Times New Roman" w:eastAsia="Times New Roman" w:hAnsi="Times New Roman" w:cs="Times New Roman"/>
        </w:rPr>
        <w:t xml:space="preserve">.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any signal to be credible, it must be prohibitively costly for lower quality firms to mimic (Comment and Jarrell, 1991).  Firms may </w:t>
      </w:r>
      <w:r w:rsidR="00745BD2">
        <w:rPr>
          <w:rFonts w:ascii="Times New Roman" w:eastAsia="Times New Roman" w:hAnsi="Times New Roman" w:cs="Times New Roman"/>
        </w:rPr>
        <w:t>signal undervaluation of their firm’s shares by making repurchases (</w:t>
      </w:r>
      <w:proofErr w:type="spellStart"/>
      <w:r w:rsidR="00745BD2">
        <w:rPr>
          <w:rFonts w:ascii="Times New Roman" w:eastAsia="Times New Roman" w:hAnsi="Times New Roman" w:cs="Times New Roman"/>
        </w:rPr>
        <w:t>Ikenberry</w:t>
      </w:r>
      <w:proofErr w:type="spellEnd"/>
      <w:r w:rsidR="00745BD2">
        <w:rPr>
          <w:rFonts w:ascii="Times New Roman" w:eastAsia="Times New Roman" w:hAnsi="Times New Roman" w:cs="Times New Roman"/>
        </w:rPr>
        <w:t xml:space="preserve"> </w:t>
      </w:r>
      <w:r w:rsidR="00745BD2">
        <w:rPr>
          <w:rFonts w:ascii="Times New Roman" w:eastAsia="Times New Roman" w:hAnsi="Times New Roman" w:cs="Times New Roman"/>
          <w:i/>
        </w:rPr>
        <w:t>et al</w:t>
      </w:r>
      <w:r w:rsidR="00745BD2">
        <w:rPr>
          <w:rFonts w:ascii="Times New Roman" w:eastAsia="Times New Roman" w:hAnsi="Times New Roman" w:cs="Times New Roman"/>
        </w:rPr>
        <w:t>., 1995</w:t>
      </w:r>
      <w:r w:rsidR="00432B0B">
        <w:rPr>
          <w:rFonts w:ascii="Times New Roman" w:eastAsia="Times New Roman" w:hAnsi="Times New Roman" w:cs="Times New Roman"/>
        </w:rPr>
        <w:t>).</w:t>
      </w:r>
      <w:r>
        <w:rPr>
          <w:rFonts w:ascii="Times New Roman" w:eastAsia="Times New Roman" w:hAnsi="Times New Roman" w:cs="Times New Roman"/>
        </w:rPr>
        <w:t xml:space="preserve"> The cost to low value firm</w:t>
      </w:r>
      <w:r w:rsidR="007D00C1">
        <w:rPr>
          <w:rFonts w:ascii="Times New Roman" w:eastAsia="Times New Roman" w:hAnsi="Times New Roman" w:cs="Times New Roman"/>
        </w:rPr>
        <w:t>s</w:t>
      </w:r>
      <w:r>
        <w:rPr>
          <w:rFonts w:ascii="Times New Roman" w:eastAsia="Times New Roman" w:hAnsi="Times New Roman" w:cs="Times New Roman"/>
        </w:rPr>
        <w:t xml:space="preserve"> in trying to mimic this would be </w:t>
      </w:r>
      <w:r w:rsidR="007D00C1">
        <w:rPr>
          <w:rFonts w:ascii="Times New Roman" w:eastAsia="Times New Roman" w:hAnsi="Times New Roman" w:cs="Times New Roman"/>
        </w:rPr>
        <w:t xml:space="preserve">them </w:t>
      </w:r>
      <w:r>
        <w:rPr>
          <w:rFonts w:ascii="Times New Roman" w:eastAsia="Times New Roman" w:hAnsi="Times New Roman" w:cs="Times New Roman"/>
        </w:rPr>
        <w:t>buying back their own shares at no discount, and possibly at a premium to true value</w:t>
      </w:r>
      <w:r w:rsidR="00B748AB">
        <w:rPr>
          <w:rFonts w:ascii="Times New Roman" w:eastAsia="Times New Roman" w:hAnsi="Times New Roman" w:cs="Times New Roman"/>
        </w:rPr>
        <w:t xml:space="preserve"> (Oded, 2005)</w:t>
      </w:r>
      <w:r>
        <w:rPr>
          <w:rFonts w:ascii="Times New Roman" w:eastAsia="Times New Roman" w:hAnsi="Times New Roman" w:cs="Times New Roman"/>
        </w:rPr>
        <w:t>.</w:t>
      </w:r>
      <w:r w:rsidR="008C17F9">
        <w:rPr>
          <w:rFonts w:ascii="Times New Roman" w:eastAsia="Times New Roman" w:hAnsi="Times New Roman" w:cs="Times New Roman"/>
        </w:rPr>
        <w:t xml:space="preserve"> </w:t>
      </w:r>
      <w:r w:rsidR="00AC1338">
        <w:rPr>
          <w:rFonts w:ascii="Times New Roman" w:eastAsia="Times New Roman" w:hAnsi="Times New Roman" w:cs="Times New Roman"/>
        </w:rPr>
        <w:t xml:space="preserve">A further cost of signalling </w:t>
      </w:r>
      <w:r w:rsidR="00AC1338" w:rsidRPr="00CE5AD1">
        <w:rPr>
          <w:rFonts w:ascii="Times New Roman" w:eastAsia="Times New Roman" w:hAnsi="Times New Roman" w:cs="Times New Roman"/>
          <w:i/>
          <w:iCs/>
        </w:rPr>
        <w:t>via</w:t>
      </w:r>
      <w:r w:rsidR="00AC1338">
        <w:rPr>
          <w:rFonts w:ascii="Times New Roman" w:eastAsia="Times New Roman" w:hAnsi="Times New Roman" w:cs="Times New Roman"/>
        </w:rPr>
        <w:t xml:space="preserve"> repurchases is imposed upon managers personally, who </w:t>
      </w:r>
      <w:r w:rsidR="008442A8">
        <w:rPr>
          <w:rFonts w:ascii="Times New Roman" w:eastAsia="Times New Roman" w:hAnsi="Times New Roman" w:cs="Times New Roman"/>
        </w:rPr>
        <w:t xml:space="preserve">often </w:t>
      </w:r>
      <w:r w:rsidR="00AC1338">
        <w:rPr>
          <w:rFonts w:ascii="Times New Roman" w:eastAsia="Times New Roman" w:hAnsi="Times New Roman" w:cs="Times New Roman"/>
        </w:rPr>
        <w:t>commit not to trade their own shares during a repurchase period</w:t>
      </w:r>
      <w:r w:rsidR="008442A8">
        <w:rPr>
          <w:rFonts w:ascii="Times New Roman" w:eastAsia="Times New Roman" w:hAnsi="Times New Roman" w:cs="Times New Roman"/>
        </w:rPr>
        <w:t xml:space="preserve">. </w:t>
      </w:r>
      <w:r w:rsidR="00AC1338">
        <w:rPr>
          <w:rFonts w:ascii="Times New Roman" w:eastAsia="Times New Roman" w:hAnsi="Times New Roman" w:cs="Times New Roman"/>
        </w:rPr>
        <w:t xml:space="preserve">Following the repurchase, managers </w:t>
      </w:r>
      <w:r w:rsidR="008442A8">
        <w:rPr>
          <w:rFonts w:ascii="Times New Roman" w:eastAsia="Times New Roman" w:hAnsi="Times New Roman" w:cs="Times New Roman"/>
        </w:rPr>
        <w:t xml:space="preserve">therefore </w:t>
      </w:r>
      <w:r w:rsidR="00AC1338">
        <w:rPr>
          <w:rFonts w:ascii="Times New Roman" w:eastAsia="Times New Roman" w:hAnsi="Times New Roman" w:cs="Times New Roman"/>
        </w:rPr>
        <w:t>own a larger fraction of the firm, increasing their undiversified risk exposure (</w:t>
      </w:r>
      <w:proofErr w:type="spellStart"/>
      <w:r w:rsidR="00AC1338">
        <w:rPr>
          <w:rFonts w:ascii="Times New Roman" w:eastAsia="Times New Roman" w:hAnsi="Times New Roman" w:cs="Times New Roman"/>
        </w:rPr>
        <w:t>Ofer</w:t>
      </w:r>
      <w:proofErr w:type="spellEnd"/>
      <w:r w:rsidR="00AC1338">
        <w:rPr>
          <w:rFonts w:ascii="Times New Roman" w:eastAsia="Times New Roman" w:hAnsi="Times New Roman" w:cs="Times New Roman"/>
        </w:rPr>
        <w:t xml:space="preserve"> and </w:t>
      </w:r>
      <w:proofErr w:type="spellStart"/>
      <w:r w:rsidR="00AC1338">
        <w:rPr>
          <w:rFonts w:ascii="Times New Roman" w:eastAsia="Times New Roman" w:hAnsi="Times New Roman" w:cs="Times New Roman"/>
        </w:rPr>
        <w:t>Thakor</w:t>
      </w:r>
      <w:proofErr w:type="spellEnd"/>
      <w:r w:rsidR="00AC1338">
        <w:rPr>
          <w:rFonts w:ascii="Times New Roman" w:eastAsia="Times New Roman" w:hAnsi="Times New Roman" w:cs="Times New Roman"/>
        </w:rPr>
        <w:t>, 1987).</w:t>
      </w:r>
      <w:r w:rsidR="009A2277">
        <w:rPr>
          <w:rFonts w:ascii="Times New Roman" w:eastAsia="Times New Roman" w:hAnsi="Times New Roman" w:cs="Times New Roman"/>
        </w:rPr>
        <w:t xml:space="preserve"> Where insider trading </w:t>
      </w:r>
      <w:r w:rsidR="008442A8">
        <w:rPr>
          <w:rFonts w:ascii="Times New Roman" w:eastAsia="Times New Roman" w:hAnsi="Times New Roman" w:cs="Times New Roman"/>
        </w:rPr>
        <w:t xml:space="preserve">does occur </w:t>
      </w:r>
      <w:r w:rsidR="009A2277">
        <w:rPr>
          <w:rFonts w:ascii="Times New Roman" w:eastAsia="Times New Roman" w:hAnsi="Times New Roman" w:cs="Times New Roman"/>
        </w:rPr>
        <w:t>during the repurchase period, repurchases accompanied by net insider buying are followed by significantly positive abnormal stock returns, an effect which is not observed where there is net insider selling, or neutral trading, during the repurchase period (</w:t>
      </w:r>
      <w:proofErr w:type="spellStart"/>
      <w:r w:rsidR="009A2277">
        <w:rPr>
          <w:rFonts w:ascii="Times New Roman" w:eastAsia="Times New Roman" w:hAnsi="Times New Roman" w:cs="Times New Roman"/>
        </w:rPr>
        <w:t>Bonaimé</w:t>
      </w:r>
      <w:proofErr w:type="spellEnd"/>
      <w:r w:rsidR="009A2277">
        <w:rPr>
          <w:rFonts w:ascii="Times New Roman" w:eastAsia="Times New Roman" w:hAnsi="Times New Roman" w:cs="Times New Roman"/>
        </w:rPr>
        <w:t xml:space="preserve"> and </w:t>
      </w:r>
      <w:proofErr w:type="spellStart"/>
      <w:r w:rsidR="009A2277">
        <w:rPr>
          <w:rFonts w:ascii="Times New Roman" w:eastAsia="Times New Roman" w:hAnsi="Times New Roman" w:cs="Times New Roman"/>
        </w:rPr>
        <w:t>Ryngaert</w:t>
      </w:r>
      <w:proofErr w:type="spellEnd"/>
      <w:r w:rsidR="009A2277">
        <w:rPr>
          <w:rFonts w:ascii="Times New Roman" w:eastAsia="Times New Roman" w:hAnsi="Times New Roman" w:cs="Times New Roman"/>
        </w:rPr>
        <w:t>, 2013).</w:t>
      </w:r>
    </w:p>
    <w:p w14:paraId="3C39673C" w14:textId="3D3E83E9" w:rsidR="009F4322" w:rsidRDefault="008C17F9" w:rsidP="00E87442">
      <w:pPr>
        <w:spacing w:after="280" w:line="480" w:lineRule="auto"/>
        <w:jc w:val="both"/>
        <w:rPr>
          <w:rFonts w:ascii="Times New Roman" w:eastAsia="Times New Roman" w:hAnsi="Times New Roman" w:cs="Times New Roman"/>
        </w:rPr>
      </w:pPr>
      <w:r>
        <w:rPr>
          <w:rFonts w:ascii="Times New Roman" w:eastAsia="Times New Roman" w:hAnsi="Times New Roman" w:cs="Times New Roman"/>
        </w:rPr>
        <w:t>I</w:t>
      </w:r>
      <w:r w:rsidR="00971E95">
        <w:rPr>
          <w:rFonts w:ascii="Times New Roman" w:eastAsia="Times New Roman" w:hAnsi="Times New Roman" w:cs="Times New Roman"/>
        </w:rPr>
        <w:t>t may be argued that, i</w:t>
      </w:r>
      <w:r>
        <w:rPr>
          <w:rFonts w:ascii="Times New Roman" w:eastAsia="Times New Roman" w:hAnsi="Times New Roman" w:cs="Times New Roman"/>
        </w:rPr>
        <w:t xml:space="preserve">f a firm credibly signals its undervaluation by a repurchase, then investors may prefer to hold their shares in anticipation of them reaching their true value in the future (Bond and Zhong, 2015). </w:t>
      </w:r>
      <w:r w:rsidR="004D3BB4">
        <w:rPr>
          <w:rFonts w:ascii="Times New Roman" w:eastAsia="Times New Roman" w:hAnsi="Times New Roman" w:cs="Times New Roman"/>
        </w:rPr>
        <w:t>However, investors may not be aware they are selling their shares back to the company, as in open market transactions, or they may have liquidity constraints (Oded, 2005).</w:t>
      </w:r>
      <w:r w:rsidR="008442A8">
        <w:rPr>
          <w:rFonts w:ascii="Times New Roman" w:eastAsia="Times New Roman" w:hAnsi="Times New Roman" w:cs="Times New Roman"/>
        </w:rPr>
        <w:t xml:space="preserve"> The evidence on the amount of repurchases made by firms suggests enthusiasm for this method of returning cash to shareholders (e.g.</w:t>
      </w:r>
      <w:r w:rsidR="00432B0B">
        <w:rPr>
          <w:rFonts w:ascii="Times New Roman" w:eastAsia="Times New Roman" w:hAnsi="Times New Roman" w:cs="Times New Roman"/>
        </w:rPr>
        <w:t>,</w:t>
      </w:r>
      <w:r w:rsidR="008442A8">
        <w:rPr>
          <w:rFonts w:ascii="Times New Roman" w:eastAsia="Times New Roman" w:hAnsi="Times New Roman" w:cs="Times New Roman"/>
        </w:rPr>
        <w:t xml:space="preserve"> Floyd and Skinner, 2015).</w:t>
      </w:r>
    </w:p>
    <w:p w14:paraId="7E79265C" w14:textId="335F045E" w:rsidR="004A21DD" w:rsidRPr="009F4322" w:rsidRDefault="004A21DD" w:rsidP="009F4322">
      <w:pPr>
        <w:pStyle w:val="ListParagraph"/>
        <w:numPr>
          <w:ilvl w:val="0"/>
          <w:numId w:val="2"/>
        </w:numPr>
        <w:spacing w:after="280" w:line="480" w:lineRule="auto"/>
        <w:jc w:val="both"/>
        <w:rPr>
          <w:rFonts w:ascii="Times New Roman" w:eastAsia="Times New Roman" w:hAnsi="Times New Roman" w:cs="Times New Roman"/>
        </w:rPr>
      </w:pPr>
      <w:r w:rsidRPr="009F4322">
        <w:rPr>
          <w:rFonts w:ascii="Times New Roman" w:eastAsia="Times New Roman" w:hAnsi="Times New Roman" w:cs="Times New Roman"/>
        </w:rPr>
        <w:lastRenderedPageBreak/>
        <w:t>Timing</w:t>
      </w:r>
    </w:p>
    <w:p w14:paraId="1F3ACAD4" w14:textId="6D8B3F3C" w:rsidR="0023367C" w:rsidRDefault="002E0E3B"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M</w:t>
      </w:r>
      <w:r w:rsidR="00745BD2" w:rsidRPr="00CE5AD1">
        <w:rPr>
          <w:rFonts w:ascii="Times New Roman" w:eastAsia="Times New Roman" w:hAnsi="Times New Roman" w:cs="Times New Roman"/>
        </w:rPr>
        <w:t>anagers may execute repurchases which have already been announced so as to time the market and benefit from depressed stock prices (</w:t>
      </w:r>
      <w:proofErr w:type="spellStart"/>
      <w:r w:rsidR="00073336">
        <w:rPr>
          <w:rFonts w:ascii="Times New Roman" w:eastAsia="Times New Roman" w:hAnsi="Times New Roman" w:cs="Times New Roman"/>
        </w:rPr>
        <w:t>Chowdry</w:t>
      </w:r>
      <w:proofErr w:type="spellEnd"/>
      <w:r w:rsidR="00073336">
        <w:rPr>
          <w:rFonts w:ascii="Times New Roman" w:eastAsia="Times New Roman" w:hAnsi="Times New Roman" w:cs="Times New Roman"/>
        </w:rPr>
        <w:t xml:space="preserve"> and Nanda, 1994; </w:t>
      </w:r>
      <w:r w:rsidR="00745BD2" w:rsidRPr="00CE5AD1">
        <w:rPr>
          <w:rFonts w:ascii="Times New Roman" w:eastAsia="Times New Roman" w:hAnsi="Times New Roman" w:cs="Times New Roman"/>
        </w:rPr>
        <w:t xml:space="preserve">Dittmar and Field, 2015). </w:t>
      </w:r>
      <w:r w:rsidR="009255DC">
        <w:rPr>
          <w:rFonts w:ascii="Times New Roman" w:eastAsia="Times New Roman" w:hAnsi="Times New Roman" w:cs="Times New Roman"/>
        </w:rPr>
        <w:t xml:space="preserve">Bond and Zhong (2016) argue that the optimal </w:t>
      </w:r>
      <w:proofErr w:type="spellStart"/>
      <w:r w:rsidR="009255DC">
        <w:rPr>
          <w:rFonts w:ascii="Times New Roman" w:eastAsia="Times New Roman" w:hAnsi="Times New Roman" w:cs="Times New Roman"/>
        </w:rPr>
        <w:t>payout</w:t>
      </w:r>
      <w:proofErr w:type="spellEnd"/>
      <w:r w:rsidR="009255DC">
        <w:rPr>
          <w:rFonts w:ascii="Times New Roman" w:eastAsia="Times New Roman" w:hAnsi="Times New Roman" w:cs="Times New Roman"/>
        </w:rPr>
        <w:t xml:space="preserve"> policy is to distribute some cash </w:t>
      </w:r>
      <w:r w:rsidR="009255DC" w:rsidRPr="00CE5AD1">
        <w:rPr>
          <w:rFonts w:ascii="Times New Roman" w:eastAsia="Times New Roman" w:hAnsi="Times New Roman" w:cs="Times New Roman"/>
          <w:i/>
          <w:iCs/>
        </w:rPr>
        <w:t>via</w:t>
      </w:r>
      <w:r w:rsidR="009255DC">
        <w:rPr>
          <w:rFonts w:ascii="Times New Roman" w:eastAsia="Times New Roman" w:hAnsi="Times New Roman" w:cs="Times New Roman"/>
        </w:rPr>
        <w:t xml:space="preserve"> dividends and to carry forward the rest until the share price is sufficiently undervalued, when all the carried forward excess cash is used to repurchase shares. </w:t>
      </w:r>
      <w:r w:rsidR="00971E95">
        <w:rPr>
          <w:rFonts w:ascii="Times New Roman" w:eastAsia="Times New Roman" w:hAnsi="Times New Roman" w:cs="Times New Roman"/>
        </w:rPr>
        <w:t>The question of timing is important because this may result in wealth transfers across investors</w:t>
      </w:r>
      <w:r w:rsidR="00C04F3E">
        <w:rPr>
          <w:rFonts w:ascii="Times New Roman" w:eastAsia="Times New Roman" w:hAnsi="Times New Roman" w:cs="Times New Roman"/>
        </w:rPr>
        <w:t>, who must incur costs in order to decide whether to sell at the price offered</w:t>
      </w:r>
      <w:r w:rsidR="00971E95">
        <w:rPr>
          <w:rFonts w:ascii="Times New Roman" w:eastAsia="Times New Roman" w:hAnsi="Times New Roman" w:cs="Times New Roman"/>
        </w:rPr>
        <w:t xml:space="preserve"> (</w:t>
      </w:r>
      <w:r w:rsidR="003C0A89">
        <w:rPr>
          <w:rFonts w:ascii="Times New Roman" w:eastAsia="Times New Roman" w:hAnsi="Times New Roman" w:cs="Times New Roman"/>
        </w:rPr>
        <w:t>Ben-</w:t>
      </w:r>
      <w:proofErr w:type="spellStart"/>
      <w:r w:rsidR="003C0A89">
        <w:rPr>
          <w:rFonts w:ascii="Times New Roman" w:eastAsia="Times New Roman" w:hAnsi="Times New Roman" w:cs="Times New Roman"/>
        </w:rPr>
        <w:t>Rephael</w:t>
      </w:r>
      <w:proofErr w:type="spellEnd"/>
      <w:r w:rsidR="003C0A89">
        <w:rPr>
          <w:rFonts w:ascii="Times New Roman" w:eastAsia="Times New Roman" w:hAnsi="Times New Roman" w:cs="Times New Roman"/>
        </w:rPr>
        <w:t xml:space="preserve">, </w:t>
      </w:r>
      <w:r w:rsidR="003C0A89" w:rsidRPr="0010233B">
        <w:rPr>
          <w:rFonts w:ascii="Times New Roman" w:eastAsia="Times New Roman" w:hAnsi="Times New Roman" w:cs="Times New Roman"/>
        </w:rPr>
        <w:t>Oded and Wohl</w:t>
      </w:r>
      <w:r w:rsidR="003C0A89">
        <w:rPr>
          <w:rFonts w:ascii="Times New Roman" w:eastAsia="Times New Roman" w:hAnsi="Times New Roman" w:cs="Times New Roman"/>
        </w:rPr>
        <w:t xml:space="preserve">, 2014; </w:t>
      </w:r>
      <w:r w:rsidR="00C04F3E">
        <w:rPr>
          <w:rFonts w:ascii="Times New Roman" w:eastAsia="Times New Roman" w:hAnsi="Times New Roman" w:cs="Times New Roman"/>
        </w:rPr>
        <w:t xml:space="preserve">Brennan and </w:t>
      </w:r>
      <w:proofErr w:type="spellStart"/>
      <w:r w:rsidR="00C04F3E">
        <w:rPr>
          <w:rFonts w:ascii="Times New Roman" w:eastAsia="Times New Roman" w:hAnsi="Times New Roman" w:cs="Times New Roman"/>
        </w:rPr>
        <w:t>Thakor</w:t>
      </w:r>
      <w:proofErr w:type="spellEnd"/>
      <w:r w:rsidR="00C04F3E">
        <w:rPr>
          <w:rFonts w:ascii="Times New Roman" w:eastAsia="Times New Roman" w:hAnsi="Times New Roman" w:cs="Times New Roman"/>
        </w:rPr>
        <w:t>, 1990</w:t>
      </w:r>
      <w:r w:rsidR="00073336">
        <w:rPr>
          <w:rFonts w:ascii="Times New Roman" w:eastAsia="Times New Roman" w:hAnsi="Times New Roman" w:cs="Times New Roman"/>
        </w:rPr>
        <w:t>).</w:t>
      </w:r>
      <w:r w:rsidR="00971E95">
        <w:rPr>
          <w:rFonts w:ascii="Times New Roman" w:eastAsia="Times New Roman" w:hAnsi="Times New Roman" w:cs="Times New Roman"/>
        </w:rPr>
        <w:t xml:space="preserve"> </w:t>
      </w:r>
      <w:r w:rsidR="00745BD2" w:rsidRPr="00CE5AD1">
        <w:rPr>
          <w:rFonts w:ascii="Times New Roman" w:eastAsia="Times New Roman" w:hAnsi="Times New Roman" w:cs="Times New Roman"/>
        </w:rPr>
        <w:t>Exploiting an enhanced disclosure regime in the US, Ben-</w:t>
      </w:r>
      <w:proofErr w:type="spellStart"/>
      <w:r w:rsidR="00745BD2" w:rsidRPr="00CE5AD1">
        <w:rPr>
          <w:rFonts w:ascii="Times New Roman" w:eastAsia="Times New Roman" w:hAnsi="Times New Roman" w:cs="Times New Roman"/>
        </w:rPr>
        <w:t>Rephael</w:t>
      </w:r>
      <w:proofErr w:type="spellEnd"/>
      <w:r w:rsidR="00C04F3E">
        <w:rPr>
          <w:rFonts w:ascii="Times New Roman" w:eastAsia="Times New Roman" w:hAnsi="Times New Roman" w:cs="Times New Roman"/>
        </w:rPr>
        <w:t xml:space="preserve"> </w:t>
      </w:r>
      <w:r w:rsidR="00C04F3E" w:rsidRPr="00CE5AD1">
        <w:rPr>
          <w:rFonts w:ascii="Times New Roman" w:eastAsia="Times New Roman" w:hAnsi="Times New Roman" w:cs="Times New Roman"/>
          <w:i/>
          <w:iCs/>
        </w:rPr>
        <w:t>et al</w:t>
      </w:r>
      <w:r w:rsidR="00C04F3E">
        <w:rPr>
          <w:rFonts w:ascii="Times New Roman" w:eastAsia="Times New Roman" w:hAnsi="Times New Roman" w:cs="Times New Roman"/>
        </w:rPr>
        <w:t>.</w:t>
      </w:r>
      <w:r w:rsidR="00745BD2" w:rsidRPr="00CE5AD1">
        <w:rPr>
          <w:rFonts w:ascii="Times New Roman" w:eastAsia="Times New Roman" w:hAnsi="Times New Roman" w:cs="Times New Roman"/>
        </w:rPr>
        <w:t xml:space="preserve"> (2014) </w:t>
      </w:r>
      <w:r w:rsidR="005209E0">
        <w:rPr>
          <w:rFonts w:ascii="Times New Roman" w:eastAsia="Times New Roman" w:hAnsi="Times New Roman" w:cs="Times New Roman"/>
        </w:rPr>
        <w:t xml:space="preserve">provide evidence that firms repurchase when the price is lower than average. </w:t>
      </w:r>
      <w:r w:rsidR="009255DC">
        <w:rPr>
          <w:rFonts w:ascii="Times New Roman" w:eastAsia="Times New Roman" w:hAnsi="Times New Roman" w:cs="Times New Roman"/>
        </w:rPr>
        <w:t>This supports earlier work by Skinner (2008), who reports a significantly negative association between prior stock returns and the likelihood of repurchases across his sample period of 1980-2005.</w:t>
      </w:r>
    </w:p>
    <w:p w14:paraId="0193985C" w14:textId="749A9BC0" w:rsidR="009255DC" w:rsidRDefault="009255DC"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Other empirical </w:t>
      </w:r>
      <w:r w:rsidR="0055054A">
        <w:rPr>
          <w:rFonts w:ascii="Times New Roman" w:eastAsia="Times New Roman" w:hAnsi="Times New Roman" w:cs="Times New Roman"/>
        </w:rPr>
        <w:t xml:space="preserve"> work from both the US and the UK fails to find an association between prior abnormal share price performance and share repurchases (Dittmar, 2000; </w:t>
      </w:r>
      <w:r w:rsidR="00432B0B">
        <w:rPr>
          <w:rFonts w:ascii="Times New Roman" w:eastAsia="Times New Roman" w:hAnsi="Times New Roman" w:cs="Times New Roman"/>
        </w:rPr>
        <w:t xml:space="preserve">Oswald and Young, 2008; </w:t>
      </w:r>
      <w:r w:rsidR="0055054A">
        <w:rPr>
          <w:rFonts w:ascii="Times New Roman" w:eastAsia="Times New Roman" w:hAnsi="Times New Roman" w:cs="Times New Roman"/>
        </w:rPr>
        <w:t xml:space="preserve">Rau and Vermaelen, 2002). </w:t>
      </w:r>
      <w:r>
        <w:rPr>
          <w:rFonts w:ascii="Times New Roman" w:eastAsia="Times New Roman" w:hAnsi="Times New Roman" w:cs="Times New Roman"/>
        </w:rPr>
        <w:t xml:space="preserve">In response to the survey by </w:t>
      </w:r>
      <w:proofErr w:type="spellStart"/>
      <w:r>
        <w:rPr>
          <w:rFonts w:ascii="Times New Roman" w:eastAsia="Times New Roman" w:hAnsi="Times New Roman" w:cs="Times New Roman"/>
        </w:rPr>
        <w:t>Brav</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(2005), 86.4% of US financial executives of repurchasing firms say they repurchase when the stock is, in their opinion, undervalued.  Managers of non-repurchasing firms reveal that undervaluation would be the most likely reason for them to switch to repurchasing.   Whilst the undervaluation rationale ranks top amongst US managers, UK finance directors of repurchasing firms rank it only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out of 14 possible reasons for share repurchase (Dixon, </w:t>
      </w:r>
      <w:r>
        <w:rPr>
          <w:rFonts w:ascii="Times New Roman" w:eastAsia="Times New Roman" w:hAnsi="Times New Roman" w:cs="Times New Roman"/>
          <w:i/>
        </w:rPr>
        <w:t>et al</w:t>
      </w:r>
      <w:r>
        <w:rPr>
          <w:rFonts w:ascii="Times New Roman" w:eastAsia="Times New Roman" w:hAnsi="Times New Roman" w:cs="Times New Roman"/>
        </w:rPr>
        <w:t xml:space="preserve">., 2008).  </w:t>
      </w:r>
    </w:p>
    <w:p w14:paraId="5F486CAD" w14:textId="1648A6F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If UK managers buy back their stock when it is undervalued, </w:t>
      </w:r>
      <w:r w:rsidR="007E2307">
        <w:rPr>
          <w:rFonts w:ascii="Times New Roman" w:eastAsia="Times New Roman" w:hAnsi="Times New Roman" w:cs="Times New Roman"/>
        </w:rPr>
        <w:t xml:space="preserve">whether to signal undervaluation, or to take advantage of a low market price in order to execute a planned repurchase, </w:t>
      </w:r>
      <w:r>
        <w:rPr>
          <w:rFonts w:ascii="Times New Roman" w:eastAsia="Times New Roman" w:hAnsi="Times New Roman" w:cs="Times New Roman"/>
        </w:rPr>
        <w:t>then we expect to observe the following:</w:t>
      </w:r>
    </w:p>
    <w:tbl>
      <w:tblPr>
        <w:tblStyle w:val="16"/>
        <w:tblW w:w="9015" w:type="dxa"/>
        <w:tblBorders>
          <w:top w:val="nil"/>
          <w:left w:val="nil"/>
          <w:bottom w:val="nil"/>
          <w:right w:val="nil"/>
          <w:insideH w:val="nil"/>
          <w:insideV w:val="nil"/>
        </w:tblBorders>
        <w:tblLayout w:type="fixed"/>
        <w:tblLook w:val="0400" w:firstRow="0" w:lastRow="0" w:firstColumn="0" w:lastColumn="0" w:noHBand="0" w:noVBand="1"/>
      </w:tblPr>
      <w:tblGrid>
        <w:gridCol w:w="1554"/>
        <w:gridCol w:w="7461"/>
      </w:tblGrid>
      <w:tr w:rsidR="00A707CF" w14:paraId="28819592" w14:textId="77777777">
        <w:tc>
          <w:tcPr>
            <w:tcW w:w="1554" w:type="dxa"/>
          </w:tcPr>
          <w:p w14:paraId="787E19B0" w14:textId="77777777" w:rsidR="00A707CF" w:rsidRDefault="0055054A" w:rsidP="00E87442">
            <w:pPr>
              <w:spacing w:after="120" w:line="480" w:lineRule="auto"/>
              <w:jc w:val="both"/>
              <w:rPr>
                <w:rFonts w:ascii="Times New Roman" w:eastAsia="Times New Roman" w:hAnsi="Times New Roman" w:cs="Times New Roman"/>
                <w:b/>
                <w:i/>
                <w:sz w:val="24"/>
                <w:szCs w:val="24"/>
              </w:rPr>
            </w:pPr>
            <w:bookmarkStart w:id="5" w:name="_heading=h.2et92p0" w:colFirst="0" w:colLast="0"/>
            <w:bookmarkEnd w:id="5"/>
            <w:r>
              <w:rPr>
                <w:rFonts w:ascii="Times New Roman" w:eastAsia="Times New Roman" w:hAnsi="Times New Roman" w:cs="Times New Roman"/>
                <w:b/>
                <w:i/>
                <w:sz w:val="24"/>
                <w:szCs w:val="24"/>
              </w:rPr>
              <w:t>Prediction 4:</w:t>
            </w:r>
          </w:p>
        </w:tc>
        <w:tc>
          <w:tcPr>
            <w:tcW w:w="7461" w:type="dxa"/>
          </w:tcPr>
          <w:p w14:paraId="18AC63E9"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Share repurchase activity will be greater following a period of low stock returns.</w:t>
            </w:r>
          </w:p>
        </w:tc>
      </w:tr>
    </w:tbl>
    <w:p w14:paraId="4172008F" w14:textId="77777777" w:rsidR="00A707CF" w:rsidRDefault="0055054A" w:rsidP="00E87442">
      <w:pPr>
        <w:spacing w:after="280" w:line="480" w:lineRule="auto"/>
        <w:ind w:left="1" w:firstLine="397"/>
        <w:jc w:val="both"/>
        <w:rPr>
          <w:rFonts w:ascii="Times New Roman" w:eastAsia="Times New Roman" w:hAnsi="Times New Roman" w:cs="Times New Roman"/>
          <w:i/>
        </w:rPr>
      </w:pPr>
      <w:r>
        <w:rPr>
          <w:rFonts w:ascii="Times New Roman" w:eastAsia="Times New Roman" w:hAnsi="Times New Roman" w:cs="Times New Roman"/>
          <w:i/>
        </w:rPr>
        <w:t>3.5 The dividend substitution hypothesis</w:t>
      </w:r>
    </w:p>
    <w:p w14:paraId="4D8C3E6C"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lastRenderedPageBreak/>
        <w:t xml:space="preserve">If capital gains are taxed less onerously than income, then firms may prefer to distribute cash </w:t>
      </w:r>
      <w:r>
        <w:rPr>
          <w:rFonts w:ascii="Times New Roman" w:eastAsia="Times New Roman" w:hAnsi="Times New Roman" w:cs="Times New Roman"/>
          <w:i/>
        </w:rPr>
        <w:t>via</w:t>
      </w:r>
      <w:r>
        <w:rPr>
          <w:rFonts w:ascii="Times New Roman" w:eastAsia="Times New Roman" w:hAnsi="Times New Roman" w:cs="Times New Roman"/>
        </w:rPr>
        <w:t xml:space="preserve"> repurchases than by way of dividends since this would reduce shareholders’ tax liability on shares they sell back to the firm (Dittmar, 2000;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calculate the after-tax value of a £100 dividend payment for different time periods and different classes of investor. For our sample period, UK individual shareholders, whether high-, low- or basic-rate </w:t>
      </w:r>
      <w:proofErr w:type="gramStart"/>
      <w:r>
        <w:rPr>
          <w:rFonts w:ascii="Times New Roman" w:eastAsia="Times New Roman" w:hAnsi="Times New Roman" w:cs="Times New Roman"/>
        </w:rPr>
        <w:t>tax payers</w:t>
      </w:r>
      <w:proofErr w:type="gramEnd"/>
      <w:r>
        <w:rPr>
          <w:rFonts w:ascii="Times New Roman" w:eastAsia="Times New Roman" w:hAnsi="Times New Roman" w:cs="Times New Roman"/>
        </w:rPr>
        <w:t xml:space="preserve">, have a tax-based preference for share repurchases, whilst tax-paying institutional investors have a preference for dividends. Tax exempt institutions are indifferent between the two.  This is similar to the case in the US, although the structure of corporate ownership is different, with US firms having greater proportions of their equity owned by small investors. From a tax perspective, we would therefore expect the substitution of dividends with repurchases to be more prevalent in the US than in the UK. However, we control for institutional ownership in our models, predicting a negative association between this variable and share repurchase activity for tax reasons. </w:t>
      </w:r>
    </w:p>
    <w:p w14:paraId="18439239" w14:textId="1E7C79BC"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Further, if managers wish to distribute cash without the implicit commitment contained in dividends, then they can repurchase shares (</w:t>
      </w:r>
      <w:proofErr w:type="spellStart"/>
      <w:r>
        <w:rPr>
          <w:rFonts w:ascii="Times New Roman" w:eastAsia="Times New Roman" w:hAnsi="Times New Roman" w:cs="Times New Roman"/>
        </w:rPr>
        <w:t>Guay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Harford</w:t>
      </w:r>
      <w:proofErr w:type="spellEnd"/>
      <w:r>
        <w:rPr>
          <w:rFonts w:ascii="Times New Roman" w:eastAsia="Times New Roman" w:hAnsi="Times New Roman" w:cs="Times New Roman"/>
        </w:rPr>
        <w:t xml:space="preserve">, 2000; Jagannathan </w:t>
      </w:r>
      <w:r>
        <w:rPr>
          <w:rFonts w:ascii="Times New Roman" w:eastAsia="Times New Roman" w:hAnsi="Times New Roman" w:cs="Times New Roman"/>
          <w:i/>
        </w:rPr>
        <w:t>et al</w:t>
      </w:r>
      <w:r>
        <w:rPr>
          <w:rFonts w:ascii="Times New Roman" w:eastAsia="Times New Roman" w:hAnsi="Times New Roman" w:cs="Times New Roman"/>
        </w:rPr>
        <w:t xml:space="preserve">., 2000; Skinner, 2008).  </w:t>
      </w:r>
      <w:proofErr w:type="spellStart"/>
      <w:r>
        <w:rPr>
          <w:rFonts w:ascii="Times New Roman" w:eastAsia="Times New Roman" w:hAnsi="Times New Roman" w:cs="Times New Roman"/>
        </w:rPr>
        <w:t>Grullon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Michaely</w:t>
      </w:r>
      <w:proofErr w:type="spellEnd"/>
      <w:r>
        <w:rPr>
          <w:rFonts w:ascii="Times New Roman" w:eastAsia="Times New Roman" w:hAnsi="Times New Roman" w:cs="Times New Roman"/>
        </w:rPr>
        <w:t xml:space="preserve"> (2002) examine the dividend substitution hypothesis and report that, in the US between 1972 and 2000, share repurchases grew at the same time as dividends declined, whilst the overall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remained fairly constant. This is consistent with the hypothesis that US firms are substituting share repurchases for dividends. Using a slightly later sample to investigate a similar question, Skinner (2008) and Floyd </w:t>
      </w:r>
      <w:r>
        <w:rPr>
          <w:rFonts w:ascii="Times New Roman" w:eastAsia="Times New Roman" w:hAnsi="Times New Roman" w:cs="Times New Roman"/>
          <w:i/>
        </w:rPr>
        <w:t>et al</w:t>
      </w:r>
      <w:r>
        <w:rPr>
          <w:rFonts w:ascii="Times New Roman" w:eastAsia="Times New Roman" w:hAnsi="Times New Roman" w:cs="Times New Roman"/>
        </w:rPr>
        <w:t>., (2015) report share repurchases overt</w:t>
      </w:r>
      <w:r w:rsidR="00A97FDD">
        <w:rPr>
          <w:rFonts w:ascii="Times New Roman" w:eastAsia="Times New Roman" w:hAnsi="Times New Roman" w:cs="Times New Roman"/>
        </w:rPr>
        <w:t>ook</w:t>
      </w:r>
      <w:r>
        <w:rPr>
          <w:rFonts w:ascii="Times New Roman" w:eastAsia="Times New Roman" w:hAnsi="Times New Roman" w:cs="Times New Roman"/>
        </w:rPr>
        <w:t xml:space="preserve"> dividends </w:t>
      </w:r>
      <w:proofErr w:type="gramStart"/>
      <w:r>
        <w:rPr>
          <w:rFonts w:ascii="Times New Roman" w:eastAsia="Times New Roman" w:hAnsi="Times New Roman" w:cs="Times New Roman"/>
        </w:rPr>
        <w:t>as a way to</w:t>
      </w:r>
      <w:proofErr w:type="gramEnd"/>
      <w:r>
        <w:rPr>
          <w:rFonts w:ascii="Times New Roman" w:eastAsia="Times New Roman" w:hAnsi="Times New Roman" w:cs="Times New Roman"/>
        </w:rPr>
        <w:t xml:space="preserve"> distribute cash to shareholders, in line with a preference to reduce the dividend commitment.  </w:t>
      </w:r>
      <w:r w:rsidR="00A97FDD">
        <w:rPr>
          <w:rFonts w:ascii="Times New Roman" w:eastAsia="Times New Roman" w:hAnsi="Times New Roman" w:cs="Times New Roman"/>
        </w:rPr>
        <w:t xml:space="preserve">Oded (2020) reports that, since the late 1990s, </w:t>
      </w:r>
      <w:r w:rsidR="00440B89">
        <w:rPr>
          <w:rFonts w:ascii="Times New Roman" w:eastAsia="Times New Roman" w:hAnsi="Times New Roman" w:cs="Times New Roman"/>
        </w:rPr>
        <w:t xml:space="preserve">however, </w:t>
      </w:r>
      <w:r w:rsidR="00A97FDD">
        <w:rPr>
          <w:rFonts w:ascii="Times New Roman" w:eastAsia="Times New Roman" w:hAnsi="Times New Roman" w:cs="Times New Roman"/>
        </w:rPr>
        <w:t xml:space="preserve">dividends and share </w:t>
      </w:r>
      <w:proofErr w:type="gramStart"/>
      <w:r w:rsidR="00A97FDD">
        <w:rPr>
          <w:rFonts w:ascii="Times New Roman" w:eastAsia="Times New Roman" w:hAnsi="Times New Roman" w:cs="Times New Roman"/>
        </w:rPr>
        <w:t>repurchases</w:t>
      </w:r>
      <w:proofErr w:type="gramEnd"/>
      <w:r w:rsidR="00A97FDD">
        <w:rPr>
          <w:rFonts w:ascii="Times New Roman" w:eastAsia="Times New Roman" w:hAnsi="Times New Roman" w:cs="Times New Roman"/>
        </w:rPr>
        <w:t xml:space="preserve"> have had similar economic significance as </w:t>
      </w:r>
      <w:proofErr w:type="spellStart"/>
      <w:r w:rsidR="00A97FDD">
        <w:rPr>
          <w:rFonts w:ascii="Times New Roman" w:eastAsia="Times New Roman" w:hAnsi="Times New Roman" w:cs="Times New Roman"/>
        </w:rPr>
        <w:t>payout</w:t>
      </w:r>
      <w:proofErr w:type="spellEnd"/>
      <w:r w:rsidR="00A97FDD">
        <w:rPr>
          <w:rFonts w:ascii="Times New Roman" w:eastAsia="Times New Roman" w:hAnsi="Times New Roman" w:cs="Times New Roman"/>
        </w:rPr>
        <w:t xml:space="preserve"> channels in US markets.</w:t>
      </w:r>
    </w:p>
    <w:p w14:paraId="734D5824" w14:textId="77777777" w:rsidR="00A707CF" w:rsidRDefault="0055054A" w:rsidP="00E87442">
      <w:pPr>
        <w:spacing w:after="280" w:line="480" w:lineRule="auto"/>
        <w:ind w:firstLine="397"/>
        <w:jc w:val="both"/>
        <w:rPr>
          <w:rFonts w:ascii="Times New Roman" w:eastAsia="Times New Roman" w:hAnsi="Times New Roman" w:cs="Times New Roman"/>
        </w:rPr>
      </w:pP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examine dividend and share repurchase behaviour for a sample of UK firms from 1992-2004, observing a drop from 84% to 78% in the proportion of firms paying dividends in this time, but a marked increase in the proportion of firms repurchasing shares, from 5% in 1992 to 16% in 2004.  Oswald and Young (2008) report a fivefold increase (from 13 to 65) in the number of companies making share repurchases across their sample, which is drawn from the period 1995-2002.  Both of these papers study </w:t>
      </w:r>
      <w:r>
        <w:rPr>
          <w:rFonts w:ascii="Times New Roman" w:eastAsia="Times New Roman" w:hAnsi="Times New Roman" w:cs="Times New Roman"/>
        </w:rPr>
        <w:lastRenderedPageBreak/>
        <w:t>samples drawn mostly from the pre-reform period</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when share repurchases were more strictly regulated in the UK, so it is an open question as to whether firms have changed their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mix following the reforms.</w:t>
      </w:r>
    </w:p>
    <w:p w14:paraId="793B4932"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Following Dittmar (2000), if UK firms are substituting share repurchases for dividends as a way of distributing earnings, we expect to observe the following:</w:t>
      </w:r>
    </w:p>
    <w:tbl>
      <w:tblPr>
        <w:tblStyle w:val="15"/>
        <w:tblW w:w="9015" w:type="dxa"/>
        <w:tblBorders>
          <w:top w:val="nil"/>
          <w:left w:val="nil"/>
          <w:bottom w:val="nil"/>
          <w:right w:val="nil"/>
          <w:insideH w:val="nil"/>
          <w:insideV w:val="nil"/>
        </w:tblBorders>
        <w:tblLayout w:type="fixed"/>
        <w:tblLook w:val="0400" w:firstRow="0" w:lastRow="0" w:firstColumn="0" w:lastColumn="0" w:noHBand="0" w:noVBand="1"/>
      </w:tblPr>
      <w:tblGrid>
        <w:gridCol w:w="1842"/>
        <w:gridCol w:w="7173"/>
      </w:tblGrid>
      <w:tr w:rsidR="00A707CF" w14:paraId="51F3A180" w14:textId="77777777">
        <w:tc>
          <w:tcPr>
            <w:tcW w:w="1842" w:type="dxa"/>
          </w:tcPr>
          <w:p w14:paraId="7274078F" w14:textId="77777777" w:rsidR="00A707CF" w:rsidRDefault="0055054A" w:rsidP="00E87442">
            <w:pPr>
              <w:spacing w:after="120" w:line="480" w:lineRule="auto"/>
              <w:jc w:val="both"/>
              <w:rPr>
                <w:rFonts w:ascii="Times New Roman" w:eastAsia="Times New Roman" w:hAnsi="Times New Roman" w:cs="Times New Roman"/>
                <w:b/>
                <w:i/>
                <w:sz w:val="24"/>
                <w:szCs w:val="24"/>
              </w:rPr>
            </w:pPr>
            <w:bookmarkStart w:id="6" w:name="_heading=h.tyjcwt" w:colFirst="0" w:colLast="0"/>
            <w:bookmarkEnd w:id="6"/>
            <w:r>
              <w:rPr>
                <w:rFonts w:ascii="Times New Roman" w:eastAsia="Times New Roman" w:hAnsi="Times New Roman" w:cs="Times New Roman"/>
                <w:b/>
                <w:i/>
                <w:sz w:val="24"/>
                <w:szCs w:val="24"/>
              </w:rPr>
              <w:t>Prediction 5a:</w:t>
            </w:r>
          </w:p>
        </w:tc>
        <w:tc>
          <w:tcPr>
            <w:tcW w:w="7173" w:type="dxa"/>
          </w:tcPr>
          <w:p w14:paraId="6852F7A7" w14:textId="77777777" w:rsidR="00A707CF" w:rsidRDefault="0055054A" w:rsidP="0055612F">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Share repurchase activity will be negatively associated with current dividends. </w:t>
            </w:r>
          </w:p>
        </w:tc>
      </w:tr>
    </w:tbl>
    <w:p w14:paraId="0DE7B733"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Another way of examining the extent of dividend substitution is to apply Lintner (1956) regressions to dividends, and then to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This method has been applied by Skinner (2008) and Andres </w:t>
      </w:r>
      <w:r>
        <w:rPr>
          <w:rFonts w:ascii="Times New Roman" w:eastAsia="Times New Roman" w:hAnsi="Times New Roman" w:cs="Times New Roman"/>
          <w:i/>
        </w:rPr>
        <w:t>et al.</w:t>
      </w:r>
      <w:r>
        <w:rPr>
          <w:rFonts w:ascii="Times New Roman" w:eastAsia="Times New Roman" w:hAnsi="Times New Roman" w:cs="Times New Roman"/>
        </w:rPr>
        <w:t xml:space="preserve"> (2015) to examine this issue in the US and Germany, respectively. Following interviews with managers, Lintner realised that the commitment inherent in dividend payments discouraged managers from fully recognising increases in earnings in dividends; rather they adopted a partial adjustment. He expressed this as follows:</w:t>
      </w:r>
    </w:p>
    <w:tbl>
      <w:tblPr>
        <w:tblStyle w:val="TableGrid"/>
        <w:tblW w:w="0" w:type="auto"/>
        <w:tblLook w:val="04A0" w:firstRow="1" w:lastRow="0" w:firstColumn="1" w:lastColumn="0" w:noHBand="0" w:noVBand="1"/>
      </w:tblPr>
      <w:tblGrid>
        <w:gridCol w:w="8755"/>
        <w:gridCol w:w="653"/>
      </w:tblGrid>
      <w:tr w:rsidR="009F4322" w14:paraId="0AC90047" w14:textId="77777777" w:rsidTr="00DA338F">
        <w:tc>
          <w:tcPr>
            <w:tcW w:w="8755" w:type="dxa"/>
            <w:tcBorders>
              <w:top w:val="nil"/>
              <w:left w:val="nil"/>
              <w:bottom w:val="nil"/>
              <w:right w:val="nil"/>
            </w:tcBorders>
          </w:tcPr>
          <w:p w14:paraId="1B73203A" w14:textId="53DA08DC" w:rsidR="009F4322" w:rsidRDefault="009F4322" w:rsidP="0055612F">
            <w:pPr>
              <w:jc w:val="center"/>
              <w:rPr>
                <w:rFonts w:ascii="Times New Roman" w:eastAsia="Times New Roman" w:hAnsi="Times New Roman" w:cs="Times New Roman"/>
              </w:rPr>
            </w:pPr>
            <m:oMathPara>
              <m:oMath>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i,t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d>
                  <m:dPr>
                    <m:ctrlPr>
                      <w:rPr>
                        <w:rFonts w:ascii="Cambria Math" w:eastAsia="Cambria Math" w:hAnsi="Cambria Math" w:cs="Cambria Math"/>
                      </w:rPr>
                    </m:ctrlPr>
                  </m:dPr>
                  <m:e>
                    <m:sSub>
                      <m:sSubPr>
                        <m:ctrlPr>
                          <w:rPr>
                            <w:rFonts w:ascii="Cambria Math" w:eastAsia="Cambria Math" w:hAnsi="Cambria Math" w:cs="Cambria Math"/>
                          </w:rPr>
                        </m:ctrlPr>
                      </m:sSubPr>
                      <m:e>
                        <m:sSubSup>
                          <m:sSubSupPr>
                            <m:ctrlPr>
                              <w:rPr>
                                <w:rFonts w:ascii="Cambria Math" w:eastAsia="Cambria Math" w:hAnsi="Cambria Math" w:cs="Cambria Math"/>
                              </w:rPr>
                            </m:ctrlPr>
                          </m:sSubSupPr>
                          <m:e>
                            <m:r>
                              <w:rPr>
                                <w:rFonts w:ascii="Cambria Math" w:eastAsia="Cambria Math" w:hAnsi="Cambria Math" w:cs="Cambria Math"/>
                              </w:rPr>
                              <m:t>D</m:t>
                            </m:r>
                          </m:e>
                          <m:sub>
                            <m:r>
                              <w:rPr>
                                <w:rFonts w:ascii="Cambria Math" w:eastAsia="Cambria Math" w:hAnsi="Cambria Math" w:cs="Cambria Math"/>
                              </w:rPr>
                              <m:t>i,t</m:t>
                            </m:r>
                          </m:sub>
                          <m:sup>
                            <m:r>
                              <w:rPr>
                                <w:rFonts w:ascii="Cambria Math" w:eastAsia="Cambria Math" w:hAnsi="Cambria Math" w:cs="Cambria Math"/>
                              </w:rPr>
                              <m:t>*</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i</m:t>
                            </m:r>
                          </m:sub>
                        </m:sSub>
                      </m:e>
                      <m:sub>
                        <m:r>
                          <w:rPr>
                            <w:rFonts w:ascii="Cambria Math" w:eastAsia="Cambria Math" w:hAnsi="Cambria Math" w:cs="Cambria Math"/>
                          </w:rPr>
                          <m:t>t-1</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μ</m:t>
                    </m:r>
                  </m:e>
                  <m:sub>
                    <m:r>
                      <w:rPr>
                        <w:rFonts w:ascii="Cambria Math" w:eastAsia="Cambria Math" w:hAnsi="Cambria Math" w:cs="Cambria Math"/>
                      </w:rPr>
                      <m:t>i,t</m:t>
                    </m:r>
                  </m:sub>
                </m:sSub>
              </m:oMath>
            </m:oMathPara>
          </w:p>
        </w:tc>
        <w:tc>
          <w:tcPr>
            <w:tcW w:w="653" w:type="dxa"/>
            <w:tcBorders>
              <w:top w:val="nil"/>
              <w:left w:val="nil"/>
              <w:bottom w:val="nil"/>
              <w:right w:val="nil"/>
            </w:tcBorders>
          </w:tcPr>
          <w:p w14:paraId="2AA804B3" w14:textId="2CDAF3F9" w:rsidR="00DA338F" w:rsidRDefault="009F4322" w:rsidP="00DA338F">
            <w:pPr>
              <w:spacing w:after="28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bl>
    <w:p w14:paraId="76674CDE" w14:textId="15B95B36"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Where </w:t>
      </w:r>
      <w:r>
        <w:rPr>
          <w:rFonts w:ascii="Times New Roman" w:eastAsia="Times New Roman" w:hAnsi="Times New Roman" w:cs="Times New Roman"/>
          <w:i/>
        </w:rPr>
        <w:t>D*</w:t>
      </w:r>
      <w:proofErr w:type="spellStart"/>
      <w:proofErr w:type="gramStart"/>
      <w:r>
        <w:rPr>
          <w:rFonts w:ascii="Times New Roman" w:eastAsia="Times New Roman" w:hAnsi="Times New Roman" w:cs="Times New Roman"/>
          <w:i/>
          <w:vertAlign w:val="subscript"/>
        </w:rPr>
        <w:t>i,t</w:t>
      </w:r>
      <w:proofErr w:type="spellEnd"/>
      <w:proofErr w:type="gramEnd"/>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r</w:t>
      </w:r>
      <w:r>
        <w:rPr>
          <w:rFonts w:ascii="Times New Roman" w:eastAsia="Times New Roman" w:hAnsi="Times New Roman" w:cs="Times New Roman"/>
          <w:i/>
          <w:vertAlign w:val="subscript"/>
        </w:rPr>
        <w:t>i</w:t>
      </w:r>
      <w:r>
        <w:rPr>
          <w:rFonts w:ascii="Times New Roman" w:eastAsia="Times New Roman" w:hAnsi="Times New Roman" w:cs="Times New Roman"/>
          <w:i/>
        </w:rPr>
        <w:t>P</w:t>
      </w:r>
      <w:r>
        <w:rPr>
          <w:rFonts w:ascii="Times New Roman" w:eastAsia="Times New Roman" w:hAnsi="Times New Roman" w:cs="Times New Roman"/>
          <w:i/>
          <w:vertAlign w:val="subscript"/>
        </w:rPr>
        <w:t>i,t</w:t>
      </w:r>
      <w:proofErr w:type="spellEnd"/>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and </w:t>
      </w:r>
      <w:r>
        <w:rPr>
          <w:rFonts w:ascii="Times New Roman" w:eastAsia="Times New Roman" w:hAnsi="Times New Roman" w:cs="Times New Roman"/>
          <w:i/>
        </w:rPr>
        <w:t>r</w:t>
      </w:r>
      <w:r>
        <w:rPr>
          <w:rFonts w:ascii="Times New Roman" w:eastAsia="Times New Roman" w:hAnsi="Times New Roman" w:cs="Times New Roman"/>
        </w:rPr>
        <w:t xml:space="preserve"> is the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with </w:t>
      </w:r>
      <w:r>
        <w:rPr>
          <w:rFonts w:ascii="Times New Roman" w:eastAsia="Times New Roman" w:hAnsi="Times New Roman" w:cs="Times New Roman"/>
          <w:i/>
        </w:rPr>
        <w:t>P</w:t>
      </w:r>
      <w:r>
        <w:rPr>
          <w:rFonts w:ascii="Times New Roman" w:eastAsia="Times New Roman" w:hAnsi="Times New Roman" w:cs="Times New Roman"/>
          <w:i/>
          <w:vertAlign w:val="subscript"/>
        </w:rPr>
        <w:t>t</w:t>
      </w:r>
      <w:r>
        <w:rPr>
          <w:rFonts w:ascii="Times New Roman" w:eastAsia="Times New Roman" w:hAnsi="Times New Roman" w:cs="Times New Roman"/>
          <w:i/>
        </w:rPr>
        <w:t xml:space="preserve"> </w:t>
      </w:r>
      <w:r>
        <w:rPr>
          <w:rFonts w:ascii="Times New Roman" w:eastAsia="Times New Roman" w:hAnsi="Times New Roman" w:cs="Times New Roman"/>
        </w:rPr>
        <w:t xml:space="preserve">being current year profits and </w:t>
      </w:r>
      <w:r>
        <w:rPr>
          <w:rFonts w:ascii="Times New Roman" w:eastAsia="Times New Roman" w:hAnsi="Times New Roman" w:cs="Times New Roman"/>
          <w:i/>
        </w:rPr>
        <w:t>D</w:t>
      </w:r>
      <w:r>
        <w:rPr>
          <w:rFonts w:ascii="Times New Roman" w:eastAsia="Times New Roman" w:hAnsi="Times New Roman" w:cs="Times New Roman"/>
        </w:rPr>
        <w:t xml:space="preserve"> representing dividends. The parameter, </w:t>
      </w:r>
      <w:r>
        <w:rPr>
          <w:rFonts w:ascii="Times New Roman" w:eastAsia="Times New Roman" w:hAnsi="Times New Roman" w:cs="Times New Roman"/>
          <w:i/>
        </w:rPr>
        <w:t>c</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is the </w:t>
      </w:r>
      <w:r>
        <w:rPr>
          <w:rFonts w:ascii="Times New Roman" w:eastAsia="Times New Roman" w:hAnsi="Times New Roman" w:cs="Times New Roman"/>
          <w:i/>
        </w:rPr>
        <w:t>‘fraction of the difference between this “target” dividend D*</w:t>
      </w:r>
      <w:proofErr w:type="spellStart"/>
      <w:r>
        <w:rPr>
          <w:rFonts w:ascii="Times New Roman" w:eastAsia="Times New Roman" w:hAnsi="Times New Roman" w:cs="Times New Roman"/>
          <w:i/>
          <w:vertAlign w:val="subscript"/>
        </w:rPr>
        <w:t>i,t</w:t>
      </w:r>
      <w:proofErr w:type="spellEnd"/>
      <w:r>
        <w:rPr>
          <w:rFonts w:ascii="Times New Roman" w:eastAsia="Times New Roman" w:hAnsi="Times New Roman" w:cs="Times New Roman"/>
          <w:i/>
          <w:vertAlign w:val="subscript"/>
        </w:rPr>
        <w:t xml:space="preserve">  </w:t>
      </w:r>
      <w:r>
        <w:rPr>
          <w:rFonts w:ascii="Times New Roman" w:eastAsia="Times New Roman" w:hAnsi="Times New Roman" w:cs="Times New Roman"/>
          <w:i/>
        </w:rPr>
        <w:t>and the actual payment made in the preceding year’</w:t>
      </w:r>
      <w:r>
        <w:rPr>
          <w:rFonts w:ascii="Times New Roman" w:eastAsia="Times New Roman" w:hAnsi="Times New Roman" w:cs="Times New Roman"/>
        </w:rPr>
        <w:t xml:space="preserve"> [p.107]. This parameter has come to be known as the speed of adjustment (Skinner, 2008).  Rearranging (1), Lintner provides a model which is more easily applicable empirically because </w:t>
      </w:r>
      <w:r>
        <w:rPr>
          <w:rFonts w:ascii="Times New Roman" w:eastAsia="Times New Roman" w:hAnsi="Times New Roman" w:cs="Times New Roman"/>
          <w:i/>
        </w:rPr>
        <w:t xml:space="preserve">r </w:t>
      </w:r>
      <w:r>
        <w:rPr>
          <w:rFonts w:ascii="Times New Roman" w:eastAsia="Times New Roman" w:hAnsi="Times New Roman" w:cs="Times New Roman"/>
        </w:rPr>
        <w:t>does not need to be known:</w:t>
      </w:r>
    </w:p>
    <w:tbl>
      <w:tblPr>
        <w:tblStyle w:val="TableGrid"/>
        <w:tblW w:w="0" w:type="auto"/>
        <w:tblLook w:val="04A0" w:firstRow="1" w:lastRow="0" w:firstColumn="1" w:lastColumn="0" w:noHBand="0" w:noVBand="1"/>
      </w:tblPr>
      <w:tblGrid>
        <w:gridCol w:w="8472"/>
        <w:gridCol w:w="936"/>
      </w:tblGrid>
      <w:tr w:rsidR="00DA338F" w14:paraId="6C2570D3" w14:textId="77777777" w:rsidTr="00DA338F">
        <w:tc>
          <w:tcPr>
            <w:tcW w:w="8472" w:type="dxa"/>
            <w:tcBorders>
              <w:top w:val="nil"/>
              <w:left w:val="nil"/>
              <w:bottom w:val="nil"/>
              <w:right w:val="nil"/>
            </w:tcBorders>
          </w:tcPr>
          <w:p w14:paraId="13A974C9" w14:textId="7D5AB44C" w:rsidR="00DA338F" w:rsidRDefault="00DA338F" w:rsidP="00E87442">
            <w:pPr>
              <w:spacing w:after="280" w:line="480" w:lineRule="auto"/>
              <w:jc w:val="both"/>
              <w:rPr>
                <w:rFonts w:ascii="Times New Roman" w:eastAsia="Times New Roman" w:hAnsi="Times New Roman" w:cs="Times New Roman"/>
              </w:rPr>
            </w:pPr>
            <m:oMathPara>
              <m:oMath>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i,t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bP</m:t>
                    </m:r>
                  </m:e>
                  <m:sub>
                    <m:r>
                      <w:rPr>
                        <w:rFonts w:ascii="Cambria Math" w:eastAsia="Cambria Math" w:hAnsi="Cambria Math" w:cs="Cambria Math"/>
                      </w:rPr>
                      <m:t>i,t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dD</m:t>
                    </m:r>
                  </m:e>
                  <m:sub>
                    <m:r>
                      <w:rPr>
                        <w:rFonts w:ascii="Cambria Math" w:eastAsia="Cambria Math" w:hAnsi="Cambria Math" w:cs="Cambria Math"/>
                      </w:rPr>
                      <m:t>i, t-1</m:t>
                    </m:r>
                  </m:sub>
                </m:sSub>
              </m:oMath>
            </m:oMathPara>
          </w:p>
        </w:tc>
        <w:tc>
          <w:tcPr>
            <w:tcW w:w="936" w:type="dxa"/>
            <w:tcBorders>
              <w:top w:val="nil"/>
              <w:left w:val="nil"/>
              <w:bottom w:val="nil"/>
              <w:right w:val="nil"/>
            </w:tcBorders>
          </w:tcPr>
          <w:p w14:paraId="66F1FA8A" w14:textId="51A733A7" w:rsidR="00DA338F" w:rsidRDefault="00DA338F" w:rsidP="00DA338F">
            <w:pPr>
              <w:spacing w:after="280" w:line="480" w:lineRule="auto"/>
              <w:ind w:firstLine="397"/>
              <w:jc w:val="right"/>
              <w:rPr>
                <w:rFonts w:ascii="Times New Roman" w:eastAsia="Times New Roman" w:hAnsi="Times New Roman" w:cs="Times New Roman"/>
              </w:rPr>
            </w:pPr>
            <w:r>
              <w:rPr>
                <w:rFonts w:ascii="Times New Roman" w:eastAsia="Times New Roman" w:hAnsi="Times New Roman" w:cs="Times New Roman"/>
              </w:rPr>
              <w:t>(2)</w:t>
            </w:r>
          </w:p>
        </w:tc>
      </w:tr>
    </w:tbl>
    <w:p w14:paraId="4B3EC4BC"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Where </w:t>
      </w:r>
      <w:r>
        <w:rPr>
          <w:rFonts w:ascii="Times New Roman" w:eastAsia="Times New Roman" w:hAnsi="Times New Roman" w:cs="Times New Roman"/>
          <w:i/>
        </w:rPr>
        <w:t>b</w:t>
      </w:r>
      <w:r>
        <w:rPr>
          <w:rFonts w:ascii="Times New Roman" w:eastAsia="Times New Roman" w:hAnsi="Times New Roman" w:cs="Times New Roman"/>
        </w:rPr>
        <w:t xml:space="preserve"> = </w:t>
      </w:r>
      <w:proofErr w:type="spellStart"/>
      <w:r>
        <w:rPr>
          <w:rFonts w:ascii="Times New Roman" w:eastAsia="Times New Roman" w:hAnsi="Times New Roman" w:cs="Times New Roman"/>
          <w:i/>
        </w:rPr>
        <w:t>cr</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d</w:t>
      </w:r>
      <w:r>
        <w:rPr>
          <w:rFonts w:ascii="Times New Roman" w:eastAsia="Times New Roman" w:hAnsi="Times New Roman" w:cs="Times New Roman"/>
        </w:rPr>
        <w:t xml:space="preserve"> = (</w:t>
      </w:r>
      <w:r>
        <w:rPr>
          <w:rFonts w:ascii="Times New Roman" w:eastAsia="Times New Roman" w:hAnsi="Times New Roman" w:cs="Times New Roman"/>
          <w:i/>
        </w:rPr>
        <w:t>-c</w:t>
      </w:r>
      <w:r>
        <w:rPr>
          <w:rFonts w:ascii="Times New Roman" w:eastAsia="Times New Roman" w:hAnsi="Times New Roman" w:cs="Times New Roman"/>
        </w:rPr>
        <w:t xml:space="preserve">) and </w:t>
      </w:r>
      <w:r>
        <w:rPr>
          <w:rFonts w:ascii="Times New Roman" w:eastAsia="Times New Roman" w:hAnsi="Times New Roman" w:cs="Times New Roman"/>
          <w:i/>
        </w:rPr>
        <w:t xml:space="preserve">c </w:t>
      </w:r>
      <w:r>
        <w:rPr>
          <w:rFonts w:ascii="Times New Roman" w:eastAsia="Times New Roman" w:hAnsi="Times New Roman" w:cs="Times New Roman"/>
        </w:rPr>
        <w:t xml:space="preserve">is the speed of adjustment of dividends to earnings. The target ratio, </w:t>
      </w:r>
      <w:r>
        <w:rPr>
          <w:rFonts w:ascii="Times New Roman" w:eastAsia="Times New Roman" w:hAnsi="Times New Roman" w:cs="Times New Roman"/>
          <w:i/>
        </w:rPr>
        <w:t>r</w:t>
      </w:r>
      <w:r>
        <w:rPr>
          <w:rFonts w:ascii="Times New Roman" w:eastAsia="Times New Roman" w:hAnsi="Times New Roman" w:cs="Times New Roman"/>
        </w:rPr>
        <w:t xml:space="preserve">, can therefore be computed as </w:t>
      </w:r>
      <w:r>
        <w:rPr>
          <w:rFonts w:ascii="Times New Roman" w:eastAsia="Times New Roman" w:hAnsi="Times New Roman" w:cs="Times New Roman"/>
          <w:i/>
        </w:rPr>
        <w:t>b/(-d)</w:t>
      </w:r>
      <w:r>
        <w:rPr>
          <w:rFonts w:ascii="Times New Roman" w:eastAsia="Times New Roman" w:hAnsi="Times New Roman" w:cs="Times New Roman"/>
        </w:rPr>
        <w:t xml:space="preserve">. Prior research assumes that the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and speed of adjustment coefficient are constant across firms (Andres </w:t>
      </w:r>
      <w:r>
        <w:rPr>
          <w:rFonts w:ascii="Times New Roman" w:eastAsia="Times New Roman" w:hAnsi="Times New Roman" w:cs="Times New Roman"/>
          <w:i/>
        </w:rPr>
        <w:t>et al</w:t>
      </w:r>
      <w:r>
        <w:rPr>
          <w:rFonts w:ascii="Times New Roman" w:eastAsia="Times New Roman" w:hAnsi="Times New Roman" w:cs="Times New Roman"/>
        </w:rPr>
        <w:t>., 2015; Skinner, 2008).</w:t>
      </w:r>
    </w:p>
    <w:p w14:paraId="420E435A"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lastRenderedPageBreak/>
        <w:t xml:space="preserve">Applying this method to the German case, where share repurchases were allowed post-1998, Andres </w:t>
      </w:r>
      <w:r>
        <w:rPr>
          <w:rFonts w:ascii="Times New Roman" w:eastAsia="Times New Roman" w:hAnsi="Times New Roman" w:cs="Times New Roman"/>
          <w:i/>
        </w:rPr>
        <w:t>et al.</w:t>
      </w:r>
      <w:r>
        <w:rPr>
          <w:rFonts w:ascii="Times New Roman" w:eastAsia="Times New Roman" w:hAnsi="Times New Roman" w:cs="Times New Roman"/>
        </w:rPr>
        <w:t xml:space="preserve"> (2015) argue that, if dividends and share repurchases are perfect substitutes, then the parameters of a Lintner model using total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will be unaffected by the reforms allowing share repurchases. </w:t>
      </w:r>
    </w:p>
    <w:p w14:paraId="383AB27B" w14:textId="71ED5636"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Following Skinner (2008), we adapt the Lintner model (equation </w:t>
      </w:r>
      <w:r w:rsidR="00A97FDD">
        <w:rPr>
          <w:rFonts w:ascii="Times New Roman" w:eastAsia="Times New Roman" w:hAnsi="Times New Roman" w:cs="Times New Roman"/>
        </w:rPr>
        <w:t>(</w:t>
      </w:r>
      <w:r>
        <w:rPr>
          <w:rFonts w:ascii="Times New Roman" w:eastAsia="Times New Roman" w:hAnsi="Times New Roman" w:cs="Times New Roman"/>
        </w:rPr>
        <w:t>2)</w:t>
      </w:r>
      <w:r w:rsidR="00A97FDD">
        <w:rPr>
          <w:rFonts w:ascii="Times New Roman" w:eastAsia="Times New Roman" w:hAnsi="Times New Roman" w:cs="Times New Roman"/>
        </w:rPr>
        <w:t>)</w:t>
      </w:r>
      <w:r>
        <w:rPr>
          <w:rFonts w:ascii="Times New Roman" w:eastAsia="Times New Roman" w:hAnsi="Times New Roman" w:cs="Times New Roman"/>
        </w:rPr>
        <w:t xml:space="preserve"> to incorporate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(dividends plus repurchases) and test the two models below:</w:t>
      </w: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980"/>
      </w:tblGrid>
      <w:tr w:rsidR="00DA338F" w14:paraId="4DE59E85" w14:textId="77777777" w:rsidTr="00A97FDD">
        <w:trPr>
          <w:trHeight w:val="779"/>
        </w:trPr>
        <w:tc>
          <w:tcPr>
            <w:tcW w:w="8877" w:type="dxa"/>
          </w:tcPr>
          <w:p w14:paraId="2BB2B86D" w14:textId="459CA450" w:rsidR="00DA338F" w:rsidRPr="00DA338F" w:rsidRDefault="00DA338F" w:rsidP="00A97FDD">
            <w:pPr>
              <w:jc w:val="center"/>
              <w:rPr>
                <w:rFonts w:ascii="Cambria Math" w:eastAsia="Cambria Math" w:hAnsi="Cambria Math" w:cs="Cambria Math"/>
                <w:szCs w:val="22"/>
              </w:rPr>
            </w:pPr>
            <m:oMathPara>
              <m:oMath>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DIV</m:t>
                    </m:r>
                  </m:e>
                  <m:sub>
                    <m:r>
                      <w:rPr>
                        <w:rFonts w:ascii="Cambria Math" w:eastAsia="Cambria Math" w:hAnsi="Cambria Math" w:cs="Cambria Math"/>
                        <w:szCs w:val="22"/>
                      </w:rPr>
                      <m:t>t</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α</m:t>
                    </m:r>
                  </m:e>
                  <m:sub>
                    <m:r>
                      <w:rPr>
                        <w:rFonts w:ascii="Cambria Math" w:eastAsia="Cambria Math" w:hAnsi="Cambria Math" w:cs="Cambria Math"/>
                        <w:szCs w:val="22"/>
                      </w:rPr>
                      <m:t>0</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sSub>
                      <m:sSubPr>
                        <m:ctrlPr>
                          <w:rPr>
                            <w:rFonts w:ascii="Cambria Math" w:eastAsia="Cambria Math" w:hAnsi="Cambria Math" w:cs="Cambria Math"/>
                            <w:szCs w:val="22"/>
                          </w:rPr>
                        </m:ctrlPr>
                      </m:sSubPr>
                      <m:e>
                        <m:r>
                          <w:rPr>
                            <w:rFonts w:ascii="Cambria Math" w:eastAsia="Cambria Math" w:hAnsi="Cambria Math" w:cs="Cambria Math"/>
                            <w:szCs w:val="22"/>
                          </w:rPr>
                          <m:t>α</m:t>
                        </m:r>
                      </m:e>
                      <m:sub>
                        <m:r>
                          <w:rPr>
                            <w:rFonts w:ascii="Cambria Math" w:eastAsia="Cambria Math" w:hAnsi="Cambria Math" w:cs="Cambria Math"/>
                            <w:szCs w:val="22"/>
                          </w:rPr>
                          <m:t>1</m:t>
                        </m:r>
                      </m:sub>
                    </m:sSub>
                    <m:r>
                      <w:rPr>
                        <w:rFonts w:ascii="Cambria Math" w:eastAsia="Cambria Math" w:hAnsi="Cambria Math" w:cs="Cambria Math"/>
                        <w:szCs w:val="22"/>
                      </w:rPr>
                      <m:t>NI</m:t>
                    </m:r>
                  </m:e>
                  <m:sub>
                    <m:r>
                      <w:rPr>
                        <w:rFonts w:ascii="Cambria Math" w:eastAsia="Cambria Math" w:hAnsi="Cambria Math" w:cs="Cambria Math"/>
                        <w:szCs w:val="22"/>
                      </w:rPr>
                      <m:t>t</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α</m:t>
                    </m:r>
                  </m:e>
                  <m:sub>
                    <m:r>
                      <w:rPr>
                        <w:rFonts w:ascii="Cambria Math" w:eastAsia="Cambria Math" w:hAnsi="Cambria Math" w:cs="Cambria Math"/>
                        <w:szCs w:val="22"/>
                      </w:rPr>
                      <m:t>2</m:t>
                    </m:r>
                  </m:sub>
                </m:sSub>
                <m:sSub>
                  <m:sSubPr>
                    <m:ctrlPr>
                      <w:rPr>
                        <w:rFonts w:ascii="Cambria Math" w:eastAsia="Cambria Math" w:hAnsi="Cambria Math" w:cs="Cambria Math"/>
                        <w:szCs w:val="22"/>
                      </w:rPr>
                    </m:ctrlPr>
                  </m:sSubPr>
                  <m:e>
                    <m:r>
                      <w:rPr>
                        <w:rFonts w:ascii="Cambria Math" w:eastAsia="Cambria Math" w:hAnsi="Cambria Math" w:cs="Cambria Math"/>
                        <w:szCs w:val="22"/>
                      </w:rPr>
                      <m:t>DIV</m:t>
                    </m:r>
                  </m:e>
                  <m:sub>
                    <m:r>
                      <w:rPr>
                        <w:rFonts w:ascii="Cambria Math" w:eastAsia="Cambria Math" w:hAnsi="Cambria Math" w:cs="Cambria Math"/>
                        <w:szCs w:val="22"/>
                      </w:rPr>
                      <m:t>t-1</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μ</m:t>
                    </m:r>
                  </m:e>
                  <m:sub>
                    <m:r>
                      <w:rPr>
                        <w:rFonts w:ascii="Cambria Math" w:eastAsia="Cambria Math" w:hAnsi="Cambria Math" w:cs="Cambria Math"/>
                        <w:szCs w:val="22"/>
                      </w:rPr>
                      <m:t>t</m:t>
                    </m:r>
                  </m:sub>
                </m:sSub>
              </m:oMath>
            </m:oMathPara>
          </w:p>
        </w:tc>
        <w:tc>
          <w:tcPr>
            <w:tcW w:w="980" w:type="dxa"/>
          </w:tcPr>
          <w:p w14:paraId="0259E653" w14:textId="24EF745D" w:rsidR="00DA338F" w:rsidRDefault="00DA338F" w:rsidP="00E87442">
            <w:pPr>
              <w:spacing w:after="280" w:line="480" w:lineRule="auto"/>
              <w:jc w:val="both"/>
              <w:rPr>
                <w:rFonts w:ascii="Times New Roman" w:eastAsia="Times New Roman" w:hAnsi="Times New Roman" w:cs="Times New Roman"/>
              </w:rPr>
            </w:pPr>
            <w:r>
              <w:rPr>
                <w:rFonts w:ascii="Times New Roman" w:eastAsia="Times New Roman" w:hAnsi="Times New Roman" w:cs="Times New Roman"/>
              </w:rPr>
              <w:t>(3)</w:t>
            </w:r>
          </w:p>
        </w:tc>
      </w:tr>
    </w:tbl>
    <w:p w14:paraId="2725A0E7" w14:textId="10A75E91" w:rsidR="00A707CF" w:rsidRDefault="00A707CF" w:rsidP="00A97FDD">
      <w:pPr>
        <w:spacing w:after="0" w:line="240" w:lineRule="auto"/>
        <w:ind w:firstLine="397"/>
        <w:jc w:val="right"/>
        <w:rPr>
          <w:rFonts w:ascii="Times New Roman" w:eastAsia="Times New Roman" w:hAnsi="Times New Roman" w:cs="Times New Roman"/>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2"/>
        <w:gridCol w:w="519"/>
      </w:tblGrid>
      <w:tr w:rsidR="00DA338F" w14:paraId="3EDD9227" w14:textId="77777777" w:rsidTr="00A613FF">
        <w:trPr>
          <w:trHeight w:val="901"/>
        </w:trPr>
        <w:tc>
          <w:tcPr>
            <w:tcW w:w="8852" w:type="dxa"/>
          </w:tcPr>
          <w:p w14:paraId="36E4FF59" w14:textId="7D194977" w:rsidR="00DA338F" w:rsidRPr="00DA338F" w:rsidRDefault="00DA338F" w:rsidP="00DA338F">
            <w:pPr>
              <w:spacing w:line="480" w:lineRule="auto"/>
              <w:jc w:val="center"/>
              <w:rPr>
                <w:rFonts w:ascii="Cambria Math" w:eastAsia="Cambria Math" w:hAnsi="Cambria Math" w:cs="Cambria Math"/>
                <w:szCs w:val="22"/>
              </w:rPr>
            </w:pPr>
            <m:oMathPara>
              <m:oMath>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TOTALPAY</m:t>
                    </m:r>
                  </m:e>
                  <m:sub>
                    <m:r>
                      <w:rPr>
                        <w:rFonts w:ascii="Cambria Math" w:eastAsia="Cambria Math" w:hAnsi="Cambria Math" w:cs="Cambria Math"/>
                        <w:szCs w:val="22"/>
                      </w:rPr>
                      <m:t>t</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α</m:t>
                    </m:r>
                  </m:e>
                  <m:sub>
                    <m:r>
                      <w:rPr>
                        <w:rFonts w:ascii="Cambria Math" w:eastAsia="Cambria Math" w:hAnsi="Cambria Math" w:cs="Cambria Math"/>
                        <w:szCs w:val="22"/>
                      </w:rPr>
                      <m:t>0</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sSub>
                      <m:sSubPr>
                        <m:ctrlPr>
                          <w:rPr>
                            <w:rFonts w:ascii="Cambria Math" w:eastAsia="Cambria Math" w:hAnsi="Cambria Math" w:cs="Cambria Math"/>
                            <w:szCs w:val="22"/>
                          </w:rPr>
                        </m:ctrlPr>
                      </m:sSubPr>
                      <m:e>
                        <m:r>
                          <w:rPr>
                            <w:rFonts w:ascii="Cambria Math" w:eastAsia="Cambria Math" w:hAnsi="Cambria Math" w:cs="Cambria Math"/>
                            <w:szCs w:val="22"/>
                          </w:rPr>
                          <m:t>α</m:t>
                        </m:r>
                      </m:e>
                      <m:sub>
                        <m:r>
                          <w:rPr>
                            <w:rFonts w:ascii="Cambria Math" w:eastAsia="Cambria Math" w:hAnsi="Cambria Math" w:cs="Cambria Math"/>
                            <w:szCs w:val="22"/>
                          </w:rPr>
                          <m:t>1</m:t>
                        </m:r>
                      </m:sub>
                    </m:sSub>
                    <m:r>
                      <w:rPr>
                        <w:rFonts w:ascii="Cambria Math" w:eastAsia="Cambria Math" w:hAnsi="Cambria Math" w:cs="Cambria Math"/>
                        <w:szCs w:val="22"/>
                      </w:rPr>
                      <m:t>NI</m:t>
                    </m:r>
                  </m:e>
                  <m:sub>
                    <m:r>
                      <w:rPr>
                        <w:rFonts w:ascii="Cambria Math" w:eastAsia="Cambria Math" w:hAnsi="Cambria Math" w:cs="Cambria Math"/>
                        <w:szCs w:val="22"/>
                      </w:rPr>
                      <m:t>t</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α</m:t>
                    </m:r>
                  </m:e>
                  <m:sub>
                    <m:r>
                      <w:rPr>
                        <w:rFonts w:ascii="Cambria Math" w:eastAsia="Cambria Math" w:hAnsi="Cambria Math" w:cs="Cambria Math"/>
                        <w:szCs w:val="22"/>
                      </w:rPr>
                      <m:t>2</m:t>
                    </m:r>
                  </m:sub>
                </m:sSub>
                <m:sSub>
                  <m:sSubPr>
                    <m:ctrlPr>
                      <w:rPr>
                        <w:rFonts w:ascii="Cambria Math" w:eastAsia="Cambria Math" w:hAnsi="Cambria Math" w:cs="Cambria Math"/>
                        <w:szCs w:val="22"/>
                      </w:rPr>
                    </m:ctrlPr>
                  </m:sSubPr>
                  <m:e>
                    <m:r>
                      <w:rPr>
                        <w:rFonts w:ascii="Cambria Math" w:eastAsia="Cambria Math" w:hAnsi="Cambria Math" w:cs="Cambria Math"/>
                        <w:szCs w:val="22"/>
                      </w:rPr>
                      <m:t>TOTALPAY</m:t>
                    </m:r>
                  </m:e>
                  <m:sub>
                    <m:r>
                      <w:rPr>
                        <w:rFonts w:ascii="Cambria Math" w:eastAsia="Cambria Math" w:hAnsi="Cambria Math" w:cs="Cambria Math"/>
                        <w:szCs w:val="22"/>
                      </w:rPr>
                      <m:t>t-1</m:t>
                    </m:r>
                  </m:sub>
                </m:sSub>
                <m:r>
                  <w:rPr>
                    <w:rFonts w:ascii="Cambria Math" w:eastAsia="Cambria Math" w:hAnsi="Cambria Math" w:cs="Cambria Math"/>
                    <w:szCs w:val="22"/>
                  </w:rPr>
                  <m:t>+</m:t>
                </m:r>
                <m:sSub>
                  <m:sSubPr>
                    <m:ctrlPr>
                      <w:rPr>
                        <w:rFonts w:ascii="Cambria Math" w:eastAsia="Cambria Math" w:hAnsi="Cambria Math" w:cs="Cambria Math"/>
                        <w:szCs w:val="22"/>
                      </w:rPr>
                    </m:ctrlPr>
                  </m:sSubPr>
                  <m:e>
                    <m:r>
                      <w:rPr>
                        <w:rFonts w:ascii="Cambria Math" w:eastAsia="Cambria Math" w:hAnsi="Cambria Math" w:cs="Cambria Math"/>
                        <w:szCs w:val="22"/>
                      </w:rPr>
                      <m:t>μ</m:t>
                    </m:r>
                  </m:e>
                  <m:sub>
                    <m:r>
                      <w:rPr>
                        <w:rFonts w:ascii="Cambria Math" w:eastAsia="Cambria Math" w:hAnsi="Cambria Math" w:cs="Cambria Math"/>
                        <w:szCs w:val="22"/>
                      </w:rPr>
                      <m:t>t</m:t>
                    </m:r>
                  </m:sub>
                </m:sSub>
              </m:oMath>
            </m:oMathPara>
          </w:p>
        </w:tc>
        <w:tc>
          <w:tcPr>
            <w:tcW w:w="519" w:type="dxa"/>
          </w:tcPr>
          <w:p w14:paraId="0A24BFC5" w14:textId="1CF194D5" w:rsidR="00DA338F" w:rsidRDefault="00DA338F" w:rsidP="00E87442">
            <w:pPr>
              <w:spacing w:after="280" w:line="480" w:lineRule="auto"/>
              <w:jc w:val="both"/>
              <w:rPr>
                <w:rFonts w:ascii="Times New Roman" w:eastAsia="Times New Roman" w:hAnsi="Times New Roman" w:cs="Times New Roman"/>
              </w:rPr>
            </w:pPr>
            <w:r>
              <w:rPr>
                <w:rFonts w:ascii="Times New Roman" w:eastAsia="Times New Roman" w:hAnsi="Times New Roman" w:cs="Times New Roman"/>
                <w:szCs w:val="22"/>
              </w:rPr>
              <w:t>(4)</w:t>
            </w:r>
          </w:p>
        </w:tc>
      </w:tr>
    </w:tbl>
    <w:p w14:paraId="699A78A9" w14:textId="2E0312E6"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If share repurchases substitute for dividends in the UK</w:t>
      </w:r>
      <w:r w:rsidR="00A97FDD">
        <w:rPr>
          <w:rFonts w:ascii="Times New Roman" w:eastAsia="Times New Roman" w:hAnsi="Times New Roman" w:cs="Times New Roman"/>
        </w:rPr>
        <w:t>,</w:t>
      </w:r>
      <w:r>
        <w:rPr>
          <w:rFonts w:ascii="Times New Roman" w:eastAsia="Times New Roman" w:hAnsi="Times New Roman" w:cs="Times New Roman"/>
        </w:rPr>
        <w:t xml:space="preserve"> then we would expect that, once it becomes easier to repurchase shares, managers will choose to distribute a greater proportion of profits in this way because it mitigates any risk of the market penalising them for cutting dividends. This will reduce the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in relation to dividends, as well as the sensitivity of dividends to earnings (the speed of adjustment) while having no effect on the sensitivity of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to earnings. We therefore predict that:</w:t>
      </w:r>
    </w:p>
    <w:tbl>
      <w:tblPr>
        <w:tblStyle w:val="14"/>
        <w:tblW w:w="9015" w:type="dxa"/>
        <w:tblBorders>
          <w:top w:val="nil"/>
          <w:left w:val="nil"/>
          <w:bottom w:val="nil"/>
          <w:right w:val="nil"/>
          <w:insideH w:val="nil"/>
          <w:insideV w:val="nil"/>
        </w:tblBorders>
        <w:tblLayout w:type="fixed"/>
        <w:tblLook w:val="0400" w:firstRow="0" w:lastRow="0" w:firstColumn="0" w:lastColumn="0" w:noHBand="0" w:noVBand="1"/>
      </w:tblPr>
      <w:tblGrid>
        <w:gridCol w:w="1700"/>
        <w:gridCol w:w="7315"/>
      </w:tblGrid>
      <w:tr w:rsidR="00A707CF" w14:paraId="00F1BE3F" w14:textId="77777777">
        <w:tc>
          <w:tcPr>
            <w:tcW w:w="1700" w:type="dxa"/>
          </w:tcPr>
          <w:p w14:paraId="6613D4D1"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Prediction 5b:</w:t>
            </w:r>
          </w:p>
        </w:tc>
        <w:tc>
          <w:tcPr>
            <w:tcW w:w="7315" w:type="dxa"/>
          </w:tcPr>
          <w:p w14:paraId="21D84592" w14:textId="77777777" w:rsidR="00A707CF" w:rsidRDefault="0055054A" w:rsidP="00E87442">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If share repurchases are substitutes for dividends in the UK, then the reform which allows share repurchases will be associated with a reduction in both the speed of adjustment of dividends to earnings and the target </w:t>
            </w:r>
            <w:proofErr w:type="spellStart"/>
            <w:r>
              <w:rPr>
                <w:rFonts w:ascii="Times New Roman" w:eastAsia="Times New Roman" w:hAnsi="Times New Roman" w:cs="Times New Roman"/>
                <w:b/>
                <w:i/>
                <w:sz w:val="24"/>
                <w:szCs w:val="24"/>
              </w:rPr>
              <w:t>payout</w:t>
            </w:r>
            <w:proofErr w:type="spellEnd"/>
            <w:r>
              <w:rPr>
                <w:rFonts w:ascii="Times New Roman" w:eastAsia="Times New Roman" w:hAnsi="Times New Roman" w:cs="Times New Roman"/>
                <w:b/>
                <w:i/>
                <w:sz w:val="24"/>
                <w:szCs w:val="24"/>
              </w:rPr>
              <w:t xml:space="preserve"> ratio in a Lintner model of dividends alone (Eq.3).</w:t>
            </w:r>
          </w:p>
        </w:tc>
      </w:tr>
    </w:tbl>
    <w:p w14:paraId="551C1FF2" w14:textId="77777777" w:rsidR="00A707CF" w:rsidRDefault="00A707CF" w:rsidP="00E87442">
      <w:pPr>
        <w:spacing w:after="0" w:line="480" w:lineRule="auto"/>
        <w:jc w:val="both"/>
        <w:rPr>
          <w:rFonts w:ascii="Times New Roman" w:eastAsia="Times New Roman" w:hAnsi="Times New Roman" w:cs="Times New Roman"/>
        </w:rPr>
      </w:pPr>
    </w:p>
    <w:p w14:paraId="33027570"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Following Andres </w:t>
      </w:r>
      <w:r>
        <w:rPr>
          <w:rFonts w:ascii="Times New Roman" w:eastAsia="Times New Roman" w:hAnsi="Times New Roman" w:cs="Times New Roman"/>
          <w:i/>
        </w:rPr>
        <w:t>et al</w:t>
      </w:r>
      <w:r>
        <w:rPr>
          <w:rFonts w:ascii="Times New Roman" w:eastAsia="Times New Roman" w:hAnsi="Times New Roman" w:cs="Times New Roman"/>
        </w:rPr>
        <w:t>. (2015) we also predict the following:</w:t>
      </w:r>
    </w:p>
    <w:tbl>
      <w:tblPr>
        <w:tblStyle w:val="13"/>
        <w:tblW w:w="9015" w:type="dxa"/>
        <w:tblBorders>
          <w:top w:val="nil"/>
          <w:left w:val="nil"/>
          <w:bottom w:val="nil"/>
          <w:right w:val="nil"/>
          <w:insideH w:val="nil"/>
          <w:insideV w:val="nil"/>
        </w:tblBorders>
        <w:tblLayout w:type="fixed"/>
        <w:tblLook w:val="0400" w:firstRow="0" w:lastRow="0" w:firstColumn="0" w:lastColumn="0" w:noHBand="0" w:noVBand="1"/>
      </w:tblPr>
      <w:tblGrid>
        <w:gridCol w:w="1700"/>
        <w:gridCol w:w="7315"/>
      </w:tblGrid>
      <w:tr w:rsidR="00A707CF" w14:paraId="723EA89A" w14:textId="77777777">
        <w:tc>
          <w:tcPr>
            <w:tcW w:w="1700" w:type="dxa"/>
          </w:tcPr>
          <w:p w14:paraId="0060058F"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Prediction 5c:</w:t>
            </w:r>
          </w:p>
        </w:tc>
        <w:tc>
          <w:tcPr>
            <w:tcW w:w="7315" w:type="dxa"/>
          </w:tcPr>
          <w:p w14:paraId="7EC1F771" w14:textId="77777777" w:rsidR="00A707CF" w:rsidRDefault="0055054A" w:rsidP="00E87442">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If share repurchases are substitutes for dividends in the UK, then the reform which allows share repurchases will not be associated with any change in the parameters of a Lintner model of total </w:t>
            </w:r>
            <w:proofErr w:type="spellStart"/>
            <w:r>
              <w:rPr>
                <w:rFonts w:ascii="Times New Roman" w:eastAsia="Times New Roman" w:hAnsi="Times New Roman" w:cs="Times New Roman"/>
                <w:b/>
                <w:i/>
                <w:sz w:val="24"/>
                <w:szCs w:val="24"/>
              </w:rPr>
              <w:t>payout</w:t>
            </w:r>
            <w:proofErr w:type="spellEnd"/>
            <w:r>
              <w:rPr>
                <w:rFonts w:ascii="Times New Roman" w:eastAsia="Times New Roman" w:hAnsi="Times New Roman" w:cs="Times New Roman"/>
                <w:b/>
                <w:i/>
                <w:sz w:val="24"/>
                <w:szCs w:val="24"/>
              </w:rPr>
              <w:t xml:space="preserve"> (Eq. 4).</w:t>
            </w:r>
          </w:p>
        </w:tc>
      </w:tr>
    </w:tbl>
    <w:p w14:paraId="463C2EC8" w14:textId="77777777" w:rsidR="00BA6E51" w:rsidRDefault="00BA6E51" w:rsidP="005454D2">
      <w:pPr>
        <w:spacing w:before="120" w:after="280" w:line="480" w:lineRule="auto"/>
        <w:ind w:firstLine="397"/>
        <w:jc w:val="both"/>
        <w:rPr>
          <w:rFonts w:ascii="Times New Roman" w:eastAsia="Times New Roman" w:hAnsi="Times New Roman" w:cs="Times New Roman"/>
          <w:i/>
        </w:rPr>
      </w:pPr>
    </w:p>
    <w:p w14:paraId="387DD3EA" w14:textId="77777777" w:rsidR="00BA6E51" w:rsidRDefault="00BA6E51" w:rsidP="005454D2">
      <w:pPr>
        <w:spacing w:before="120" w:after="280" w:line="480" w:lineRule="auto"/>
        <w:ind w:firstLine="397"/>
        <w:jc w:val="both"/>
        <w:rPr>
          <w:rFonts w:ascii="Times New Roman" w:eastAsia="Times New Roman" w:hAnsi="Times New Roman" w:cs="Times New Roman"/>
          <w:i/>
        </w:rPr>
      </w:pPr>
    </w:p>
    <w:p w14:paraId="2056E46F" w14:textId="0DDB7E02" w:rsidR="00A707CF" w:rsidRDefault="0055054A" w:rsidP="005454D2">
      <w:pPr>
        <w:spacing w:before="120"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lastRenderedPageBreak/>
        <w:t>6. Corporate governance (H6)</w:t>
      </w:r>
    </w:p>
    <w:p w14:paraId="4086272E"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If share repurchases offer a solution to the agency problem of free cash flow, then it may be that better governed firms are more likely to repurchase. For example, a more independent board may be better able to discourage over-retention of cash than one which is dominated by insiders (</w:t>
      </w:r>
      <w:proofErr w:type="spellStart"/>
      <w:r>
        <w:rPr>
          <w:rFonts w:ascii="Times New Roman" w:eastAsia="Times New Roman" w:hAnsi="Times New Roman" w:cs="Times New Roman"/>
        </w:rPr>
        <w:t>Fama</w:t>
      </w:r>
      <w:proofErr w:type="spellEnd"/>
      <w:r>
        <w:rPr>
          <w:rFonts w:ascii="Times New Roman" w:eastAsia="Times New Roman" w:hAnsi="Times New Roman" w:cs="Times New Roman"/>
        </w:rPr>
        <w:t xml:space="preserve"> and Jensen, 1983; Sharma, 2011). Consistent with this, Sharma (2011) provides US evidence that more independent boards are positively associated with both dividend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and share repurchases. We therefore test an additional hypothesis (</w:t>
      </w:r>
      <w:r>
        <w:rPr>
          <w:rFonts w:ascii="Times New Roman" w:eastAsia="Times New Roman" w:hAnsi="Times New Roman" w:cs="Times New Roman"/>
          <w:i/>
        </w:rPr>
        <w:t>H6</w:t>
      </w:r>
      <w:r>
        <w:rPr>
          <w:rFonts w:ascii="Times New Roman" w:eastAsia="Times New Roman" w:hAnsi="Times New Roman" w:cs="Times New Roman"/>
        </w:rPr>
        <w:t xml:space="preserve">), which is that share repurchases are more likely when a firm has stronger corporate governance mechanisms in place. </w:t>
      </w:r>
    </w:p>
    <w:p w14:paraId="7599D3AB"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In the UK, the role of independent directors was addressed in a reform to the Code of Corporate Governance based upon the Higgs Review of the Role and Effectiveness of Non-Executive Directors (2003).  The review provided the first formal outline of the role of UK non-executives, as well as increasing disclosure requirements relating to board activity and decision-making. We therefore examine whether the proportion of non-executives on the board is associated with share repurchase activity, and whether any such relationship is stronger post-2003, predicting the following:</w:t>
      </w:r>
    </w:p>
    <w:tbl>
      <w:tblPr>
        <w:tblStyle w:val="12"/>
        <w:tblW w:w="9015" w:type="dxa"/>
        <w:tblBorders>
          <w:top w:val="nil"/>
          <w:left w:val="nil"/>
          <w:bottom w:val="nil"/>
          <w:right w:val="nil"/>
          <w:insideH w:val="nil"/>
          <w:insideV w:val="nil"/>
        </w:tblBorders>
        <w:tblLayout w:type="fixed"/>
        <w:tblLook w:val="0400" w:firstRow="0" w:lastRow="0" w:firstColumn="0" w:lastColumn="0" w:noHBand="0" w:noVBand="1"/>
      </w:tblPr>
      <w:tblGrid>
        <w:gridCol w:w="1700"/>
        <w:gridCol w:w="7315"/>
      </w:tblGrid>
      <w:tr w:rsidR="00A707CF" w14:paraId="38D637E3" w14:textId="77777777">
        <w:trPr>
          <w:trHeight w:val="1000"/>
        </w:trPr>
        <w:tc>
          <w:tcPr>
            <w:tcW w:w="1700" w:type="dxa"/>
          </w:tcPr>
          <w:p w14:paraId="295A3DA9"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Prediction 6a:</w:t>
            </w:r>
          </w:p>
        </w:tc>
        <w:tc>
          <w:tcPr>
            <w:tcW w:w="7315" w:type="dxa"/>
          </w:tcPr>
          <w:p w14:paraId="05FC3DA9" w14:textId="77777777" w:rsidR="00A707CF" w:rsidRDefault="0055054A" w:rsidP="00E87442">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Share repurchase activity will be higher in firms with more independent boards.</w:t>
            </w:r>
          </w:p>
        </w:tc>
      </w:tr>
    </w:tbl>
    <w:p w14:paraId="0D2AE1D9" w14:textId="46A58ABD" w:rsidR="00A707CF" w:rsidRDefault="005178B2" w:rsidP="00E87442">
      <w:pPr>
        <w:spacing w:after="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Unchecked, managers are prone to waste free cash (Jensen, 1986). </w:t>
      </w:r>
      <w:r w:rsidR="0055054A">
        <w:rPr>
          <w:rFonts w:ascii="Times New Roman" w:eastAsia="Times New Roman" w:hAnsi="Times New Roman" w:cs="Times New Roman"/>
        </w:rPr>
        <w:t xml:space="preserve">Where board members have equity stakes in the company, </w:t>
      </w:r>
      <w:r>
        <w:rPr>
          <w:rFonts w:ascii="Times New Roman" w:eastAsia="Times New Roman" w:hAnsi="Times New Roman" w:cs="Times New Roman"/>
        </w:rPr>
        <w:t xml:space="preserve">they will enjoy a share of the benefits of a reduction in </w:t>
      </w:r>
      <w:r w:rsidR="0055054A">
        <w:rPr>
          <w:rFonts w:ascii="Times New Roman" w:eastAsia="Times New Roman" w:hAnsi="Times New Roman" w:cs="Times New Roman"/>
        </w:rPr>
        <w:t>value-reducing activities, such as</w:t>
      </w:r>
      <w:r>
        <w:rPr>
          <w:rFonts w:ascii="Times New Roman" w:eastAsia="Times New Roman" w:hAnsi="Times New Roman" w:cs="Times New Roman"/>
        </w:rPr>
        <w:t xml:space="preserve"> over-consumption of perquisites or</w:t>
      </w:r>
      <w:r w:rsidR="0055054A">
        <w:rPr>
          <w:rFonts w:ascii="Times New Roman" w:eastAsia="Times New Roman" w:hAnsi="Times New Roman" w:cs="Times New Roman"/>
        </w:rPr>
        <w:t xml:space="preserve"> investment in negative net present value projects. They are therefore likely to be supportive of share repurchase programmes which reduce the agency costs of free cash flow</w:t>
      </w:r>
      <w:r>
        <w:rPr>
          <w:rFonts w:ascii="Times New Roman" w:eastAsia="Times New Roman" w:hAnsi="Times New Roman" w:cs="Times New Roman"/>
        </w:rPr>
        <w:t xml:space="preserve"> (Oded, 2020)</w:t>
      </w:r>
      <w:r w:rsidR="0055054A">
        <w:rPr>
          <w:rFonts w:ascii="Times New Roman" w:eastAsia="Times New Roman" w:hAnsi="Times New Roman" w:cs="Times New Roman"/>
        </w:rPr>
        <w:t xml:space="preserve">.  </w:t>
      </w:r>
      <w:r>
        <w:rPr>
          <w:rFonts w:ascii="Times New Roman" w:eastAsia="Times New Roman" w:hAnsi="Times New Roman" w:cs="Times New Roman"/>
        </w:rPr>
        <w:t>Further, i</w:t>
      </w:r>
      <w:r w:rsidR="0055054A">
        <w:rPr>
          <w:rFonts w:ascii="Times New Roman" w:eastAsia="Times New Roman" w:hAnsi="Times New Roman" w:cs="Times New Roman"/>
        </w:rPr>
        <w:t>f repurchases are made for undervaluation reasons, then stock-owning board members will benefit from any increase in share price due to the repurchase</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Chowdry</w:t>
      </w:r>
      <w:proofErr w:type="spellEnd"/>
      <w:r>
        <w:rPr>
          <w:rFonts w:ascii="Times New Roman" w:eastAsia="Times New Roman" w:hAnsi="Times New Roman" w:cs="Times New Roman"/>
        </w:rPr>
        <w:t xml:space="preserve"> and Nanda, 1994). </w:t>
      </w:r>
      <w:r w:rsidR="0055054A">
        <w:rPr>
          <w:rFonts w:ascii="Times New Roman" w:eastAsia="Times New Roman" w:hAnsi="Times New Roman" w:cs="Times New Roman"/>
        </w:rPr>
        <w:t>Any decrease in outstanding shares due to major repurchase programmes</w:t>
      </w:r>
      <w:r w:rsidR="00187E32">
        <w:rPr>
          <w:rFonts w:ascii="Times New Roman" w:eastAsia="Times New Roman" w:hAnsi="Times New Roman" w:cs="Times New Roman"/>
        </w:rPr>
        <w:t xml:space="preserve"> further</w:t>
      </w:r>
      <w:r w:rsidR="0055054A">
        <w:rPr>
          <w:rFonts w:ascii="Times New Roman" w:eastAsia="Times New Roman" w:hAnsi="Times New Roman" w:cs="Times New Roman"/>
        </w:rPr>
        <w:t xml:space="preserve"> increase</w:t>
      </w:r>
      <w:r w:rsidR="00187E32">
        <w:rPr>
          <w:rFonts w:ascii="Times New Roman" w:eastAsia="Times New Roman" w:hAnsi="Times New Roman" w:cs="Times New Roman"/>
        </w:rPr>
        <w:t>s</w:t>
      </w:r>
      <w:r w:rsidR="0055054A">
        <w:rPr>
          <w:rFonts w:ascii="Times New Roman" w:eastAsia="Times New Roman" w:hAnsi="Times New Roman" w:cs="Times New Roman"/>
        </w:rPr>
        <w:t xml:space="preserve"> the value of their equity stake.  We therefore predict the following:</w:t>
      </w:r>
    </w:p>
    <w:tbl>
      <w:tblPr>
        <w:tblStyle w:val="11"/>
        <w:tblW w:w="9015" w:type="dxa"/>
        <w:tblBorders>
          <w:top w:val="nil"/>
          <w:left w:val="nil"/>
          <w:bottom w:val="nil"/>
          <w:right w:val="nil"/>
          <w:insideH w:val="nil"/>
          <w:insideV w:val="nil"/>
        </w:tblBorders>
        <w:tblLayout w:type="fixed"/>
        <w:tblLook w:val="0400" w:firstRow="0" w:lastRow="0" w:firstColumn="0" w:lastColumn="0" w:noHBand="0" w:noVBand="1"/>
      </w:tblPr>
      <w:tblGrid>
        <w:gridCol w:w="1700"/>
        <w:gridCol w:w="7315"/>
      </w:tblGrid>
      <w:tr w:rsidR="00A707CF" w14:paraId="4D0E213D" w14:textId="77777777">
        <w:tc>
          <w:tcPr>
            <w:tcW w:w="1700" w:type="dxa"/>
          </w:tcPr>
          <w:p w14:paraId="41270844"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Prediction 6b:</w:t>
            </w:r>
          </w:p>
        </w:tc>
        <w:tc>
          <w:tcPr>
            <w:tcW w:w="7315" w:type="dxa"/>
          </w:tcPr>
          <w:p w14:paraId="1174E8A8"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Share repurchase activity will be positively associated with board ownership.</w:t>
            </w:r>
          </w:p>
        </w:tc>
      </w:tr>
    </w:tbl>
    <w:p w14:paraId="45FB9E34" w14:textId="77777777" w:rsidR="00820A5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7. Executive stock options (H7)</w:t>
      </w:r>
    </w:p>
    <w:p w14:paraId="442A358D" w14:textId="3E83164F" w:rsidR="00A707CF" w:rsidRPr="00820A5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rPr>
        <w:t xml:space="preserve">Lambert </w:t>
      </w:r>
      <w:r>
        <w:rPr>
          <w:rFonts w:ascii="Times New Roman" w:eastAsia="Times New Roman" w:hAnsi="Times New Roman" w:cs="Times New Roman"/>
          <w:i/>
        </w:rPr>
        <w:t>et al</w:t>
      </w:r>
      <w:r>
        <w:rPr>
          <w:rFonts w:ascii="Times New Roman" w:eastAsia="Times New Roman" w:hAnsi="Times New Roman" w:cs="Times New Roman"/>
        </w:rPr>
        <w:t xml:space="preserve">. (1989) suggest that, as future dividend payments reduce the current value of stock options, managers in receipt of ESOs will be motivated to reduce dividend payments. Their empirical results support this hypothesis, showing that firms pay lower than expected dividends following the introduction of a stock option scheme for senior executives.  They conclude that changes to the structure of managerial compensation may therefore affect dividend policy at the firm.  Fenn and Liang (2001) develop this further by considering the effect of ESOs on both dividends and repurchases.  Using a later sample, they confirm the results of Lambert </w:t>
      </w:r>
      <w:r>
        <w:rPr>
          <w:rFonts w:ascii="Times New Roman" w:eastAsia="Times New Roman" w:hAnsi="Times New Roman" w:cs="Times New Roman"/>
          <w:i/>
        </w:rPr>
        <w:t>et al</w:t>
      </w:r>
      <w:r>
        <w:rPr>
          <w:rFonts w:ascii="Times New Roman" w:eastAsia="Times New Roman" w:hAnsi="Times New Roman" w:cs="Times New Roman"/>
        </w:rPr>
        <w:t xml:space="preserve">. (1989), reporting a significant negative association between dividends and ESOs, as well as a significant positive association between ESOs and share repurchases.  US evidence on the association between stock option-based compensation for senior managers and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policies at the firm is therefore compelling. However, the relative importance of ESOs as a component of top executive pay in the UK is quite small (</w:t>
      </w:r>
      <w:proofErr w:type="spellStart"/>
      <w:r>
        <w:rPr>
          <w:rFonts w:ascii="Times New Roman" w:eastAsia="Times New Roman" w:hAnsi="Times New Roman" w:cs="Times New Roman"/>
        </w:rPr>
        <w:t>Conyon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2011) and so it is not clear that the existence of an option plan will provide sufficiently strong incentives for managers to adjust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policy to maximise the value of their stock options. BEIS (2019) identifies the lack of empirical evidence on the association between ESOs and repurchases in the UK as a gap in the literature. Young and Yang (2011), in a UK sample from 1998-2006, compare the compensation practices of a sample of repurchasing firms with a matched sample of non-repurchasers. They find no difference between the two sets of firms in respect of their propensity to use ESO plans.  We test whether the association between ESO use and repurchases in UK firms is consistent with US findings with our final prediction:</w:t>
      </w:r>
    </w:p>
    <w:tbl>
      <w:tblPr>
        <w:tblStyle w:val="10"/>
        <w:tblW w:w="9015" w:type="dxa"/>
        <w:tblBorders>
          <w:top w:val="nil"/>
          <w:left w:val="nil"/>
          <w:bottom w:val="nil"/>
          <w:right w:val="nil"/>
          <w:insideH w:val="nil"/>
          <w:insideV w:val="nil"/>
        </w:tblBorders>
        <w:tblLayout w:type="fixed"/>
        <w:tblLook w:val="0400" w:firstRow="0" w:lastRow="0" w:firstColumn="0" w:lastColumn="0" w:noHBand="0" w:noVBand="1"/>
      </w:tblPr>
      <w:tblGrid>
        <w:gridCol w:w="1700"/>
        <w:gridCol w:w="7315"/>
      </w:tblGrid>
      <w:tr w:rsidR="00A707CF" w14:paraId="34D3936F" w14:textId="77777777">
        <w:tc>
          <w:tcPr>
            <w:tcW w:w="1700" w:type="dxa"/>
          </w:tcPr>
          <w:p w14:paraId="22553279"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Prediction 7:</w:t>
            </w:r>
          </w:p>
        </w:tc>
        <w:tc>
          <w:tcPr>
            <w:tcW w:w="7315" w:type="dxa"/>
          </w:tcPr>
          <w:p w14:paraId="397E140A" w14:textId="77777777" w:rsidR="00A707CF" w:rsidRDefault="0055054A" w:rsidP="00E87442">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Share repurchase activity will be positively associated with the use of executive stock options.</w:t>
            </w:r>
          </w:p>
        </w:tc>
      </w:tr>
    </w:tbl>
    <w:p w14:paraId="24AC27C4" w14:textId="77777777" w:rsidR="0055612F" w:rsidRDefault="0055612F" w:rsidP="00B2299A">
      <w:pPr>
        <w:spacing w:after="0" w:line="480" w:lineRule="auto"/>
        <w:ind w:firstLine="397"/>
        <w:jc w:val="both"/>
        <w:rPr>
          <w:rFonts w:ascii="Times New Roman" w:eastAsia="Times New Roman" w:hAnsi="Times New Roman" w:cs="Times New Roman"/>
          <w:b/>
        </w:rPr>
      </w:pPr>
    </w:p>
    <w:p w14:paraId="450B41B1" w14:textId="77777777" w:rsidR="00BA6E51" w:rsidRDefault="00BA6E51" w:rsidP="00B2299A">
      <w:pPr>
        <w:spacing w:after="280" w:line="480" w:lineRule="auto"/>
        <w:ind w:firstLine="397"/>
        <w:jc w:val="both"/>
        <w:rPr>
          <w:rFonts w:ascii="Times New Roman" w:eastAsia="Times New Roman" w:hAnsi="Times New Roman" w:cs="Times New Roman"/>
          <w:b/>
        </w:rPr>
      </w:pPr>
    </w:p>
    <w:p w14:paraId="2CA91888" w14:textId="4E3792E5" w:rsidR="00A707CF" w:rsidRDefault="0055054A" w:rsidP="00B2299A">
      <w:pPr>
        <w:spacing w:after="280" w:line="480" w:lineRule="auto"/>
        <w:ind w:firstLine="397"/>
        <w:jc w:val="both"/>
        <w:rPr>
          <w:rFonts w:ascii="Times New Roman" w:eastAsia="Times New Roman" w:hAnsi="Times New Roman" w:cs="Times New Roman"/>
          <w:b/>
        </w:rPr>
      </w:pPr>
      <w:r>
        <w:rPr>
          <w:rFonts w:ascii="Times New Roman" w:eastAsia="Times New Roman" w:hAnsi="Times New Roman" w:cs="Times New Roman"/>
          <w:b/>
        </w:rPr>
        <w:lastRenderedPageBreak/>
        <w:t>4.  Sample, Data and Research Design</w:t>
      </w:r>
    </w:p>
    <w:p w14:paraId="6E1EDBCA" w14:textId="77777777" w:rsidR="00A707C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4.1 Sample and Data</w:t>
      </w:r>
    </w:p>
    <w:p w14:paraId="30E2D20A" w14:textId="64F39330"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We examine actual repurchase activity as opposed to the announcement of repurchase programmes. This is because firms which announce repurchases may do so in order to signal undervaluation and/or manipulate their stock price and may not actually make any repurchases (</w:t>
      </w:r>
      <w:proofErr w:type="spellStart"/>
      <w:r w:rsidR="00B2299A">
        <w:rPr>
          <w:rFonts w:ascii="Times New Roman" w:eastAsia="Times New Roman" w:hAnsi="Times New Roman" w:cs="Times New Roman"/>
        </w:rPr>
        <w:t>Andriosopoulos</w:t>
      </w:r>
      <w:proofErr w:type="spellEnd"/>
      <w:r w:rsidR="00B2299A">
        <w:rPr>
          <w:rFonts w:ascii="Times New Roman" w:eastAsia="Times New Roman" w:hAnsi="Times New Roman" w:cs="Times New Roman"/>
        </w:rPr>
        <w:t xml:space="preserve"> and Hoque, 2013; </w:t>
      </w:r>
      <w:r>
        <w:rPr>
          <w:rFonts w:ascii="Times New Roman" w:eastAsia="Times New Roman" w:hAnsi="Times New Roman" w:cs="Times New Roman"/>
        </w:rPr>
        <w:t xml:space="preserve">Chan, </w:t>
      </w:r>
      <w:proofErr w:type="spellStart"/>
      <w:r>
        <w:rPr>
          <w:rFonts w:ascii="Times New Roman" w:eastAsia="Times New Roman" w:hAnsi="Times New Roman" w:cs="Times New Roman"/>
        </w:rPr>
        <w:t>Ikenberry</w:t>
      </w:r>
      <w:proofErr w:type="spellEnd"/>
      <w:r>
        <w:rPr>
          <w:rFonts w:ascii="Times New Roman" w:eastAsia="Times New Roman" w:hAnsi="Times New Roman" w:cs="Times New Roman"/>
        </w:rPr>
        <w:t xml:space="preserve">, Lee and Wang, 2010; De </w:t>
      </w:r>
      <w:proofErr w:type="spellStart"/>
      <w:r>
        <w:rPr>
          <w:rFonts w:ascii="Times New Roman" w:eastAsia="Times New Roman" w:hAnsi="Times New Roman" w:cs="Times New Roman"/>
        </w:rPr>
        <w:t>Cesari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Espenlaub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Khurshed</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Simkovic</w:t>
      </w:r>
      <w:proofErr w:type="spellEnd"/>
      <w:r>
        <w:rPr>
          <w:rFonts w:ascii="Times New Roman" w:eastAsia="Times New Roman" w:hAnsi="Times New Roman" w:cs="Times New Roman"/>
        </w:rPr>
        <w:t>, 2012). In such cases, the motivation for share repurchase announcements is undervaluation and potentially different from the motivation for actual repurchases, which is our event of interest.</w:t>
      </w:r>
    </w:p>
    <w:p w14:paraId="08A094A4" w14:textId="5DD28DB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Our sample period runs from 1999 to 2016 and comprises UK non-financial, </w:t>
      </w:r>
      <w:proofErr w:type="gramStart"/>
      <w:r>
        <w:rPr>
          <w:rFonts w:ascii="Times New Roman" w:eastAsia="Times New Roman" w:hAnsi="Times New Roman" w:cs="Times New Roman"/>
        </w:rPr>
        <w:t>main-market</w:t>
      </w:r>
      <w:proofErr w:type="gramEnd"/>
      <w:r>
        <w:rPr>
          <w:rFonts w:ascii="Times New Roman" w:eastAsia="Times New Roman" w:hAnsi="Times New Roman" w:cs="Times New Roman"/>
        </w:rPr>
        <w:t xml:space="preserve"> listed firms.  Due to our use of lagged independent variables, we use dependent variables from 2000 only. We collect firm-level financial data from </w:t>
      </w:r>
      <w:proofErr w:type="spellStart"/>
      <w:r>
        <w:rPr>
          <w:rFonts w:ascii="Times New Roman" w:eastAsia="Times New Roman" w:hAnsi="Times New Roman" w:cs="Times New Roman"/>
        </w:rPr>
        <w:t>Worldscope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via</w:t>
      </w:r>
      <w:r>
        <w:rPr>
          <w:rFonts w:ascii="Times New Roman" w:eastAsia="Times New Roman" w:hAnsi="Times New Roman" w:cs="Times New Roman"/>
        </w:rPr>
        <w:t xml:space="preserve"> </w:t>
      </w:r>
      <w:proofErr w:type="spellStart"/>
      <w:r>
        <w:rPr>
          <w:rFonts w:ascii="Times New Roman" w:eastAsia="Times New Roman" w:hAnsi="Times New Roman" w:cs="Times New Roman"/>
        </w:rPr>
        <w:t>Datastream</w:t>
      </w:r>
      <w:proofErr w:type="spellEnd"/>
      <w:r>
        <w:rPr>
          <w:rFonts w:ascii="Times New Roman" w:eastAsia="Times New Roman" w:hAnsi="Times New Roman" w:cs="Times New Roman"/>
        </w:rPr>
        <w:t>. After deleting observations with incomplete data, we are left with a sample of 6,</w:t>
      </w:r>
      <w:r w:rsidR="00B2299A">
        <w:rPr>
          <w:rFonts w:ascii="Times New Roman" w:eastAsia="Times New Roman" w:hAnsi="Times New Roman" w:cs="Times New Roman"/>
        </w:rPr>
        <w:t>119</w:t>
      </w:r>
      <w:r w:rsidR="00E642F5">
        <w:rPr>
          <w:rFonts w:ascii="Times New Roman" w:eastAsia="Times New Roman" w:hAnsi="Times New Roman" w:cs="Times New Roman"/>
        </w:rPr>
        <w:t xml:space="preserve"> </w:t>
      </w:r>
      <w:r>
        <w:rPr>
          <w:rFonts w:ascii="Times New Roman" w:eastAsia="Times New Roman" w:hAnsi="Times New Roman" w:cs="Times New Roman"/>
        </w:rPr>
        <w:t>observations, representing 2,0</w:t>
      </w:r>
      <w:r w:rsidR="00E642F5">
        <w:rPr>
          <w:rFonts w:ascii="Times New Roman" w:eastAsia="Times New Roman" w:hAnsi="Times New Roman" w:cs="Times New Roman"/>
        </w:rPr>
        <w:t>18</w:t>
      </w:r>
      <w:r>
        <w:rPr>
          <w:rFonts w:ascii="Times New Roman" w:eastAsia="Times New Roman" w:hAnsi="Times New Roman" w:cs="Times New Roman"/>
        </w:rPr>
        <w:t xml:space="preserve"> repurchase and 4,18</w:t>
      </w:r>
      <w:r w:rsidR="00E642F5">
        <w:rPr>
          <w:rFonts w:ascii="Times New Roman" w:eastAsia="Times New Roman" w:hAnsi="Times New Roman" w:cs="Times New Roman"/>
        </w:rPr>
        <w:t>1</w:t>
      </w:r>
      <w:r>
        <w:rPr>
          <w:rFonts w:ascii="Times New Roman" w:eastAsia="Times New Roman" w:hAnsi="Times New Roman" w:cs="Times New Roman"/>
        </w:rPr>
        <w:t xml:space="preserve"> non-repurchase firm years.  Our corporate governance data,</w:t>
      </w:r>
      <w:r w:rsidR="005454D2">
        <w:rPr>
          <w:rFonts w:ascii="Times New Roman" w:eastAsia="Times New Roman" w:hAnsi="Times New Roman" w:cs="Times New Roman"/>
        </w:rPr>
        <w:t xml:space="preserve"> </w:t>
      </w:r>
      <w:r>
        <w:rPr>
          <w:rFonts w:ascii="Times New Roman" w:eastAsia="Times New Roman" w:hAnsi="Times New Roman" w:cs="Times New Roman"/>
        </w:rPr>
        <w:t>including board ownership, non-executive directors</w:t>
      </w:r>
      <w:r w:rsidR="00694AE9">
        <w:rPr>
          <w:rFonts w:ascii="Times New Roman" w:eastAsia="Times New Roman" w:hAnsi="Times New Roman" w:cs="Times New Roman"/>
        </w:rPr>
        <w:t>,</w:t>
      </w:r>
      <w:r>
        <w:rPr>
          <w:rFonts w:ascii="Times New Roman" w:eastAsia="Times New Roman" w:hAnsi="Times New Roman" w:cs="Times New Roman"/>
        </w:rPr>
        <w:t xml:space="preserve"> and executive compensation, are collected from </w:t>
      </w:r>
      <w:proofErr w:type="spellStart"/>
      <w:r>
        <w:rPr>
          <w:rFonts w:ascii="Times New Roman" w:eastAsia="Times New Roman" w:hAnsi="Times New Roman" w:cs="Times New Roman"/>
        </w:rPr>
        <w:t>BoardEx</w:t>
      </w:r>
      <w:proofErr w:type="spellEnd"/>
      <w:r>
        <w:rPr>
          <w:rFonts w:ascii="Times New Roman" w:eastAsia="Times New Roman" w:hAnsi="Times New Roman" w:cs="Times New Roman"/>
        </w:rPr>
        <w:t>. Institutional ownership data is from Eikon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1373043D" w14:textId="77777777" w:rsidR="00A707C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4.2 Models of the determinants of share repurchases</w:t>
      </w:r>
    </w:p>
    <w:p w14:paraId="5CBBECD0" w14:textId="7124EE01" w:rsidR="00A707CF" w:rsidRPr="00694AE9" w:rsidRDefault="0055054A" w:rsidP="00694AE9">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adapt two models from prior research (Oswald and Young, 2008) in order to examine the determinants of the probability of stock repurchases, and of the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for repurchases,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11"/>
      </w:tblGrid>
      <w:tr w:rsidR="00750807" w14:paraId="39C76049" w14:textId="77777777" w:rsidTr="00DD13DE">
        <w:tc>
          <w:tcPr>
            <w:tcW w:w="8897" w:type="dxa"/>
          </w:tcPr>
          <w:p w14:paraId="2AC64C09" w14:textId="4B6E4202" w:rsidR="00750807" w:rsidRPr="00DD13DE" w:rsidRDefault="00DD13DE" w:rsidP="00E87442">
            <w:pPr>
              <w:spacing w:line="480" w:lineRule="auto"/>
              <w:jc w:val="right"/>
              <w:rPr>
                <w:rFonts w:ascii="Times New Roman" w:eastAsia="Times New Roman" w:hAnsi="Times New Roman" w:cs="Times New Roman"/>
              </w:rPr>
            </w:pPr>
            <m:oMathPara>
              <m:oMathParaPr>
                <m:jc m:val="center"/>
              </m:oMathParaPr>
              <m:oMath>
                <m:r>
                  <w:rPr>
                    <w:rFonts w:ascii="Cambria Math" w:eastAsia="Cambria Math" w:hAnsi="Cambria Math" w:cs="Cambria Math"/>
                    <w:sz w:val="18"/>
                    <w:szCs w:val="18"/>
                  </w:rPr>
                  <m:t>Log</m:t>
                </m:r>
                <m:d>
                  <m:dPr>
                    <m:ctrlPr>
                      <w:rPr>
                        <w:rFonts w:ascii="Cambria Math" w:eastAsia="Cambria Math" w:hAnsi="Cambria Math" w:cs="Cambria Math"/>
                        <w:sz w:val="18"/>
                        <w:szCs w:val="18"/>
                      </w:rPr>
                    </m:ctrlPr>
                  </m:dPr>
                  <m:e>
                    <m:f>
                      <m:fPr>
                        <m:ctrlPr>
                          <w:rPr>
                            <w:rFonts w:ascii="Cambria Math" w:eastAsia="Cambria Math" w:hAnsi="Cambria Math" w:cs="Cambria Math"/>
                            <w:sz w:val="18"/>
                            <w:szCs w:val="18"/>
                          </w:rPr>
                        </m:ctrlPr>
                      </m:fPr>
                      <m:num>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p</m:t>
                            </m:r>
                          </m:e>
                          <m:sub>
                            <m:r>
                              <w:rPr>
                                <w:rFonts w:ascii="Cambria Math" w:eastAsia="Cambria Math" w:hAnsi="Cambria Math" w:cs="Cambria Math"/>
                                <w:sz w:val="18"/>
                                <w:szCs w:val="18"/>
                              </w:rPr>
                              <m:t>it</m:t>
                            </m:r>
                          </m:sub>
                        </m:sSub>
                      </m:num>
                      <m:den>
                        <m:r>
                          <w:rPr>
                            <w:rFonts w:ascii="Cambria Math" w:eastAsia="Cambria Math" w:hAnsi="Cambria Math" w:cs="Cambria Math"/>
                            <w:sz w:val="18"/>
                            <w:szCs w:val="18"/>
                          </w:rPr>
                          <m:t>1-</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p</m:t>
                            </m:r>
                          </m:e>
                          <m:sub>
                            <m:r>
                              <w:rPr>
                                <w:rFonts w:ascii="Cambria Math" w:eastAsia="Cambria Math" w:hAnsi="Cambria Math" w:cs="Cambria Math"/>
                                <w:sz w:val="18"/>
                                <w:szCs w:val="18"/>
                              </w:rPr>
                              <m:t>it</m:t>
                            </m:r>
                          </m:sub>
                        </m:sSub>
                      </m:den>
                    </m:f>
                  </m:e>
                </m:d>
                <m:r>
                  <w:rPr>
                    <w:rFonts w:ascii="Cambria Math" w:eastAsia="Cambria Math" w:hAnsi="Cambria Math" w:cs="Cambria Math"/>
                    <w:sz w:val="18"/>
                    <w:szCs w:val="18"/>
                  </w:rPr>
                  <m:t xml:space="preserve">= </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0</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1</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LEVIND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2</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XSCASH</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3</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CFO/TA</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4</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MTBIND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5</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ABRET</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6</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DIV/NI</m:t>
                    </m:r>
                  </m:e>
                  <m:sub>
                    <m:r>
                      <w:rPr>
                        <w:rFonts w:ascii="Cambria Math" w:eastAsia="Cambria Math" w:hAnsi="Cambria Math" w:cs="Cambria Math"/>
                        <w:sz w:val="18"/>
                        <w:szCs w:val="18"/>
                      </w:rPr>
                      <m:t>i,t</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7</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ROA</m:t>
                    </m:r>
                  </m:e>
                  <m:sub>
                    <m:r>
                      <w:rPr>
                        <w:rFonts w:ascii="Cambria Math" w:eastAsia="Cambria Math" w:hAnsi="Cambria Math" w:cs="Cambria Math"/>
                        <w:sz w:val="18"/>
                        <w:szCs w:val="18"/>
                      </w:rPr>
                      <m:t>i,t</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8</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SPDUM</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9</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BOARDOWN</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10</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PROPNED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δ</m:t>
                    </m:r>
                  </m:e>
                  <m:sub>
                    <m:r>
                      <w:rPr>
                        <w:rFonts w:ascii="Cambria Math" w:eastAsia="Cambria Math" w:hAnsi="Cambria Math" w:cs="Cambria Math"/>
                        <w:sz w:val="18"/>
                        <w:szCs w:val="18"/>
                      </w:rPr>
                      <m:t>11</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ESO</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 xml:space="preserve">+ </m:t>
                </m:r>
                <m:nary>
                  <m:naryPr>
                    <m:chr m:val="∑"/>
                    <m:ctrlPr>
                      <w:rPr>
                        <w:rFonts w:ascii="Cambria Math" w:eastAsia="Cambria Math" w:hAnsi="Cambria Math" w:cs="Cambria Math"/>
                        <w:sz w:val="18"/>
                        <w:szCs w:val="18"/>
                      </w:rPr>
                    </m:ctrlPr>
                  </m:naryPr>
                  <m:sub>
                    <m:r>
                      <w:rPr>
                        <w:rFonts w:ascii="Cambria Math" w:eastAsia="Cambria Math" w:hAnsi="Cambria Math" w:cs="Cambria Math"/>
                        <w:sz w:val="18"/>
                        <w:szCs w:val="18"/>
                      </w:rPr>
                      <m:t>n=1</m:t>
                    </m:r>
                  </m:sub>
                  <m:sup>
                    <m:r>
                      <w:rPr>
                        <w:rFonts w:ascii="Cambria Math" w:eastAsia="Cambria Math" w:hAnsi="Cambria Math" w:cs="Cambria Math"/>
                        <w:sz w:val="18"/>
                        <w:szCs w:val="18"/>
                      </w:rPr>
                      <m:t>N</m:t>
                    </m:r>
                  </m:sup>
                  <m:e>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n</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Controls</m:t>
                        </m:r>
                      </m:e>
                      <m:sub>
                        <m:r>
                          <w:rPr>
                            <w:rFonts w:ascii="Cambria Math" w:eastAsia="Cambria Math" w:hAnsi="Cambria Math" w:cs="Cambria Math"/>
                            <w:sz w:val="18"/>
                            <w:szCs w:val="18"/>
                          </w:rPr>
                          <m:t>n,i,t-1</m:t>
                        </m:r>
                      </m:sub>
                    </m:sSub>
                  </m:e>
                </m:nary>
              </m:oMath>
            </m:oMathPara>
          </w:p>
        </w:tc>
        <w:tc>
          <w:tcPr>
            <w:tcW w:w="511" w:type="dxa"/>
          </w:tcPr>
          <w:p w14:paraId="4040C6C2" w14:textId="77777777" w:rsidR="00750807" w:rsidRDefault="00750807" w:rsidP="00750807">
            <w:pPr>
              <w:spacing w:line="480" w:lineRule="auto"/>
              <w:jc w:val="right"/>
              <w:rPr>
                <w:rFonts w:ascii="Times New Roman" w:eastAsia="Times New Roman" w:hAnsi="Times New Roman" w:cs="Times New Roman"/>
              </w:rPr>
            </w:pPr>
            <w:r>
              <w:rPr>
                <w:rFonts w:ascii="Times New Roman" w:eastAsia="Times New Roman" w:hAnsi="Times New Roman" w:cs="Times New Roman"/>
              </w:rPr>
              <w:t>(5)</w:t>
            </w:r>
          </w:p>
          <w:p w14:paraId="145FC9A4" w14:textId="77777777" w:rsidR="00750807" w:rsidRDefault="00750807" w:rsidP="00E87442">
            <w:pPr>
              <w:spacing w:line="480" w:lineRule="auto"/>
              <w:jc w:val="right"/>
              <w:rPr>
                <w:rFonts w:ascii="Times New Roman" w:eastAsia="Times New Roman" w:hAnsi="Times New Roman" w:cs="Times New Roman"/>
              </w:rPr>
            </w:pPr>
          </w:p>
        </w:tc>
      </w:tr>
    </w:tbl>
    <w:p w14:paraId="2846688D" w14:textId="266EB9E3" w:rsidR="00A707CF" w:rsidRDefault="00A707CF" w:rsidP="00E87442">
      <w:pPr>
        <w:spacing w:line="480" w:lineRule="auto"/>
        <w:jc w:val="center"/>
        <w:rPr>
          <w:rFonts w:ascii="Cambria Math" w:eastAsia="Cambria Math" w:hAnsi="Cambria Math" w:cs="Cambria Math"/>
          <w:sz w:val="18"/>
          <w:szCs w:val="18"/>
        </w:rPr>
      </w:pPr>
      <w:bookmarkStart w:id="7" w:name="bookmark=id.3dy6vkm" w:colFirst="0" w:colLast="0"/>
      <w:bookmarkStart w:id="8" w:name="bookmark=id.1t3h5sf" w:colFirst="0" w:colLast="0"/>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11"/>
      </w:tblGrid>
      <w:tr w:rsidR="00DD13DE" w14:paraId="4A40C108" w14:textId="77777777" w:rsidTr="00DD13DE">
        <w:tc>
          <w:tcPr>
            <w:tcW w:w="8897" w:type="dxa"/>
          </w:tcPr>
          <w:p w14:paraId="199EA0EF" w14:textId="1AD8A563" w:rsidR="00DD13DE" w:rsidRDefault="00C46A1E" w:rsidP="00E87442">
            <w:pPr>
              <w:spacing w:line="480" w:lineRule="auto"/>
              <w:jc w:val="right"/>
              <w:rPr>
                <w:rFonts w:ascii="Times New Roman" w:eastAsia="Times New Roman" w:hAnsi="Times New Roman" w:cs="Times New Roman"/>
              </w:rPr>
            </w:pPr>
            <m:oMathPara>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SP/NI</m:t>
                    </m:r>
                  </m:e>
                  <m:sub>
                    <m:r>
                      <w:rPr>
                        <w:rFonts w:ascii="Cambria Math" w:eastAsia="Cambria Math" w:hAnsi="Cambria Math" w:cs="Cambria Math"/>
                        <w:sz w:val="18"/>
                        <w:szCs w:val="18"/>
                      </w:rPr>
                      <m:t>i,t</m:t>
                    </m:r>
                  </m:sub>
                </m:sSub>
                <m:r>
                  <w:rPr>
                    <w:rFonts w:ascii="Cambria Math" w:eastAsia="Cambria Math" w:hAnsi="Cambria Math" w:cs="Cambria Math"/>
                    <w:sz w:val="18"/>
                    <w:szCs w:val="18"/>
                  </w:rPr>
                  <m:t xml:space="preserve">= </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0</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1</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LEVIND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2</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XSCASH</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3</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CFO/TA</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4</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MTBIND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5</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ABRET</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6</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DIV/NI</m:t>
                    </m:r>
                  </m:e>
                  <m:sub>
                    <m:r>
                      <w:rPr>
                        <w:rFonts w:ascii="Cambria Math" w:eastAsia="Cambria Math" w:hAnsi="Cambria Math" w:cs="Cambria Math"/>
                        <w:sz w:val="18"/>
                        <w:szCs w:val="18"/>
                      </w:rPr>
                      <m:t>i,t</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7</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ROA</m:t>
                    </m:r>
                  </m:e>
                  <m:sub>
                    <m:r>
                      <w:rPr>
                        <w:rFonts w:ascii="Cambria Math" w:eastAsia="Cambria Math" w:hAnsi="Cambria Math" w:cs="Cambria Math"/>
                        <w:sz w:val="18"/>
                        <w:szCs w:val="18"/>
                      </w:rPr>
                      <m:t>i,t</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8</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SP/NI</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9</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BOARDOWN</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10</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PROPNED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11</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ESO</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nary>
                  <m:naryPr>
                    <m:chr m:val="∑"/>
                    <m:ctrlPr>
                      <w:rPr>
                        <w:rFonts w:ascii="Cambria Math" w:eastAsia="Cambria Math" w:hAnsi="Cambria Math" w:cs="Cambria Math"/>
                        <w:sz w:val="18"/>
                        <w:szCs w:val="18"/>
                      </w:rPr>
                    </m:ctrlPr>
                  </m:naryPr>
                  <m:sub>
                    <m:r>
                      <w:rPr>
                        <w:rFonts w:ascii="Cambria Math" w:eastAsia="Cambria Math" w:hAnsi="Cambria Math" w:cs="Cambria Math"/>
                        <w:sz w:val="18"/>
                        <w:szCs w:val="18"/>
                      </w:rPr>
                      <m:t>n=1</m:t>
                    </m:r>
                  </m:sub>
                  <m:sup>
                    <m:r>
                      <w:rPr>
                        <w:rFonts w:ascii="Cambria Math" w:eastAsia="Cambria Math" w:hAnsi="Cambria Math" w:cs="Cambria Math"/>
                        <w:sz w:val="18"/>
                        <w:szCs w:val="18"/>
                      </w:rPr>
                      <m:t>N</m:t>
                    </m:r>
                  </m:sup>
                  <m:e>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n</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Controls</m:t>
                        </m:r>
                      </m:e>
                      <m:sub>
                        <m:r>
                          <w:rPr>
                            <w:rFonts w:ascii="Cambria Math" w:eastAsia="Cambria Math" w:hAnsi="Cambria Math" w:cs="Cambria Math"/>
                            <w:sz w:val="18"/>
                            <w:szCs w:val="18"/>
                          </w:rPr>
                          <m:t>n,i,t-1</m:t>
                        </m:r>
                      </m:sub>
                    </m:sSub>
                  </m:e>
                </m:nary>
              </m:oMath>
            </m:oMathPara>
          </w:p>
        </w:tc>
        <w:tc>
          <w:tcPr>
            <w:tcW w:w="511" w:type="dxa"/>
          </w:tcPr>
          <w:p w14:paraId="4447A43D" w14:textId="77777777" w:rsidR="00DD13DE" w:rsidRDefault="00DD13DE" w:rsidP="00DD13DE">
            <w:pPr>
              <w:spacing w:line="480" w:lineRule="auto"/>
              <w:jc w:val="right"/>
              <w:rPr>
                <w:rFonts w:ascii="Times New Roman" w:eastAsia="Times New Roman" w:hAnsi="Times New Roman" w:cs="Times New Roman"/>
              </w:rPr>
            </w:pPr>
            <w:r>
              <w:rPr>
                <w:rFonts w:ascii="Times New Roman" w:eastAsia="Times New Roman" w:hAnsi="Times New Roman" w:cs="Times New Roman"/>
              </w:rPr>
              <w:t>(6)</w:t>
            </w:r>
          </w:p>
          <w:p w14:paraId="7590ACC4" w14:textId="77777777" w:rsidR="00DD13DE" w:rsidRDefault="00DD13DE" w:rsidP="00E87442">
            <w:pPr>
              <w:spacing w:line="480" w:lineRule="auto"/>
              <w:jc w:val="right"/>
              <w:rPr>
                <w:rFonts w:ascii="Times New Roman" w:eastAsia="Times New Roman" w:hAnsi="Times New Roman" w:cs="Times New Roman"/>
              </w:rPr>
            </w:pPr>
          </w:p>
        </w:tc>
      </w:tr>
    </w:tbl>
    <w:p w14:paraId="5AFD1E83" w14:textId="77777777" w:rsidR="00DD13DE" w:rsidRDefault="00DD13DE" w:rsidP="00E87442">
      <w:pPr>
        <w:spacing w:after="120" w:line="480" w:lineRule="auto"/>
        <w:ind w:firstLine="397"/>
        <w:jc w:val="both"/>
        <w:rPr>
          <w:rFonts w:ascii="Times New Roman" w:eastAsia="Times New Roman" w:hAnsi="Times New Roman" w:cs="Times New Roman"/>
        </w:rPr>
      </w:pPr>
    </w:p>
    <w:p w14:paraId="30F02E8F" w14:textId="7EAEBCF2"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dependent variable in Model (5), the logit model, </w:t>
      </w:r>
      <w:r w:rsidR="00694AE9">
        <w:rPr>
          <w:rFonts w:ascii="Times New Roman" w:eastAsia="Times New Roman" w:hAnsi="Times New Roman" w:cs="Times New Roman"/>
        </w:rPr>
        <w:t>measures</w:t>
      </w:r>
      <w:r>
        <w:rPr>
          <w:rFonts w:ascii="Times New Roman" w:eastAsia="Times New Roman" w:hAnsi="Times New Roman" w:cs="Times New Roman"/>
        </w:rPr>
        <w:t xml:space="preserve"> the probability</w:t>
      </w:r>
      <w:r w:rsidR="00694AE9">
        <w:rPr>
          <w:rFonts w:ascii="Times New Roman" w:eastAsia="Times New Roman" w:hAnsi="Times New Roman" w:cs="Times New Roman"/>
        </w:rPr>
        <w:t xml:space="preserve"> that</w:t>
      </w:r>
      <w:r>
        <w:rPr>
          <w:rFonts w:ascii="Times New Roman" w:eastAsia="Times New Roman" w:hAnsi="Times New Roman" w:cs="Times New Roman"/>
        </w:rPr>
        <w:t xml:space="preserve"> a firm engages in a stock repurchase, whereas in Model (6) the dependent variable is the value of the stock repurchase (</w:t>
      </w:r>
      <w:r>
        <w:rPr>
          <w:rFonts w:ascii="Times New Roman" w:eastAsia="Times New Roman" w:hAnsi="Times New Roman" w:cs="Times New Roman"/>
          <w:i/>
        </w:rPr>
        <w:t>SP</w:t>
      </w:r>
      <w:r>
        <w:rPr>
          <w:rFonts w:ascii="Times New Roman" w:eastAsia="Times New Roman" w:hAnsi="Times New Roman" w:cs="Times New Roman"/>
        </w:rPr>
        <w:t>) scaled by net income (</w:t>
      </w:r>
      <w:r>
        <w:rPr>
          <w:rFonts w:ascii="Times New Roman" w:eastAsia="Times New Roman" w:hAnsi="Times New Roman" w:cs="Times New Roman"/>
          <w:i/>
        </w:rPr>
        <w:t>NI</w:t>
      </w:r>
      <w:r>
        <w:rPr>
          <w:rFonts w:ascii="Times New Roman" w:eastAsia="Times New Roman" w:hAnsi="Times New Roman" w:cs="Times New Roman"/>
        </w:rPr>
        <w:t xml:space="preserve">). For firms making losses, we set the value of </w:t>
      </w:r>
      <w:r>
        <w:rPr>
          <w:rFonts w:ascii="Times New Roman" w:eastAsia="Times New Roman" w:hAnsi="Times New Roman" w:cs="Times New Roman"/>
          <w:i/>
        </w:rPr>
        <w:t>SP/NI</w:t>
      </w:r>
      <w:r>
        <w:rPr>
          <w:rFonts w:ascii="Times New Roman" w:eastAsia="Times New Roman" w:hAnsi="Times New Roman" w:cs="Times New Roman"/>
        </w:rPr>
        <w:t xml:space="preserve"> to zero.</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Since the dependent variable in Model (6) is non-negative, we estimate the model using a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specification with left-censoring. The two models share the same set of independent variables, with one exception, as we explain below. </w:t>
      </w:r>
    </w:p>
    <w:p w14:paraId="0936EF8E" w14:textId="77777777"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 xml:space="preserve">Hypothesis 1: Gearing/capital structure </w:t>
      </w:r>
    </w:p>
    <w:p w14:paraId="1B90D8A1" w14:textId="77777777"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rPr>
        <w:t>To test the first hypothesis, we include industry-adjusted leverage (</w:t>
      </w:r>
      <w:r>
        <w:rPr>
          <w:rFonts w:ascii="Times New Roman" w:eastAsia="Times New Roman" w:hAnsi="Times New Roman" w:cs="Times New Roman"/>
          <w:i/>
        </w:rPr>
        <w:t>LEVIND</w:t>
      </w:r>
      <w:r>
        <w:rPr>
          <w:rFonts w:ascii="Times New Roman" w:eastAsia="Times New Roman" w:hAnsi="Times New Roman" w:cs="Times New Roman"/>
        </w:rPr>
        <w:t xml:space="preserve">) in our models.  Assuming that average industry leverage for the year is the target ratio, a negative sign on the coefficient for </w:t>
      </w:r>
      <w:r>
        <w:rPr>
          <w:rFonts w:ascii="Times New Roman" w:eastAsia="Times New Roman" w:hAnsi="Times New Roman" w:cs="Times New Roman"/>
          <w:i/>
        </w:rPr>
        <w:t xml:space="preserve">LEVIND </w:t>
      </w:r>
      <w:r>
        <w:rPr>
          <w:rFonts w:ascii="Times New Roman" w:eastAsia="Times New Roman" w:hAnsi="Times New Roman" w:cs="Times New Roman"/>
        </w:rPr>
        <w:t>would support the hypothesis that firms repurchase shares with the objective of increasing gearing.  Leverage is measured by total debt (</w:t>
      </w:r>
      <w:proofErr w:type="spellStart"/>
      <w:r>
        <w:rPr>
          <w:rFonts w:ascii="Times New Roman" w:eastAsia="Times New Roman" w:hAnsi="Times New Roman" w:cs="Times New Roman"/>
        </w:rPr>
        <w:t>Worldscope</w:t>
      </w:r>
      <w:proofErr w:type="spellEnd"/>
      <w:r>
        <w:rPr>
          <w:rFonts w:ascii="Times New Roman" w:eastAsia="Times New Roman" w:hAnsi="Times New Roman" w:cs="Times New Roman"/>
        </w:rPr>
        <w:t xml:space="preserve"> item WC03255), divided by total shareholders’ equity (</w:t>
      </w:r>
      <w:proofErr w:type="spellStart"/>
      <w:r>
        <w:rPr>
          <w:rFonts w:ascii="Times New Roman" w:eastAsia="Times New Roman" w:hAnsi="Times New Roman" w:cs="Times New Roman"/>
        </w:rPr>
        <w:t>Worldscope</w:t>
      </w:r>
      <w:proofErr w:type="spellEnd"/>
      <w:r>
        <w:rPr>
          <w:rFonts w:ascii="Times New Roman" w:eastAsia="Times New Roman" w:hAnsi="Times New Roman" w:cs="Times New Roman"/>
        </w:rPr>
        <w:t xml:space="preserve"> item WC03995).</w:t>
      </w:r>
      <w:r>
        <w:t xml:space="preserve"> </w:t>
      </w:r>
      <w:r>
        <w:rPr>
          <w:rFonts w:ascii="Times New Roman" w:eastAsia="Times New Roman" w:hAnsi="Times New Roman" w:cs="Times New Roman"/>
        </w:rPr>
        <w:t>To adjust for the industry standard, we subtract the average leverage for firms in the same industry in the same year from each firm’s reported leverage.</w:t>
      </w:r>
    </w:p>
    <w:p w14:paraId="1ED35B40" w14:textId="77777777"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 xml:space="preserve">Hypothesis 2: Free cash flow </w:t>
      </w:r>
    </w:p>
    <w:p w14:paraId="2D607A05"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If the availability of share repurchases provides a distribution channel for excess cash, then we would expect to see a positive association between measures of surplus cash (or cash flow from operations) and share repurchase activity.  Following Oswald and Young (2008) we test the free cash flow hypothesis by including the residual from the optimal cash regression in Dittmar and Mahrt-Smith (2007) (</w:t>
      </w:r>
      <w:r>
        <w:rPr>
          <w:rFonts w:ascii="Times New Roman" w:eastAsia="Times New Roman" w:hAnsi="Times New Roman" w:cs="Times New Roman"/>
          <w:i/>
        </w:rPr>
        <w:t>XSCASH</w:t>
      </w:r>
      <w:r>
        <w:rPr>
          <w:rFonts w:ascii="Times New Roman" w:eastAsia="Times New Roman" w:hAnsi="Times New Roman" w:cs="Times New Roman"/>
        </w:rPr>
        <w:t>). We also include cash flow from operations deflated by total assets (</w:t>
      </w:r>
      <w:r>
        <w:rPr>
          <w:rFonts w:ascii="Times New Roman" w:eastAsia="Times New Roman" w:hAnsi="Times New Roman" w:cs="Times New Roman"/>
          <w:i/>
        </w:rPr>
        <w:t>CFO/TA</w:t>
      </w:r>
      <w:r>
        <w:rPr>
          <w:rFonts w:ascii="Times New Roman" w:eastAsia="Times New Roman" w:hAnsi="Times New Roman" w:cs="Times New Roman"/>
        </w:rPr>
        <w:t xml:space="preserve">), as an alternative measure of cash available for distribution (Jagannathan </w:t>
      </w:r>
      <w:r>
        <w:rPr>
          <w:rFonts w:ascii="Times New Roman" w:eastAsia="Times New Roman" w:hAnsi="Times New Roman" w:cs="Times New Roman"/>
          <w:i/>
        </w:rPr>
        <w:t>et al</w:t>
      </w:r>
      <w:r>
        <w:rPr>
          <w:rFonts w:ascii="Times New Roman" w:eastAsia="Times New Roman" w:hAnsi="Times New Roman" w:cs="Times New Roman"/>
        </w:rPr>
        <w:t xml:space="preserve">., 2000).  A positive sign on the cash coefficients will provide support for the free cash flow hypothesis.  </w:t>
      </w:r>
    </w:p>
    <w:p w14:paraId="6935EE80" w14:textId="77777777"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Hypothesis 3: Investment </w:t>
      </w:r>
    </w:p>
    <w:p w14:paraId="550B98CA"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For the investment hypothesis, we follow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and include the industry-adjusted market-to-book (</w:t>
      </w:r>
      <w:r>
        <w:rPr>
          <w:rFonts w:ascii="Times New Roman" w:eastAsia="Times New Roman" w:hAnsi="Times New Roman" w:cs="Times New Roman"/>
          <w:i/>
        </w:rPr>
        <w:t>MTBIND</w:t>
      </w:r>
      <w:r>
        <w:rPr>
          <w:rFonts w:ascii="Times New Roman" w:eastAsia="Times New Roman" w:hAnsi="Times New Roman" w:cs="Times New Roman"/>
        </w:rPr>
        <w:t xml:space="preserve">) as a measure of firms’ investment opportunities. The industry adjustment is made by subtracting the average </w:t>
      </w:r>
      <w:r>
        <w:rPr>
          <w:rFonts w:ascii="Times New Roman" w:eastAsia="Times New Roman" w:hAnsi="Times New Roman" w:cs="Times New Roman"/>
          <w:i/>
        </w:rPr>
        <w:t>MTB</w:t>
      </w:r>
      <w:r>
        <w:rPr>
          <w:rFonts w:ascii="Times New Roman" w:eastAsia="Times New Roman" w:hAnsi="Times New Roman" w:cs="Times New Roman"/>
        </w:rPr>
        <w:t xml:space="preserve"> for all firms in the same year and industry from each firm’s </w:t>
      </w:r>
      <w:r>
        <w:rPr>
          <w:rFonts w:ascii="Times New Roman" w:eastAsia="Times New Roman" w:hAnsi="Times New Roman" w:cs="Times New Roman"/>
          <w:i/>
        </w:rPr>
        <w:t>MTB</w:t>
      </w:r>
      <w:r>
        <w:rPr>
          <w:rFonts w:ascii="Times New Roman" w:eastAsia="Times New Roman" w:hAnsi="Times New Roman" w:cs="Times New Roman"/>
        </w:rPr>
        <w:t xml:space="preserve">. A negative sign on the coefficient of </w:t>
      </w:r>
      <w:r>
        <w:rPr>
          <w:rFonts w:ascii="Times New Roman" w:eastAsia="Times New Roman" w:hAnsi="Times New Roman" w:cs="Times New Roman"/>
          <w:i/>
        </w:rPr>
        <w:t>MTBIND</w:t>
      </w:r>
      <w:r>
        <w:rPr>
          <w:rFonts w:ascii="Times New Roman" w:eastAsia="Times New Roman" w:hAnsi="Times New Roman" w:cs="Times New Roman"/>
        </w:rPr>
        <w:t xml:space="preserve"> would support the investment hypothesis as it is consistent with firms with fewer investment opportunities distributing surplus cash to shareholders.  </w:t>
      </w:r>
    </w:p>
    <w:p w14:paraId="38F153A0" w14:textId="1842460D"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 xml:space="preserve">Hypothesis 4: Undervaluation </w:t>
      </w:r>
      <w:r w:rsidR="002F1EA4">
        <w:rPr>
          <w:rFonts w:ascii="Times New Roman" w:eastAsia="Times New Roman" w:hAnsi="Times New Roman" w:cs="Times New Roman"/>
          <w:i/>
        </w:rPr>
        <w:t>(signalling or timing)</w:t>
      </w:r>
    </w:p>
    <w:p w14:paraId="7BBDB73B" w14:textId="2003DAD8" w:rsidR="00DD13DE" w:rsidRPr="00694AE9" w:rsidRDefault="0055054A" w:rsidP="00E87442">
      <w:pPr>
        <w:spacing w:after="120" w:line="480" w:lineRule="auto"/>
        <w:ind w:firstLine="397"/>
        <w:jc w:val="both"/>
        <w:rPr>
          <w:rFonts w:ascii="Times New Roman" w:eastAsia="Times New Roman" w:hAnsi="Times New Roman" w:cs="Times New Roman"/>
          <w:color w:val="FF0000"/>
        </w:rPr>
      </w:pP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test the undervaluation hypothesis, we include a measure of abnormal stock return (</w:t>
      </w:r>
      <w:r>
        <w:rPr>
          <w:rFonts w:ascii="Times New Roman" w:eastAsia="Times New Roman" w:hAnsi="Times New Roman" w:cs="Times New Roman"/>
          <w:i/>
        </w:rPr>
        <w:t>ABRET</w:t>
      </w:r>
      <w:r>
        <w:rPr>
          <w:rFonts w:ascii="Times New Roman" w:eastAsia="Times New Roman" w:hAnsi="Times New Roman" w:cs="Times New Roman"/>
        </w:rPr>
        <w:t xml:space="preserve">), following Dittmar (2000), Skinner (2008) and Oswald and Young (2008).  We compute this by taking the annual return for the firm and then subtracting from it the return on the FTSE All Share Index for the same period. A negative coefficient on </w:t>
      </w:r>
      <w:r>
        <w:rPr>
          <w:rFonts w:ascii="Times New Roman" w:eastAsia="Times New Roman" w:hAnsi="Times New Roman" w:cs="Times New Roman"/>
          <w:i/>
        </w:rPr>
        <w:t>ABRET</w:t>
      </w:r>
      <w:r>
        <w:rPr>
          <w:rFonts w:ascii="Times New Roman" w:eastAsia="Times New Roman" w:hAnsi="Times New Roman" w:cs="Times New Roman"/>
        </w:rPr>
        <w:t xml:space="preserve"> would be consistent with managers buying back their own stock when they believe it to be cheap and would therefore support the undervaluation</w:t>
      </w:r>
      <w:r w:rsidR="002F1EA4">
        <w:rPr>
          <w:rFonts w:ascii="Times New Roman" w:eastAsia="Times New Roman" w:hAnsi="Times New Roman" w:cs="Times New Roman"/>
        </w:rPr>
        <w:t xml:space="preserve"> (</w:t>
      </w:r>
      <w:r>
        <w:rPr>
          <w:rFonts w:ascii="Times New Roman" w:eastAsia="Times New Roman" w:hAnsi="Times New Roman" w:cs="Times New Roman"/>
        </w:rPr>
        <w:t>signalling</w:t>
      </w:r>
      <w:r w:rsidR="002F1EA4">
        <w:rPr>
          <w:rFonts w:ascii="Times New Roman" w:eastAsia="Times New Roman" w:hAnsi="Times New Roman" w:cs="Times New Roman"/>
        </w:rPr>
        <w:t xml:space="preserve"> or timing)</w:t>
      </w:r>
      <w:r>
        <w:rPr>
          <w:rFonts w:ascii="Times New Roman" w:eastAsia="Times New Roman" w:hAnsi="Times New Roman" w:cs="Times New Roman"/>
        </w:rPr>
        <w:t xml:space="preserve"> hypothesis. </w:t>
      </w:r>
    </w:p>
    <w:p w14:paraId="3C0A42E0" w14:textId="3B886CAB"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 xml:space="preserve">Hypothesis 5: Dividend substitution </w:t>
      </w:r>
    </w:p>
    <w:p w14:paraId="70B46DFA" w14:textId="589C2386"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first test the dividend substitution hypothesis by including dividends as a proportion of net income </w:t>
      </w:r>
      <w:r>
        <w:rPr>
          <w:rFonts w:ascii="Times New Roman" w:eastAsia="Times New Roman" w:hAnsi="Times New Roman" w:cs="Times New Roman"/>
          <w:i/>
        </w:rPr>
        <w:t>(DIV/NI</w:t>
      </w:r>
      <w:r>
        <w:rPr>
          <w:rFonts w:ascii="Times New Roman" w:eastAsia="Times New Roman" w:hAnsi="Times New Roman" w:cs="Times New Roman"/>
        </w:rPr>
        <w:t>) as a right-hand side variable in our models.  If share repurchases are replacing dividends</w:t>
      </w:r>
      <w:r w:rsidR="00206FBF">
        <w:rPr>
          <w:rFonts w:ascii="Times New Roman" w:eastAsia="Times New Roman" w:hAnsi="Times New Roman" w:cs="Times New Roman"/>
        </w:rPr>
        <w:t>,</w:t>
      </w:r>
      <w:r>
        <w:rPr>
          <w:rFonts w:ascii="Times New Roman" w:eastAsia="Times New Roman" w:hAnsi="Times New Roman" w:cs="Times New Roman"/>
        </w:rPr>
        <w:t xml:space="preserve"> then we would expect a negative coefficient on </w:t>
      </w:r>
      <w:r>
        <w:rPr>
          <w:rFonts w:ascii="Times New Roman" w:eastAsia="Times New Roman" w:hAnsi="Times New Roman" w:cs="Times New Roman"/>
          <w:i/>
        </w:rPr>
        <w:t>DIV/NI</w:t>
      </w:r>
      <w:r>
        <w:rPr>
          <w:rFonts w:ascii="Times New Roman" w:eastAsia="Times New Roman" w:hAnsi="Times New Roman" w:cs="Times New Roman"/>
        </w:rPr>
        <w:t xml:space="preserve"> (Dittmar, 2000). We also expect that, if managers commit to share repurchases in a manner similar to dividends, firms which repurchase in one year will also tend to repurchase in the next and spend similar amounts (Lee and Suh, 2011). In Model (5) we therefore include a dummy variable</w:t>
      </w:r>
      <w:r w:rsidR="00206FB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SPDUM</w:t>
      </w:r>
      <w:r>
        <w:rPr>
          <w:rFonts w:ascii="Times New Roman" w:eastAsia="Times New Roman" w:hAnsi="Times New Roman" w:cs="Times New Roman"/>
          <w:i/>
          <w:vertAlign w:val="subscript"/>
        </w:rPr>
        <w:t>t</w:t>
      </w:r>
      <w:r w:rsidR="00206FBF">
        <w:rPr>
          <w:rFonts w:ascii="Times New Roman" w:eastAsia="Times New Roman" w:hAnsi="Times New Roman" w:cs="Times New Roman"/>
          <w:i/>
          <w:vertAlign w:val="subscript"/>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coded 1 if the firm repurchased its own shares in the prior year, otherwise zero; in Model (6) we include the lagged measure of </w:t>
      </w:r>
      <w:r>
        <w:rPr>
          <w:rFonts w:ascii="Times New Roman" w:eastAsia="Times New Roman" w:hAnsi="Times New Roman" w:cs="Times New Roman"/>
          <w:i/>
        </w:rPr>
        <w:t>SP/NI</w:t>
      </w:r>
      <w:r>
        <w:rPr>
          <w:rFonts w:ascii="Times New Roman" w:eastAsia="Times New Roman" w:hAnsi="Times New Roman" w:cs="Times New Roman"/>
        </w:rPr>
        <w:t xml:space="preserve">. Finally, to test the association between performance and stock repurchases (Skinner, 2008), we include </w:t>
      </w:r>
      <w:r>
        <w:rPr>
          <w:rFonts w:ascii="Times New Roman" w:eastAsia="Times New Roman" w:hAnsi="Times New Roman" w:cs="Times New Roman"/>
          <w:i/>
        </w:rPr>
        <w:t>ROA</w:t>
      </w:r>
      <w:r>
        <w:rPr>
          <w:rFonts w:ascii="Times New Roman" w:eastAsia="Times New Roman" w:hAnsi="Times New Roman" w:cs="Times New Roman"/>
        </w:rPr>
        <w:t xml:space="preserve">. We expect the coefficient on </w:t>
      </w:r>
      <w:r>
        <w:rPr>
          <w:rFonts w:ascii="Times New Roman" w:eastAsia="Times New Roman" w:hAnsi="Times New Roman" w:cs="Times New Roman"/>
          <w:i/>
        </w:rPr>
        <w:t>ROA</w:t>
      </w:r>
      <w:r>
        <w:rPr>
          <w:rFonts w:ascii="Times New Roman" w:eastAsia="Times New Roman" w:hAnsi="Times New Roman" w:cs="Times New Roman"/>
        </w:rPr>
        <w:t xml:space="preserve"> to be positive. </w:t>
      </w:r>
    </w:p>
    <w:p w14:paraId="54EC1185"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also examine the question of dividend substitution by applying adapted Lintner models as discussed in Section 3.5. </w:t>
      </w:r>
    </w:p>
    <w:p w14:paraId="573BFFAD" w14:textId="77777777" w:rsidR="00BA6E51" w:rsidRDefault="00BA6E51" w:rsidP="00E87442">
      <w:pPr>
        <w:spacing w:after="120" w:line="480" w:lineRule="auto"/>
        <w:ind w:firstLine="397"/>
        <w:jc w:val="both"/>
        <w:rPr>
          <w:rFonts w:ascii="Times New Roman" w:eastAsia="Times New Roman" w:hAnsi="Times New Roman" w:cs="Times New Roman"/>
          <w:i/>
        </w:rPr>
      </w:pPr>
    </w:p>
    <w:p w14:paraId="7F690556" w14:textId="5BE40FB8"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lastRenderedPageBreak/>
        <w:t>Hypothesis 6: Corporate governance</w:t>
      </w:r>
    </w:p>
    <w:p w14:paraId="7AFEB544"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investigate the association between corporate governance and share repurchases by including variables relating to board structure and board and ownership. </w:t>
      </w:r>
      <w:r>
        <w:rPr>
          <w:rFonts w:ascii="Times New Roman" w:eastAsia="Times New Roman" w:hAnsi="Times New Roman" w:cs="Times New Roman"/>
          <w:i/>
        </w:rPr>
        <w:t xml:space="preserve">PROPNED </w:t>
      </w:r>
      <w:r>
        <w:rPr>
          <w:rFonts w:ascii="Times New Roman" w:eastAsia="Times New Roman" w:hAnsi="Times New Roman" w:cs="Times New Roman"/>
        </w:rPr>
        <w:t>is</w:t>
      </w:r>
      <w:r>
        <w:rPr>
          <w:rFonts w:ascii="Times New Roman" w:eastAsia="Times New Roman" w:hAnsi="Times New Roman" w:cs="Times New Roman"/>
          <w:i/>
        </w:rPr>
        <w:t xml:space="preserve"> </w:t>
      </w:r>
      <w:r>
        <w:rPr>
          <w:rFonts w:ascii="Times New Roman" w:eastAsia="Times New Roman" w:hAnsi="Times New Roman" w:cs="Times New Roman"/>
        </w:rPr>
        <w:t xml:space="preserve">measured as the proportion of the board made up of non-executive directors and </w:t>
      </w:r>
      <w:r>
        <w:rPr>
          <w:rFonts w:ascii="Times New Roman" w:eastAsia="Times New Roman" w:hAnsi="Times New Roman" w:cs="Times New Roman"/>
          <w:i/>
        </w:rPr>
        <w:t>BOARDOWN</w:t>
      </w:r>
      <w:r>
        <w:rPr>
          <w:rFonts w:ascii="Times New Roman" w:eastAsia="Times New Roman" w:hAnsi="Times New Roman" w:cs="Times New Roman"/>
        </w:rPr>
        <w:t xml:space="preserve"> is the value of ordinary shares held by directors and their immediate family divided by the total value of ordinary shares outstanding.</w:t>
      </w:r>
    </w:p>
    <w:p w14:paraId="187CE9D1" w14:textId="77777777" w:rsidR="00A707CF" w:rsidRDefault="0055054A" w:rsidP="00E87442">
      <w:pPr>
        <w:spacing w:after="12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Hypothesis 7: Executive stock options (ESOs)</w:t>
      </w:r>
    </w:p>
    <w:p w14:paraId="0B22B100"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If a sufficient proportion of managerial wealth is tied to the value of stock options in their firm, then this may affect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policy. Such managers will be motivated to reduce dividends, which reduce the value of their options, and distribute cash to shareholders </w:t>
      </w:r>
      <w:r>
        <w:rPr>
          <w:rFonts w:ascii="Times New Roman" w:eastAsia="Times New Roman" w:hAnsi="Times New Roman" w:cs="Times New Roman"/>
          <w:i/>
        </w:rPr>
        <w:t xml:space="preserve">via </w:t>
      </w:r>
      <w:r>
        <w:rPr>
          <w:rFonts w:ascii="Times New Roman" w:eastAsia="Times New Roman" w:hAnsi="Times New Roman" w:cs="Times New Roman"/>
        </w:rPr>
        <w:t xml:space="preserve">repurchases.  We therefore include a dummy variable, </w:t>
      </w:r>
      <w:r>
        <w:rPr>
          <w:rFonts w:ascii="Times New Roman" w:eastAsia="Times New Roman" w:hAnsi="Times New Roman" w:cs="Times New Roman"/>
          <w:i/>
        </w:rPr>
        <w:t>ESO</w:t>
      </w:r>
      <w:r>
        <w:rPr>
          <w:rFonts w:ascii="Times New Roman" w:eastAsia="Times New Roman" w:hAnsi="Times New Roman" w:cs="Times New Roman"/>
        </w:rPr>
        <w:t xml:space="preserve">, which is coded one if the firm’s balance sheet records a positive value for stock options at the year end, otherwise </w:t>
      </w:r>
      <w:r>
        <w:rPr>
          <w:rFonts w:ascii="Times New Roman" w:eastAsia="Times New Roman" w:hAnsi="Times New Roman" w:cs="Times New Roman"/>
          <w:i/>
        </w:rPr>
        <w:t>ESO</w:t>
      </w:r>
      <w:r>
        <w:rPr>
          <w:rFonts w:ascii="Times New Roman" w:eastAsia="Times New Roman" w:hAnsi="Times New Roman" w:cs="Times New Roman"/>
        </w:rPr>
        <w:t xml:space="preserve"> is coded zero. Thus, our variable captures the existence of a current stock option scheme.</w:t>
      </w:r>
    </w:p>
    <w:p w14:paraId="4CECF7B5"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i/>
        </w:rPr>
        <w:t>Additional control variables</w:t>
      </w:r>
    </w:p>
    <w:p w14:paraId="39E7C920" w14:textId="42610726"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then incorporate several control variables identified as important to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decisions in prior literature.</w:t>
      </w:r>
      <w:r w:rsidR="00C4751A">
        <w:rPr>
          <w:rFonts w:ascii="Times New Roman" w:eastAsia="Times New Roman" w:hAnsi="Times New Roman" w:cs="Times New Roman"/>
        </w:rPr>
        <w:t xml:space="preserve"> Bond and Zhong (2016) argue that equity offerings should be considered alongside share repurchase activity. We therefore construct two types of </w:t>
      </w:r>
      <w:proofErr w:type="gramStart"/>
      <w:r w:rsidR="00C4751A">
        <w:rPr>
          <w:rFonts w:ascii="Times New Roman" w:eastAsia="Times New Roman" w:hAnsi="Times New Roman" w:cs="Times New Roman"/>
        </w:rPr>
        <w:t>variable</w:t>
      </w:r>
      <w:proofErr w:type="gramEnd"/>
      <w:r w:rsidR="00C4751A">
        <w:rPr>
          <w:rFonts w:ascii="Times New Roman" w:eastAsia="Times New Roman" w:hAnsi="Times New Roman" w:cs="Times New Roman"/>
        </w:rPr>
        <w:t>: first, dummy variables, which are set to one if the company issues equity in the current period (</w:t>
      </w:r>
      <w:r w:rsidR="00C4751A" w:rsidRPr="000B4AAF">
        <w:rPr>
          <w:rFonts w:ascii="Times New Roman" w:eastAsia="Times New Roman" w:hAnsi="Times New Roman" w:cs="Times New Roman"/>
          <w:i/>
          <w:iCs/>
        </w:rPr>
        <w:t>CCDUM1</w:t>
      </w:r>
      <w:r w:rsidR="00C4751A">
        <w:rPr>
          <w:rFonts w:ascii="Times New Roman" w:eastAsia="Times New Roman" w:hAnsi="Times New Roman" w:cs="Times New Roman"/>
        </w:rPr>
        <w:t xml:space="preserve">), or the current </w:t>
      </w:r>
      <w:r w:rsidR="00C4751A" w:rsidRPr="00206FBF">
        <w:rPr>
          <w:rFonts w:ascii="Times New Roman" w:eastAsia="Times New Roman" w:hAnsi="Times New Roman" w:cs="Times New Roman"/>
          <w:i/>
          <w:iCs/>
        </w:rPr>
        <w:t>and</w:t>
      </w:r>
      <w:r w:rsidR="00C4751A">
        <w:rPr>
          <w:rFonts w:ascii="Times New Roman" w:eastAsia="Times New Roman" w:hAnsi="Times New Roman" w:cs="Times New Roman"/>
        </w:rPr>
        <w:t xml:space="preserve"> prior period (</w:t>
      </w:r>
      <w:r w:rsidR="00C4751A" w:rsidRPr="000B4AAF">
        <w:rPr>
          <w:rFonts w:ascii="Times New Roman" w:eastAsia="Times New Roman" w:hAnsi="Times New Roman" w:cs="Times New Roman"/>
          <w:i/>
          <w:iCs/>
        </w:rPr>
        <w:t>CCDUM2</w:t>
      </w:r>
      <w:r w:rsidR="00C4751A">
        <w:rPr>
          <w:rFonts w:ascii="Times New Roman" w:eastAsia="Times New Roman" w:hAnsi="Times New Roman" w:cs="Times New Roman"/>
        </w:rPr>
        <w:t>); second, the monetary amount raised by equity issuance as a proportion of profits (</w:t>
      </w:r>
      <w:r w:rsidR="00C4751A" w:rsidRPr="0010233B">
        <w:rPr>
          <w:rFonts w:ascii="Times New Roman" w:eastAsia="Times New Roman" w:hAnsi="Times New Roman" w:cs="Times New Roman"/>
          <w:i/>
          <w:iCs/>
        </w:rPr>
        <w:t>CC/NI</w:t>
      </w:r>
      <w:r w:rsidR="00C4751A">
        <w:rPr>
          <w:rFonts w:ascii="Times New Roman" w:eastAsia="Times New Roman" w:hAnsi="Times New Roman" w:cs="Times New Roman"/>
        </w:rPr>
        <w:t>).</w:t>
      </w:r>
      <w:r>
        <w:rPr>
          <w:rFonts w:ascii="Times New Roman" w:eastAsia="Times New Roman" w:hAnsi="Times New Roman" w:cs="Times New Roman"/>
        </w:rPr>
        <w:t xml:space="preserve"> Von </w:t>
      </w:r>
      <w:proofErr w:type="spellStart"/>
      <w:r>
        <w:rPr>
          <w:rFonts w:ascii="Times New Roman" w:eastAsia="Times New Roman" w:hAnsi="Times New Roman" w:cs="Times New Roman"/>
        </w:rPr>
        <w:t>Eije</w:t>
      </w:r>
      <w:proofErr w:type="spellEnd"/>
      <w:r>
        <w:rPr>
          <w:rFonts w:ascii="Times New Roman" w:eastAsia="Times New Roman" w:hAnsi="Times New Roman" w:cs="Times New Roman"/>
        </w:rPr>
        <w:t xml:space="preserve"> and Megginson (2008) find an association between firm age and dividend distributions in Europe</w:t>
      </w:r>
      <w:r w:rsidR="00206FBF">
        <w:rPr>
          <w:rFonts w:ascii="Times New Roman" w:eastAsia="Times New Roman" w:hAnsi="Times New Roman" w:cs="Times New Roman"/>
        </w:rPr>
        <w:t>,</w:t>
      </w:r>
      <w:r>
        <w:rPr>
          <w:rFonts w:ascii="Times New Roman" w:eastAsia="Times New Roman" w:hAnsi="Times New Roman" w:cs="Times New Roman"/>
        </w:rPr>
        <w:t xml:space="preserve"> so we include the log of firm age (</w:t>
      </w:r>
      <w:r>
        <w:rPr>
          <w:rFonts w:ascii="Times New Roman" w:eastAsia="Times New Roman" w:hAnsi="Times New Roman" w:cs="Times New Roman"/>
          <w:i/>
        </w:rPr>
        <w:t>AGE</w:t>
      </w:r>
      <w:r>
        <w:rPr>
          <w:rFonts w:ascii="Times New Roman" w:eastAsia="Times New Roman" w:hAnsi="Times New Roman" w:cs="Times New Roman"/>
        </w:rPr>
        <w:t>) as a measure of maturity.  Larger firms are much more likely to repurchase shares in both the US and UK (</w:t>
      </w:r>
      <w:proofErr w:type="spellStart"/>
      <w:r w:rsidR="00206FBF">
        <w:rPr>
          <w:rFonts w:ascii="Times New Roman" w:eastAsia="Times New Roman" w:hAnsi="Times New Roman" w:cs="Times New Roman"/>
        </w:rPr>
        <w:t>Renneboog</w:t>
      </w:r>
      <w:proofErr w:type="spellEnd"/>
      <w:r w:rsidR="00206FBF">
        <w:rPr>
          <w:rFonts w:ascii="Times New Roman" w:eastAsia="Times New Roman" w:hAnsi="Times New Roman" w:cs="Times New Roman"/>
        </w:rPr>
        <w:t xml:space="preserve"> and </w:t>
      </w:r>
      <w:proofErr w:type="spellStart"/>
      <w:r w:rsidR="00206FBF">
        <w:rPr>
          <w:rFonts w:ascii="Times New Roman" w:eastAsia="Times New Roman" w:hAnsi="Times New Roman" w:cs="Times New Roman"/>
        </w:rPr>
        <w:t>Trojanowski</w:t>
      </w:r>
      <w:proofErr w:type="spellEnd"/>
      <w:r w:rsidR="00206FBF">
        <w:rPr>
          <w:rFonts w:ascii="Times New Roman" w:eastAsia="Times New Roman" w:hAnsi="Times New Roman" w:cs="Times New Roman"/>
        </w:rPr>
        <w:t xml:space="preserve">, 2011; </w:t>
      </w:r>
      <w:r>
        <w:rPr>
          <w:rFonts w:ascii="Times New Roman" w:eastAsia="Times New Roman" w:hAnsi="Times New Roman" w:cs="Times New Roman"/>
        </w:rPr>
        <w:t xml:space="preserve">Skinner, 2008) so we include </w:t>
      </w:r>
      <w:r>
        <w:rPr>
          <w:rFonts w:ascii="Times New Roman" w:eastAsia="Times New Roman" w:hAnsi="Times New Roman" w:cs="Times New Roman"/>
          <w:i/>
        </w:rPr>
        <w:t xml:space="preserve">MCAP, </w:t>
      </w:r>
      <w:r>
        <w:rPr>
          <w:rFonts w:ascii="Times New Roman" w:eastAsia="Times New Roman" w:hAnsi="Times New Roman" w:cs="Times New Roman"/>
        </w:rPr>
        <w:t xml:space="preserve">which is the natural log of the firm’s market capitalisation, to capture size effects.  </w:t>
      </w:r>
      <w:r w:rsidR="00A87375">
        <w:rPr>
          <w:rFonts w:ascii="Times New Roman" w:eastAsia="Times New Roman" w:hAnsi="Times New Roman" w:cs="Times New Roman"/>
        </w:rPr>
        <w:t>Retaine</w:t>
      </w:r>
      <w:r w:rsidR="009968A7">
        <w:rPr>
          <w:rFonts w:ascii="Times New Roman" w:eastAsia="Times New Roman" w:hAnsi="Times New Roman" w:cs="Times New Roman"/>
        </w:rPr>
        <w:t>d</w:t>
      </w:r>
      <w:r w:rsidR="00A87375">
        <w:rPr>
          <w:rFonts w:ascii="Times New Roman" w:eastAsia="Times New Roman" w:hAnsi="Times New Roman" w:cs="Times New Roman"/>
        </w:rPr>
        <w:t xml:space="preserve"> earnings provide a </w:t>
      </w:r>
      <w:proofErr w:type="spellStart"/>
      <w:r w:rsidR="00A87375">
        <w:rPr>
          <w:rFonts w:ascii="Times New Roman" w:eastAsia="Times New Roman" w:hAnsi="Times New Roman" w:cs="Times New Roman"/>
        </w:rPr>
        <w:t>payout</w:t>
      </w:r>
      <w:proofErr w:type="spellEnd"/>
      <w:r w:rsidR="00A87375">
        <w:rPr>
          <w:rFonts w:ascii="Times New Roman" w:eastAsia="Times New Roman" w:hAnsi="Times New Roman" w:cs="Times New Roman"/>
        </w:rPr>
        <w:t xml:space="preserve"> ‘reservoir’, enabling managers to smooth </w:t>
      </w:r>
      <w:proofErr w:type="spellStart"/>
      <w:r w:rsidR="00A87375">
        <w:rPr>
          <w:rFonts w:ascii="Times New Roman" w:eastAsia="Times New Roman" w:hAnsi="Times New Roman" w:cs="Times New Roman"/>
        </w:rPr>
        <w:t>payouts</w:t>
      </w:r>
      <w:proofErr w:type="spellEnd"/>
      <w:r w:rsidR="00184CB6">
        <w:rPr>
          <w:rFonts w:ascii="Times New Roman" w:eastAsia="Times New Roman" w:hAnsi="Times New Roman" w:cs="Times New Roman"/>
        </w:rPr>
        <w:t xml:space="preserve"> (Lambrecht and Myers</w:t>
      </w:r>
      <w:r w:rsidR="005E0062">
        <w:rPr>
          <w:rFonts w:ascii="Times New Roman" w:eastAsia="Times New Roman" w:hAnsi="Times New Roman" w:cs="Times New Roman"/>
        </w:rPr>
        <w:t>, 2017)</w:t>
      </w:r>
      <w:r w:rsidR="00A87375">
        <w:rPr>
          <w:rFonts w:ascii="Times New Roman" w:eastAsia="Times New Roman" w:hAnsi="Times New Roman" w:cs="Times New Roman"/>
        </w:rPr>
        <w:t xml:space="preserve">.  </w:t>
      </w:r>
      <w:r w:rsidR="00184CB6">
        <w:rPr>
          <w:rFonts w:ascii="Times New Roman" w:eastAsia="Times New Roman" w:hAnsi="Times New Roman" w:cs="Times New Roman"/>
        </w:rPr>
        <w:t xml:space="preserve">Further, </w:t>
      </w:r>
      <w:r>
        <w:rPr>
          <w:rFonts w:ascii="Times New Roman" w:eastAsia="Times New Roman" w:hAnsi="Times New Roman" w:cs="Times New Roman"/>
        </w:rPr>
        <w:t xml:space="preserve">both dividends and share </w:t>
      </w:r>
      <w:proofErr w:type="gramStart"/>
      <w:r>
        <w:rPr>
          <w:rFonts w:ascii="Times New Roman" w:eastAsia="Times New Roman" w:hAnsi="Times New Roman" w:cs="Times New Roman"/>
        </w:rPr>
        <w:t>repurchases</w:t>
      </w:r>
      <w:proofErr w:type="gramEnd"/>
      <w:r>
        <w:rPr>
          <w:rFonts w:ascii="Times New Roman" w:eastAsia="Times New Roman" w:hAnsi="Times New Roman" w:cs="Times New Roman"/>
        </w:rPr>
        <w:t xml:space="preserve"> must be funded from distributable profits</w:t>
      </w:r>
      <w:r w:rsidR="00206FBF">
        <w:rPr>
          <w:rFonts w:ascii="Times New Roman" w:eastAsia="Times New Roman" w:hAnsi="Times New Roman" w:cs="Times New Roman"/>
        </w:rPr>
        <w:t>;</w:t>
      </w:r>
      <w:r>
        <w:rPr>
          <w:rFonts w:ascii="Times New Roman" w:eastAsia="Times New Roman" w:hAnsi="Times New Roman" w:cs="Times New Roman"/>
        </w:rPr>
        <w:t xml:space="preserve"> we </w:t>
      </w:r>
      <w:r w:rsidR="00206FBF">
        <w:rPr>
          <w:rFonts w:ascii="Times New Roman" w:eastAsia="Times New Roman" w:hAnsi="Times New Roman" w:cs="Times New Roman"/>
        </w:rPr>
        <w:t xml:space="preserve">therefore </w:t>
      </w:r>
      <w:r>
        <w:rPr>
          <w:rFonts w:ascii="Times New Roman" w:eastAsia="Times New Roman" w:hAnsi="Times New Roman" w:cs="Times New Roman"/>
        </w:rPr>
        <w:t>include retained earnings as a proportion of total assets in our models</w:t>
      </w:r>
      <w:r w:rsidR="00206FBF">
        <w:rPr>
          <w:rFonts w:ascii="Times New Roman" w:eastAsia="Times New Roman" w:hAnsi="Times New Roman" w:cs="Times New Roman"/>
        </w:rPr>
        <w:t xml:space="preserve"> (</w:t>
      </w:r>
      <w:r w:rsidR="00206FBF">
        <w:rPr>
          <w:rFonts w:ascii="Times New Roman" w:eastAsia="Times New Roman" w:hAnsi="Times New Roman" w:cs="Times New Roman"/>
          <w:i/>
        </w:rPr>
        <w:t>RE/TA</w:t>
      </w:r>
      <w:r w:rsidR="00206FBF">
        <w:rPr>
          <w:rFonts w:ascii="Times New Roman" w:eastAsia="Times New Roman" w:hAnsi="Times New Roman" w:cs="Times New Roman"/>
        </w:rPr>
        <w:t>)</w:t>
      </w:r>
      <w:r>
        <w:rPr>
          <w:rFonts w:ascii="Times New Roman" w:eastAsia="Times New Roman" w:hAnsi="Times New Roman" w:cs="Times New Roman"/>
        </w:rPr>
        <w:t xml:space="preserve">. </w:t>
      </w:r>
      <w:r w:rsidR="00A140FB">
        <w:rPr>
          <w:rFonts w:ascii="Times New Roman" w:eastAsia="Times New Roman" w:hAnsi="Times New Roman" w:cs="Times New Roman"/>
        </w:rPr>
        <w:t>Large shareholders are able to force managers to distribute excess cash (Lambrecht and Myers, 2017</w:t>
      </w:r>
      <w:r w:rsidR="00F10BE1">
        <w:rPr>
          <w:rFonts w:ascii="Times New Roman" w:eastAsia="Times New Roman" w:hAnsi="Times New Roman" w:cs="Times New Roman"/>
        </w:rPr>
        <w:t>; Oded, 20</w:t>
      </w:r>
      <w:r w:rsidR="001526E6">
        <w:rPr>
          <w:rFonts w:ascii="Times New Roman" w:eastAsia="Times New Roman" w:hAnsi="Times New Roman" w:cs="Times New Roman"/>
        </w:rPr>
        <w:t>20</w:t>
      </w:r>
      <w:r w:rsidR="00A140FB">
        <w:rPr>
          <w:rFonts w:ascii="Times New Roman" w:eastAsia="Times New Roman" w:hAnsi="Times New Roman" w:cs="Times New Roman"/>
        </w:rPr>
        <w:t xml:space="preserve">). </w:t>
      </w:r>
      <w:r>
        <w:rPr>
          <w:rFonts w:ascii="Times New Roman" w:eastAsia="Times New Roman" w:hAnsi="Times New Roman" w:cs="Times New Roman"/>
        </w:rPr>
        <w:t xml:space="preserve">As institutional investors are likely to have a tax-related preference for dividends, they may encourage firms to distribute funds in this way rather than by repurchasing shares. We </w:t>
      </w:r>
      <w:r>
        <w:rPr>
          <w:rFonts w:ascii="Times New Roman" w:eastAsia="Times New Roman" w:hAnsi="Times New Roman" w:cs="Times New Roman"/>
        </w:rPr>
        <w:lastRenderedPageBreak/>
        <w:t xml:space="preserve">therefore include </w:t>
      </w:r>
      <w:r>
        <w:rPr>
          <w:rFonts w:ascii="Times New Roman" w:eastAsia="Times New Roman" w:hAnsi="Times New Roman" w:cs="Times New Roman"/>
          <w:i/>
        </w:rPr>
        <w:t>INSTOWN</w:t>
      </w:r>
      <w:r>
        <w:rPr>
          <w:rFonts w:ascii="Times New Roman" w:eastAsia="Times New Roman" w:hAnsi="Times New Roman" w:cs="Times New Roman"/>
        </w:rPr>
        <w:t xml:space="preserve">, which is the total number of shares owned by institutional </w:t>
      </w:r>
      <w:proofErr w:type="spellStart"/>
      <w:r>
        <w:rPr>
          <w:rFonts w:ascii="Times New Roman" w:eastAsia="Times New Roman" w:hAnsi="Times New Roman" w:cs="Times New Roman"/>
        </w:rPr>
        <w:t>blockholders</w:t>
      </w:r>
      <w:proofErr w:type="spellEnd"/>
      <w:r>
        <w:rPr>
          <w:rFonts w:ascii="Times New Roman" w:eastAsia="Times New Roman" w:hAnsi="Times New Roman" w:cs="Times New Roman"/>
        </w:rPr>
        <w:t xml:space="preserve"> (&gt;3%), divided by the number of shares in issue.</w:t>
      </w:r>
      <w:r w:rsidR="000B4AAF">
        <w:rPr>
          <w:rFonts w:ascii="Times New Roman" w:eastAsia="Times New Roman" w:hAnsi="Times New Roman" w:cs="Times New Roman"/>
        </w:rPr>
        <w:t xml:space="preserve"> </w:t>
      </w:r>
    </w:p>
    <w:p w14:paraId="50C2B4C5" w14:textId="20CBF35C" w:rsidR="009968A7" w:rsidRDefault="009968A7"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We include year dummies</w:t>
      </w:r>
      <w:r w:rsidR="00E470A8">
        <w:rPr>
          <w:rFonts w:ascii="Times New Roman" w:eastAsia="Times New Roman" w:hAnsi="Times New Roman" w:cs="Times New Roman"/>
        </w:rPr>
        <w:t>,</w:t>
      </w:r>
      <w:r>
        <w:rPr>
          <w:rFonts w:ascii="Times New Roman" w:eastAsia="Times New Roman" w:hAnsi="Times New Roman" w:cs="Times New Roman"/>
        </w:rPr>
        <w:t xml:space="preserve"> and we control for industry effects by categorising our firms into one of 33 industries and incorporating 32 industry dummy variables in our multivariate analyses (after excluding all firms from financial industries). </w:t>
      </w:r>
    </w:p>
    <w:p w14:paraId="0C1B9975" w14:textId="1F5C1A78"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With the exception of the dividend </w:t>
      </w:r>
      <w:proofErr w:type="spellStart"/>
      <w:r>
        <w:rPr>
          <w:rFonts w:ascii="Times New Roman" w:eastAsia="Times New Roman" w:hAnsi="Times New Roman" w:cs="Times New Roman"/>
        </w:rPr>
        <w:t>payout</w:t>
      </w:r>
      <w:proofErr w:type="spellEnd"/>
      <w:r w:rsidR="009968A7">
        <w:rPr>
          <w:rFonts w:ascii="Times New Roman" w:eastAsia="Times New Roman" w:hAnsi="Times New Roman" w:cs="Times New Roman"/>
        </w:rPr>
        <w:t>, capital contribution,</w:t>
      </w:r>
      <w:r>
        <w:rPr>
          <w:rFonts w:ascii="Times New Roman" w:eastAsia="Times New Roman" w:hAnsi="Times New Roman" w:cs="Times New Roman"/>
        </w:rPr>
        <w:t xml:space="preserve"> and profitability variables, all independent variables are lagged, consistent with prior research (e.g.</w:t>
      </w:r>
      <w:r w:rsidR="00206FBF">
        <w:rPr>
          <w:rFonts w:ascii="Times New Roman" w:eastAsia="Times New Roman" w:hAnsi="Times New Roman" w:cs="Times New Roman"/>
        </w:rPr>
        <w:t>,</w:t>
      </w:r>
      <w:r>
        <w:rPr>
          <w:rFonts w:ascii="Times New Roman" w:eastAsia="Times New Roman" w:hAnsi="Times New Roman" w:cs="Times New Roman"/>
        </w:rPr>
        <w:t xml:space="preserve"> Oswald and Young, 2008). For our multivariate analyses we </w:t>
      </w:r>
      <w:proofErr w:type="spellStart"/>
      <w:r>
        <w:rPr>
          <w:rFonts w:ascii="Times New Roman" w:eastAsia="Times New Roman" w:hAnsi="Times New Roman" w:cs="Times New Roman"/>
        </w:rPr>
        <w:t>winsorise</w:t>
      </w:r>
      <w:proofErr w:type="spellEnd"/>
      <w:r>
        <w:rPr>
          <w:rFonts w:ascii="Times New Roman" w:eastAsia="Times New Roman" w:hAnsi="Times New Roman" w:cs="Times New Roman"/>
        </w:rPr>
        <w:t xml:space="preserve"> non-bounded continuous variables at 1% and 99% on an annual basis to mitigate the effects of outlying observations.</w:t>
      </w:r>
      <w:r w:rsidR="009968A7" w:rsidRPr="009968A7">
        <w:rPr>
          <w:rFonts w:ascii="Times New Roman" w:eastAsia="Times New Roman" w:hAnsi="Times New Roman" w:cs="Times New Roman"/>
          <w:vertAlign w:val="superscript"/>
        </w:rPr>
        <w:t xml:space="preserve"> </w:t>
      </w:r>
      <w:r w:rsidR="009968A7">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For variables that are left-truncated at zero (</w:t>
      </w:r>
      <w:r>
        <w:rPr>
          <w:rFonts w:ascii="Times New Roman" w:eastAsia="Times New Roman" w:hAnsi="Times New Roman" w:cs="Times New Roman"/>
          <w:i/>
        </w:rPr>
        <w:t>SP/NI</w:t>
      </w:r>
      <w:r>
        <w:rPr>
          <w:rFonts w:ascii="Times New Roman" w:eastAsia="Times New Roman" w:hAnsi="Times New Roman" w:cs="Times New Roman"/>
        </w:rPr>
        <w:t xml:space="preserve">, </w:t>
      </w:r>
      <w:r>
        <w:rPr>
          <w:rFonts w:ascii="Times New Roman" w:eastAsia="Times New Roman" w:hAnsi="Times New Roman" w:cs="Times New Roman"/>
          <w:i/>
        </w:rPr>
        <w:t>INSTOWN</w:t>
      </w:r>
      <w:r>
        <w:rPr>
          <w:rFonts w:ascii="Times New Roman" w:eastAsia="Times New Roman" w:hAnsi="Times New Roman" w:cs="Times New Roman"/>
        </w:rPr>
        <w:t xml:space="preserve"> and </w:t>
      </w:r>
      <w:r>
        <w:rPr>
          <w:rFonts w:ascii="Times New Roman" w:eastAsia="Times New Roman" w:hAnsi="Times New Roman" w:cs="Times New Roman"/>
          <w:i/>
        </w:rPr>
        <w:t>BOARDOWN</w:t>
      </w:r>
      <w:r>
        <w:rPr>
          <w:rFonts w:ascii="Times New Roman" w:eastAsia="Times New Roman" w:hAnsi="Times New Roman" w:cs="Times New Roman"/>
        </w:rPr>
        <w:t xml:space="preserve">), we only </w:t>
      </w:r>
      <w:proofErr w:type="spellStart"/>
      <w:r>
        <w:rPr>
          <w:rFonts w:ascii="Times New Roman" w:eastAsia="Times New Roman" w:hAnsi="Times New Roman" w:cs="Times New Roman"/>
        </w:rPr>
        <w:t>winsorise</w:t>
      </w:r>
      <w:proofErr w:type="spellEnd"/>
      <w:r>
        <w:rPr>
          <w:rFonts w:ascii="Times New Roman" w:eastAsia="Times New Roman" w:hAnsi="Times New Roman" w:cs="Times New Roman"/>
        </w:rPr>
        <w:t xml:space="preserve"> at 99%.  Table 1 outlines the variables we use in our regression analysis to test each of the hypotheses detailed in Section 3.  </w:t>
      </w:r>
    </w:p>
    <w:p w14:paraId="19DAE643"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[TABLE 1 HERE]</w:t>
      </w:r>
    </w:p>
    <w:p w14:paraId="7DC05A20" w14:textId="77777777" w:rsidR="00A707CF" w:rsidRDefault="0055054A" w:rsidP="00E87442">
      <w:pPr>
        <w:spacing w:after="280" w:line="480" w:lineRule="auto"/>
        <w:ind w:firstLine="397"/>
        <w:jc w:val="both"/>
        <w:rPr>
          <w:rFonts w:ascii="Times New Roman" w:eastAsia="Times New Roman" w:hAnsi="Times New Roman" w:cs="Times New Roman"/>
          <w:i/>
        </w:rPr>
      </w:pPr>
      <w:r>
        <w:rPr>
          <w:rFonts w:ascii="Times New Roman" w:eastAsia="Times New Roman" w:hAnsi="Times New Roman" w:cs="Times New Roman"/>
          <w:i/>
        </w:rPr>
        <w:t xml:space="preserve">4.3 Descriptive Statistics </w:t>
      </w:r>
    </w:p>
    <w:p w14:paraId="574E69E5" w14:textId="7209320C"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Table 2 presents descriptive statistics relating to our sample. In an average year, 32.</w:t>
      </w:r>
      <w:r w:rsidR="001E2900">
        <w:rPr>
          <w:rFonts w:ascii="Times New Roman" w:eastAsia="Times New Roman" w:hAnsi="Times New Roman" w:cs="Times New Roman"/>
        </w:rPr>
        <w:t>6</w:t>
      </w:r>
      <w:r>
        <w:rPr>
          <w:rFonts w:ascii="Times New Roman" w:eastAsia="Times New Roman" w:hAnsi="Times New Roman" w:cs="Times New Roman"/>
        </w:rPr>
        <w:t xml:space="preserve">% of sample firms repurchase shares. This is much higher than the averages reported for a mixed European sample from 1989-2005 by von </w:t>
      </w:r>
      <w:proofErr w:type="spellStart"/>
      <w:r>
        <w:rPr>
          <w:rFonts w:ascii="Times New Roman" w:eastAsia="Times New Roman" w:hAnsi="Times New Roman" w:cs="Times New Roman"/>
        </w:rPr>
        <w:t>Eije</w:t>
      </w:r>
      <w:proofErr w:type="spellEnd"/>
      <w:r>
        <w:rPr>
          <w:rFonts w:ascii="Times New Roman" w:eastAsia="Times New Roman" w:hAnsi="Times New Roman" w:cs="Times New Roman"/>
        </w:rPr>
        <w:t xml:space="preserve"> and Megginson (2008) and is consistent with their description of UK firms as repurchasing more shares by value than any other European country. The mean of </w:t>
      </w:r>
      <w:r>
        <w:rPr>
          <w:rFonts w:ascii="Times New Roman" w:eastAsia="Times New Roman" w:hAnsi="Times New Roman" w:cs="Times New Roman"/>
          <w:i/>
        </w:rPr>
        <w:t xml:space="preserve">SPDUM2YR </w:t>
      </w:r>
      <w:r>
        <w:rPr>
          <w:rFonts w:ascii="Times New Roman" w:eastAsia="Times New Roman" w:hAnsi="Times New Roman" w:cs="Times New Roman"/>
        </w:rPr>
        <w:t>is 22.</w:t>
      </w:r>
      <w:r w:rsidR="00EC4FE6">
        <w:rPr>
          <w:rFonts w:ascii="Times New Roman" w:eastAsia="Times New Roman" w:hAnsi="Times New Roman" w:cs="Times New Roman"/>
        </w:rPr>
        <w:t>2</w:t>
      </w:r>
      <w:r>
        <w:rPr>
          <w:rFonts w:ascii="Times New Roman" w:eastAsia="Times New Roman" w:hAnsi="Times New Roman" w:cs="Times New Roman"/>
        </w:rPr>
        <w:t xml:space="preserve">%, indicating that just under a quarter of UK firms repurchase in a given sample year, having also bought back their own shares in the previous year.  </w:t>
      </w:r>
      <w:r w:rsidR="00EC4FE6">
        <w:rPr>
          <w:rFonts w:ascii="Times New Roman" w:eastAsia="Times New Roman" w:hAnsi="Times New Roman" w:cs="Times New Roman"/>
        </w:rPr>
        <w:t xml:space="preserve">The dummy variables </w:t>
      </w:r>
      <w:r w:rsidR="00EC4FE6" w:rsidRPr="00EC4FE6">
        <w:rPr>
          <w:rFonts w:ascii="Times New Roman" w:eastAsia="Times New Roman" w:hAnsi="Times New Roman" w:cs="Times New Roman"/>
          <w:i/>
          <w:iCs/>
        </w:rPr>
        <w:t>CCDUM1</w:t>
      </w:r>
      <w:r w:rsidR="00EC4FE6">
        <w:rPr>
          <w:rFonts w:ascii="Times New Roman" w:eastAsia="Times New Roman" w:hAnsi="Times New Roman" w:cs="Times New Roman"/>
        </w:rPr>
        <w:t xml:space="preserve"> and </w:t>
      </w:r>
      <w:r w:rsidR="00EC4FE6" w:rsidRPr="00EC4FE6">
        <w:rPr>
          <w:rFonts w:ascii="Times New Roman" w:eastAsia="Times New Roman" w:hAnsi="Times New Roman" w:cs="Times New Roman"/>
          <w:i/>
          <w:iCs/>
        </w:rPr>
        <w:t>CCDUM2</w:t>
      </w:r>
      <w:r w:rsidR="00EC4FE6">
        <w:rPr>
          <w:rFonts w:ascii="Times New Roman" w:eastAsia="Times New Roman" w:hAnsi="Times New Roman" w:cs="Times New Roman"/>
        </w:rPr>
        <w:t xml:space="preserve"> indicate that 70.4% of firms issue equity in one year, and 61.8% of firms issue new shares in two consecutive years, respectively. </w:t>
      </w:r>
      <w:r>
        <w:rPr>
          <w:rFonts w:ascii="Times New Roman" w:eastAsia="Times New Roman" w:hAnsi="Times New Roman" w:cs="Times New Roman"/>
        </w:rPr>
        <w:t>The comparative numbers for dividends are 81</w:t>
      </w:r>
      <w:r w:rsidR="00EC4FE6">
        <w:rPr>
          <w:rFonts w:ascii="Times New Roman" w:eastAsia="Times New Roman" w:hAnsi="Times New Roman" w:cs="Times New Roman"/>
        </w:rPr>
        <w:t>.3</w:t>
      </w:r>
      <w:r>
        <w:rPr>
          <w:rFonts w:ascii="Times New Roman" w:eastAsia="Times New Roman" w:hAnsi="Times New Roman" w:cs="Times New Roman"/>
        </w:rPr>
        <w:t>% and 79%. The next row shows how many firms neither pay dividends nor repurchase shares (</w:t>
      </w:r>
      <w:r>
        <w:rPr>
          <w:rFonts w:ascii="Times New Roman" w:eastAsia="Times New Roman" w:hAnsi="Times New Roman" w:cs="Times New Roman"/>
          <w:i/>
        </w:rPr>
        <w:t>NOPAY</w:t>
      </w:r>
      <w:r>
        <w:rPr>
          <w:rFonts w:ascii="Times New Roman" w:eastAsia="Times New Roman" w:hAnsi="Times New Roman" w:cs="Times New Roman"/>
        </w:rPr>
        <w:t xml:space="preserve">). This is only 16.7% of sample firms, compared to over 60% reported in the US by Floyd </w:t>
      </w:r>
      <w:r>
        <w:rPr>
          <w:rFonts w:ascii="Times New Roman" w:eastAsia="Times New Roman" w:hAnsi="Times New Roman" w:cs="Times New Roman"/>
          <w:i/>
        </w:rPr>
        <w:t>et al</w:t>
      </w:r>
      <w:r>
        <w:rPr>
          <w:rFonts w:ascii="Times New Roman" w:eastAsia="Times New Roman" w:hAnsi="Times New Roman" w:cs="Times New Roman"/>
        </w:rPr>
        <w:t>. (2015).  The average amount of net income distributed by way of share repurchases (</w:t>
      </w:r>
      <w:r>
        <w:rPr>
          <w:rFonts w:ascii="Times New Roman" w:eastAsia="Times New Roman" w:hAnsi="Times New Roman" w:cs="Times New Roman"/>
          <w:i/>
        </w:rPr>
        <w:t>SP/NI</w:t>
      </w:r>
      <w:r>
        <w:rPr>
          <w:rFonts w:ascii="Times New Roman" w:eastAsia="Times New Roman" w:hAnsi="Times New Roman" w:cs="Times New Roman"/>
        </w:rPr>
        <w:t xml:space="preserve">) is </w:t>
      </w:r>
      <w:r w:rsidR="006C7D73">
        <w:rPr>
          <w:rFonts w:ascii="Times New Roman" w:eastAsia="Times New Roman" w:hAnsi="Times New Roman" w:cs="Times New Roman"/>
        </w:rPr>
        <w:lastRenderedPageBreak/>
        <w:t>10.4</w:t>
      </w:r>
      <w:r>
        <w:rPr>
          <w:rFonts w:ascii="Times New Roman" w:eastAsia="Times New Roman" w:hAnsi="Times New Roman" w:cs="Times New Roman"/>
        </w:rPr>
        <w:t>%, close to the figures reported for a sample from 2007-2017 by BEIS (2019).  The average dividend payment represents a much larger 45.</w:t>
      </w:r>
      <w:r w:rsidR="00EC4FE6">
        <w:rPr>
          <w:rFonts w:ascii="Times New Roman" w:eastAsia="Times New Roman" w:hAnsi="Times New Roman" w:cs="Times New Roman"/>
        </w:rPr>
        <w:t>4</w:t>
      </w:r>
      <w:r>
        <w:rPr>
          <w:rFonts w:ascii="Times New Roman" w:eastAsia="Times New Roman" w:hAnsi="Times New Roman" w:cs="Times New Roman"/>
        </w:rPr>
        <w:t>% of net income (</w:t>
      </w:r>
      <w:r>
        <w:rPr>
          <w:rFonts w:ascii="Times New Roman" w:eastAsia="Times New Roman" w:hAnsi="Times New Roman" w:cs="Times New Roman"/>
          <w:i/>
        </w:rPr>
        <w:t>DIV/NI</w:t>
      </w:r>
      <w:r>
        <w:rPr>
          <w:rFonts w:ascii="Times New Roman" w:eastAsia="Times New Roman" w:hAnsi="Times New Roman" w:cs="Times New Roman"/>
        </w:rPr>
        <w:t xml:space="preserve">).  </w:t>
      </w:r>
      <w:r w:rsidR="00EC4FE6">
        <w:rPr>
          <w:rFonts w:ascii="Times New Roman" w:eastAsia="Times New Roman" w:hAnsi="Times New Roman" w:cs="Times New Roman"/>
        </w:rPr>
        <w:t>Sample firms raise, on average, monies to the value of 22.</w:t>
      </w:r>
      <w:r w:rsidR="006C7D73">
        <w:rPr>
          <w:rFonts w:ascii="Times New Roman" w:eastAsia="Times New Roman" w:hAnsi="Times New Roman" w:cs="Times New Roman"/>
        </w:rPr>
        <w:t>1</w:t>
      </w:r>
      <w:r w:rsidR="00EC4FE6">
        <w:rPr>
          <w:rFonts w:ascii="Times New Roman" w:eastAsia="Times New Roman" w:hAnsi="Times New Roman" w:cs="Times New Roman"/>
        </w:rPr>
        <w:t>% of net income in equity sales each year (</w:t>
      </w:r>
      <w:r w:rsidR="00EC4FE6" w:rsidRPr="00EC4FE6">
        <w:rPr>
          <w:rFonts w:ascii="Times New Roman" w:eastAsia="Times New Roman" w:hAnsi="Times New Roman" w:cs="Times New Roman"/>
          <w:i/>
          <w:iCs/>
        </w:rPr>
        <w:t>CC/NI</w:t>
      </w:r>
      <w:r w:rsidR="00EC4FE6">
        <w:rPr>
          <w:rFonts w:ascii="Times New Roman" w:eastAsia="Times New Roman" w:hAnsi="Times New Roman" w:cs="Times New Roman"/>
        </w:rPr>
        <w:t xml:space="preserve">). </w:t>
      </w:r>
      <w:r w:rsidR="006C7D73">
        <w:rPr>
          <w:rFonts w:ascii="Times New Roman" w:eastAsia="Times New Roman" w:hAnsi="Times New Roman" w:cs="Times New Roman"/>
        </w:rPr>
        <w:t>O</w:t>
      </w:r>
      <w:r>
        <w:rPr>
          <w:rFonts w:ascii="Times New Roman" w:eastAsia="Times New Roman" w:hAnsi="Times New Roman" w:cs="Times New Roman"/>
        </w:rPr>
        <w:t>n average, 30% of sample firm equity is held by institutional investors, compared to US findings of 13% reported by Dittmar and Mahrt-Smith (2007)</w:t>
      </w:r>
      <w:r w:rsidR="006C7D73">
        <w:rPr>
          <w:rFonts w:ascii="Times New Roman" w:eastAsia="Times New Roman" w:hAnsi="Times New Roman" w:cs="Times New Roman"/>
        </w:rPr>
        <w:t>,</w:t>
      </w:r>
      <w:r>
        <w:rPr>
          <w:rFonts w:ascii="Times New Roman" w:eastAsia="Times New Roman" w:hAnsi="Times New Roman" w:cs="Times New Roman"/>
        </w:rPr>
        <w:t xml:space="preserve"> 25% reported by Jagannathan </w:t>
      </w:r>
      <w:r>
        <w:rPr>
          <w:rFonts w:ascii="Times New Roman" w:eastAsia="Times New Roman" w:hAnsi="Times New Roman" w:cs="Times New Roman"/>
          <w:i/>
        </w:rPr>
        <w:t>et al</w:t>
      </w:r>
      <w:r>
        <w:rPr>
          <w:rFonts w:ascii="Times New Roman" w:eastAsia="Times New Roman" w:hAnsi="Times New Roman" w:cs="Times New Roman"/>
        </w:rPr>
        <w:t>. (2000)</w:t>
      </w:r>
      <w:r w:rsidR="006C7D73">
        <w:rPr>
          <w:rFonts w:ascii="Times New Roman" w:eastAsia="Times New Roman" w:hAnsi="Times New Roman" w:cs="Times New Roman"/>
        </w:rPr>
        <w:t xml:space="preserve"> and 45% reported by Franks (2020)</w:t>
      </w:r>
      <w:r>
        <w:rPr>
          <w:rFonts w:ascii="Times New Roman" w:eastAsia="Times New Roman" w:hAnsi="Times New Roman" w:cs="Times New Roman"/>
        </w:rPr>
        <w:t xml:space="preserve">. Only 16.1% of UK firms have active ESOs, compared to 49% reported as the US peak by </w:t>
      </w:r>
      <w:proofErr w:type="spellStart"/>
      <w:r>
        <w:rPr>
          <w:rFonts w:ascii="Times New Roman" w:eastAsia="Times New Roman" w:hAnsi="Times New Roman" w:cs="Times New Roman"/>
        </w:rPr>
        <w:t>Conyon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2011. The structure of both firm ownership and executive compensation, both of which have been found to be associated with share repurchase activity in the US, is therefore different in the UK. These factors may therefore not carry the same weight in the UK.</w:t>
      </w:r>
    </w:p>
    <w:p w14:paraId="76416229"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[TABLE 2 HERE]</w:t>
      </w:r>
    </w:p>
    <w:p w14:paraId="455FB548"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The next section presents the results of our analyses of the data.</w:t>
      </w:r>
    </w:p>
    <w:p w14:paraId="03BA64B3" w14:textId="77777777" w:rsidR="00A707CF" w:rsidRDefault="0055054A" w:rsidP="00E87442">
      <w:pPr>
        <w:spacing w:after="280" w:line="480" w:lineRule="auto"/>
        <w:ind w:firstLine="397"/>
        <w:jc w:val="both"/>
        <w:rPr>
          <w:rFonts w:ascii="Times New Roman" w:eastAsia="Times New Roman" w:hAnsi="Times New Roman" w:cs="Times New Roman"/>
          <w:b/>
        </w:rPr>
      </w:pPr>
      <w:r w:rsidRPr="005454D2">
        <w:rPr>
          <w:rFonts w:ascii="Times New Roman" w:eastAsia="Times New Roman" w:hAnsi="Times New Roman" w:cs="Times New Roman"/>
          <w:b/>
        </w:rPr>
        <w:t>5.  Analysis</w:t>
      </w:r>
    </w:p>
    <w:p w14:paraId="20B5DCD4" w14:textId="77777777"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Figure One reports the trend in share repurchases in our sample compared to the (predominantly) pre-reform sample of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and the US sample employed by Floyd </w:t>
      </w:r>
      <w:r>
        <w:rPr>
          <w:rFonts w:ascii="Times New Roman" w:eastAsia="Times New Roman" w:hAnsi="Times New Roman" w:cs="Times New Roman"/>
          <w:i/>
        </w:rPr>
        <w:t>et al.</w:t>
      </w:r>
      <w:r>
        <w:rPr>
          <w:rFonts w:ascii="Times New Roman" w:eastAsia="Times New Roman" w:hAnsi="Times New Roman" w:cs="Times New Roman"/>
        </w:rPr>
        <w:t xml:space="preserve"> (2015). A steep rise in the proportion of firms buying back their own shares can be seen from 2003, consistent with the regulatory reform encouraging share repurchase activity. There is then a reduction in the proportion of firms repurchasing during the financial crisis; the shape of the trend around this time is similar to that in the US, with the lower line derived from Floyd </w:t>
      </w:r>
      <w:r>
        <w:rPr>
          <w:rFonts w:ascii="Times New Roman" w:eastAsia="Times New Roman" w:hAnsi="Times New Roman" w:cs="Times New Roman"/>
          <w:i/>
        </w:rPr>
        <w:t>et al</w:t>
      </w:r>
      <w:r>
        <w:rPr>
          <w:rFonts w:ascii="Times New Roman" w:eastAsia="Times New Roman" w:hAnsi="Times New Roman" w:cs="Times New Roman"/>
        </w:rPr>
        <w:t xml:space="preserve">. (2015) explained by the higher propensity of US companies to make no distribution to shareholders. </w:t>
      </w:r>
    </w:p>
    <w:p w14:paraId="7BE57486" w14:textId="66F6D0BD"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Table 3 reports descriptive statistics for our sample firms, split into observations from the pre- and post-reform periods: 2000-2003 (Regime1; n=14</w:t>
      </w:r>
      <w:r w:rsidR="0046094E">
        <w:rPr>
          <w:rFonts w:ascii="Times New Roman" w:eastAsia="Times New Roman" w:hAnsi="Times New Roman" w:cs="Times New Roman"/>
        </w:rPr>
        <w:t>67</w:t>
      </w:r>
      <w:r>
        <w:rPr>
          <w:rFonts w:ascii="Times New Roman" w:eastAsia="Times New Roman" w:hAnsi="Times New Roman" w:cs="Times New Roman"/>
        </w:rPr>
        <w:t>) and 2004-2016 (Regime 2; n=47</w:t>
      </w:r>
      <w:r w:rsidR="0046094E">
        <w:rPr>
          <w:rFonts w:ascii="Times New Roman" w:eastAsia="Times New Roman" w:hAnsi="Times New Roman" w:cs="Times New Roman"/>
        </w:rPr>
        <w:t>32</w:t>
      </w:r>
      <w:r>
        <w:rPr>
          <w:rFonts w:ascii="Times New Roman" w:eastAsia="Times New Roman" w:hAnsi="Times New Roman" w:cs="Times New Roman"/>
        </w:rPr>
        <w:t>). The first row shows a statistically and economically significant increase in the propensity of UK firms to repurchase their own shares.  Prior to the reforms, 15.</w:t>
      </w:r>
      <w:r w:rsidR="007D3A07">
        <w:rPr>
          <w:rFonts w:ascii="Times New Roman" w:eastAsia="Times New Roman" w:hAnsi="Times New Roman" w:cs="Times New Roman"/>
        </w:rPr>
        <w:t>7</w:t>
      </w:r>
      <w:r>
        <w:rPr>
          <w:rFonts w:ascii="Times New Roman" w:eastAsia="Times New Roman" w:hAnsi="Times New Roman" w:cs="Times New Roman"/>
        </w:rPr>
        <w:t xml:space="preserve">% of firms repurchased shares, which is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statistic reported by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in their pre-reform sample.  In our later subset, this proportion more than doubles, to 3</w:t>
      </w:r>
      <w:r w:rsidR="007D3A07">
        <w:rPr>
          <w:rFonts w:ascii="Times New Roman" w:eastAsia="Times New Roman" w:hAnsi="Times New Roman" w:cs="Times New Roman"/>
        </w:rPr>
        <w:t>7.</w:t>
      </w:r>
      <w:r>
        <w:rPr>
          <w:rFonts w:ascii="Times New Roman" w:eastAsia="Times New Roman" w:hAnsi="Times New Roman" w:cs="Times New Roman"/>
        </w:rPr>
        <w:t xml:space="preserve">8%. There has also been a marked increase in the propensity of firms to make repurchases in </w:t>
      </w:r>
      <w:r>
        <w:rPr>
          <w:rFonts w:ascii="Times New Roman" w:eastAsia="Times New Roman" w:hAnsi="Times New Roman" w:cs="Times New Roman"/>
        </w:rPr>
        <w:lastRenderedPageBreak/>
        <w:t>consecutive years. Whilst only 8</w:t>
      </w:r>
      <w:r w:rsidR="007D3A07">
        <w:rPr>
          <w:rFonts w:ascii="Times New Roman" w:eastAsia="Times New Roman" w:hAnsi="Times New Roman" w:cs="Times New Roman"/>
        </w:rPr>
        <w:t>.1</w:t>
      </w:r>
      <w:r>
        <w:rPr>
          <w:rFonts w:ascii="Times New Roman" w:eastAsia="Times New Roman" w:hAnsi="Times New Roman" w:cs="Times New Roman"/>
        </w:rPr>
        <w:t>% of sample firms repurchased shares in two consecutive years in the pre-reform period, this increased to 2</w:t>
      </w:r>
      <w:r w:rsidR="007D3A07">
        <w:rPr>
          <w:rFonts w:ascii="Times New Roman" w:eastAsia="Times New Roman" w:hAnsi="Times New Roman" w:cs="Times New Roman"/>
        </w:rPr>
        <w:t>6.6</w:t>
      </w:r>
      <w:r>
        <w:rPr>
          <w:rFonts w:ascii="Times New Roman" w:eastAsia="Times New Roman" w:hAnsi="Times New Roman" w:cs="Times New Roman"/>
        </w:rPr>
        <w:t xml:space="preserve">% after the reforms.  Both mean and median tests show that these changes are all statistically significant at the 1% level.  </w:t>
      </w:r>
    </w:p>
    <w:p w14:paraId="2CB42BC5" w14:textId="3A04B6F3"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Prior research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Tronjanowski</w:t>
      </w:r>
      <w:proofErr w:type="spellEnd"/>
      <w:r>
        <w:rPr>
          <w:rFonts w:ascii="Times New Roman" w:eastAsia="Times New Roman" w:hAnsi="Times New Roman" w:cs="Times New Roman"/>
        </w:rPr>
        <w:t xml:space="preserve">, 2011; Skinner, 2008) argues that observing an increasing magnitude of repurchases supports the dividend substitution hypothesis. Table 3 shows that the amount distributed </w:t>
      </w:r>
      <w:r>
        <w:rPr>
          <w:rFonts w:ascii="Times New Roman" w:eastAsia="Times New Roman" w:hAnsi="Times New Roman" w:cs="Times New Roman"/>
          <w:i/>
        </w:rPr>
        <w:t>via</w:t>
      </w:r>
      <w:r>
        <w:rPr>
          <w:rFonts w:ascii="Times New Roman" w:eastAsia="Times New Roman" w:hAnsi="Times New Roman" w:cs="Times New Roman"/>
        </w:rPr>
        <w:t xml:space="preserve"> share repurchases, either as a proportion of retained earnings (</w:t>
      </w:r>
      <w:r>
        <w:rPr>
          <w:rFonts w:ascii="Times New Roman" w:eastAsia="Times New Roman" w:hAnsi="Times New Roman" w:cs="Times New Roman"/>
          <w:i/>
        </w:rPr>
        <w:t>SP/RE</w:t>
      </w:r>
      <w:r>
        <w:rPr>
          <w:rFonts w:ascii="Times New Roman" w:eastAsia="Times New Roman" w:hAnsi="Times New Roman" w:cs="Times New Roman"/>
        </w:rPr>
        <w:t xml:space="preserve">), </w:t>
      </w:r>
      <w:r w:rsidR="007D3A07">
        <w:rPr>
          <w:rFonts w:ascii="Times New Roman" w:eastAsia="Times New Roman" w:hAnsi="Times New Roman" w:cs="Times New Roman"/>
        </w:rPr>
        <w:t>of profit (</w:t>
      </w:r>
      <w:r w:rsidR="007D3A07" w:rsidRPr="007D3A07">
        <w:rPr>
          <w:rFonts w:ascii="Times New Roman" w:eastAsia="Times New Roman" w:hAnsi="Times New Roman" w:cs="Times New Roman"/>
          <w:i/>
          <w:iCs/>
        </w:rPr>
        <w:t>SP/NI</w:t>
      </w:r>
      <w:r w:rsidR="007D3A07">
        <w:rPr>
          <w:rFonts w:ascii="Times New Roman" w:eastAsia="Times New Roman" w:hAnsi="Times New Roman" w:cs="Times New Roman"/>
        </w:rPr>
        <w:t xml:space="preserve">), </w:t>
      </w:r>
      <w:r>
        <w:rPr>
          <w:rFonts w:ascii="Times New Roman" w:eastAsia="Times New Roman" w:hAnsi="Times New Roman" w:cs="Times New Roman"/>
        </w:rPr>
        <w:t xml:space="preserve">or of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SP/TOTALPAY</w:t>
      </w:r>
      <w:r>
        <w:rPr>
          <w:rFonts w:ascii="Times New Roman" w:eastAsia="Times New Roman" w:hAnsi="Times New Roman" w:cs="Times New Roman"/>
        </w:rPr>
        <w:t>), increases significantly in the period following the 2003 reform.  Prior to the reform, 8</w:t>
      </w:r>
      <w:r w:rsidR="007D3A07">
        <w:rPr>
          <w:rFonts w:ascii="Times New Roman" w:eastAsia="Times New Roman" w:hAnsi="Times New Roman" w:cs="Times New Roman"/>
        </w:rPr>
        <w:t>.1</w:t>
      </w:r>
      <w:r>
        <w:rPr>
          <w:rFonts w:ascii="Times New Roman" w:eastAsia="Times New Roman" w:hAnsi="Times New Roman" w:cs="Times New Roman"/>
        </w:rPr>
        <w:t>% of total distributions were by way of repurchases, but this increased to 14</w:t>
      </w:r>
      <w:r w:rsidR="007D3A07">
        <w:rPr>
          <w:rFonts w:ascii="Times New Roman" w:eastAsia="Times New Roman" w:hAnsi="Times New Roman" w:cs="Times New Roman"/>
        </w:rPr>
        <w:t>.2</w:t>
      </w:r>
      <w:r>
        <w:rPr>
          <w:rFonts w:ascii="Times New Roman" w:eastAsia="Times New Roman" w:hAnsi="Times New Roman" w:cs="Times New Roman"/>
        </w:rPr>
        <w:t xml:space="preserve">% from 2004 onwards.  However, the fraction of net income distributed </w:t>
      </w:r>
      <w:r>
        <w:rPr>
          <w:rFonts w:ascii="Times New Roman" w:eastAsia="Times New Roman" w:hAnsi="Times New Roman" w:cs="Times New Roman"/>
          <w:i/>
        </w:rPr>
        <w:t>via</w:t>
      </w:r>
      <w:r>
        <w:rPr>
          <w:rFonts w:ascii="Times New Roman" w:eastAsia="Times New Roman" w:hAnsi="Times New Roman" w:cs="Times New Roman"/>
        </w:rPr>
        <w:t xml:space="preserve"> dividends (</w:t>
      </w:r>
      <w:r>
        <w:rPr>
          <w:rFonts w:ascii="Times New Roman" w:eastAsia="Times New Roman" w:hAnsi="Times New Roman" w:cs="Times New Roman"/>
          <w:i/>
        </w:rPr>
        <w:t>DIV/NI</w:t>
      </w:r>
      <w:r>
        <w:rPr>
          <w:rFonts w:ascii="Times New Roman" w:eastAsia="Times New Roman" w:hAnsi="Times New Roman" w:cs="Times New Roman"/>
        </w:rPr>
        <w:t xml:space="preserve">) remains stable at around 46%. This suggests the increase in repurchases was </w:t>
      </w:r>
      <w:r w:rsidRPr="000639E8">
        <w:rPr>
          <w:rFonts w:ascii="Times New Roman" w:eastAsia="Times New Roman" w:hAnsi="Times New Roman" w:cs="Times New Roman"/>
          <w:i/>
          <w:iCs/>
        </w:rPr>
        <w:t>not</w:t>
      </w:r>
      <w:r>
        <w:rPr>
          <w:rFonts w:ascii="Times New Roman" w:eastAsia="Times New Roman" w:hAnsi="Times New Roman" w:cs="Times New Roman"/>
        </w:rPr>
        <w:t xml:space="preserve"> offset by a reduction in dividends, rather that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has increased over time, a trend which has also been observed in the US by Floyd </w:t>
      </w:r>
      <w:r>
        <w:rPr>
          <w:rFonts w:ascii="Times New Roman" w:eastAsia="Times New Roman" w:hAnsi="Times New Roman" w:cs="Times New Roman"/>
          <w:i/>
        </w:rPr>
        <w:t>et al</w:t>
      </w:r>
      <w:r>
        <w:rPr>
          <w:rFonts w:ascii="Times New Roman" w:eastAsia="Times New Roman" w:hAnsi="Times New Roman" w:cs="Times New Roman"/>
        </w:rPr>
        <w:t xml:space="preserve">., (2015). Indeed, Table 3 shows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as a proportion of net income (</w:t>
      </w:r>
      <w:r>
        <w:rPr>
          <w:rFonts w:ascii="Times New Roman" w:eastAsia="Times New Roman" w:hAnsi="Times New Roman" w:cs="Times New Roman"/>
          <w:i/>
        </w:rPr>
        <w:t>TOTALPAY/NI</w:t>
      </w:r>
      <w:r>
        <w:rPr>
          <w:rFonts w:ascii="Times New Roman" w:eastAsia="Times New Roman" w:hAnsi="Times New Roman" w:cs="Times New Roman"/>
        </w:rPr>
        <w:t xml:space="preserve">) is higher in the later time period, </w:t>
      </w:r>
      <w:r w:rsidR="00007315">
        <w:rPr>
          <w:rFonts w:ascii="Times New Roman" w:eastAsia="Times New Roman" w:hAnsi="Times New Roman" w:cs="Times New Roman"/>
        </w:rPr>
        <w:t>consistent with the change in regulation encouraging firms to pay out more of their profits</w:t>
      </w:r>
      <w:r>
        <w:rPr>
          <w:rFonts w:ascii="Times New Roman" w:eastAsia="Times New Roman" w:hAnsi="Times New Roman" w:cs="Times New Roman"/>
        </w:rPr>
        <w:t>. Over 80% of sample firms pay a dividend in any one year (</w:t>
      </w:r>
      <w:r>
        <w:rPr>
          <w:rFonts w:ascii="Times New Roman" w:eastAsia="Times New Roman" w:hAnsi="Times New Roman" w:cs="Times New Roman"/>
          <w:i/>
        </w:rPr>
        <w:t>DIVDUM1YR</w:t>
      </w:r>
      <w:r>
        <w:rPr>
          <w:rFonts w:ascii="Times New Roman" w:eastAsia="Times New Roman" w:hAnsi="Times New Roman" w:cs="Times New Roman"/>
        </w:rPr>
        <w:t>), with no significant change in this practice associated with the share repurchase reform. Slightly fewer pay a dividend in two consecutive years (</w:t>
      </w:r>
      <w:r>
        <w:rPr>
          <w:rFonts w:ascii="Times New Roman" w:eastAsia="Times New Roman" w:hAnsi="Times New Roman" w:cs="Times New Roman"/>
          <w:i/>
        </w:rPr>
        <w:t>DIVDUM2YR</w:t>
      </w:r>
      <w:r>
        <w:rPr>
          <w:rFonts w:ascii="Times New Roman" w:eastAsia="Times New Roman" w:hAnsi="Times New Roman" w:cs="Times New Roman"/>
        </w:rPr>
        <w:t>) and this decreases significantly after 2003, from 81</w:t>
      </w:r>
      <w:r w:rsidR="00007315">
        <w:rPr>
          <w:rFonts w:ascii="Times New Roman" w:eastAsia="Times New Roman" w:hAnsi="Times New Roman" w:cs="Times New Roman"/>
        </w:rPr>
        <w:t>.2</w:t>
      </w:r>
      <w:r>
        <w:rPr>
          <w:rFonts w:ascii="Times New Roman" w:eastAsia="Times New Roman" w:hAnsi="Times New Roman" w:cs="Times New Roman"/>
        </w:rPr>
        <w:t>% to 78</w:t>
      </w:r>
      <w:r w:rsidR="00007315">
        <w:rPr>
          <w:rFonts w:ascii="Times New Roman" w:eastAsia="Times New Roman" w:hAnsi="Times New Roman" w:cs="Times New Roman"/>
        </w:rPr>
        <w:t>.3</w:t>
      </w:r>
      <w:r>
        <w:rPr>
          <w:rFonts w:ascii="Times New Roman" w:eastAsia="Times New Roman" w:hAnsi="Times New Roman" w:cs="Times New Roman"/>
        </w:rPr>
        <w:t xml:space="preserve">%. In comparison, Floyd </w:t>
      </w:r>
      <w:r>
        <w:rPr>
          <w:rFonts w:ascii="Times New Roman" w:eastAsia="Times New Roman" w:hAnsi="Times New Roman" w:cs="Times New Roman"/>
          <w:i/>
        </w:rPr>
        <w:t>et al</w:t>
      </w:r>
      <w:r>
        <w:rPr>
          <w:rFonts w:ascii="Times New Roman" w:eastAsia="Times New Roman" w:hAnsi="Times New Roman" w:cs="Times New Roman"/>
        </w:rPr>
        <w:t xml:space="preserve">. (2015) report that 16% of US industrial firms pay dividends between 2000 and 2003, increasing to 23% in their 2004-2012 sample. Over these time periods, the proportion of share repurchasing firms exceeds that of dividend paying firms. In an important contrast to UK practice, Floyd </w:t>
      </w:r>
      <w:r>
        <w:rPr>
          <w:rFonts w:ascii="Times New Roman" w:eastAsia="Times New Roman" w:hAnsi="Times New Roman" w:cs="Times New Roman"/>
          <w:i/>
        </w:rPr>
        <w:t>et al.</w:t>
      </w:r>
      <w:r>
        <w:rPr>
          <w:rFonts w:ascii="Times New Roman" w:eastAsia="Times New Roman" w:hAnsi="Times New Roman" w:cs="Times New Roman"/>
        </w:rPr>
        <w:t xml:space="preserve"> (2015) report that most US industrial firms (over 60%) make no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at all, whereas the proportion of UK firms in our sample which neither pay dividends nor repurchase shares (</w:t>
      </w:r>
      <w:r>
        <w:rPr>
          <w:rFonts w:ascii="Times New Roman" w:eastAsia="Times New Roman" w:hAnsi="Times New Roman" w:cs="Times New Roman"/>
          <w:i/>
        </w:rPr>
        <w:t>NOPAY</w:t>
      </w:r>
      <w:r>
        <w:rPr>
          <w:rFonts w:ascii="Times New Roman" w:eastAsia="Times New Roman" w:hAnsi="Times New Roman" w:cs="Times New Roman"/>
        </w:rPr>
        <w:t>) is less than 17% across our sample period.</w:t>
      </w:r>
    </w:p>
    <w:p w14:paraId="16FFFE69" w14:textId="32A87B98" w:rsidR="00A707CF" w:rsidRDefault="0055054A" w:rsidP="00E87442">
      <w:pPr>
        <w:spacing w:after="280" w:line="480" w:lineRule="auto"/>
        <w:ind w:firstLine="397"/>
        <w:jc w:val="both"/>
        <w:rPr>
          <w:rFonts w:ascii="Times New Roman" w:eastAsia="Times New Roman" w:hAnsi="Times New Roman" w:cs="Times New Roman"/>
        </w:rPr>
      </w:pPr>
      <w:r>
        <w:rPr>
          <w:rFonts w:ascii="Times New Roman" w:eastAsia="Times New Roman" w:hAnsi="Times New Roman" w:cs="Times New Roman"/>
        </w:rPr>
        <w:t>Pre-reform sample firms pay dividends at 11</w:t>
      </w:r>
      <w:r w:rsidR="004A1123">
        <w:rPr>
          <w:rFonts w:ascii="Times New Roman" w:eastAsia="Times New Roman" w:hAnsi="Times New Roman" w:cs="Times New Roman"/>
        </w:rPr>
        <w:t>.1</w:t>
      </w:r>
      <w:r>
        <w:rPr>
          <w:rFonts w:ascii="Times New Roman" w:eastAsia="Times New Roman" w:hAnsi="Times New Roman" w:cs="Times New Roman"/>
        </w:rPr>
        <w:t>% of retained earnings (</w:t>
      </w:r>
      <w:r>
        <w:rPr>
          <w:rFonts w:ascii="Times New Roman" w:eastAsia="Times New Roman" w:hAnsi="Times New Roman" w:cs="Times New Roman"/>
          <w:i/>
        </w:rPr>
        <w:t>DIV</w:t>
      </w:r>
      <w:r>
        <w:rPr>
          <w:rFonts w:ascii="Times New Roman" w:eastAsia="Times New Roman" w:hAnsi="Times New Roman" w:cs="Times New Roman"/>
        </w:rPr>
        <w:t>/</w:t>
      </w:r>
      <w:r>
        <w:rPr>
          <w:rFonts w:ascii="Times New Roman" w:eastAsia="Times New Roman" w:hAnsi="Times New Roman" w:cs="Times New Roman"/>
          <w:i/>
        </w:rPr>
        <w:t>RE</w:t>
      </w:r>
      <w:r>
        <w:rPr>
          <w:rFonts w:ascii="Times New Roman" w:eastAsia="Times New Roman" w:hAnsi="Times New Roman" w:cs="Times New Roman"/>
        </w:rPr>
        <w:t>) and 46</w:t>
      </w:r>
      <w:r w:rsidR="004A1123">
        <w:rPr>
          <w:rFonts w:ascii="Times New Roman" w:eastAsia="Times New Roman" w:hAnsi="Times New Roman" w:cs="Times New Roman"/>
        </w:rPr>
        <w:t>.4</w:t>
      </w:r>
      <w:r>
        <w:rPr>
          <w:rFonts w:ascii="Times New Roman" w:eastAsia="Times New Roman" w:hAnsi="Times New Roman" w:cs="Times New Roman"/>
        </w:rPr>
        <w:t xml:space="preserve">% of net income </w:t>
      </w:r>
      <w:r>
        <w:rPr>
          <w:rFonts w:ascii="Times New Roman" w:eastAsia="Times New Roman" w:hAnsi="Times New Roman" w:cs="Times New Roman"/>
          <w:i/>
        </w:rPr>
        <w:t>(DIV/NI</w:t>
      </w:r>
      <w:r>
        <w:rPr>
          <w:rFonts w:ascii="Times New Roman" w:eastAsia="Times New Roman" w:hAnsi="Times New Roman" w:cs="Times New Roman"/>
        </w:rPr>
        <w:t>). These figures are comparable to those reported for UK firms in an earlier time period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Oswald and Young, 2008), and there is little evidence of any substantial change associated with the repurchase reforms. </w:t>
      </w:r>
    </w:p>
    <w:p w14:paraId="75CFAD73"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[TABLE 3 HERE]</w:t>
      </w:r>
    </w:p>
    <w:p w14:paraId="3B3E1488" w14:textId="43EC02FF"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Table 4 reports the results of univariate tests of mean and median differences between repurchasing and non-repurchasing firms in respect of the measures we employ to test the predictions generated by the seven hypotheses developed earlier.  In the univariate tests on the full sample, no difference in prior year leverage (</w:t>
      </w:r>
      <w:r>
        <w:rPr>
          <w:rFonts w:ascii="Times New Roman" w:eastAsia="Times New Roman" w:hAnsi="Times New Roman" w:cs="Times New Roman"/>
          <w:i/>
        </w:rPr>
        <w:t>LEVIND</w:t>
      </w:r>
      <w:r>
        <w:rPr>
          <w:rFonts w:ascii="Times New Roman" w:eastAsia="Times New Roman" w:hAnsi="Times New Roman" w:cs="Times New Roman"/>
        </w:rPr>
        <w:t xml:space="preserve">) is observed between repurchasing and non-repurchasing firms, providing no support for </w:t>
      </w:r>
      <w:r>
        <w:rPr>
          <w:rFonts w:ascii="Times New Roman" w:eastAsia="Times New Roman" w:hAnsi="Times New Roman" w:cs="Times New Roman"/>
          <w:i/>
        </w:rPr>
        <w:t>H1</w:t>
      </w:r>
      <w:r>
        <w:rPr>
          <w:rFonts w:ascii="Times New Roman" w:eastAsia="Times New Roman" w:hAnsi="Times New Roman" w:cs="Times New Roman"/>
        </w:rPr>
        <w:t xml:space="preserve">.  However, </w:t>
      </w:r>
      <w:r>
        <w:rPr>
          <w:rFonts w:ascii="Times New Roman" w:eastAsia="Times New Roman" w:hAnsi="Times New Roman" w:cs="Times New Roman"/>
          <w:i/>
        </w:rPr>
        <w:t>H2</w:t>
      </w:r>
      <w:r>
        <w:rPr>
          <w:rFonts w:ascii="Times New Roman" w:eastAsia="Times New Roman" w:hAnsi="Times New Roman" w:cs="Times New Roman"/>
        </w:rPr>
        <w:t xml:space="preserve"> (surplus cash) is supported; repurchasing firms have more excess cash (</w:t>
      </w:r>
      <w:r>
        <w:rPr>
          <w:rFonts w:ascii="Times New Roman" w:eastAsia="Times New Roman" w:hAnsi="Times New Roman" w:cs="Times New Roman"/>
          <w:i/>
        </w:rPr>
        <w:t>XSCASH</w:t>
      </w:r>
      <w:r>
        <w:rPr>
          <w:rFonts w:ascii="Times New Roman" w:eastAsia="Times New Roman" w:hAnsi="Times New Roman" w:cs="Times New Roman"/>
        </w:rPr>
        <w:t>) and cash flow from operations (</w:t>
      </w:r>
      <w:r>
        <w:rPr>
          <w:rFonts w:ascii="Times New Roman" w:eastAsia="Times New Roman" w:hAnsi="Times New Roman" w:cs="Times New Roman"/>
          <w:i/>
        </w:rPr>
        <w:t>CFO/TA</w:t>
      </w:r>
      <w:r>
        <w:rPr>
          <w:rFonts w:ascii="Times New Roman" w:eastAsia="Times New Roman" w:hAnsi="Times New Roman" w:cs="Times New Roman"/>
        </w:rPr>
        <w:t>) in the year before repurchasing than do non-repurchasing firms. The results for market-to-book ratios (</w:t>
      </w:r>
      <w:r>
        <w:rPr>
          <w:rFonts w:ascii="Times New Roman" w:eastAsia="Times New Roman" w:hAnsi="Times New Roman" w:cs="Times New Roman"/>
          <w:i/>
        </w:rPr>
        <w:t>MTBIND</w:t>
      </w:r>
      <w:r>
        <w:rPr>
          <w:rFonts w:ascii="Times New Roman" w:eastAsia="Times New Roman" w:hAnsi="Times New Roman" w:cs="Times New Roman"/>
        </w:rPr>
        <w:t xml:space="preserve">) are opposite to the predictions relating to </w:t>
      </w:r>
      <w:r>
        <w:rPr>
          <w:rFonts w:ascii="Times New Roman" w:eastAsia="Times New Roman" w:hAnsi="Times New Roman" w:cs="Times New Roman"/>
          <w:i/>
        </w:rPr>
        <w:t>H3</w:t>
      </w:r>
      <w:r>
        <w:rPr>
          <w:rFonts w:ascii="Times New Roman" w:eastAsia="Times New Roman" w:hAnsi="Times New Roman" w:cs="Times New Roman"/>
        </w:rPr>
        <w:t xml:space="preserve"> (investment opportunities) in the univariate tests. Before controlling for other factors, investment opportunities appear higher for repurchasing firms. </w:t>
      </w:r>
      <w:r w:rsidR="003A1402">
        <w:rPr>
          <w:rFonts w:ascii="Times New Roman" w:eastAsia="Times New Roman" w:hAnsi="Times New Roman" w:cs="Times New Roman"/>
        </w:rPr>
        <w:t xml:space="preserve"> No</w:t>
      </w:r>
      <w:r>
        <w:rPr>
          <w:rFonts w:ascii="Times New Roman" w:eastAsia="Times New Roman" w:hAnsi="Times New Roman" w:cs="Times New Roman"/>
        </w:rPr>
        <w:t xml:space="preserve"> support is found for </w:t>
      </w:r>
      <w:r>
        <w:rPr>
          <w:rFonts w:ascii="Times New Roman" w:eastAsia="Times New Roman" w:hAnsi="Times New Roman" w:cs="Times New Roman"/>
          <w:i/>
        </w:rPr>
        <w:t>H4</w:t>
      </w:r>
      <w:r>
        <w:rPr>
          <w:rFonts w:ascii="Times New Roman" w:eastAsia="Times New Roman" w:hAnsi="Times New Roman" w:cs="Times New Roman"/>
        </w:rPr>
        <w:t xml:space="preserve"> (undervaluation); the average prior year abnormal stock return (</w:t>
      </w:r>
      <w:r>
        <w:rPr>
          <w:rFonts w:ascii="Times New Roman" w:eastAsia="Times New Roman" w:hAnsi="Times New Roman" w:cs="Times New Roman"/>
          <w:i/>
        </w:rPr>
        <w:t>ABRET</w:t>
      </w:r>
      <w:r>
        <w:rPr>
          <w:rFonts w:ascii="Times New Roman" w:eastAsia="Times New Roman" w:hAnsi="Times New Roman" w:cs="Times New Roman"/>
        </w:rPr>
        <w:t xml:space="preserve">) is </w:t>
      </w:r>
      <w:r w:rsidR="003A1402">
        <w:rPr>
          <w:rFonts w:ascii="Times New Roman" w:eastAsia="Times New Roman" w:hAnsi="Times New Roman" w:cs="Times New Roman"/>
        </w:rPr>
        <w:t>no different</w:t>
      </w:r>
      <w:r>
        <w:rPr>
          <w:rFonts w:ascii="Times New Roman" w:eastAsia="Times New Roman" w:hAnsi="Times New Roman" w:cs="Times New Roman"/>
        </w:rPr>
        <w:t xml:space="preserve"> for repurchasing firms compared to non-repurchasers</w:t>
      </w:r>
      <w:r w:rsidR="003A1402">
        <w:rPr>
          <w:rFonts w:ascii="Times New Roman" w:eastAsia="Times New Roman" w:hAnsi="Times New Roman" w:cs="Times New Roman"/>
        </w:rPr>
        <w:t xml:space="preserve">, and the median value is significantly higher in repurchase firms. </w:t>
      </w:r>
      <w:r>
        <w:rPr>
          <w:rFonts w:ascii="Times New Roman" w:eastAsia="Times New Roman" w:hAnsi="Times New Roman" w:cs="Times New Roman"/>
        </w:rPr>
        <w:t xml:space="preserve">Next, if share repurchases are substituting for dividends, then we would expect the proportion of net income paid out </w:t>
      </w:r>
      <w:r>
        <w:rPr>
          <w:rFonts w:ascii="Times New Roman" w:eastAsia="Times New Roman" w:hAnsi="Times New Roman" w:cs="Times New Roman"/>
          <w:i/>
        </w:rPr>
        <w:t>via</w:t>
      </w:r>
      <w:r>
        <w:rPr>
          <w:rFonts w:ascii="Times New Roman" w:eastAsia="Times New Roman" w:hAnsi="Times New Roman" w:cs="Times New Roman"/>
        </w:rPr>
        <w:t xml:space="preserve"> dividends (</w:t>
      </w:r>
      <w:r>
        <w:rPr>
          <w:rFonts w:ascii="Times New Roman" w:eastAsia="Times New Roman" w:hAnsi="Times New Roman" w:cs="Times New Roman"/>
          <w:i/>
        </w:rPr>
        <w:t>DIV/NI</w:t>
      </w:r>
      <w:r>
        <w:rPr>
          <w:rFonts w:ascii="Times New Roman" w:eastAsia="Times New Roman" w:hAnsi="Times New Roman" w:cs="Times New Roman"/>
        </w:rPr>
        <w:t xml:space="preserve">) to be lower for repurchasing firms. However, Table 4 reports the opposite result, which is not consistent with </w:t>
      </w:r>
      <w:r>
        <w:rPr>
          <w:rFonts w:ascii="Times New Roman" w:eastAsia="Times New Roman" w:hAnsi="Times New Roman" w:cs="Times New Roman"/>
          <w:i/>
        </w:rPr>
        <w:t>H5</w:t>
      </w:r>
      <w:r>
        <w:rPr>
          <w:rFonts w:ascii="Times New Roman" w:eastAsia="Times New Roman" w:hAnsi="Times New Roman" w:cs="Times New Roman"/>
        </w:rPr>
        <w:t xml:space="preserve"> (dividend substitution). </w:t>
      </w:r>
      <w:r w:rsidR="00EC6537">
        <w:rPr>
          <w:rFonts w:ascii="Times New Roman" w:eastAsia="Times New Roman" w:hAnsi="Times New Roman" w:cs="Times New Roman"/>
        </w:rPr>
        <w:t xml:space="preserve">Interestingly, </w:t>
      </w:r>
      <w:r w:rsidR="003A1402">
        <w:rPr>
          <w:rFonts w:ascii="Times New Roman" w:eastAsia="Times New Roman" w:hAnsi="Times New Roman" w:cs="Times New Roman"/>
        </w:rPr>
        <w:t xml:space="preserve">at the median, </w:t>
      </w:r>
      <w:r w:rsidR="00EC6537">
        <w:rPr>
          <w:rFonts w:ascii="Times New Roman" w:eastAsia="Times New Roman" w:hAnsi="Times New Roman" w:cs="Times New Roman"/>
        </w:rPr>
        <w:t>repurchasing firms raise more money from equity issuances than non-repurchase firms.</w:t>
      </w:r>
      <w:r w:rsidR="003A1402">
        <w:rPr>
          <w:rFonts w:ascii="Times New Roman" w:eastAsia="Times New Roman" w:hAnsi="Times New Roman" w:cs="Times New Roman"/>
        </w:rPr>
        <w:t xml:space="preserve"> Less </w:t>
      </w:r>
      <w:r>
        <w:rPr>
          <w:rFonts w:ascii="Times New Roman" w:eastAsia="Times New Roman" w:hAnsi="Times New Roman" w:cs="Times New Roman"/>
        </w:rPr>
        <w:t>surprisingly, share repurchase firms report higher prior year profits (</w:t>
      </w:r>
      <w:r>
        <w:rPr>
          <w:rFonts w:ascii="Times New Roman" w:eastAsia="Times New Roman" w:hAnsi="Times New Roman" w:cs="Times New Roman"/>
          <w:i/>
        </w:rPr>
        <w:t>ROA</w:t>
      </w:r>
      <w:r>
        <w:rPr>
          <w:rFonts w:ascii="Times New Roman" w:eastAsia="Times New Roman" w:hAnsi="Times New Roman" w:cs="Times New Roman"/>
        </w:rPr>
        <w:t xml:space="preserve">) than firms which do not make this kind of distribution.  There are differences in corporate governance between the two types of </w:t>
      </w:r>
      <w:proofErr w:type="gramStart"/>
      <w:r>
        <w:rPr>
          <w:rFonts w:ascii="Times New Roman" w:eastAsia="Times New Roman" w:hAnsi="Times New Roman" w:cs="Times New Roman"/>
        </w:rPr>
        <w:t>firm</w:t>
      </w:r>
      <w:proofErr w:type="gramEnd"/>
      <w:r>
        <w:rPr>
          <w:rFonts w:ascii="Times New Roman" w:eastAsia="Times New Roman" w:hAnsi="Times New Roman" w:cs="Times New Roman"/>
        </w:rPr>
        <w:t xml:space="preserve">. As predicted by </w:t>
      </w:r>
      <w:r>
        <w:rPr>
          <w:rFonts w:ascii="Times New Roman" w:eastAsia="Times New Roman" w:hAnsi="Times New Roman" w:cs="Times New Roman"/>
          <w:i/>
        </w:rPr>
        <w:t>H6</w:t>
      </w:r>
      <w:r>
        <w:rPr>
          <w:rFonts w:ascii="Times New Roman" w:eastAsia="Times New Roman" w:hAnsi="Times New Roman" w:cs="Times New Roman"/>
        </w:rPr>
        <w:t>, repurchasing firms have more independent boards (</w:t>
      </w:r>
      <w:r>
        <w:rPr>
          <w:rFonts w:ascii="Times New Roman" w:eastAsia="Times New Roman" w:hAnsi="Times New Roman" w:cs="Times New Roman"/>
          <w:i/>
        </w:rPr>
        <w:t>PROPNED</w:t>
      </w:r>
      <w:r>
        <w:rPr>
          <w:rFonts w:ascii="Times New Roman" w:eastAsia="Times New Roman" w:hAnsi="Times New Roman" w:cs="Times New Roman"/>
        </w:rPr>
        <w:t xml:space="preserve">).  However, board ownership is lower for repurchasing firms, which is opposite to our second prediction relating to </w:t>
      </w:r>
      <w:r>
        <w:rPr>
          <w:rFonts w:ascii="Times New Roman" w:eastAsia="Times New Roman" w:hAnsi="Times New Roman" w:cs="Times New Roman"/>
          <w:i/>
        </w:rPr>
        <w:t>H6</w:t>
      </w:r>
      <w:r>
        <w:rPr>
          <w:rFonts w:ascii="Times New Roman" w:eastAsia="Times New Roman" w:hAnsi="Times New Roman" w:cs="Times New Roman"/>
        </w:rPr>
        <w:t>. Executive stock option schemes are hypothesised to deter managers from paying cash dividends and encourage them to switch to repurchases as a method of distributing surplus cash (</w:t>
      </w:r>
      <w:r>
        <w:rPr>
          <w:rFonts w:ascii="Times New Roman" w:eastAsia="Times New Roman" w:hAnsi="Times New Roman" w:cs="Times New Roman"/>
          <w:i/>
        </w:rPr>
        <w:t>H7</w:t>
      </w:r>
      <w:r>
        <w:rPr>
          <w:rFonts w:ascii="Times New Roman" w:eastAsia="Times New Roman" w:hAnsi="Times New Roman" w:cs="Times New Roman"/>
        </w:rPr>
        <w:t xml:space="preserve">).  However, our comparison shows that non-repurchasing firms tend to have more ESOs than repurchasing firms, which does not support this hypothesis. In summary, the simple univariate results provide some support for our hypotheses related to excess cash and corporate governance but not for our hypotheses related to capital structure, investment opportunities, </w:t>
      </w:r>
      <w:r w:rsidR="00A11F99">
        <w:rPr>
          <w:rFonts w:ascii="Times New Roman" w:eastAsia="Times New Roman" w:hAnsi="Times New Roman" w:cs="Times New Roman"/>
        </w:rPr>
        <w:t xml:space="preserve">undervaluation, </w:t>
      </w:r>
      <w:r>
        <w:rPr>
          <w:rFonts w:ascii="Times New Roman" w:eastAsia="Times New Roman" w:hAnsi="Times New Roman" w:cs="Times New Roman"/>
        </w:rPr>
        <w:t>dividend substitution or executive stock options.  Before any conclusions can be drawn, however, more sophisticated, multivariate tests are necessary.</w:t>
      </w:r>
    </w:p>
    <w:p w14:paraId="57A673B5"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[TABLE 4 HERE]</w:t>
      </w:r>
    </w:p>
    <w:p w14:paraId="27B1B97A" w14:textId="37109825"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  </w:t>
      </w:r>
      <w:r w:rsidR="00C463F8">
        <w:rPr>
          <w:rFonts w:ascii="Times New Roman" w:eastAsia="Times New Roman" w:hAnsi="Times New Roman" w:cs="Times New Roman"/>
        </w:rPr>
        <w:t>Prior to</w:t>
      </w:r>
      <w:r>
        <w:rPr>
          <w:rFonts w:ascii="Times New Roman" w:eastAsia="Times New Roman" w:hAnsi="Times New Roman" w:cs="Times New Roman"/>
        </w:rPr>
        <w:t xml:space="preserve"> this, we report the correlations between our variables in Table 5, which shows that the current share repurchase dummy (</w:t>
      </w:r>
      <w:proofErr w:type="spellStart"/>
      <w:r>
        <w:rPr>
          <w:rFonts w:ascii="Times New Roman" w:eastAsia="Times New Roman" w:hAnsi="Times New Roman" w:cs="Times New Roman"/>
          <w:i/>
        </w:rPr>
        <w:t>SPDUM</w:t>
      </w:r>
      <w:r>
        <w:rPr>
          <w:rFonts w:ascii="Times New Roman" w:eastAsia="Times New Roman" w:hAnsi="Times New Roman" w:cs="Times New Roman"/>
          <w:i/>
          <w:vertAlign w:val="subscript"/>
        </w:rPr>
        <w:t>t</w:t>
      </w:r>
      <w:proofErr w:type="spellEnd"/>
      <w:r>
        <w:rPr>
          <w:rFonts w:ascii="Times New Roman" w:eastAsia="Times New Roman" w:hAnsi="Times New Roman" w:cs="Times New Roman"/>
        </w:rPr>
        <w:t xml:space="preserve">) is significantly </w:t>
      </w:r>
      <w:r w:rsidRPr="00EC6537">
        <w:rPr>
          <w:rFonts w:ascii="Times New Roman" w:eastAsia="Times New Roman" w:hAnsi="Times New Roman" w:cs="Times New Roman"/>
          <w:i/>
          <w:iCs/>
        </w:rPr>
        <w:t>positively</w:t>
      </w:r>
      <w:r>
        <w:rPr>
          <w:rFonts w:ascii="Times New Roman" w:eastAsia="Times New Roman" w:hAnsi="Times New Roman" w:cs="Times New Roman"/>
        </w:rPr>
        <w:t xml:space="preserve"> correlated with </w:t>
      </w:r>
      <w:r w:rsidR="00EC6537">
        <w:rPr>
          <w:rFonts w:ascii="Times New Roman" w:eastAsia="Times New Roman" w:hAnsi="Times New Roman" w:cs="Times New Roman"/>
        </w:rPr>
        <w:t>current year equity issuances</w:t>
      </w:r>
      <w:r w:rsidR="00DF104E">
        <w:rPr>
          <w:rFonts w:ascii="Times New Roman" w:eastAsia="Times New Roman" w:hAnsi="Times New Roman" w:cs="Times New Roman"/>
        </w:rPr>
        <w:t xml:space="preserve"> (</w:t>
      </w:r>
      <w:proofErr w:type="spellStart"/>
      <w:r w:rsidR="00DF104E" w:rsidRPr="00DF104E">
        <w:rPr>
          <w:rFonts w:ascii="Times New Roman" w:eastAsia="Times New Roman" w:hAnsi="Times New Roman" w:cs="Times New Roman"/>
          <w:i/>
          <w:iCs/>
        </w:rPr>
        <w:t>CCDUM</w:t>
      </w:r>
      <w:r w:rsidR="00DF104E" w:rsidRPr="00DF104E">
        <w:rPr>
          <w:rFonts w:ascii="Times New Roman" w:eastAsia="Times New Roman" w:hAnsi="Times New Roman" w:cs="Times New Roman"/>
          <w:i/>
          <w:iCs/>
          <w:vertAlign w:val="subscript"/>
        </w:rPr>
        <w:t>t</w:t>
      </w:r>
      <w:proofErr w:type="spellEnd"/>
      <w:r w:rsidR="00DF104E">
        <w:rPr>
          <w:rFonts w:ascii="Times New Roman" w:eastAsia="Times New Roman" w:hAnsi="Times New Roman" w:cs="Times New Roman"/>
        </w:rPr>
        <w:t>)</w:t>
      </w:r>
      <w:r w:rsidR="00EC6537">
        <w:rPr>
          <w:rFonts w:ascii="Times New Roman" w:eastAsia="Times New Roman" w:hAnsi="Times New Roman" w:cs="Times New Roman"/>
        </w:rPr>
        <w:t xml:space="preserve">, as well as </w:t>
      </w:r>
      <w:r>
        <w:rPr>
          <w:rFonts w:ascii="Times New Roman" w:eastAsia="Times New Roman" w:hAnsi="Times New Roman" w:cs="Times New Roman"/>
        </w:rPr>
        <w:t>one-year lags of the following: cash flow (</w:t>
      </w:r>
      <w:r>
        <w:rPr>
          <w:rFonts w:ascii="Times New Roman" w:eastAsia="Times New Roman" w:hAnsi="Times New Roman" w:cs="Times New Roman"/>
          <w:i/>
        </w:rPr>
        <w:t>CFO/TA</w:t>
      </w:r>
      <w:r>
        <w:rPr>
          <w:rFonts w:ascii="Times New Roman" w:eastAsia="Times New Roman" w:hAnsi="Times New Roman" w:cs="Times New Roman"/>
        </w:rPr>
        <w:t>); market to book (</w:t>
      </w:r>
      <w:r>
        <w:rPr>
          <w:rFonts w:ascii="Times New Roman" w:eastAsia="Times New Roman" w:hAnsi="Times New Roman" w:cs="Times New Roman"/>
          <w:i/>
        </w:rPr>
        <w:t>MTBIND</w:t>
      </w:r>
      <w:r>
        <w:rPr>
          <w:rFonts w:ascii="Times New Roman" w:eastAsia="Times New Roman" w:hAnsi="Times New Roman" w:cs="Times New Roman"/>
        </w:rPr>
        <w:t>); profitability (</w:t>
      </w:r>
      <w:r>
        <w:rPr>
          <w:rFonts w:ascii="Times New Roman" w:eastAsia="Times New Roman" w:hAnsi="Times New Roman" w:cs="Times New Roman"/>
          <w:i/>
        </w:rPr>
        <w:t>ROA</w:t>
      </w:r>
      <w:r>
        <w:rPr>
          <w:rFonts w:ascii="Times New Roman" w:eastAsia="Times New Roman" w:hAnsi="Times New Roman" w:cs="Times New Roman"/>
        </w:rPr>
        <w:t>); share repurchases (</w:t>
      </w:r>
      <w:r>
        <w:rPr>
          <w:rFonts w:ascii="Times New Roman" w:eastAsia="Times New Roman" w:hAnsi="Times New Roman" w:cs="Times New Roman"/>
          <w:i/>
        </w:rPr>
        <w:t>SPDUM</w:t>
      </w:r>
      <w:r>
        <w:rPr>
          <w:rFonts w:ascii="Times New Roman" w:eastAsia="Times New Roman" w:hAnsi="Times New Roman" w:cs="Times New Roman"/>
        </w:rPr>
        <w:t xml:space="preserve"> and </w:t>
      </w:r>
      <w:r>
        <w:rPr>
          <w:rFonts w:ascii="Times New Roman" w:eastAsia="Times New Roman" w:hAnsi="Times New Roman" w:cs="Times New Roman"/>
          <w:i/>
        </w:rPr>
        <w:t>SP/NI</w:t>
      </w:r>
      <w:r>
        <w:rPr>
          <w:rFonts w:ascii="Times New Roman" w:eastAsia="Times New Roman" w:hAnsi="Times New Roman" w:cs="Times New Roman"/>
        </w:rPr>
        <w:t>); institutional ownership (</w:t>
      </w:r>
      <w:r>
        <w:rPr>
          <w:rFonts w:ascii="Times New Roman" w:eastAsia="Times New Roman" w:hAnsi="Times New Roman" w:cs="Times New Roman"/>
          <w:i/>
        </w:rPr>
        <w:t>INSTOWN</w:t>
      </w:r>
      <w:r>
        <w:rPr>
          <w:rFonts w:ascii="Times New Roman" w:eastAsia="Times New Roman" w:hAnsi="Times New Roman" w:cs="Times New Roman"/>
        </w:rPr>
        <w:t>); board independence (</w:t>
      </w:r>
      <w:r>
        <w:rPr>
          <w:rFonts w:ascii="Times New Roman" w:eastAsia="Times New Roman" w:hAnsi="Times New Roman" w:cs="Times New Roman"/>
          <w:i/>
        </w:rPr>
        <w:t>PROPNED</w:t>
      </w:r>
      <w:r>
        <w:rPr>
          <w:rFonts w:ascii="Times New Roman" w:eastAsia="Times New Roman" w:hAnsi="Times New Roman" w:cs="Times New Roman"/>
        </w:rPr>
        <w:t>); firm size (</w:t>
      </w:r>
      <w:r>
        <w:rPr>
          <w:rFonts w:ascii="Times New Roman" w:eastAsia="Times New Roman" w:hAnsi="Times New Roman" w:cs="Times New Roman"/>
          <w:i/>
        </w:rPr>
        <w:t>MCAP</w:t>
      </w:r>
      <w:r>
        <w:rPr>
          <w:rFonts w:ascii="Times New Roman" w:eastAsia="Times New Roman" w:hAnsi="Times New Roman" w:cs="Times New Roman"/>
        </w:rPr>
        <w:t>); firm age (</w:t>
      </w:r>
      <w:r>
        <w:rPr>
          <w:rFonts w:ascii="Times New Roman" w:eastAsia="Times New Roman" w:hAnsi="Times New Roman" w:cs="Times New Roman"/>
          <w:i/>
        </w:rPr>
        <w:t>AGE</w:t>
      </w:r>
      <w:r>
        <w:rPr>
          <w:rFonts w:ascii="Times New Roman" w:eastAsia="Times New Roman" w:hAnsi="Times New Roman" w:cs="Times New Roman"/>
        </w:rPr>
        <w:t>); retained earnings (</w:t>
      </w:r>
      <w:r>
        <w:rPr>
          <w:rFonts w:ascii="Times New Roman" w:eastAsia="Times New Roman" w:hAnsi="Times New Roman" w:cs="Times New Roman"/>
          <w:i/>
        </w:rPr>
        <w:t>RE/TA</w:t>
      </w:r>
      <w:r>
        <w:rPr>
          <w:rFonts w:ascii="Times New Roman" w:eastAsia="Times New Roman" w:hAnsi="Times New Roman" w:cs="Times New Roman"/>
        </w:rPr>
        <w:t>); and the dividend dummy (</w:t>
      </w:r>
      <w:r>
        <w:rPr>
          <w:rFonts w:ascii="Times New Roman" w:eastAsia="Times New Roman" w:hAnsi="Times New Roman" w:cs="Times New Roman"/>
          <w:i/>
        </w:rPr>
        <w:t>DIVDUM</w:t>
      </w:r>
      <w:r>
        <w:rPr>
          <w:rFonts w:ascii="Times New Roman" w:eastAsia="Times New Roman" w:hAnsi="Times New Roman" w:cs="Times New Roman"/>
        </w:rPr>
        <w:t xml:space="preserve">). The likelihood a firm makes a repurchase in a given year is significantly </w:t>
      </w:r>
      <w:r w:rsidRPr="00EC6537">
        <w:rPr>
          <w:rFonts w:ascii="Times New Roman" w:eastAsia="Times New Roman" w:hAnsi="Times New Roman" w:cs="Times New Roman"/>
          <w:i/>
          <w:iCs/>
        </w:rPr>
        <w:t>negatively</w:t>
      </w:r>
      <w:r>
        <w:rPr>
          <w:rFonts w:ascii="Times New Roman" w:eastAsia="Times New Roman" w:hAnsi="Times New Roman" w:cs="Times New Roman"/>
        </w:rPr>
        <w:t xml:space="preserve"> correlated with lagged board ownership (</w:t>
      </w:r>
      <w:r>
        <w:rPr>
          <w:rFonts w:ascii="Times New Roman" w:eastAsia="Times New Roman" w:hAnsi="Times New Roman" w:cs="Times New Roman"/>
          <w:i/>
        </w:rPr>
        <w:t>BOARDOWN</w:t>
      </w:r>
      <w:r>
        <w:rPr>
          <w:rFonts w:ascii="Times New Roman" w:eastAsia="Times New Roman" w:hAnsi="Times New Roman" w:cs="Times New Roman"/>
        </w:rPr>
        <w:t>). Repurchases as a proportion of net income (</w:t>
      </w:r>
      <w:r>
        <w:rPr>
          <w:rFonts w:ascii="Times New Roman" w:eastAsia="Times New Roman" w:hAnsi="Times New Roman" w:cs="Times New Roman"/>
          <w:i/>
        </w:rPr>
        <w:t>SP/NI</w:t>
      </w:r>
      <w:r>
        <w:rPr>
          <w:rFonts w:ascii="Times New Roman" w:eastAsia="Times New Roman" w:hAnsi="Times New Roman" w:cs="Times New Roman"/>
        </w:rPr>
        <w:t xml:space="preserve">) are significantly positively correlated with lags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excess cash (</w:t>
      </w:r>
      <w:r>
        <w:rPr>
          <w:rFonts w:ascii="Times New Roman" w:eastAsia="Times New Roman" w:hAnsi="Times New Roman" w:cs="Times New Roman"/>
          <w:i/>
        </w:rPr>
        <w:t>XSCASH</w:t>
      </w:r>
      <w:r>
        <w:rPr>
          <w:rFonts w:ascii="Times New Roman" w:eastAsia="Times New Roman" w:hAnsi="Times New Roman" w:cs="Times New Roman"/>
        </w:rPr>
        <w:t>)</w:t>
      </w:r>
      <w:r w:rsidR="008A0A45">
        <w:rPr>
          <w:rFonts w:ascii="Times New Roman" w:eastAsia="Times New Roman" w:hAnsi="Times New Roman" w:cs="Times New Roman"/>
        </w:rPr>
        <w:t>;</w:t>
      </w:r>
      <w:r>
        <w:rPr>
          <w:rFonts w:ascii="Times New Roman" w:eastAsia="Times New Roman" w:hAnsi="Times New Roman" w:cs="Times New Roman"/>
        </w:rPr>
        <w:t xml:space="preserve"> cash flow (</w:t>
      </w:r>
      <w:r>
        <w:rPr>
          <w:rFonts w:ascii="Times New Roman" w:eastAsia="Times New Roman" w:hAnsi="Times New Roman" w:cs="Times New Roman"/>
          <w:i/>
        </w:rPr>
        <w:t>CFO/TA</w:t>
      </w:r>
      <w:r>
        <w:rPr>
          <w:rFonts w:ascii="Times New Roman" w:eastAsia="Times New Roman" w:hAnsi="Times New Roman" w:cs="Times New Roman"/>
        </w:rPr>
        <w:t>)</w:t>
      </w:r>
      <w:r w:rsidR="008A0A45">
        <w:rPr>
          <w:rFonts w:ascii="Times New Roman" w:eastAsia="Times New Roman" w:hAnsi="Times New Roman" w:cs="Times New Roman"/>
        </w:rPr>
        <w:t>;</w:t>
      </w:r>
      <w:r>
        <w:rPr>
          <w:rFonts w:ascii="Times New Roman" w:eastAsia="Times New Roman" w:hAnsi="Times New Roman" w:cs="Times New Roman"/>
        </w:rPr>
        <w:t xml:space="preserve"> the payment of, and the amount of income paid in dividends (</w:t>
      </w:r>
      <w:r>
        <w:rPr>
          <w:rFonts w:ascii="Times New Roman" w:eastAsia="Times New Roman" w:hAnsi="Times New Roman" w:cs="Times New Roman"/>
          <w:i/>
        </w:rPr>
        <w:t xml:space="preserve">DIVDUM </w:t>
      </w:r>
      <w:r>
        <w:rPr>
          <w:rFonts w:ascii="Times New Roman" w:eastAsia="Times New Roman" w:hAnsi="Times New Roman" w:cs="Times New Roman"/>
        </w:rPr>
        <w:t xml:space="preserve">and </w:t>
      </w:r>
      <w:r>
        <w:rPr>
          <w:rFonts w:ascii="Times New Roman" w:eastAsia="Times New Roman" w:hAnsi="Times New Roman" w:cs="Times New Roman"/>
          <w:i/>
        </w:rPr>
        <w:t>DIV/NI</w:t>
      </w:r>
      <w:r>
        <w:rPr>
          <w:rFonts w:ascii="Times New Roman" w:eastAsia="Times New Roman" w:hAnsi="Times New Roman" w:cs="Times New Roman"/>
        </w:rPr>
        <w:t>)</w:t>
      </w:r>
      <w:r w:rsidR="008A0A45">
        <w:rPr>
          <w:rFonts w:ascii="Times New Roman" w:eastAsia="Times New Roman" w:hAnsi="Times New Roman" w:cs="Times New Roman"/>
        </w:rPr>
        <w:t>;</w:t>
      </w:r>
      <w:r>
        <w:rPr>
          <w:rFonts w:ascii="Times New Roman" w:eastAsia="Times New Roman" w:hAnsi="Times New Roman" w:cs="Times New Roman"/>
        </w:rPr>
        <w:t xml:space="preserve"> profitability (</w:t>
      </w:r>
      <w:r>
        <w:rPr>
          <w:rFonts w:ascii="Times New Roman" w:eastAsia="Times New Roman" w:hAnsi="Times New Roman" w:cs="Times New Roman"/>
          <w:i/>
        </w:rPr>
        <w:t>ROA</w:t>
      </w:r>
      <w:r>
        <w:rPr>
          <w:rFonts w:ascii="Times New Roman" w:eastAsia="Times New Roman" w:hAnsi="Times New Roman" w:cs="Times New Roman"/>
        </w:rPr>
        <w:t>)</w:t>
      </w:r>
      <w:r w:rsidR="008A0A45">
        <w:rPr>
          <w:rFonts w:ascii="Times New Roman" w:eastAsia="Times New Roman" w:hAnsi="Times New Roman" w:cs="Times New Roman"/>
        </w:rPr>
        <w:t>;</w:t>
      </w:r>
      <w:r>
        <w:rPr>
          <w:rFonts w:ascii="Times New Roman" w:eastAsia="Times New Roman" w:hAnsi="Times New Roman" w:cs="Times New Roman"/>
        </w:rPr>
        <w:t xml:space="preserve"> retained earnings (</w:t>
      </w:r>
      <w:r>
        <w:rPr>
          <w:rFonts w:ascii="Times New Roman" w:eastAsia="Times New Roman" w:hAnsi="Times New Roman" w:cs="Times New Roman"/>
          <w:i/>
        </w:rPr>
        <w:t>RE/TA</w:t>
      </w:r>
      <w:r>
        <w:rPr>
          <w:rFonts w:ascii="Times New Roman" w:eastAsia="Times New Roman" w:hAnsi="Times New Roman" w:cs="Times New Roman"/>
        </w:rPr>
        <w:t>)</w:t>
      </w:r>
      <w:r w:rsidR="008A0A45">
        <w:rPr>
          <w:rFonts w:ascii="Times New Roman" w:eastAsia="Times New Roman" w:hAnsi="Times New Roman" w:cs="Times New Roman"/>
        </w:rPr>
        <w:t>;</w:t>
      </w:r>
      <w:r>
        <w:rPr>
          <w:rFonts w:ascii="Times New Roman" w:eastAsia="Times New Roman" w:hAnsi="Times New Roman" w:cs="Times New Roman"/>
        </w:rPr>
        <w:t xml:space="preserve"> and both the payment of (</w:t>
      </w:r>
      <w:r>
        <w:rPr>
          <w:rFonts w:ascii="Times New Roman" w:eastAsia="Times New Roman" w:hAnsi="Times New Roman" w:cs="Times New Roman"/>
          <w:i/>
        </w:rPr>
        <w:t>SPDUM</w:t>
      </w:r>
      <w:r>
        <w:rPr>
          <w:rFonts w:ascii="Times New Roman" w:eastAsia="Times New Roman" w:hAnsi="Times New Roman" w:cs="Times New Roman"/>
        </w:rPr>
        <w:t>), and the amount of profit paid out in, share repurchases (</w:t>
      </w:r>
      <w:r>
        <w:rPr>
          <w:rFonts w:ascii="Times New Roman" w:eastAsia="Times New Roman" w:hAnsi="Times New Roman" w:cs="Times New Roman"/>
          <w:i/>
        </w:rPr>
        <w:t>SP/NI</w:t>
      </w:r>
      <w:r>
        <w:rPr>
          <w:rFonts w:ascii="Times New Roman" w:eastAsia="Times New Roman" w:hAnsi="Times New Roman" w:cs="Times New Roman"/>
        </w:rPr>
        <w:t>).</w:t>
      </w:r>
    </w:p>
    <w:p w14:paraId="6825452D" w14:textId="72A645A1"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The Pearson correlation coefficients between independent variables are small in magnitude so we proceed to our multivariate regression analyses</w:t>
      </w:r>
      <w:r w:rsidR="0024656A">
        <w:rPr>
          <w:rFonts w:ascii="Times New Roman" w:eastAsia="Times New Roman" w:hAnsi="Times New Roman" w:cs="Times New Roman"/>
        </w:rPr>
        <w:t>,</w:t>
      </w:r>
      <w:r w:rsidR="0024656A" w:rsidRPr="0024656A">
        <w:rPr>
          <w:rFonts w:ascii="Times New Roman" w:eastAsia="Times New Roman" w:hAnsi="Times New Roman" w:cs="Times New Roman"/>
        </w:rPr>
        <w:t xml:space="preserve"> </w:t>
      </w:r>
      <w:r w:rsidR="0024656A">
        <w:rPr>
          <w:rFonts w:ascii="Times New Roman" w:eastAsia="Times New Roman" w:hAnsi="Times New Roman" w:cs="Times New Roman"/>
        </w:rPr>
        <w:t>where we test Models (5) and (6)</w:t>
      </w:r>
      <w:r>
        <w:rPr>
          <w:rFonts w:ascii="Times New Roman" w:eastAsia="Times New Roman" w:hAnsi="Times New Roman" w:cs="Times New Roman"/>
        </w:rPr>
        <w:t>.</w:t>
      </w:r>
    </w:p>
    <w:p w14:paraId="78DBB09A"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[TABLE 5 HERE]</w:t>
      </w:r>
    </w:p>
    <w:p w14:paraId="1F12FB4F" w14:textId="6FCA34AF"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Table 6 reports the results of these regressions using all sample years from 2000-2016. Our first hypothesis (</w:t>
      </w:r>
      <w:r>
        <w:rPr>
          <w:rFonts w:ascii="Times New Roman" w:eastAsia="Times New Roman" w:hAnsi="Times New Roman" w:cs="Times New Roman"/>
          <w:i/>
        </w:rPr>
        <w:t>H1</w:t>
      </w:r>
      <w:r>
        <w:rPr>
          <w:rFonts w:ascii="Times New Roman" w:eastAsia="Times New Roman" w:hAnsi="Times New Roman" w:cs="Times New Roman"/>
        </w:rPr>
        <w:t>) tests whether desired changes to leverage/capital structure act as a motivation for repurchases in the UK.  If firms use share repurchases to alter their capital structure towards the average in their industry in that year, then we would expect to observe a negative and significant relationship between industry-adjusted leverage (</w:t>
      </w:r>
      <w:r>
        <w:rPr>
          <w:rFonts w:ascii="Times New Roman" w:eastAsia="Times New Roman" w:hAnsi="Times New Roman" w:cs="Times New Roman"/>
          <w:i/>
        </w:rPr>
        <w:t>LEVIND</w:t>
      </w:r>
      <w:r>
        <w:rPr>
          <w:rFonts w:ascii="Times New Roman" w:eastAsia="Times New Roman" w:hAnsi="Times New Roman" w:cs="Times New Roman"/>
        </w:rPr>
        <w:t xml:space="preserve">) and the incidence of share repurchase, as well as its magnitude.  However, the coefficient on </w:t>
      </w:r>
      <w:r>
        <w:rPr>
          <w:rFonts w:ascii="Times New Roman" w:eastAsia="Times New Roman" w:hAnsi="Times New Roman" w:cs="Times New Roman"/>
          <w:i/>
        </w:rPr>
        <w:t>LEVIND</w:t>
      </w:r>
      <w:r>
        <w:rPr>
          <w:rFonts w:ascii="Times New Roman" w:eastAsia="Times New Roman" w:hAnsi="Times New Roman" w:cs="Times New Roman"/>
        </w:rPr>
        <w:t xml:space="preserve"> is not significantly different from zero in either model so we find no support for </w:t>
      </w:r>
      <w:r>
        <w:rPr>
          <w:rFonts w:ascii="Times New Roman" w:eastAsia="Times New Roman" w:hAnsi="Times New Roman" w:cs="Times New Roman"/>
          <w:i/>
        </w:rPr>
        <w:t>H1</w:t>
      </w:r>
      <w:r>
        <w:rPr>
          <w:rFonts w:ascii="Times New Roman" w:eastAsia="Times New Roman" w:hAnsi="Times New Roman" w:cs="Times New Roman"/>
        </w:rPr>
        <w:t xml:space="preserve"> in the pooled sample tests.</w:t>
      </w:r>
    </w:p>
    <w:p w14:paraId="363FC6D0"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In support of </w:t>
      </w:r>
      <w:r>
        <w:rPr>
          <w:rFonts w:ascii="Times New Roman" w:eastAsia="Times New Roman" w:hAnsi="Times New Roman" w:cs="Times New Roman"/>
          <w:i/>
        </w:rPr>
        <w:t>H2</w:t>
      </w:r>
      <w:r>
        <w:rPr>
          <w:rFonts w:ascii="Times New Roman" w:eastAsia="Times New Roman" w:hAnsi="Times New Roman" w:cs="Times New Roman"/>
        </w:rPr>
        <w:t>, however, we find significant positive relationships between our excess cash and operating cash flow measures (</w:t>
      </w:r>
      <w:r>
        <w:rPr>
          <w:rFonts w:ascii="Times New Roman" w:eastAsia="Times New Roman" w:hAnsi="Times New Roman" w:cs="Times New Roman"/>
          <w:i/>
        </w:rPr>
        <w:t>XSCASH, CFO/TA</w:t>
      </w:r>
      <w:r>
        <w:rPr>
          <w:rFonts w:ascii="Times New Roman" w:eastAsia="Times New Roman" w:hAnsi="Times New Roman" w:cs="Times New Roman"/>
        </w:rPr>
        <w:t xml:space="preserve">) and both the likelihood and magnitude of repurchases. This is consistent with firms reducing high levels of cash </w:t>
      </w:r>
      <w:r>
        <w:rPr>
          <w:rFonts w:ascii="Times New Roman" w:eastAsia="Times New Roman" w:hAnsi="Times New Roman" w:cs="Times New Roman"/>
          <w:i/>
        </w:rPr>
        <w:t xml:space="preserve">via </w:t>
      </w:r>
      <w:r>
        <w:rPr>
          <w:rFonts w:ascii="Times New Roman" w:eastAsia="Times New Roman" w:hAnsi="Times New Roman" w:cs="Times New Roman"/>
        </w:rPr>
        <w:t xml:space="preserve">repurchases. </w:t>
      </w:r>
    </w:p>
    <w:p w14:paraId="47BAED7B" w14:textId="0AB3062D"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In these multivariate tests, we also find support for the investment opportunities hypothesis, (</w:t>
      </w:r>
      <w:r>
        <w:rPr>
          <w:rFonts w:ascii="Times New Roman" w:eastAsia="Times New Roman" w:hAnsi="Times New Roman" w:cs="Times New Roman"/>
          <w:i/>
        </w:rPr>
        <w:t>H3</w:t>
      </w:r>
      <w:r>
        <w:rPr>
          <w:rFonts w:ascii="Times New Roman" w:eastAsia="Times New Roman" w:hAnsi="Times New Roman" w:cs="Times New Roman"/>
        </w:rPr>
        <w:t xml:space="preserve">), in that </w:t>
      </w:r>
      <w:r>
        <w:rPr>
          <w:rFonts w:ascii="Times New Roman" w:eastAsia="Times New Roman" w:hAnsi="Times New Roman" w:cs="Times New Roman"/>
          <w:i/>
        </w:rPr>
        <w:t>MTBIND</w:t>
      </w:r>
      <w:r>
        <w:rPr>
          <w:rFonts w:ascii="Times New Roman" w:eastAsia="Times New Roman" w:hAnsi="Times New Roman" w:cs="Times New Roman"/>
        </w:rPr>
        <w:t xml:space="preserve"> is negatively and significantly related to both the likelihood of repurchases and their magnitude</w:t>
      </w:r>
      <w:r w:rsidR="00B56719">
        <w:rPr>
          <w:rFonts w:ascii="Times New Roman" w:eastAsia="Times New Roman" w:hAnsi="Times New Roman" w:cs="Times New Roman"/>
        </w:rPr>
        <w:t xml:space="preserve">, as </w:t>
      </w:r>
      <w:r w:rsidR="00B56719">
        <w:rPr>
          <w:rFonts w:ascii="Times New Roman" w:eastAsia="Times New Roman" w:hAnsi="Times New Roman" w:cs="Times New Roman"/>
        </w:rPr>
        <w:lastRenderedPageBreak/>
        <w:t xml:space="preserve">predicted by theory (Bolton </w:t>
      </w:r>
      <w:r w:rsidR="00B56719" w:rsidRPr="00B56719">
        <w:rPr>
          <w:rFonts w:ascii="Times New Roman" w:eastAsia="Times New Roman" w:hAnsi="Times New Roman" w:cs="Times New Roman"/>
          <w:i/>
          <w:iCs/>
        </w:rPr>
        <w:t>et al</w:t>
      </w:r>
      <w:r w:rsidR="00B56719">
        <w:rPr>
          <w:rFonts w:ascii="Times New Roman" w:eastAsia="Times New Roman" w:hAnsi="Times New Roman" w:cs="Times New Roman"/>
        </w:rPr>
        <w:t>., 2011; Oded, 2020)</w:t>
      </w:r>
      <w:r>
        <w:rPr>
          <w:rFonts w:ascii="Times New Roman" w:eastAsia="Times New Roman" w:hAnsi="Times New Roman" w:cs="Times New Roman"/>
        </w:rPr>
        <w:t xml:space="preserve">.  This is supportive of earlier UK work which finds firms use share repurchases to distribute surplus cash when they have limited alternative uses for it (Dixon </w:t>
      </w:r>
      <w:r>
        <w:rPr>
          <w:rFonts w:ascii="Times New Roman" w:eastAsia="Times New Roman" w:hAnsi="Times New Roman" w:cs="Times New Roman"/>
          <w:i/>
        </w:rPr>
        <w:t>et al</w:t>
      </w:r>
      <w:r>
        <w:rPr>
          <w:rFonts w:ascii="Times New Roman" w:eastAsia="Times New Roman" w:hAnsi="Times New Roman" w:cs="Times New Roman"/>
        </w:rPr>
        <w:t xml:space="preserve">., 2008; Oswald and Young, 2008).  </w:t>
      </w:r>
    </w:p>
    <w:p w14:paraId="6935724E" w14:textId="042BD28A"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undervaluation hypothesis, </w:t>
      </w:r>
      <w:r>
        <w:rPr>
          <w:rFonts w:ascii="Times New Roman" w:eastAsia="Times New Roman" w:hAnsi="Times New Roman" w:cs="Times New Roman"/>
          <w:i/>
        </w:rPr>
        <w:t>H4</w:t>
      </w:r>
      <w:r>
        <w:rPr>
          <w:rFonts w:ascii="Times New Roman" w:eastAsia="Times New Roman" w:hAnsi="Times New Roman" w:cs="Times New Roman"/>
        </w:rPr>
        <w:t>, predicts that firms will purchase their own shares when they are cheap</w:t>
      </w:r>
      <w:r w:rsidR="00B56719">
        <w:rPr>
          <w:rFonts w:ascii="Times New Roman" w:eastAsia="Times New Roman" w:hAnsi="Times New Roman" w:cs="Times New Roman"/>
        </w:rPr>
        <w:t>, either as a signal to the market, or to take advantage of a low price in executing a planned repurchase programme</w:t>
      </w:r>
      <w:r>
        <w:rPr>
          <w:rFonts w:ascii="Times New Roman" w:eastAsia="Times New Roman" w:hAnsi="Times New Roman" w:cs="Times New Roman"/>
        </w:rPr>
        <w:t xml:space="preserve">.  We test this hypothesis using the </w:t>
      </w:r>
      <w:r>
        <w:rPr>
          <w:rFonts w:ascii="Times New Roman" w:eastAsia="Times New Roman" w:hAnsi="Times New Roman" w:cs="Times New Roman"/>
          <w:i/>
        </w:rPr>
        <w:t>ABRET</w:t>
      </w:r>
      <w:r>
        <w:rPr>
          <w:rFonts w:ascii="Times New Roman" w:eastAsia="Times New Roman" w:hAnsi="Times New Roman" w:cs="Times New Roman"/>
        </w:rPr>
        <w:t xml:space="preserve"> variable, predicting a negative sign on this coefficient.  </w:t>
      </w:r>
      <w:r w:rsidR="002652E0">
        <w:rPr>
          <w:rFonts w:ascii="Times New Roman" w:eastAsia="Times New Roman" w:hAnsi="Times New Roman" w:cs="Times New Roman"/>
        </w:rPr>
        <w:t>T</w:t>
      </w:r>
      <w:r>
        <w:rPr>
          <w:rFonts w:ascii="Times New Roman" w:eastAsia="Times New Roman" w:hAnsi="Times New Roman" w:cs="Times New Roman"/>
        </w:rPr>
        <w:t xml:space="preserve">he coefficient is of the predicted sign in both </w:t>
      </w:r>
      <w:r w:rsidR="009D5BDF">
        <w:rPr>
          <w:rFonts w:ascii="Times New Roman" w:eastAsia="Times New Roman" w:hAnsi="Times New Roman" w:cs="Times New Roman"/>
        </w:rPr>
        <w:t>models but</w:t>
      </w:r>
      <w:r w:rsidR="002652E0">
        <w:rPr>
          <w:rFonts w:ascii="Times New Roman" w:eastAsia="Times New Roman" w:hAnsi="Times New Roman" w:cs="Times New Roman"/>
        </w:rPr>
        <w:t xml:space="preserve"> is only</w:t>
      </w:r>
      <w:r>
        <w:rPr>
          <w:rFonts w:ascii="Times New Roman" w:eastAsia="Times New Roman" w:hAnsi="Times New Roman" w:cs="Times New Roman"/>
        </w:rPr>
        <w:t xml:space="preserve"> significant</w:t>
      </w:r>
      <w:r w:rsidR="002652E0">
        <w:rPr>
          <w:rFonts w:ascii="Times New Roman" w:eastAsia="Times New Roman" w:hAnsi="Times New Roman" w:cs="Times New Roman"/>
        </w:rPr>
        <w:t xml:space="preserve"> in the </w:t>
      </w:r>
      <w:proofErr w:type="spellStart"/>
      <w:r w:rsidR="002652E0">
        <w:rPr>
          <w:rFonts w:ascii="Times New Roman" w:eastAsia="Times New Roman" w:hAnsi="Times New Roman" w:cs="Times New Roman"/>
        </w:rPr>
        <w:t>tobit</w:t>
      </w:r>
      <w:proofErr w:type="spellEnd"/>
      <w:r w:rsidR="002652E0">
        <w:rPr>
          <w:rFonts w:ascii="Times New Roman" w:eastAsia="Times New Roman" w:hAnsi="Times New Roman" w:cs="Times New Roman"/>
        </w:rPr>
        <w:t xml:space="preserve"> test; firms spend relatively  more on share repurchases when the stock has underperformed the market</w:t>
      </w:r>
      <w:r>
        <w:rPr>
          <w:rFonts w:ascii="Times New Roman" w:eastAsia="Times New Roman" w:hAnsi="Times New Roman" w:cs="Times New Roman"/>
        </w:rPr>
        <w:t xml:space="preserve">. </w:t>
      </w:r>
    </w:p>
    <w:p w14:paraId="426F0662"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If the dividend substitution hypothesis (</w:t>
      </w:r>
      <w:r>
        <w:rPr>
          <w:rFonts w:ascii="Times New Roman" w:eastAsia="Times New Roman" w:hAnsi="Times New Roman" w:cs="Times New Roman"/>
          <w:i/>
        </w:rPr>
        <w:t>H5</w:t>
      </w:r>
      <w:r>
        <w:rPr>
          <w:rFonts w:ascii="Times New Roman" w:eastAsia="Times New Roman" w:hAnsi="Times New Roman" w:cs="Times New Roman"/>
        </w:rPr>
        <w:t xml:space="preserve">) is to be supported in the UK environment, then we would expect to observe a negative association between dividends paid and share repurchases (Dittmar, 2000). In the logit model the coefficient on </w:t>
      </w:r>
      <w:r>
        <w:rPr>
          <w:rFonts w:ascii="Times New Roman" w:eastAsia="Times New Roman" w:hAnsi="Times New Roman" w:cs="Times New Roman"/>
          <w:i/>
        </w:rPr>
        <w:t>DIV/NI</w:t>
      </w:r>
      <w:r>
        <w:rPr>
          <w:rFonts w:ascii="Times New Roman" w:eastAsia="Times New Roman" w:hAnsi="Times New Roman" w:cs="Times New Roman"/>
        </w:rPr>
        <w:t xml:space="preserve"> is not significantly different from zero. Moreover, it is </w:t>
      </w:r>
      <w:r>
        <w:rPr>
          <w:rFonts w:ascii="Times New Roman" w:eastAsia="Times New Roman" w:hAnsi="Times New Roman" w:cs="Times New Roman"/>
          <w:i/>
        </w:rPr>
        <w:t>positive</w:t>
      </w:r>
      <w:r>
        <w:rPr>
          <w:rFonts w:ascii="Times New Roman" w:eastAsia="Times New Roman" w:hAnsi="Times New Roman" w:cs="Times New Roman"/>
        </w:rPr>
        <w:t xml:space="preserve"> and highly significant in the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model, implying a higher dividend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drives a higher repurchase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This is consistent with the observation made by Lee and Suh (2011) in examining an earlier UK sample, who report that dividends and repurchases appear to be complementary, not substitutive, in this environment. </w:t>
      </w:r>
    </w:p>
    <w:p w14:paraId="3854B498"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In line with Skinner (2008) in the US, and Lee and Suh (2011) for the UK, we find there is a statistically strong positive relationship between profitability (</w:t>
      </w:r>
      <w:r>
        <w:rPr>
          <w:rFonts w:ascii="Times New Roman" w:eastAsia="Times New Roman" w:hAnsi="Times New Roman" w:cs="Times New Roman"/>
          <w:i/>
        </w:rPr>
        <w:t>ROA</w:t>
      </w:r>
      <w:r>
        <w:rPr>
          <w:rFonts w:ascii="Times New Roman" w:eastAsia="Times New Roman" w:hAnsi="Times New Roman" w:cs="Times New Roman"/>
        </w:rPr>
        <w:t xml:space="preserve">) and share repurchases, indicating repurchases are more likely, and are greater in magnitude, when profitability is higher.  </w:t>
      </w:r>
    </w:p>
    <w:p w14:paraId="24A100A4"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Our models control for lagged repurchases (</w:t>
      </w:r>
      <w:r>
        <w:rPr>
          <w:rFonts w:ascii="Times New Roman" w:eastAsia="Times New Roman" w:hAnsi="Times New Roman" w:cs="Times New Roman"/>
          <w:i/>
        </w:rPr>
        <w:t>SPDUM</w:t>
      </w:r>
      <w:r>
        <w:rPr>
          <w:rFonts w:ascii="Times New Roman" w:eastAsia="Times New Roman" w:hAnsi="Times New Roman" w:cs="Times New Roman"/>
          <w:i/>
          <w:vertAlign w:val="subscript"/>
        </w:rPr>
        <w:t xml:space="preserve">t-1 </w:t>
      </w:r>
      <w:r>
        <w:rPr>
          <w:rFonts w:ascii="Times New Roman" w:eastAsia="Times New Roman" w:hAnsi="Times New Roman" w:cs="Times New Roman"/>
        </w:rPr>
        <w:t xml:space="preserve">in Model (5) and </w:t>
      </w:r>
      <w:r>
        <w:rPr>
          <w:rFonts w:ascii="Times New Roman" w:eastAsia="Times New Roman" w:hAnsi="Times New Roman" w:cs="Times New Roman"/>
          <w:i/>
        </w:rPr>
        <w:t>SP/NI</w:t>
      </w:r>
      <w:r>
        <w:rPr>
          <w:rFonts w:ascii="Times New Roman" w:eastAsia="Times New Roman" w:hAnsi="Times New Roman" w:cs="Times New Roman"/>
          <w:i/>
          <w:vertAlign w:val="subscript"/>
        </w:rPr>
        <w:t>t-1</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in Model (6)). Finding a positive coefficient for a repurchase event in the prior year is suggests the presence of a commitment effect, whereby repurchasing firms tend to buyback own shares in multiple years (Lee and Suh, 2011). Both lagged </w:t>
      </w:r>
      <w:proofErr w:type="gramStart"/>
      <w:r>
        <w:rPr>
          <w:rFonts w:ascii="Times New Roman" w:eastAsia="Times New Roman" w:hAnsi="Times New Roman" w:cs="Times New Roman"/>
        </w:rPr>
        <w:t>share</w:t>
      </w:r>
      <w:proofErr w:type="gramEnd"/>
      <w:r>
        <w:rPr>
          <w:rFonts w:ascii="Times New Roman" w:eastAsia="Times New Roman" w:hAnsi="Times New Roman" w:cs="Times New Roman"/>
        </w:rPr>
        <w:t xml:space="preserve"> repurchase coefficients are positive and highly significant, consistent with UK firms using share repurchases as a regular means of cash distribution, not simply a way to pay out irregular cash gains.    </w:t>
      </w:r>
    </w:p>
    <w:p w14:paraId="4FA249C0" w14:textId="46165FC2"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In terms of the effect of corporate governance, we find that more independent boards (</w:t>
      </w:r>
      <w:r>
        <w:rPr>
          <w:rFonts w:ascii="Times New Roman" w:eastAsia="Times New Roman" w:hAnsi="Times New Roman" w:cs="Times New Roman"/>
          <w:i/>
        </w:rPr>
        <w:t>PROPNED</w:t>
      </w:r>
      <w:r>
        <w:rPr>
          <w:rFonts w:ascii="Times New Roman" w:eastAsia="Times New Roman" w:hAnsi="Times New Roman" w:cs="Times New Roman"/>
        </w:rPr>
        <w:t>) are positively associated with both the likelihood and magnitude of share repurchases, akin to US results reported by Sharma (2011). However, there is no association between board ownership (</w:t>
      </w:r>
      <w:r>
        <w:rPr>
          <w:rFonts w:ascii="Times New Roman" w:eastAsia="Times New Roman" w:hAnsi="Times New Roman" w:cs="Times New Roman"/>
          <w:i/>
        </w:rPr>
        <w:t>BOARDOWN</w:t>
      </w:r>
      <w:r>
        <w:rPr>
          <w:rFonts w:ascii="Times New Roman" w:eastAsia="Times New Roman" w:hAnsi="Times New Roman" w:cs="Times New Roman"/>
        </w:rPr>
        <w:t>) and share repurchase activity, on average, in the UK</w:t>
      </w:r>
      <w:r w:rsidR="00B56719">
        <w:rPr>
          <w:rFonts w:ascii="Times New Roman" w:eastAsia="Times New Roman" w:hAnsi="Times New Roman" w:cs="Times New Roman"/>
        </w:rPr>
        <w:t xml:space="preserve"> (Oded, 2020)</w:t>
      </w:r>
      <w:r>
        <w:rPr>
          <w:rFonts w:ascii="Times New Roman" w:eastAsia="Times New Roman" w:hAnsi="Times New Roman" w:cs="Times New Roman"/>
        </w:rPr>
        <w:t>.</w:t>
      </w:r>
    </w:p>
    <w:p w14:paraId="1FF4311B"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lastRenderedPageBreak/>
        <w:t xml:space="preserve">Our final hypothesis tests whether executive share option schemes are associated with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policy in the UK. We find no evidence that this is the case, with our variable, </w:t>
      </w:r>
      <w:r>
        <w:rPr>
          <w:rFonts w:ascii="Times New Roman" w:eastAsia="Times New Roman" w:hAnsi="Times New Roman" w:cs="Times New Roman"/>
          <w:i/>
        </w:rPr>
        <w:t>ESO</w:t>
      </w:r>
      <w:r>
        <w:rPr>
          <w:rFonts w:ascii="Times New Roman" w:eastAsia="Times New Roman" w:hAnsi="Times New Roman" w:cs="Times New Roman"/>
        </w:rPr>
        <w:t>, being insignificantly related to the likelihood of share repurchases, or their amounts. We contend that this may be due to the relative unimportance of this type of compensation to UK executives compared to their US counterparts (</w:t>
      </w:r>
      <w:proofErr w:type="spellStart"/>
      <w:r>
        <w:rPr>
          <w:rFonts w:ascii="Times New Roman" w:eastAsia="Times New Roman" w:hAnsi="Times New Roman" w:cs="Times New Roman"/>
        </w:rPr>
        <w:t>Conyon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2011). </w:t>
      </w:r>
    </w:p>
    <w:p w14:paraId="760C90ED" w14:textId="72086E31" w:rsidR="00A707CF" w:rsidRDefault="00B56719" w:rsidP="00E87442">
      <w:pPr>
        <w:spacing w:after="120" w:line="480" w:lineRule="auto"/>
        <w:ind w:firstLine="397"/>
        <w:jc w:val="both"/>
        <w:rPr>
          <w:rFonts w:ascii="Times New Roman" w:eastAsia="Times New Roman" w:hAnsi="Times New Roman" w:cs="Times New Roman"/>
        </w:rPr>
      </w:pPr>
      <w:proofErr w:type="gramStart"/>
      <w:r>
        <w:rPr>
          <w:rFonts w:ascii="Times New Roman" w:eastAsia="Times New Roman" w:hAnsi="Times New Roman" w:cs="Times New Roman"/>
        </w:rPr>
        <w:t>Turning to the control variables, there</w:t>
      </w:r>
      <w:proofErr w:type="gramEnd"/>
      <w:r>
        <w:rPr>
          <w:rFonts w:ascii="Times New Roman" w:eastAsia="Times New Roman" w:hAnsi="Times New Roman" w:cs="Times New Roman"/>
        </w:rPr>
        <w:t xml:space="preserve"> is a significant positive association between the amount raised by equity issuances and the amount paid out </w:t>
      </w:r>
      <w:r w:rsidRPr="00B56719">
        <w:rPr>
          <w:rFonts w:ascii="Times New Roman" w:eastAsia="Times New Roman" w:hAnsi="Times New Roman" w:cs="Times New Roman"/>
          <w:i/>
          <w:iCs/>
        </w:rPr>
        <w:t>via</w:t>
      </w:r>
      <w:r>
        <w:rPr>
          <w:rFonts w:ascii="Times New Roman" w:eastAsia="Times New Roman" w:hAnsi="Times New Roman" w:cs="Times New Roman"/>
        </w:rPr>
        <w:t xml:space="preserve"> share repurchases in the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model.  </w:t>
      </w:r>
      <w:r w:rsidR="0055054A">
        <w:rPr>
          <w:rFonts w:ascii="Times New Roman" w:eastAsia="Times New Roman" w:hAnsi="Times New Roman" w:cs="Times New Roman"/>
        </w:rPr>
        <w:t xml:space="preserve">In spite of their tax-based preference for dividends rather than repurchases, we find no association between institutional ownership and share repurchase activity in the UK. </w:t>
      </w:r>
      <w:r w:rsidR="00213A98">
        <w:rPr>
          <w:rFonts w:ascii="Times New Roman" w:eastAsia="Times New Roman" w:hAnsi="Times New Roman" w:cs="Times New Roman"/>
        </w:rPr>
        <w:t xml:space="preserve">We </w:t>
      </w:r>
      <w:r w:rsidR="0055054A">
        <w:rPr>
          <w:rFonts w:ascii="Times New Roman" w:eastAsia="Times New Roman" w:hAnsi="Times New Roman" w:cs="Times New Roman"/>
        </w:rPr>
        <w:t>find that larger firms (</w:t>
      </w:r>
      <w:r w:rsidR="0055054A">
        <w:rPr>
          <w:rFonts w:ascii="Times New Roman" w:eastAsia="Times New Roman" w:hAnsi="Times New Roman" w:cs="Times New Roman"/>
          <w:i/>
        </w:rPr>
        <w:t>MCAP</w:t>
      </w:r>
      <w:r w:rsidR="0055054A">
        <w:rPr>
          <w:rFonts w:ascii="Times New Roman" w:eastAsia="Times New Roman" w:hAnsi="Times New Roman" w:cs="Times New Roman"/>
        </w:rPr>
        <w:t>) are more likely to repurchase shares, though there is no significant association with firm age (</w:t>
      </w:r>
      <w:r w:rsidR="0055054A">
        <w:rPr>
          <w:rFonts w:ascii="Times New Roman" w:eastAsia="Times New Roman" w:hAnsi="Times New Roman" w:cs="Times New Roman"/>
          <w:i/>
        </w:rPr>
        <w:t>AGE</w:t>
      </w:r>
      <w:r w:rsidR="0055054A">
        <w:rPr>
          <w:rFonts w:ascii="Times New Roman" w:eastAsia="Times New Roman" w:hAnsi="Times New Roman" w:cs="Times New Roman"/>
        </w:rPr>
        <w:t>)</w:t>
      </w:r>
      <w:r w:rsidR="00213A98">
        <w:rPr>
          <w:rFonts w:ascii="Times New Roman" w:eastAsia="Times New Roman" w:hAnsi="Times New Roman" w:cs="Times New Roman"/>
        </w:rPr>
        <w:t xml:space="preserve"> and own share buy backs</w:t>
      </w:r>
      <w:r w:rsidR="0055054A">
        <w:rPr>
          <w:rFonts w:ascii="Times New Roman" w:eastAsia="Times New Roman" w:hAnsi="Times New Roman" w:cs="Times New Roman"/>
        </w:rPr>
        <w:t>. This finding differs from US findings, where more mature firms are more likely to make any type of distribution (Skinner, 2008). F</w:t>
      </w:r>
      <w:r w:rsidR="00213A98">
        <w:rPr>
          <w:rFonts w:ascii="Times New Roman" w:eastAsia="Times New Roman" w:hAnsi="Times New Roman" w:cs="Times New Roman"/>
        </w:rPr>
        <w:t>inally, as expected, f</w:t>
      </w:r>
      <w:r w:rsidR="0055054A">
        <w:rPr>
          <w:rFonts w:ascii="Times New Roman" w:eastAsia="Times New Roman" w:hAnsi="Times New Roman" w:cs="Times New Roman"/>
        </w:rPr>
        <w:t>irms with higher retained earnings (</w:t>
      </w:r>
      <w:r w:rsidR="0055054A">
        <w:rPr>
          <w:rFonts w:ascii="Times New Roman" w:eastAsia="Times New Roman" w:hAnsi="Times New Roman" w:cs="Times New Roman"/>
          <w:i/>
        </w:rPr>
        <w:t>RE/TA</w:t>
      </w:r>
      <w:r w:rsidR="0055054A">
        <w:rPr>
          <w:rFonts w:ascii="Times New Roman" w:eastAsia="Times New Roman" w:hAnsi="Times New Roman" w:cs="Times New Roman"/>
        </w:rPr>
        <w:t xml:space="preserve">) are more likely to make share </w:t>
      </w:r>
      <w:r w:rsidR="00213A98">
        <w:rPr>
          <w:rFonts w:ascii="Times New Roman" w:eastAsia="Times New Roman" w:hAnsi="Times New Roman" w:cs="Times New Roman"/>
        </w:rPr>
        <w:t>and in a greater amount, relative to their current profits</w:t>
      </w:r>
      <w:r w:rsidR="0055054A">
        <w:rPr>
          <w:rFonts w:ascii="Times New Roman" w:eastAsia="Times New Roman" w:hAnsi="Times New Roman" w:cs="Times New Roman"/>
        </w:rPr>
        <w:t xml:space="preserve">. </w:t>
      </w:r>
    </w:p>
    <w:p w14:paraId="5B20D62C" w14:textId="4F9D8B99"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In summary, Table 6 provides no support for the leverage (capital structure) hypothesis (</w:t>
      </w:r>
      <w:r>
        <w:rPr>
          <w:rFonts w:ascii="Times New Roman" w:eastAsia="Times New Roman" w:hAnsi="Times New Roman" w:cs="Times New Roman"/>
          <w:i/>
        </w:rPr>
        <w:t>H1</w:t>
      </w:r>
      <w:r>
        <w:rPr>
          <w:rFonts w:ascii="Times New Roman" w:eastAsia="Times New Roman" w:hAnsi="Times New Roman" w:cs="Times New Roman"/>
        </w:rPr>
        <w:t>) in the UK</w:t>
      </w:r>
      <w:r w:rsidR="002652E0">
        <w:rPr>
          <w:rFonts w:ascii="Times New Roman" w:eastAsia="Times New Roman" w:hAnsi="Times New Roman" w:cs="Times New Roman"/>
        </w:rPr>
        <w:t>,</w:t>
      </w:r>
      <w:r>
        <w:rPr>
          <w:rFonts w:ascii="Times New Roman" w:eastAsia="Times New Roman" w:hAnsi="Times New Roman" w:cs="Times New Roman"/>
        </w:rPr>
        <w:t xml:space="preserve"> but it provides strong support for the free cash flow and investment hypotheses (</w:t>
      </w:r>
      <w:r>
        <w:rPr>
          <w:rFonts w:ascii="Times New Roman" w:eastAsia="Times New Roman" w:hAnsi="Times New Roman" w:cs="Times New Roman"/>
          <w:i/>
        </w:rPr>
        <w:t>H2</w:t>
      </w:r>
      <w:r>
        <w:rPr>
          <w:rFonts w:ascii="Times New Roman" w:eastAsia="Times New Roman" w:hAnsi="Times New Roman" w:cs="Times New Roman"/>
        </w:rPr>
        <w:t xml:space="preserve"> and </w:t>
      </w:r>
      <w:r>
        <w:rPr>
          <w:rFonts w:ascii="Times New Roman" w:eastAsia="Times New Roman" w:hAnsi="Times New Roman" w:cs="Times New Roman"/>
          <w:i/>
        </w:rPr>
        <w:t>H3</w:t>
      </w:r>
      <w:r>
        <w:rPr>
          <w:rFonts w:ascii="Times New Roman" w:eastAsia="Times New Roman" w:hAnsi="Times New Roman" w:cs="Times New Roman"/>
        </w:rPr>
        <w:t xml:space="preserve">).  </w:t>
      </w:r>
      <w:r w:rsidR="0028005D">
        <w:rPr>
          <w:rFonts w:ascii="Times New Roman" w:eastAsia="Times New Roman" w:hAnsi="Times New Roman" w:cs="Times New Roman"/>
        </w:rPr>
        <w:t>Some</w:t>
      </w:r>
      <w:r>
        <w:rPr>
          <w:rFonts w:ascii="Times New Roman" w:eastAsia="Times New Roman" w:hAnsi="Times New Roman" w:cs="Times New Roman"/>
        </w:rPr>
        <w:t xml:space="preserve"> support is found for the undervaluation hypotheses (</w:t>
      </w:r>
      <w:r>
        <w:rPr>
          <w:rFonts w:ascii="Times New Roman" w:eastAsia="Times New Roman" w:hAnsi="Times New Roman" w:cs="Times New Roman"/>
          <w:i/>
        </w:rPr>
        <w:t>H4</w:t>
      </w:r>
      <w:r>
        <w:rPr>
          <w:rFonts w:ascii="Times New Roman" w:eastAsia="Times New Roman" w:hAnsi="Times New Roman" w:cs="Times New Roman"/>
        </w:rPr>
        <w:t>). The evidence points to the rejection of the dividend substitution hypothesis (</w:t>
      </w:r>
      <w:r>
        <w:rPr>
          <w:rFonts w:ascii="Times New Roman" w:eastAsia="Times New Roman" w:hAnsi="Times New Roman" w:cs="Times New Roman"/>
          <w:i/>
        </w:rPr>
        <w:t>H5</w:t>
      </w:r>
      <w:r>
        <w:rPr>
          <w:rFonts w:ascii="Times New Roman" w:eastAsia="Times New Roman" w:hAnsi="Times New Roman" w:cs="Times New Roman"/>
        </w:rPr>
        <w:t>), in contrast to the case documented in the US. (The dividend substitution hypothesis is further examined in Table 8.) In terms of corporate governance (</w:t>
      </w:r>
      <w:r>
        <w:rPr>
          <w:rFonts w:ascii="Times New Roman" w:eastAsia="Times New Roman" w:hAnsi="Times New Roman" w:cs="Times New Roman"/>
          <w:i/>
        </w:rPr>
        <w:t>H6</w:t>
      </w:r>
      <w:r>
        <w:rPr>
          <w:rFonts w:ascii="Times New Roman" w:eastAsia="Times New Roman" w:hAnsi="Times New Roman" w:cs="Times New Roman"/>
        </w:rPr>
        <w:t xml:space="preserve">) board independence is found to be significantly associated with share repurchase activity, </w:t>
      </w:r>
      <w:r w:rsidR="0028005D">
        <w:rPr>
          <w:rFonts w:ascii="Times New Roman" w:eastAsia="Times New Roman" w:hAnsi="Times New Roman" w:cs="Times New Roman"/>
        </w:rPr>
        <w:t xml:space="preserve">but board ownership is not, </w:t>
      </w:r>
      <w:r>
        <w:rPr>
          <w:rFonts w:ascii="Times New Roman" w:eastAsia="Times New Roman" w:hAnsi="Times New Roman" w:cs="Times New Roman"/>
        </w:rPr>
        <w:t>while no association is found between the presence of executive stock options and share repurchases (</w:t>
      </w:r>
      <w:r>
        <w:rPr>
          <w:rFonts w:ascii="Times New Roman" w:eastAsia="Times New Roman" w:hAnsi="Times New Roman" w:cs="Times New Roman"/>
          <w:i/>
        </w:rPr>
        <w:t>H7</w:t>
      </w:r>
      <w:r>
        <w:rPr>
          <w:rFonts w:ascii="Times New Roman" w:eastAsia="Times New Roman" w:hAnsi="Times New Roman" w:cs="Times New Roman"/>
        </w:rPr>
        <w:t>).</w:t>
      </w:r>
    </w:p>
    <w:p w14:paraId="15C53C6A"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[TABLE 6 HERE]</w:t>
      </w:r>
    </w:p>
    <w:p w14:paraId="4AAB6D99" w14:textId="5661E219"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next seek to determine whether the 2003 reform, after which share </w:t>
      </w:r>
      <w:proofErr w:type="gramStart"/>
      <w:r>
        <w:rPr>
          <w:rFonts w:ascii="Times New Roman" w:eastAsia="Times New Roman" w:hAnsi="Times New Roman" w:cs="Times New Roman"/>
        </w:rPr>
        <w:t>repurchase</w:t>
      </w:r>
      <w:proofErr w:type="gramEnd"/>
      <w:r>
        <w:rPr>
          <w:rFonts w:ascii="Times New Roman" w:eastAsia="Times New Roman" w:hAnsi="Times New Roman" w:cs="Times New Roman"/>
        </w:rPr>
        <w:t xml:space="preserve"> activity increases substantially, is associated with any </w:t>
      </w:r>
      <w:r>
        <w:rPr>
          <w:rFonts w:ascii="Times New Roman" w:eastAsia="Times New Roman" w:hAnsi="Times New Roman" w:cs="Times New Roman"/>
          <w:i/>
        </w:rPr>
        <w:t>change</w:t>
      </w:r>
      <w:r>
        <w:rPr>
          <w:rFonts w:ascii="Times New Roman" w:eastAsia="Times New Roman" w:hAnsi="Times New Roman" w:cs="Times New Roman"/>
        </w:rPr>
        <w:t xml:space="preserve"> in the motivation of UK firms to repurchase shares.   We have no prior expectations but the extent of the increase in share repurchase practice following the reforms makes us believe it is worthy of testing. We do this by estimating Models (5) and (6) on the pre- and post-reform observations separately, reporting the results in Table 7.  To test for significant differences</w:t>
      </w:r>
      <w:r w:rsidR="007C2FA7">
        <w:rPr>
          <w:rFonts w:ascii="Times New Roman" w:eastAsia="Times New Roman" w:hAnsi="Times New Roman" w:cs="Times New Roman"/>
        </w:rPr>
        <w:t>,</w:t>
      </w:r>
      <w:r>
        <w:rPr>
          <w:rFonts w:ascii="Times New Roman" w:eastAsia="Times New Roman" w:hAnsi="Times New Roman" w:cs="Times New Roman"/>
        </w:rPr>
        <w:t xml:space="preserve"> we also run regressions on the full sample, including a regime dummy and a full set of interaction terms.  The reported </w:t>
      </w:r>
      <w:r>
        <w:rPr>
          <w:rFonts w:ascii="Times New Roman" w:eastAsia="Times New Roman" w:hAnsi="Times New Roman" w:cs="Times New Roman"/>
          <w:i/>
        </w:rPr>
        <w:t>p</w:t>
      </w:r>
      <w:r>
        <w:rPr>
          <w:rFonts w:ascii="Times New Roman" w:eastAsia="Times New Roman" w:hAnsi="Times New Roman" w:cs="Times New Roman"/>
        </w:rPr>
        <w:t>-</w:t>
      </w:r>
      <w:r>
        <w:rPr>
          <w:rFonts w:ascii="Times New Roman" w:eastAsia="Times New Roman" w:hAnsi="Times New Roman" w:cs="Times New Roman"/>
        </w:rPr>
        <w:lastRenderedPageBreak/>
        <w:t xml:space="preserve">values for differences in coefficients across regimes are taken from these otherwise </w:t>
      </w:r>
      <w:proofErr w:type="spellStart"/>
      <w:r>
        <w:rPr>
          <w:rFonts w:ascii="Times New Roman" w:eastAsia="Times New Roman" w:hAnsi="Times New Roman" w:cs="Times New Roman"/>
        </w:rPr>
        <w:t>untabulated</w:t>
      </w:r>
      <w:proofErr w:type="spellEnd"/>
      <w:r>
        <w:rPr>
          <w:rFonts w:ascii="Times New Roman" w:eastAsia="Times New Roman" w:hAnsi="Times New Roman" w:cs="Times New Roman"/>
        </w:rPr>
        <w:t xml:space="preserve"> tests.  Although there was no support for </w:t>
      </w:r>
      <w:r>
        <w:rPr>
          <w:rFonts w:ascii="Times New Roman" w:eastAsia="Times New Roman" w:hAnsi="Times New Roman" w:cs="Times New Roman"/>
          <w:i/>
        </w:rPr>
        <w:t>H1</w:t>
      </w:r>
      <w:r>
        <w:rPr>
          <w:rFonts w:ascii="Times New Roman" w:eastAsia="Times New Roman" w:hAnsi="Times New Roman" w:cs="Times New Roman"/>
        </w:rPr>
        <w:t xml:space="preserve"> in the pooled sample tests in Table 6, when we now separate observations by regulatory regime, it can be seen that, prior to the reform, there is a significantly negative association between industry-adjusted leverage and the likelihood a firm buys back its own shares.  The coefficient on the pre-reform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test is also negative, though not significant when we use two-tailed </w:t>
      </w:r>
      <w:r>
        <w:rPr>
          <w:rFonts w:ascii="Times New Roman" w:eastAsia="Times New Roman" w:hAnsi="Times New Roman" w:cs="Times New Roman"/>
          <w:i/>
        </w:rPr>
        <w:t>p</w:t>
      </w:r>
      <w:r>
        <w:rPr>
          <w:rFonts w:ascii="Times New Roman" w:eastAsia="Times New Roman" w:hAnsi="Times New Roman" w:cs="Times New Roman"/>
        </w:rPr>
        <w:t xml:space="preserve">-values.  This result is consistent with the pre-reform survey results in Dixon </w:t>
      </w:r>
      <w:r>
        <w:rPr>
          <w:rFonts w:ascii="Times New Roman" w:eastAsia="Times New Roman" w:hAnsi="Times New Roman" w:cs="Times New Roman"/>
          <w:i/>
        </w:rPr>
        <w:t>et al</w:t>
      </w:r>
      <w:r>
        <w:rPr>
          <w:rFonts w:ascii="Times New Roman" w:eastAsia="Times New Roman" w:hAnsi="Times New Roman" w:cs="Times New Roman"/>
        </w:rPr>
        <w:t xml:space="preserve">. (2008), where managers of repurchasing firms gave the achievement of an optimal capital structure, and to increase their firm’s gearing, as the top two reasons for share repurchase at that time.  They are also in line with the pre-reform results reported by Oswald and Young (2008), whose analysis revealed a significantly negatively association between net leverage and both the likelihood and magnitude of share repurchases. Similarly, </w:t>
      </w:r>
      <w:proofErr w:type="spellStart"/>
      <w:r>
        <w:rPr>
          <w:rFonts w:ascii="Times New Roman" w:eastAsia="Times New Roman" w:hAnsi="Times New Roman" w:cs="Times New Roman"/>
        </w:rPr>
        <w:t>Renneboog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Trojanowski</w:t>
      </w:r>
      <w:proofErr w:type="spellEnd"/>
      <w:r>
        <w:rPr>
          <w:rFonts w:ascii="Times New Roman" w:eastAsia="Times New Roman" w:hAnsi="Times New Roman" w:cs="Times New Roman"/>
        </w:rPr>
        <w:t xml:space="preserve"> (2011) report a negative association between leverage and the probability of either dividend or share repurchase in their early sample.  However, our evidence indicates a change in this respect, and that changes to gearing/capital structure no longer represent a dominant motivation for share repurchase in the UK. </w:t>
      </w:r>
    </w:p>
    <w:p w14:paraId="2D985E2D" w14:textId="45BF3D66" w:rsidR="00A707CF" w:rsidRDefault="004D6E6E"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As outlined in S.3, t</w:t>
      </w:r>
      <w:r w:rsidR="007C2FA7">
        <w:rPr>
          <w:rFonts w:ascii="Times New Roman" w:eastAsia="Times New Roman" w:hAnsi="Times New Roman" w:cs="Times New Roman"/>
        </w:rPr>
        <w:t xml:space="preserve">heory predicts a positive association between excess cash and share repurchase activity. </w:t>
      </w:r>
      <w:r w:rsidR="0055054A">
        <w:rPr>
          <w:rFonts w:ascii="Times New Roman" w:eastAsia="Times New Roman" w:hAnsi="Times New Roman" w:cs="Times New Roman"/>
        </w:rPr>
        <w:t xml:space="preserve">UK research on earlier samples has provided strong </w:t>
      </w:r>
      <w:r w:rsidR="007C2FA7">
        <w:rPr>
          <w:rFonts w:ascii="Times New Roman" w:eastAsia="Times New Roman" w:hAnsi="Times New Roman" w:cs="Times New Roman"/>
        </w:rPr>
        <w:t>empirical evidence</w:t>
      </w:r>
      <w:r w:rsidR="0055054A">
        <w:rPr>
          <w:rFonts w:ascii="Times New Roman" w:eastAsia="Times New Roman" w:hAnsi="Times New Roman" w:cs="Times New Roman"/>
        </w:rPr>
        <w:t xml:space="preserve"> that share repurchases are a vehicle for the distribution of excess cash (Oswald and Young, 2008). This is the third most important reason for repurchases given by survey respondents in Dixon </w:t>
      </w:r>
      <w:r w:rsidR="0055054A">
        <w:rPr>
          <w:rFonts w:ascii="Times New Roman" w:eastAsia="Times New Roman" w:hAnsi="Times New Roman" w:cs="Times New Roman"/>
          <w:i/>
        </w:rPr>
        <w:t>et al</w:t>
      </w:r>
      <w:r w:rsidR="0055054A">
        <w:rPr>
          <w:rFonts w:ascii="Times New Roman" w:eastAsia="Times New Roman" w:hAnsi="Times New Roman" w:cs="Times New Roman"/>
        </w:rPr>
        <w:t xml:space="preserve">., (2008) The evidence in Table 7 supports the excess cash hypothesis, </w:t>
      </w:r>
      <w:r w:rsidR="0055054A">
        <w:rPr>
          <w:rFonts w:ascii="Times New Roman" w:eastAsia="Times New Roman" w:hAnsi="Times New Roman" w:cs="Times New Roman"/>
          <w:i/>
        </w:rPr>
        <w:t>H2</w:t>
      </w:r>
      <w:r w:rsidR="0055054A">
        <w:rPr>
          <w:rFonts w:ascii="Times New Roman" w:eastAsia="Times New Roman" w:hAnsi="Times New Roman" w:cs="Times New Roman"/>
        </w:rPr>
        <w:t xml:space="preserve">, in both regulatory regimes.  In each </w:t>
      </w:r>
      <w:proofErr w:type="gramStart"/>
      <w:r w:rsidR="0055054A">
        <w:rPr>
          <w:rFonts w:ascii="Times New Roman" w:eastAsia="Times New Roman" w:hAnsi="Times New Roman" w:cs="Times New Roman"/>
        </w:rPr>
        <w:t>time period</w:t>
      </w:r>
      <w:proofErr w:type="gramEnd"/>
      <w:r w:rsidR="0055054A">
        <w:rPr>
          <w:rFonts w:ascii="Times New Roman" w:eastAsia="Times New Roman" w:hAnsi="Times New Roman" w:cs="Times New Roman"/>
        </w:rPr>
        <w:t xml:space="preserve">, both </w:t>
      </w:r>
      <w:r w:rsidR="0055054A">
        <w:rPr>
          <w:rFonts w:ascii="Times New Roman" w:eastAsia="Times New Roman" w:hAnsi="Times New Roman" w:cs="Times New Roman"/>
          <w:i/>
        </w:rPr>
        <w:t>XSCASH</w:t>
      </w:r>
      <w:r w:rsidR="0055054A">
        <w:rPr>
          <w:rFonts w:ascii="Times New Roman" w:eastAsia="Times New Roman" w:hAnsi="Times New Roman" w:cs="Times New Roman"/>
        </w:rPr>
        <w:t xml:space="preserve"> and </w:t>
      </w:r>
      <w:r w:rsidR="0055054A">
        <w:rPr>
          <w:rFonts w:ascii="Times New Roman" w:eastAsia="Times New Roman" w:hAnsi="Times New Roman" w:cs="Times New Roman"/>
          <w:i/>
        </w:rPr>
        <w:t>CFO/TA</w:t>
      </w:r>
      <w:r w:rsidR="0055054A">
        <w:rPr>
          <w:rFonts w:ascii="Times New Roman" w:eastAsia="Times New Roman" w:hAnsi="Times New Roman" w:cs="Times New Roman"/>
        </w:rPr>
        <w:t xml:space="preserve"> are significantly positively associated with the likelihood a firm repurchases shares.  Both coefficients are also positive in both regimes in the </w:t>
      </w:r>
      <w:proofErr w:type="spellStart"/>
      <w:r w:rsidR="0055054A">
        <w:rPr>
          <w:rFonts w:ascii="Times New Roman" w:eastAsia="Times New Roman" w:hAnsi="Times New Roman" w:cs="Times New Roman"/>
        </w:rPr>
        <w:t>tobit</w:t>
      </w:r>
      <w:proofErr w:type="spellEnd"/>
      <w:r w:rsidR="0055054A">
        <w:rPr>
          <w:rFonts w:ascii="Times New Roman" w:eastAsia="Times New Roman" w:hAnsi="Times New Roman" w:cs="Times New Roman"/>
        </w:rPr>
        <w:t xml:space="preserve"> models, though </w:t>
      </w:r>
      <w:r w:rsidR="0055054A">
        <w:rPr>
          <w:rFonts w:ascii="Times New Roman" w:eastAsia="Times New Roman" w:hAnsi="Times New Roman" w:cs="Times New Roman"/>
          <w:i/>
        </w:rPr>
        <w:t>CFO/TA</w:t>
      </w:r>
      <w:r w:rsidR="0055054A">
        <w:rPr>
          <w:rFonts w:ascii="Times New Roman" w:eastAsia="Times New Roman" w:hAnsi="Times New Roman" w:cs="Times New Roman"/>
        </w:rPr>
        <w:t xml:space="preserve"> is significant</w:t>
      </w:r>
      <w:r w:rsidR="007C2FA7">
        <w:rPr>
          <w:rFonts w:ascii="Times New Roman" w:eastAsia="Times New Roman" w:hAnsi="Times New Roman" w:cs="Times New Roman"/>
        </w:rPr>
        <w:t xml:space="preserve"> only</w:t>
      </w:r>
      <w:r w:rsidR="0055054A">
        <w:rPr>
          <w:rFonts w:ascii="Times New Roman" w:eastAsia="Times New Roman" w:hAnsi="Times New Roman" w:cs="Times New Roman"/>
        </w:rPr>
        <w:t xml:space="preserve"> in Regime </w:t>
      </w:r>
      <w:r w:rsidR="007C2FA7">
        <w:rPr>
          <w:rFonts w:ascii="Times New Roman" w:eastAsia="Times New Roman" w:hAnsi="Times New Roman" w:cs="Times New Roman"/>
        </w:rPr>
        <w:t>2</w:t>
      </w:r>
      <w:r w:rsidR="0055054A">
        <w:rPr>
          <w:rFonts w:ascii="Times New Roman" w:eastAsia="Times New Roman" w:hAnsi="Times New Roman" w:cs="Times New Roman"/>
        </w:rPr>
        <w:t xml:space="preserve">. There is therefore no evidence of a change in the importance of surplus cash as a determinant of share repurchase following the 2003 reform. </w:t>
      </w:r>
    </w:p>
    <w:p w14:paraId="4961A4C9"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We also find strong support for the investment opportunities hypothesis across both time periods. Industry-adjusted market-to-book (</w:t>
      </w:r>
      <w:r>
        <w:rPr>
          <w:rFonts w:ascii="Times New Roman" w:eastAsia="Times New Roman" w:hAnsi="Times New Roman" w:cs="Times New Roman"/>
          <w:i/>
        </w:rPr>
        <w:t>MTBIND</w:t>
      </w:r>
      <w:r>
        <w:rPr>
          <w:rFonts w:ascii="Times New Roman" w:eastAsia="Times New Roman" w:hAnsi="Times New Roman" w:cs="Times New Roman"/>
        </w:rPr>
        <w:t xml:space="preserve">) is significantly negatively associated with both the likelihood and amount of repurchases in our sample. We therefore corroborate results documented for the pre-reform period by Oswald and Young (2008) and confirm that a lack of investment opportunities prevails as a powerful </w:t>
      </w:r>
      <w:r>
        <w:rPr>
          <w:rFonts w:ascii="Times New Roman" w:eastAsia="Times New Roman" w:hAnsi="Times New Roman" w:cs="Times New Roman"/>
        </w:rPr>
        <w:lastRenderedPageBreak/>
        <w:t xml:space="preserve">motivation for UK share repurchases after the reforms, when share </w:t>
      </w:r>
      <w:proofErr w:type="gramStart"/>
      <w:r>
        <w:rPr>
          <w:rFonts w:ascii="Times New Roman" w:eastAsia="Times New Roman" w:hAnsi="Times New Roman" w:cs="Times New Roman"/>
        </w:rPr>
        <w:t>repurchase</w:t>
      </w:r>
      <w:proofErr w:type="gramEnd"/>
      <w:r>
        <w:rPr>
          <w:rFonts w:ascii="Times New Roman" w:eastAsia="Times New Roman" w:hAnsi="Times New Roman" w:cs="Times New Roman"/>
        </w:rPr>
        <w:t xml:space="preserve"> activity has substantially increased.</w:t>
      </w:r>
    </w:p>
    <w:p w14:paraId="41FB94F3" w14:textId="3C98FEA5"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In </w:t>
      </w:r>
      <w:r w:rsidR="00415DF1">
        <w:rPr>
          <w:rFonts w:ascii="Times New Roman" w:eastAsia="Times New Roman" w:hAnsi="Times New Roman" w:cs="Times New Roman"/>
        </w:rPr>
        <w:t>line with</w:t>
      </w:r>
      <w:r>
        <w:rPr>
          <w:rFonts w:ascii="Times New Roman" w:eastAsia="Times New Roman" w:hAnsi="Times New Roman" w:cs="Times New Roman"/>
        </w:rPr>
        <w:t xml:space="preserve"> prior research (Dixon </w:t>
      </w:r>
      <w:r>
        <w:rPr>
          <w:rFonts w:ascii="Times New Roman" w:eastAsia="Times New Roman" w:hAnsi="Times New Roman" w:cs="Times New Roman"/>
          <w:i/>
        </w:rPr>
        <w:t>et al</w:t>
      </w:r>
      <w:r>
        <w:rPr>
          <w:rFonts w:ascii="Times New Roman" w:eastAsia="Times New Roman" w:hAnsi="Times New Roman" w:cs="Times New Roman"/>
        </w:rPr>
        <w:t>., 2008; Oswald and Young, 2008) we find</w:t>
      </w:r>
      <w:r w:rsidR="007C2FA7">
        <w:rPr>
          <w:rFonts w:ascii="Times New Roman" w:eastAsia="Times New Roman" w:hAnsi="Times New Roman" w:cs="Times New Roman"/>
        </w:rPr>
        <w:t xml:space="preserve"> some</w:t>
      </w:r>
      <w:r>
        <w:rPr>
          <w:rFonts w:ascii="Times New Roman" w:eastAsia="Times New Roman" w:hAnsi="Times New Roman" w:cs="Times New Roman"/>
        </w:rPr>
        <w:t xml:space="preserve"> support for the undervaluation hypothesis in the </w:t>
      </w:r>
      <w:r>
        <w:rPr>
          <w:rFonts w:ascii="Times New Roman" w:eastAsia="Times New Roman" w:hAnsi="Times New Roman" w:cs="Times New Roman"/>
          <w:i/>
        </w:rPr>
        <w:t>pre</w:t>
      </w:r>
      <w:r>
        <w:rPr>
          <w:rFonts w:ascii="Times New Roman" w:eastAsia="Times New Roman" w:hAnsi="Times New Roman" w:cs="Times New Roman"/>
        </w:rPr>
        <w:t>-reform period, documenting a significantly negative relationship between prior year abnormal stock return (</w:t>
      </w:r>
      <w:r>
        <w:rPr>
          <w:rFonts w:ascii="Times New Roman" w:eastAsia="Times New Roman" w:hAnsi="Times New Roman" w:cs="Times New Roman"/>
          <w:i/>
        </w:rPr>
        <w:t>ABRET</w:t>
      </w:r>
      <w:r>
        <w:rPr>
          <w:rFonts w:ascii="Times New Roman" w:eastAsia="Times New Roman" w:hAnsi="Times New Roman" w:cs="Times New Roman"/>
        </w:rPr>
        <w:t xml:space="preserve">) and both the likelihood and magnitude of share repurchases. However, undervaluation is no longer a significant determinant of share repurchase in the post-reform period, suggesting another </w:t>
      </w:r>
      <w:r w:rsidR="007C2FA7">
        <w:rPr>
          <w:rFonts w:ascii="Times New Roman" w:eastAsia="Times New Roman" w:hAnsi="Times New Roman" w:cs="Times New Roman"/>
        </w:rPr>
        <w:t>potential</w:t>
      </w:r>
      <w:r>
        <w:rPr>
          <w:rFonts w:ascii="Times New Roman" w:eastAsia="Times New Roman" w:hAnsi="Times New Roman" w:cs="Times New Roman"/>
        </w:rPr>
        <w:t xml:space="preserve"> change in the motivation for UK firms to buy back their own shares. Across regulatory time periods</w:t>
      </w:r>
      <w:r w:rsidR="007C2FA7">
        <w:rPr>
          <w:rFonts w:ascii="Times New Roman" w:eastAsia="Times New Roman" w:hAnsi="Times New Roman" w:cs="Times New Roman"/>
        </w:rPr>
        <w:t xml:space="preserve">, </w:t>
      </w:r>
      <w:r>
        <w:rPr>
          <w:rFonts w:ascii="Times New Roman" w:eastAsia="Times New Roman" w:hAnsi="Times New Roman" w:cs="Times New Roman"/>
        </w:rPr>
        <w:t>the difference in the association between stock market performance and the propensity to repurchase is</w:t>
      </w:r>
      <w:r w:rsidR="007C2FA7">
        <w:rPr>
          <w:rFonts w:ascii="Times New Roman" w:eastAsia="Times New Roman" w:hAnsi="Times New Roman" w:cs="Times New Roman"/>
        </w:rPr>
        <w:t xml:space="preserve"> statistically </w:t>
      </w:r>
      <w:r>
        <w:rPr>
          <w:rFonts w:ascii="Times New Roman" w:eastAsia="Times New Roman" w:hAnsi="Times New Roman" w:cs="Times New Roman"/>
        </w:rPr>
        <w:t xml:space="preserve">significant. </w:t>
      </w:r>
    </w:p>
    <w:p w14:paraId="6B8E17A0" w14:textId="7C6902C4" w:rsidR="00A707CF" w:rsidRDefault="0055054A" w:rsidP="00E87442">
      <w:pPr>
        <w:spacing w:after="120" w:line="480" w:lineRule="auto"/>
        <w:ind w:firstLine="397"/>
        <w:jc w:val="both"/>
        <w:rPr>
          <w:rFonts w:ascii="Times New Roman" w:eastAsia="Times New Roman" w:hAnsi="Times New Roman" w:cs="Times New Roman"/>
        </w:rPr>
      </w:pPr>
      <w:r w:rsidRPr="00024649">
        <w:rPr>
          <w:rFonts w:ascii="Times New Roman" w:eastAsia="Times New Roman" w:hAnsi="Times New Roman" w:cs="Times New Roman"/>
        </w:rPr>
        <w:t>As in Table 6,</w:t>
      </w:r>
      <w:r>
        <w:rPr>
          <w:rFonts w:ascii="Times New Roman" w:eastAsia="Times New Roman" w:hAnsi="Times New Roman" w:cs="Times New Roman"/>
        </w:rPr>
        <w:t xml:space="preserve"> we find that the amount distributed by share repurchases is positively related to the amount distributed by dividends, that is the coefficient on </w:t>
      </w:r>
      <w:r>
        <w:rPr>
          <w:rFonts w:ascii="Times New Roman" w:eastAsia="Times New Roman" w:hAnsi="Times New Roman" w:cs="Times New Roman"/>
          <w:i/>
        </w:rPr>
        <w:t>DIV/NI</w:t>
      </w:r>
      <w:r>
        <w:rPr>
          <w:rFonts w:ascii="Times New Roman" w:eastAsia="Times New Roman" w:hAnsi="Times New Roman" w:cs="Times New Roman"/>
        </w:rPr>
        <w:t xml:space="preserve"> is significant and positive in the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models. Interestingly, this relationship is significantly stronger in the post-reform period. Consistent with share repurchases being used to distribute profits, a strong positive association between firm performance </w:t>
      </w:r>
      <w:r w:rsidR="00024649">
        <w:rPr>
          <w:rFonts w:ascii="Times New Roman" w:eastAsia="Times New Roman" w:hAnsi="Times New Roman" w:cs="Times New Roman"/>
        </w:rPr>
        <w:t>(</w:t>
      </w:r>
      <w:r w:rsidR="00024649" w:rsidRPr="00024649">
        <w:rPr>
          <w:rFonts w:ascii="Times New Roman" w:eastAsia="Times New Roman" w:hAnsi="Times New Roman" w:cs="Times New Roman"/>
          <w:i/>
          <w:iCs/>
        </w:rPr>
        <w:t>ROA</w:t>
      </w:r>
      <w:r w:rsidR="00024649">
        <w:rPr>
          <w:rFonts w:ascii="Times New Roman" w:eastAsia="Times New Roman" w:hAnsi="Times New Roman" w:cs="Times New Roman"/>
        </w:rPr>
        <w:t xml:space="preserve">) </w:t>
      </w:r>
      <w:r>
        <w:rPr>
          <w:rFonts w:ascii="Times New Roman" w:eastAsia="Times New Roman" w:hAnsi="Times New Roman" w:cs="Times New Roman"/>
        </w:rPr>
        <w:t>and repurchases activity holds in both time periods.  We find further evidence of</w:t>
      </w:r>
      <w:r w:rsidR="00024649">
        <w:rPr>
          <w:rFonts w:ascii="Times New Roman" w:eastAsia="Times New Roman" w:hAnsi="Times New Roman" w:cs="Times New Roman"/>
        </w:rPr>
        <w:t xml:space="preserve"> the</w:t>
      </w:r>
      <w:r>
        <w:rPr>
          <w:rFonts w:ascii="Times New Roman" w:eastAsia="Times New Roman" w:hAnsi="Times New Roman" w:cs="Times New Roman"/>
        </w:rPr>
        <w:t xml:space="preserve"> use </w:t>
      </w:r>
      <w:r w:rsidR="00024649">
        <w:rPr>
          <w:rFonts w:ascii="Times New Roman" w:eastAsia="Times New Roman" w:hAnsi="Times New Roman" w:cs="Times New Roman"/>
        </w:rPr>
        <w:t xml:space="preserve">of </w:t>
      </w:r>
      <w:r>
        <w:rPr>
          <w:rFonts w:ascii="Times New Roman" w:eastAsia="Times New Roman" w:hAnsi="Times New Roman" w:cs="Times New Roman"/>
        </w:rPr>
        <w:t xml:space="preserve">repurchases as a regular distribution mechanism across both regimes, with positive coefficients on our lagged share repurchase variables, </w:t>
      </w:r>
      <w:r>
        <w:rPr>
          <w:rFonts w:ascii="Times New Roman" w:eastAsia="Times New Roman" w:hAnsi="Times New Roman" w:cs="Times New Roman"/>
          <w:i/>
        </w:rPr>
        <w:t>SPDUM</w:t>
      </w:r>
      <w:r>
        <w:rPr>
          <w:rFonts w:ascii="Times New Roman" w:eastAsia="Times New Roman" w:hAnsi="Times New Roman" w:cs="Times New Roman"/>
          <w:i/>
          <w:vertAlign w:val="subscript"/>
        </w:rPr>
        <w:t>t-</w:t>
      </w:r>
      <w:proofErr w:type="gramStart"/>
      <w:r>
        <w:rPr>
          <w:rFonts w:ascii="Times New Roman" w:eastAsia="Times New Roman" w:hAnsi="Times New Roman" w:cs="Times New Roman"/>
          <w:i/>
          <w:vertAlign w:val="subscript"/>
        </w:rPr>
        <w:t>1</w:t>
      </w:r>
      <w:proofErr w:type="gramEnd"/>
      <w:r>
        <w:rPr>
          <w:rFonts w:ascii="Times New Roman" w:eastAsia="Times New Roman" w:hAnsi="Times New Roman" w:cs="Times New Roman"/>
        </w:rPr>
        <w:t xml:space="preserve"> and </w:t>
      </w:r>
      <w:r>
        <w:rPr>
          <w:rFonts w:ascii="Times New Roman" w:eastAsia="Times New Roman" w:hAnsi="Times New Roman" w:cs="Times New Roman"/>
          <w:i/>
        </w:rPr>
        <w:t>SP/NI</w:t>
      </w:r>
      <w:r>
        <w:rPr>
          <w:rFonts w:ascii="Times New Roman" w:eastAsia="Times New Roman" w:hAnsi="Times New Roman" w:cs="Times New Roman"/>
          <w:i/>
          <w:vertAlign w:val="subscript"/>
        </w:rPr>
        <w:t>t-1</w:t>
      </w:r>
      <w:r>
        <w:rPr>
          <w:rFonts w:ascii="Times New Roman" w:eastAsia="Times New Roman" w:hAnsi="Times New Roman" w:cs="Times New Roman"/>
        </w:rPr>
        <w:t xml:space="preserve">. Firms which repurchased shares last year are more likely to do so this year, and those which repurchased in greater amounts last year will also repurchase in greater amounts this year, on average. </w:t>
      </w:r>
    </w:p>
    <w:p w14:paraId="452D3DCD" w14:textId="1D77B25B" w:rsidR="00A707CF" w:rsidRDefault="00024649"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No association is found, in either time period, between board equity ownership (</w:t>
      </w:r>
      <w:r w:rsidRPr="00024649">
        <w:rPr>
          <w:rFonts w:ascii="Times New Roman" w:eastAsia="Times New Roman" w:hAnsi="Times New Roman" w:cs="Times New Roman"/>
          <w:i/>
          <w:iCs/>
        </w:rPr>
        <w:t>BOARDOWN</w:t>
      </w:r>
      <w:r>
        <w:rPr>
          <w:rFonts w:ascii="Times New Roman" w:eastAsia="Times New Roman" w:hAnsi="Times New Roman" w:cs="Times New Roman"/>
        </w:rPr>
        <w:t>) and share repurchase activity. However, i</w:t>
      </w:r>
      <w:r w:rsidR="0055054A">
        <w:rPr>
          <w:rFonts w:ascii="Times New Roman" w:eastAsia="Times New Roman" w:hAnsi="Times New Roman" w:cs="Times New Roman"/>
        </w:rPr>
        <w:t>n line with the effectiveness of independent boards being enhanced following the issue of a new code of best practice in corporate governance in 2003, which focused on the role of the board (Higgs Report, 2003), Table 7 reveals that it is only in the post-reform time period that board independence (</w:t>
      </w:r>
      <w:r w:rsidR="0055054A">
        <w:rPr>
          <w:rFonts w:ascii="Times New Roman" w:eastAsia="Times New Roman" w:hAnsi="Times New Roman" w:cs="Times New Roman"/>
          <w:i/>
        </w:rPr>
        <w:t>PROPNED</w:t>
      </w:r>
      <w:r w:rsidR="0055054A">
        <w:rPr>
          <w:rFonts w:ascii="Times New Roman" w:eastAsia="Times New Roman" w:hAnsi="Times New Roman" w:cs="Times New Roman"/>
        </w:rPr>
        <w:t xml:space="preserve">) is associated with the propensity of firms to buy back their own shares. </w:t>
      </w:r>
      <w:r w:rsidR="0055054A">
        <w:rPr>
          <w:rFonts w:ascii="Times New Roman" w:eastAsia="Times New Roman" w:hAnsi="Times New Roman" w:cs="Times New Roman"/>
          <w:i/>
        </w:rPr>
        <w:t>H6</w:t>
      </w:r>
      <w:r w:rsidR="0055054A">
        <w:rPr>
          <w:rFonts w:ascii="Times New Roman" w:eastAsia="Times New Roman" w:hAnsi="Times New Roman" w:cs="Times New Roman"/>
        </w:rPr>
        <w:t xml:space="preserve"> is therefore supported in this respect in the post-reform period.</w:t>
      </w:r>
    </w:p>
    <w:p w14:paraId="5AED79D3" w14:textId="77777777" w:rsidR="00616566"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We find no significant association between the use of executive stock option plans and repurchase activity in either of our sub-periods</w:t>
      </w:r>
      <w:r w:rsidR="00616566">
        <w:rPr>
          <w:rFonts w:ascii="Times New Roman" w:eastAsia="Times New Roman" w:hAnsi="Times New Roman" w:cs="Times New Roman"/>
        </w:rPr>
        <w:t xml:space="preserve"> and so no support is provided for </w:t>
      </w:r>
      <w:r w:rsidR="00616566" w:rsidRPr="00616566">
        <w:rPr>
          <w:rFonts w:ascii="Times New Roman" w:eastAsia="Times New Roman" w:hAnsi="Times New Roman" w:cs="Times New Roman"/>
          <w:i/>
          <w:iCs/>
        </w:rPr>
        <w:t>H7</w:t>
      </w:r>
      <w:r>
        <w:rPr>
          <w:rFonts w:ascii="Times New Roman" w:eastAsia="Times New Roman" w:hAnsi="Times New Roman" w:cs="Times New Roman"/>
        </w:rPr>
        <w:t xml:space="preserve">. </w:t>
      </w:r>
    </w:p>
    <w:p w14:paraId="73A8B1DE" w14:textId="5267E3ED" w:rsidR="00A707CF" w:rsidRDefault="00616566"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lastRenderedPageBreak/>
        <w:t>In the post-reform period, there is a positive association between the amount raised by capital contributions (</w:t>
      </w:r>
      <w:r w:rsidRPr="00616566">
        <w:rPr>
          <w:rFonts w:ascii="Times New Roman" w:eastAsia="Times New Roman" w:hAnsi="Times New Roman" w:cs="Times New Roman"/>
          <w:i/>
          <w:iCs/>
        </w:rPr>
        <w:t>CC/NI</w:t>
      </w:r>
      <w:r>
        <w:rPr>
          <w:rFonts w:ascii="Times New Roman" w:eastAsia="Times New Roman" w:hAnsi="Times New Roman" w:cs="Times New Roman"/>
        </w:rPr>
        <w:t>) and the amount distributed in share repurchases, which is opposite to what we would expect. Larger firms have greater repurchase activity, on average (</w:t>
      </w:r>
      <w:r w:rsidRPr="00616566">
        <w:rPr>
          <w:rFonts w:ascii="Times New Roman" w:eastAsia="Times New Roman" w:hAnsi="Times New Roman" w:cs="Times New Roman"/>
          <w:i/>
          <w:iCs/>
        </w:rPr>
        <w:t>MCAP</w:t>
      </w:r>
      <w:r>
        <w:rPr>
          <w:rFonts w:ascii="Times New Roman" w:eastAsia="Times New Roman" w:hAnsi="Times New Roman" w:cs="Times New Roman"/>
        </w:rPr>
        <w:t>) and firms, and older firms distribute higher proportions of profits by repurchases in the pre-reform period only. Firms with higher levels of retained earnings (</w:t>
      </w:r>
      <w:r w:rsidRPr="00616566">
        <w:rPr>
          <w:rFonts w:ascii="Times New Roman" w:eastAsia="Times New Roman" w:hAnsi="Times New Roman" w:cs="Times New Roman"/>
          <w:i/>
          <w:iCs/>
        </w:rPr>
        <w:t>RE/TA</w:t>
      </w:r>
      <w:r>
        <w:rPr>
          <w:rFonts w:ascii="Times New Roman" w:eastAsia="Times New Roman" w:hAnsi="Times New Roman" w:cs="Times New Roman"/>
        </w:rPr>
        <w:t xml:space="preserve">) </w:t>
      </w:r>
      <w:r w:rsidR="00194E3B">
        <w:rPr>
          <w:rFonts w:ascii="Times New Roman" w:eastAsia="Times New Roman" w:hAnsi="Times New Roman" w:cs="Times New Roman"/>
        </w:rPr>
        <w:t>expend</w:t>
      </w:r>
      <w:r>
        <w:rPr>
          <w:rFonts w:ascii="Times New Roman" w:eastAsia="Times New Roman" w:hAnsi="Times New Roman" w:cs="Times New Roman"/>
        </w:rPr>
        <w:t xml:space="preserve"> larger amounts </w:t>
      </w:r>
      <w:r w:rsidR="00194E3B">
        <w:rPr>
          <w:rFonts w:ascii="Times New Roman" w:eastAsia="Times New Roman" w:hAnsi="Times New Roman" w:cs="Times New Roman"/>
        </w:rPr>
        <w:t xml:space="preserve">on share repurchases </w:t>
      </w:r>
      <w:r>
        <w:rPr>
          <w:rFonts w:ascii="Times New Roman" w:eastAsia="Times New Roman" w:hAnsi="Times New Roman" w:cs="Times New Roman"/>
        </w:rPr>
        <w:t xml:space="preserve">in both time periods. The </w:t>
      </w:r>
      <w:r w:rsidR="00D0729D">
        <w:rPr>
          <w:rFonts w:ascii="Times New Roman" w:eastAsia="Times New Roman" w:hAnsi="Times New Roman" w:cs="Times New Roman"/>
        </w:rPr>
        <w:t xml:space="preserve">amount of equity owned by institutional </w:t>
      </w:r>
      <w:proofErr w:type="spellStart"/>
      <w:r w:rsidR="00D0729D">
        <w:rPr>
          <w:rFonts w:ascii="Times New Roman" w:eastAsia="Times New Roman" w:hAnsi="Times New Roman" w:cs="Times New Roman"/>
        </w:rPr>
        <w:t>blockholders</w:t>
      </w:r>
      <w:proofErr w:type="spellEnd"/>
      <w:r w:rsidR="00D0729D">
        <w:rPr>
          <w:rFonts w:ascii="Times New Roman" w:eastAsia="Times New Roman" w:hAnsi="Times New Roman" w:cs="Times New Roman"/>
        </w:rPr>
        <w:t>,</w:t>
      </w:r>
      <w:r w:rsidR="0055054A">
        <w:rPr>
          <w:rFonts w:ascii="Times New Roman" w:eastAsia="Times New Roman" w:hAnsi="Times New Roman" w:cs="Times New Roman"/>
        </w:rPr>
        <w:t xml:space="preserve"> </w:t>
      </w:r>
      <w:r w:rsidR="0055054A">
        <w:rPr>
          <w:rFonts w:ascii="Times New Roman" w:eastAsia="Times New Roman" w:hAnsi="Times New Roman" w:cs="Times New Roman"/>
          <w:i/>
        </w:rPr>
        <w:t>INSTOWN</w:t>
      </w:r>
      <w:r w:rsidR="00D0729D">
        <w:rPr>
          <w:rFonts w:ascii="Times New Roman" w:eastAsia="Times New Roman" w:hAnsi="Times New Roman" w:cs="Times New Roman"/>
          <w:i/>
        </w:rPr>
        <w:t>,</w:t>
      </w:r>
      <w:r w:rsidR="0055054A">
        <w:rPr>
          <w:rFonts w:ascii="Times New Roman" w:eastAsia="Times New Roman" w:hAnsi="Times New Roman" w:cs="Times New Roman"/>
        </w:rPr>
        <w:t xml:space="preserve"> </w:t>
      </w:r>
      <w:r w:rsidR="00D0729D">
        <w:rPr>
          <w:rFonts w:ascii="Times New Roman" w:eastAsia="Times New Roman" w:hAnsi="Times New Roman" w:cs="Times New Roman"/>
        </w:rPr>
        <w:t>is</w:t>
      </w:r>
      <w:r>
        <w:rPr>
          <w:rFonts w:ascii="Times New Roman" w:eastAsia="Times New Roman" w:hAnsi="Times New Roman" w:cs="Times New Roman"/>
        </w:rPr>
        <w:t xml:space="preserve"> not significantly associated with</w:t>
      </w:r>
      <w:r w:rsidR="0055054A">
        <w:rPr>
          <w:rFonts w:ascii="Times New Roman" w:eastAsia="Times New Roman" w:hAnsi="Times New Roman" w:cs="Times New Roman"/>
        </w:rPr>
        <w:t xml:space="preserve"> the </w:t>
      </w:r>
      <w:proofErr w:type="spellStart"/>
      <w:r w:rsidR="0055054A">
        <w:rPr>
          <w:rFonts w:ascii="Times New Roman" w:eastAsia="Times New Roman" w:hAnsi="Times New Roman" w:cs="Times New Roman"/>
        </w:rPr>
        <w:t>payout</w:t>
      </w:r>
      <w:proofErr w:type="spellEnd"/>
      <w:r w:rsidR="0055054A">
        <w:rPr>
          <w:rFonts w:ascii="Times New Roman" w:eastAsia="Times New Roman" w:hAnsi="Times New Roman" w:cs="Times New Roman"/>
        </w:rPr>
        <w:t xml:space="preserve"> decision</w:t>
      </w:r>
      <w:r w:rsidR="00D0729D">
        <w:rPr>
          <w:rFonts w:ascii="Times New Roman" w:eastAsia="Times New Roman" w:hAnsi="Times New Roman" w:cs="Times New Roman"/>
        </w:rPr>
        <w:t xml:space="preserve"> in either time period</w:t>
      </w:r>
      <w:r w:rsidR="0055054A">
        <w:rPr>
          <w:rFonts w:ascii="Times New Roman" w:eastAsia="Times New Roman" w:hAnsi="Times New Roman" w:cs="Times New Roman"/>
        </w:rPr>
        <w:t>.</w:t>
      </w:r>
    </w:p>
    <w:p w14:paraId="29BC8E08" w14:textId="77777777" w:rsidR="00A707CF" w:rsidRDefault="0055054A" w:rsidP="00E87442">
      <w:pP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[TABLE 7 HERE]</w:t>
      </w:r>
    </w:p>
    <w:p w14:paraId="41A19077" w14:textId="769FE0D9"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Table 8 contains the results of Lintner regressions which provide an additional test of the dividend substitution hypothesis (Skinner, 2008). Panel A reports the results from Model (3), the Lintner model for dividends alone. Current earnings (</w:t>
      </w:r>
      <w:proofErr w:type="spellStart"/>
      <w:r>
        <w:rPr>
          <w:rFonts w:ascii="Times New Roman" w:eastAsia="Times New Roman" w:hAnsi="Times New Roman" w:cs="Times New Roman"/>
          <w:i/>
        </w:rPr>
        <w:t>NI</w:t>
      </w:r>
      <w:r>
        <w:rPr>
          <w:rFonts w:ascii="Times New Roman" w:eastAsia="Times New Roman" w:hAnsi="Times New Roman" w:cs="Times New Roman"/>
          <w:i/>
          <w:vertAlign w:val="subscript"/>
        </w:rPr>
        <w:t>t</w:t>
      </w:r>
      <w:proofErr w:type="spellEnd"/>
      <w:r>
        <w:rPr>
          <w:rFonts w:ascii="Times New Roman" w:eastAsia="Times New Roman" w:hAnsi="Times New Roman" w:cs="Times New Roman"/>
        </w:rPr>
        <w:t>) are positively and significantly associated with change in current year dividends in both time periods, with no significant change in the coefficients across regimes. The speed of adjustment coefficient, (-α</w:t>
      </w:r>
      <w:r>
        <w:rPr>
          <w:rFonts w:ascii="Times New Roman" w:eastAsia="Times New Roman" w:hAnsi="Times New Roman" w:cs="Times New Roman"/>
          <w:vertAlign w:val="subscript"/>
        </w:rPr>
        <w:t>2</w:t>
      </w:r>
      <w:r>
        <w:rPr>
          <w:rFonts w:ascii="Times New Roman" w:eastAsia="Times New Roman" w:hAnsi="Times New Roman" w:cs="Times New Roman"/>
        </w:rPr>
        <w:t>) is significantly smaller in the second period, reducing from 0.</w:t>
      </w:r>
      <w:r w:rsidR="00DD4238">
        <w:rPr>
          <w:rFonts w:ascii="Times New Roman" w:eastAsia="Times New Roman" w:hAnsi="Times New Roman" w:cs="Times New Roman"/>
        </w:rPr>
        <w:t>198</w:t>
      </w:r>
      <w:r>
        <w:rPr>
          <w:rFonts w:ascii="Times New Roman" w:eastAsia="Times New Roman" w:hAnsi="Times New Roman" w:cs="Times New Roman"/>
        </w:rPr>
        <w:t xml:space="preserve"> to 0.1</w:t>
      </w:r>
      <w:r w:rsidR="00DD4238">
        <w:rPr>
          <w:rFonts w:ascii="Times New Roman" w:eastAsia="Times New Roman" w:hAnsi="Times New Roman" w:cs="Times New Roman"/>
        </w:rPr>
        <w:t>11</w:t>
      </w:r>
      <w:r>
        <w:rPr>
          <w:rFonts w:ascii="Times New Roman" w:eastAsia="Times New Roman" w:hAnsi="Times New Roman" w:cs="Times New Roman"/>
        </w:rPr>
        <w:t>, indicating that the rate at which changes in profits are paid out in dividends has slowed post-2003.</w:t>
      </w:r>
      <w:r w:rsidR="007F34F4">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A positive constant in this model can be interpreted as reflecting a general managerial preference to increase, rather than reduce, dividends (Lintner, 1956: 107). The results on α</w:t>
      </w:r>
      <w:r>
        <w:rPr>
          <w:rFonts w:ascii="Times New Roman" w:eastAsia="Times New Roman" w:hAnsi="Times New Roman" w:cs="Times New Roman"/>
          <w:vertAlign w:val="subscript"/>
        </w:rPr>
        <w:t xml:space="preserve">0 </w:t>
      </w:r>
      <w:r>
        <w:rPr>
          <w:rFonts w:ascii="Times New Roman" w:eastAsia="Times New Roman" w:hAnsi="Times New Roman" w:cs="Times New Roman"/>
        </w:rPr>
        <w:t xml:space="preserve">in Panel A therefore suggest that this managerial preference is no longer significant in the UK, that is, that managers are just as likely to cut as to increase dividends in our later sample period. This change in attitude may account in part for the steep increase in target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ratios between our time periods. The target ratio, </w:t>
      </w:r>
      <w:r>
        <w:rPr>
          <w:rFonts w:ascii="Times New Roman" w:eastAsia="Times New Roman" w:hAnsi="Times New Roman" w:cs="Times New Roman"/>
          <w:i/>
        </w:rPr>
        <w:t>r</w:t>
      </w:r>
      <w:r>
        <w:rPr>
          <w:rFonts w:ascii="Times New Roman" w:eastAsia="Times New Roman" w:hAnsi="Times New Roman" w:cs="Times New Roman"/>
        </w:rPr>
        <w:t>, is calculated as α</w:t>
      </w:r>
      <w:r>
        <w:rPr>
          <w:rFonts w:ascii="Times New Roman" w:eastAsia="Times New Roman" w:hAnsi="Times New Roman" w:cs="Times New Roman"/>
          <w:vertAlign w:val="subscript"/>
        </w:rPr>
        <w:t>1</w:t>
      </w:r>
      <w:r>
        <w:rPr>
          <w:rFonts w:ascii="Times New Roman" w:eastAsia="Times New Roman" w:hAnsi="Times New Roman" w:cs="Times New Roman"/>
        </w:rPr>
        <w:t>/-α</w:t>
      </w:r>
      <w:r>
        <w:rPr>
          <w:rFonts w:ascii="Times New Roman" w:eastAsia="Times New Roman" w:hAnsi="Times New Roman" w:cs="Times New Roman"/>
          <w:vertAlign w:val="subscript"/>
        </w:rPr>
        <w:t xml:space="preserve">2 </w:t>
      </w:r>
      <w:r>
        <w:rPr>
          <w:rFonts w:ascii="Times New Roman" w:eastAsia="Times New Roman" w:hAnsi="Times New Roman" w:cs="Times New Roman"/>
        </w:rPr>
        <w:t xml:space="preserve">and reported in the table. It can be seen that the average target ratio has increased from </w:t>
      </w:r>
      <w:r w:rsidR="00DD4238">
        <w:rPr>
          <w:rFonts w:ascii="Times New Roman" w:eastAsia="Times New Roman" w:hAnsi="Times New Roman" w:cs="Times New Roman"/>
        </w:rPr>
        <w:t>39.9</w:t>
      </w:r>
      <w:r>
        <w:rPr>
          <w:rFonts w:ascii="Times New Roman" w:eastAsia="Times New Roman" w:hAnsi="Times New Roman" w:cs="Times New Roman"/>
        </w:rPr>
        <w:t xml:space="preserve">% pre-reform to </w:t>
      </w:r>
      <w:r w:rsidR="00DD4238">
        <w:rPr>
          <w:rFonts w:ascii="Times New Roman" w:eastAsia="Times New Roman" w:hAnsi="Times New Roman" w:cs="Times New Roman"/>
        </w:rPr>
        <w:t>75.7</w:t>
      </w:r>
      <w:r>
        <w:rPr>
          <w:rFonts w:ascii="Times New Roman" w:eastAsia="Times New Roman" w:hAnsi="Times New Roman" w:cs="Times New Roman"/>
        </w:rPr>
        <w:t xml:space="preserve">% post-reform. Thus, firms aim to pay out more of their earnings in dividends since the </w:t>
      </w:r>
      <w:r w:rsidR="00DD4238">
        <w:rPr>
          <w:rFonts w:ascii="Times New Roman" w:eastAsia="Times New Roman" w:hAnsi="Times New Roman" w:cs="Times New Roman"/>
        </w:rPr>
        <w:t>reform but</w:t>
      </w:r>
      <w:r>
        <w:rPr>
          <w:rFonts w:ascii="Times New Roman" w:eastAsia="Times New Roman" w:hAnsi="Times New Roman" w:cs="Times New Roman"/>
        </w:rPr>
        <w:t xml:space="preserve"> are doing so more slowly. In Section 3 we developed the prediction that, if share repurchases are used as substitutes for dividends in the UK since the reforms, then we would expect to observe a reduction in both the speed of adjustment of dividends to earnings, and the target dividend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ratio. Whilst we observe the first, the latter is </w:t>
      </w:r>
      <w:r>
        <w:rPr>
          <w:rFonts w:ascii="Times New Roman" w:eastAsia="Times New Roman" w:hAnsi="Times New Roman" w:cs="Times New Roman"/>
        </w:rPr>
        <w:lastRenderedPageBreak/>
        <w:t xml:space="preserve">emphatically contradicted, so we are unable to make any unambiguous conclusion regarding </w:t>
      </w:r>
      <w:r>
        <w:rPr>
          <w:rFonts w:ascii="Times New Roman" w:eastAsia="Times New Roman" w:hAnsi="Times New Roman" w:cs="Times New Roman"/>
          <w:i/>
        </w:rPr>
        <w:t>H5</w:t>
      </w:r>
      <w:r>
        <w:rPr>
          <w:rFonts w:ascii="Times New Roman" w:eastAsia="Times New Roman" w:hAnsi="Times New Roman" w:cs="Times New Roman"/>
        </w:rPr>
        <w:t xml:space="preserve"> from Panel A.</w:t>
      </w:r>
    </w:p>
    <w:p w14:paraId="6E2FEA9D" w14:textId="77777777" w:rsidR="00A707CF" w:rsidRDefault="0055054A" w:rsidP="00E87442">
      <w:pPr>
        <w:spacing w:after="120" w:line="480" w:lineRule="auto"/>
        <w:ind w:firstLine="397"/>
        <w:jc w:val="center"/>
        <w:rPr>
          <w:rFonts w:ascii="Times New Roman" w:eastAsia="Times New Roman" w:hAnsi="Times New Roman" w:cs="Times New Roman"/>
        </w:rPr>
      </w:pPr>
      <w:r>
        <w:rPr>
          <w:rFonts w:ascii="Times New Roman" w:eastAsia="Times New Roman" w:hAnsi="Times New Roman" w:cs="Times New Roman"/>
        </w:rPr>
        <w:t>[TABLE 8 HERE]</w:t>
      </w:r>
    </w:p>
    <w:p w14:paraId="3F486A84" w14:textId="00A0EE13"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Panel B reports the results of Model (4) which incorporates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in place of dividends. Again, earnings are significantly positively associated with the change in amounts disbursed to shareholders by dividends plus repurchases, and there is no change in the coefficient across time. Our prediction here is that, if repurchases substitute for dividends, there should be no change in the parameters of Model (4) across time periods. However, this is not the case. The speed of adjustment measure (-α</w:t>
      </w:r>
      <w:r>
        <w:rPr>
          <w:rFonts w:ascii="Times New Roman" w:eastAsia="Times New Roman" w:hAnsi="Times New Roman" w:cs="Times New Roman"/>
          <w:vertAlign w:val="subscript"/>
        </w:rPr>
        <w:t>2</w:t>
      </w:r>
      <w:r>
        <w:rPr>
          <w:rFonts w:ascii="Times New Roman" w:eastAsia="Times New Roman" w:hAnsi="Times New Roman" w:cs="Times New Roman"/>
        </w:rPr>
        <w:t xml:space="preserve">) for total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reduces significantly in the second period, from 0.357 to 0.22</w:t>
      </w:r>
      <w:r w:rsidR="00DD4238">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Further, the positive significant constant in the first period becomes insignificantly different from zero following the reforms. The explanatory power of both models is smaller post-2003, dropping from 2</w:t>
      </w:r>
      <w:r w:rsidR="00DD4238">
        <w:rPr>
          <w:rFonts w:ascii="Times New Roman" w:eastAsia="Times New Roman" w:hAnsi="Times New Roman" w:cs="Times New Roman"/>
        </w:rPr>
        <w:t>4.7</w:t>
      </w:r>
      <w:r>
        <w:rPr>
          <w:rFonts w:ascii="Times New Roman" w:eastAsia="Times New Roman" w:hAnsi="Times New Roman" w:cs="Times New Roman"/>
        </w:rPr>
        <w:t>% to 1</w:t>
      </w:r>
      <w:r w:rsidR="00DD4238">
        <w:rPr>
          <w:rFonts w:ascii="Times New Roman" w:eastAsia="Times New Roman" w:hAnsi="Times New Roman" w:cs="Times New Roman"/>
        </w:rPr>
        <w:t>8.3</w:t>
      </w:r>
      <w:r>
        <w:rPr>
          <w:rFonts w:ascii="Times New Roman" w:eastAsia="Times New Roman" w:hAnsi="Times New Roman" w:cs="Times New Roman"/>
        </w:rPr>
        <w:t>% for Model (3), and from 2</w:t>
      </w:r>
      <w:r w:rsidR="00DD4238">
        <w:rPr>
          <w:rFonts w:ascii="Times New Roman" w:eastAsia="Times New Roman" w:hAnsi="Times New Roman" w:cs="Times New Roman"/>
        </w:rPr>
        <w:t>6</w:t>
      </w:r>
      <w:r>
        <w:rPr>
          <w:rFonts w:ascii="Times New Roman" w:eastAsia="Times New Roman" w:hAnsi="Times New Roman" w:cs="Times New Roman"/>
        </w:rPr>
        <w:t>% to 18</w:t>
      </w:r>
      <w:r w:rsidR="00DD4238">
        <w:rPr>
          <w:rFonts w:ascii="Times New Roman" w:eastAsia="Times New Roman" w:hAnsi="Times New Roman" w:cs="Times New Roman"/>
        </w:rPr>
        <w:t>.8</w:t>
      </w:r>
      <w:r>
        <w:rPr>
          <w:rFonts w:ascii="Times New Roman" w:eastAsia="Times New Roman" w:hAnsi="Times New Roman" w:cs="Times New Roman"/>
        </w:rPr>
        <w:t>% for Model (4). The model therefore has much lower explanatory power in the UK than in the US, where Skinner (2008) reports R</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xml:space="preserve">values of over 30% for his Lintner tests both of dividends and total </w:t>
      </w:r>
      <w:proofErr w:type="spellStart"/>
      <w:r>
        <w:rPr>
          <w:rFonts w:ascii="Times New Roman" w:eastAsia="Times New Roman" w:hAnsi="Times New Roman" w:cs="Times New Roman"/>
        </w:rPr>
        <w:t>payouts</w:t>
      </w:r>
      <w:proofErr w:type="spellEnd"/>
      <w:r>
        <w:rPr>
          <w:rFonts w:ascii="Times New Roman" w:eastAsia="Times New Roman" w:hAnsi="Times New Roman" w:cs="Times New Roman"/>
        </w:rPr>
        <w:t xml:space="preserve"> when using annual data.</w:t>
      </w:r>
    </w:p>
    <w:p w14:paraId="582B2FEE"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Although the Lintner tests reveal some interesting changes in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attitudes and practices in UK firms across our two time periods, they fail to provide strong evidence of dividend substitution in this environment. </w:t>
      </w:r>
    </w:p>
    <w:p w14:paraId="0BDA9F78" w14:textId="77777777" w:rsidR="00A707CF" w:rsidRDefault="0055054A" w:rsidP="00E87442">
      <w:pPr>
        <w:spacing w:after="120" w:line="480" w:lineRule="auto"/>
        <w:jc w:val="both"/>
        <w:rPr>
          <w:rFonts w:ascii="Times New Roman" w:eastAsia="Times New Roman" w:hAnsi="Times New Roman" w:cs="Times New Roman"/>
          <w:b/>
        </w:rPr>
      </w:pPr>
      <w:r>
        <w:rPr>
          <w:rFonts w:ascii="Times New Roman" w:eastAsia="Times New Roman" w:hAnsi="Times New Roman" w:cs="Times New Roman"/>
          <w:b/>
        </w:rPr>
        <w:t>6. Additional Analyses</w:t>
      </w:r>
    </w:p>
    <w:p w14:paraId="5D24888C" w14:textId="3EFC5A1C"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Our sample period spans the global financial crisis. Figure </w:t>
      </w:r>
      <w:r w:rsidR="00EF1B1C">
        <w:rPr>
          <w:rFonts w:ascii="Times New Roman" w:eastAsia="Times New Roman" w:hAnsi="Times New Roman" w:cs="Times New Roman"/>
        </w:rPr>
        <w:t>One</w:t>
      </w:r>
      <w:r>
        <w:rPr>
          <w:rFonts w:ascii="Times New Roman" w:eastAsia="Times New Roman" w:hAnsi="Times New Roman" w:cs="Times New Roman"/>
        </w:rPr>
        <w:t xml:space="preserve"> shows a marked decrease in share repurchase activity during the UK recession years of 2008 and 2009. We therefore repeat the tests reported in Tables 6 to 8 after the exclusion of these two years. The exclusion makes no discernible difference to the results in any of the tables; the sizes of the coefficients and their </w:t>
      </w:r>
      <w:r>
        <w:rPr>
          <w:rFonts w:ascii="Times New Roman" w:eastAsia="Times New Roman" w:hAnsi="Times New Roman" w:cs="Times New Roman"/>
          <w:i/>
        </w:rPr>
        <w:t>p</w:t>
      </w:r>
      <w:r>
        <w:rPr>
          <w:rFonts w:ascii="Times New Roman" w:eastAsia="Times New Roman" w:hAnsi="Times New Roman" w:cs="Times New Roman"/>
        </w:rPr>
        <w:t xml:space="preserve">-values are very similar and there is no change in their signs. </w:t>
      </w:r>
      <w:r w:rsidR="00B857A4">
        <w:rPr>
          <w:rFonts w:ascii="Times New Roman" w:eastAsia="Times New Roman" w:hAnsi="Times New Roman" w:cs="Times New Roman"/>
        </w:rPr>
        <w:t>We also repeat these tests after excluding loss-making firm years and our results again remain similar.</w:t>
      </w:r>
    </w:p>
    <w:p w14:paraId="64ACD2CD" w14:textId="51044AE1" w:rsidR="00B857A4" w:rsidRPr="00F179D1" w:rsidRDefault="00B857A4"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then repeat our tests using a sample which is balanced in time around the year of reforms, 2000-2006. </w:t>
      </w:r>
      <w:r w:rsidR="00F179D1">
        <w:rPr>
          <w:rFonts w:ascii="Times New Roman" w:eastAsia="Times New Roman" w:hAnsi="Times New Roman" w:cs="Times New Roman"/>
        </w:rPr>
        <w:t xml:space="preserve">There is no change to the sign of any of the coefficients, and significance levels remain similar, except for the </w:t>
      </w:r>
      <w:r w:rsidR="00F179D1">
        <w:rPr>
          <w:rFonts w:ascii="Times New Roman" w:eastAsia="Times New Roman" w:hAnsi="Times New Roman" w:cs="Times New Roman"/>
        </w:rPr>
        <w:lastRenderedPageBreak/>
        <w:t xml:space="preserve">following: in the restricted sample, </w:t>
      </w:r>
      <w:r w:rsidR="00F179D1" w:rsidRPr="00F179D1">
        <w:rPr>
          <w:rFonts w:ascii="Times New Roman" w:eastAsia="Times New Roman" w:hAnsi="Times New Roman" w:cs="Times New Roman"/>
          <w:i/>
          <w:iCs/>
        </w:rPr>
        <w:t>MTBIND</w:t>
      </w:r>
      <w:r w:rsidR="00F179D1" w:rsidRPr="00F179D1">
        <w:rPr>
          <w:rFonts w:ascii="Times New Roman" w:eastAsia="Times New Roman" w:hAnsi="Times New Roman" w:cs="Times New Roman"/>
          <w:i/>
          <w:iCs/>
          <w:vertAlign w:val="subscript"/>
        </w:rPr>
        <w:t xml:space="preserve">t-1 </w:t>
      </w:r>
      <w:r w:rsidR="00F179D1">
        <w:rPr>
          <w:rFonts w:ascii="Times New Roman" w:eastAsia="Times New Roman" w:hAnsi="Times New Roman" w:cs="Times New Roman"/>
        </w:rPr>
        <w:t xml:space="preserve">is not significantly associated with the propensity of firms to make repurchases in the post-reform sample (2004-2006); </w:t>
      </w:r>
      <w:r w:rsidR="00F179D1" w:rsidRPr="00F179D1">
        <w:rPr>
          <w:rFonts w:ascii="Times New Roman" w:eastAsia="Times New Roman" w:hAnsi="Times New Roman" w:cs="Times New Roman"/>
          <w:i/>
          <w:iCs/>
        </w:rPr>
        <w:t>ABRET</w:t>
      </w:r>
      <w:r w:rsidR="00F179D1" w:rsidRPr="00F179D1">
        <w:rPr>
          <w:rFonts w:ascii="Times New Roman" w:eastAsia="Times New Roman" w:hAnsi="Times New Roman" w:cs="Times New Roman"/>
          <w:i/>
          <w:iCs/>
          <w:vertAlign w:val="subscript"/>
        </w:rPr>
        <w:t>t-1</w:t>
      </w:r>
      <w:r w:rsidR="00F179D1">
        <w:rPr>
          <w:rFonts w:ascii="Times New Roman" w:eastAsia="Times New Roman" w:hAnsi="Times New Roman" w:cs="Times New Roman"/>
          <w:i/>
          <w:iCs/>
        </w:rPr>
        <w:t xml:space="preserve"> </w:t>
      </w:r>
      <w:r w:rsidR="00F179D1">
        <w:rPr>
          <w:rFonts w:ascii="Times New Roman" w:eastAsia="Times New Roman" w:hAnsi="Times New Roman" w:cs="Times New Roman"/>
        </w:rPr>
        <w:t xml:space="preserve">is significantly negatively associated with the amount of profits distributed by way of share repurchases post-reform; and the coefficient on </w:t>
      </w:r>
      <w:r w:rsidR="00F179D1" w:rsidRPr="00F179D1">
        <w:rPr>
          <w:rFonts w:ascii="Times New Roman" w:eastAsia="Times New Roman" w:hAnsi="Times New Roman" w:cs="Times New Roman"/>
          <w:i/>
          <w:iCs/>
        </w:rPr>
        <w:t>PROPNED</w:t>
      </w:r>
      <w:r w:rsidR="00F179D1" w:rsidRPr="00F179D1">
        <w:rPr>
          <w:rFonts w:ascii="Times New Roman" w:eastAsia="Times New Roman" w:hAnsi="Times New Roman" w:cs="Times New Roman"/>
          <w:i/>
          <w:iCs/>
          <w:vertAlign w:val="subscript"/>
        </w:rPr>
        <w:t>t-1</w:t>
      </w:r>
      <w:r w:rsidR="00F179D1">
        <w:rPr>
          <w:rFonts w:ascii="Times New Roman" w:eastAsia="Times New Roman" w:hAnsi="Times New Roman" w:cs="Times New Roman"/>
          <w:i/>
          <w:iCs/>
          <w:vertAlign w:val="subscript"/>
        </w:rPr>
        <w:t xml:space="preserve"> </w:t>
      </w:r>
      <w:r w:rsidR="00F179D1">
        <w:rPr>
          <w:rFonts w:ascii="Times New Roman" w:eastAsia="Times New Roman" w:hAnsi="Times New Roman" w:cs="Times New Roman"/>
        </w:rPr>
        <w:t xml:space="preserve">is not significantly associated with the propensity to repurchase post-reform, in these earlier years. </w:t>
      </w:r>
    </w:p>
    <w:p w14:paraId="0F9B7E35" w14:textId="5CCA93BF" w:rsidR="00A707CF" w:rsidRDefault="0055054A" w:rsidP="00E87442">
      <w:pPr>
        <w:spacing w:after="120" w:line="480" w:lineRule="auto"/>
        <w:ind w:firstLine="397"/>
        <w:jc w:val="both"/>
        <w:rPr>
          <w:rFonts w:ascii="Times New Roman" w:eastAsia="Times New Roman" w:hAnsi="Times New Roman" w:cs="Times New Roman"/>
        </w:rPr>
      </w:pPr>
      <w:proofErr w:type="gramStart"/>
      <w:r>
        <w:rPr>
          <w:rFonts w:ascii="Times New Roman" w:eastAsia="Times New Roman" w:hAnsi="Times New Roman" w:cs="Times New Roman"/>
        </w:rPr>
        <w:t>We  substitute</w:t>
      </w:r>
      <w:proofErr w:type="gramEnd"/>
      <w:r>
        <w:rPr>
          <w:rFonts w:ascii="Times New Roman" w:eastAsia="Times New Roman" w:hAnsi="Times New Roman" w:cs="Times New Roman"/>
        </w:rPr>
        <w:t xml:space="preserve"> a measure of capital expenditure (</w:t>
      </w:r>
      <w:r>
        <w:rPr>
          <w:rFonts w:ascii="Times New Roman" w:eastAsia="Times New Roman" w:hAnsi="Times New Roman" w:cs="Times New Roman"/>
          <w:i/>
        </w:rPr>
        <w:t>CAPEX</w:t>
      </w:r>
      <w:r>
        <w:rPr>
          <w:rFonts w:ascii="Times New Roman" w:eastAsia="Times New Roman" w:hAnsi="Times New Roman" w:cs="Times New Roman"/>
        </w:rPr>
        <w:t xml:space="preserve">) as used by Lee and Suh (2011) for </w:t>
      </w:r>
      <w:r>
        <w:rPr>
          <w:rFonts w:ascii="Times New Roman" w:eastAsia="Times New Roman" w:hAnsi="Times New Roman" w:cs="Times New Roman"/>
          <w:i/>
        </w:rPr>
        <w:t>MTBIND</w:t>
      </w:r>
      <w:r>
        <w:rPr>
          <w:rFonts w:ascii="Times New Roman" w:eastAsia="Times New Roman" w:hAnsi="Times New Roman" w:cs="Times New Roman"/>
        </w:rPr>
        <w:t xml:space="preserve"> and re-run the tests from Table 6 and 7.  CAPEX is not significantly associated with share repurchase activity, except for in the amount of repurchase in the pre-reform period, i.e. the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model for Regime 1. Here, it obtains a coefficient of -4.383 and a </w:t>
      </w:r>
      <w:r>
        <w:rPr>
          <w:rFonts w:ascii="Times New Roman" w:eastAsia="Times New Roman" w:hAnsi="Times New Roman" w:cs="Times New Roman"/>
          <w:i/>
        </w:rPr>
        <w:t>p</w:t>
      </w:r>
      <w:r>
        <w:rPr>
          <w:rFonts w:ascii="Times New Roman" w:eastAsia="Times New Roman" w:hAnsi="Times New Roman" w:cs="Times New Roman"/>
        </w:rPr>
        <w:t>-value of 0.098. All other variable coefficients are unaffected by the substitution.</w:t>
      </w:r>
    </w:p>
    <w:p w14:paraId="5B4582C8" w14:textId="2D569762"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If the determinants of dividends overlap with those for repurchases, so both types of </w:t>
      </w:r>
      <w:proofErr w:type="spellStart"/>
      <w:proofErr w:type="gramStart"/>
      <w:r>
        <w:rPr>
          <w:rFonts w:ascii="Times New Roman" w:eastAsia="Times New Roman" w:hAnsi="Times New Roman" w:cs="Times New Roman"/>
        </w:rPr>
        <w:t>payout</w:t>
      </w:r>
      <w:proofErr w:type="spellEnd"/>
      <w:proofErr w:type="gramEnd"/>
      <w:r>
        <w:rPr>
          <w:rFonts w:ascii="Times New Roman" w:eastAsia="Times New Roman" w:hAnsi="Times New Roman" w:cs="Times New Roman"/>
        </w:rPr>
        <w:t xml:space="preserve"> are simultaneously determined, then the inclusion of current year dividends (included to test H5) on the </w:t>
      </w:r>
      <w:r w:rsidR="000E7493">
        <w:rPr>
          <w:rFonts w:ascii="Times New Roman" w:eastAsia="Times New Roman" w:hAnsi="Times New Roman" w:cs="Times New Roman"/>
        </w:rPr>
        <w:t>right-hand</w:t>
      </w:r>
      <w:r>
        <w:rPr>
          <w:rFonts w:ascii="Times New Roman" w:eastAsia="Times New Roman" w:hAnsi="Times New Roman" w:cs="Times New Roman"/>
        </w:rPr>
        <w:t xml:space="preserve"> side of Equations 5 and 6 may introduce endogeneity.  We address this by testing a model of the determinants of share repurchases as a proportion of total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as per Fenn and Liang (2001), noting that this introduces a potential bias due to the exclusion of 1,152 zero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observations. </w:t>
      </w:r>
    </w:p>
    <w:p w14:paraId="4DF12F9A" w14:textId="551473F3" w:rsidR="00A707CF" w:rsidRPr="00DD13DE" w:rsidRDefault="0055054A" w:rsidP="00DD13DE">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use a two-sided </w:t>
      </w:r>
      <w:proofErr w:type="spellStart"/>
      <w:r>
        <w:rPr>
          <w:rFonts w:ascii="Times New Roman" w:eastAsia="Times New Roman" w:hAnsi="Times New Roman" w:cs="Times New Roman"/>
        </w:rPr>
        <w:t>tobit</w:t>
      </w:r>
      <w:proofErr w:type="spellEnd"/>
      <w:r>
        <w:rPr>
          <w:rFonts w:ascii="Times New Roman" w:eastAsia="Times New Roman" w:hAnsi="Times New Roman" w:cs="Times New Roman"/>
        </w:rPr>
        <w:t xml:space="preserve"> regression, with the dependent variable, share repurchase ratio (</w:t>
      </w:r>
      <w:r>
        <w:rPr>
          <w:rFonts w:ascii="Times New Roman" w:eastAsia="Times New Roman" w:hAnsi="Times New Roman" w:cs="Times New Roman"/>
          <w:i/>
        </w:rPr>
        <w:t>SP/TP</w:t>
      </w:r>
      <w:r>
        <w:rPr>
          <w:rFonts w:ascii="Times New Roman" w:eastAsia="Times New Roman" w:hAnsi="Times New Roman" w:cs="Times New Roman"/>
        </w:rPr>
        <w:t>), censored at both zero and one. We also include lagged repurchase ratio</w:t>
      </w:r>
      <w:r>
        <w:rPr>
          <w:rFonts w:ascii="Times New Roman" w:eastAsia="Times New Roman" w:hAnsi="Times New Roman" w:cs="Times New Roman"/>
          <w:i/>
        </w:rPr>
        <w:t xml:space="preserve"> </w:t>
      </w:r>
      <w:r>
        <w:rPr>
          <w:rFonts w:ascii="Times New Roman" w:eastAsia="Times New Roman" w:hAnsi="Times New Roman" w:cs="Times New Roman"/>
        </w:rPr>
        <w:t>as an independent variable,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36"/>
      </w:tblGrid>
      <w:tr w:rsidR="00DD13DE" w14:paraId="343FC7C4" w14:textId="77777777" w:rsidTr="00DD13DE">
        <w:tc>
          <w:tcPr>
            <w:tcW w:w="8472" w:type="dxa"/>
          </w:tcPr>
          <w:p w14:paraId="3F1284A4" w14:textId="5FCAB0CF" w:rsidR="00DD13DE" w:rsidRDefault="00C46A1E" w:rsidP="00E87442">
            <w:pPr>
              <w:spacing w:after="120" w:line="480" w:lineRule="auto"/>
              <w:jc w:val="right"/>
              <w:rPr>
                <w:rFonts w:ascii="Times New Roman" w:eastAsia="Times New Roman" w:hAnsi="Times New Roman" w:cs="Times New Roman"/>
              </w:rPr>
            </w:pPr>
            <m:oMathPara>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SP/TP</m:t>
                    </m:r>
                  </m:e>
                  <m:sub>
                    <m:r>
                      <w:rPr>
                        <w:rFonts w:ascii="Cambria Math" w:eastAsia="Cambria Math" w:hAnsi="Cambria Math" w:cs="Cambria Math"/>
                        <w:sz w:val="18"/>
                        <w:szCs w:val="18"/>
                      </w:rPr>
                      <m:t>i,t</m:t>
                    </m:r>
                  </m:sub>
                </m:sSub>
                <m:r>
                  <w:rPr>
                    <w:rFonts w:ascii="Cambria Math" w:eastAsia="Cambria Math" w:hAnsi="Cambria Math" w:cs="Cambria Math"/>
                    <w:sz w:val="18"/>
                    <w:szCs w:val="18"/>
                  </w:rPr>
                  <m:t xml:space="preserve">= </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0</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1</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LEVIND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2</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XSCASH</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3</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CFO/TA</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4</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MTBIND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5</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ABRET</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6</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ROA</m:t>
                    </m:r>
                  </m:e>
                  <m:sub>
                    <m:r>
                      <w:rPr>
                        <w:rFonts w:ascii="Cambria Math" w:eastAsia="Cambria Math" w:hAnsi="Cambria Math" w:cs="Cambria Math"/>
                        <w:sz w:val="18"/>
                        <w:szCs w:val="18"/>
                      </w:rPr>
                      <m:t>i,t</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7</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SP/TP</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8</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BOARDOWN</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9</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PROPNED</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10</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ESO</m:t>
                    </m:r>
                  </m:e>
                  <m:sub>
                    <m:r>
                      <w:rPr>
                        <w:rFonts w:ascii="Cambria Math" w:eastAsia="Cambria Math" w:hAnsi="Cambria Math" w:cs="Cambria Math"/>
                        <w:sz w:val="18"/>
                        <w:szCs w:val="18"/>
                      </w:rPr>
                      <m:t>i,t-1</m:t>
                    </m:r>
                  </m:sub>
                </m:sSub>
                <m:r>
                  <w:rPr>
                    <w:rFonts w:ascii="Cambria Math" w:eastAsia="Cambria Math" w:hAnsi="Cambria Math" w:cs="Cambria Math"/>
                    <w:sz w:val="18"/>
                    <w:szCs w:val="18"/>
                  </w:rPr>
                  <m:t>+</m:t>
                </m:r>
                <m:nary>
                  <m:naryPr>
                    <m:chr m:val="∑"/>
                    <m:ctrlPr>
                      <w:rPr>
                        <w:rFonts w:ascii="Cambria Math" w:eastAsia="Cambria Math" w:hAnsi="Cambria Math" w:cs="Cambria Math"/>
                        <w:sz w:val="18"/>
                        <w:szCs w:val="18"/>
                      </w:rPr>
                    </m:ctrlPr>
                  </m:naryPr>
                  <m:sub>
                    <m:r>
                      <w:rPr>
                        <w:rFonts w:ascii="Cambria Math" w:eastAsia="Cambria Math" w:hAnsi="Cambria Math" w:cs="Cambria Math"/>
                        <w:sz w:val="18"/>
                        <w:szCs w:val="18"/>
                      </w:rPr>
                      <m:t>n=1</m:t>
                    </m:r>
                  </m:sub>
                  <m:sup>
                    <m:r>
                      <w:rPr>
                        <w:rFonts w:ascii="Cambria Math" w:eastAsia="Cambria Math" w:hAnsi="Cambria Math" w:cs="Cambria Math"/>
                        <w:sz w:val="18"/>
                        <w:szCs w:val="18"/>
                      </w:rPr>
                      <m:t>N</m:t>
                    </m:r>
                  </m:sup>
                  <m:e>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n</m:t>
                        </m:r>
                      </m:sub>
                    </m:sSub>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Controls</m:t>
                        </m:r>
                      </m:e>
                      <m:sub>
                        <m:r>
                          <w:rPr>
                            <w:rFonts w:ascii="Cambria Math" w:eastAsia="Cambria Math" w:hAnsi="Cambria Math" w:cs="Cambria Math"/>
                            <w:sz w:val="18"/>
                            <w:szCs w:val="18"/>
                          </w:rPr>
                          <m:t>n,i,t-1</m:t>
                        </m:r>
                      </m:sub>
                    </m:sSub>
                  </m:e>
                </m:nary>
              </m:oMath>
            </m:oMathPara>
          </w:p>
        </w:tc>
        <w:tc>
          <w:tcPr>
            <w:tcW w:w="936" w:type="dxa"/>
          </w:tcPr>
          <w:p w14:paraId="44776A8F" w14:textId="1A0C7AE3" w:rsidR="00DD13DE" w:rsidRDefault="00DD13DE" w:rsidP="00DD13DE">
            <w:pPr>
              <w:spacing w:after="120" w:line="480" w:lineRule="auto"/>
              <w:ind w:firstLine="397"/>
              <w:jc w:val="right"/>
              <w:rPr>
                <w:rFonts w:ascii="Times New Roman" w:eastAsia="Times New Roman" w:hAnsi="Times New Roman" w:cs="Times New Roman"/>
              </w:rPr>
            </w:pPr>
            <w:r>
              <w:rPr>
                <w:rFonts w:ascii="Times New Roman" w:eastAsia="Times New Roman" w:hAnsi="Times New Roman" w:cs="Times New Roman"/>
              </w:rPr>
              <w:t>(7)</w:t>
            </w:r>
          </w:p>
        </w:tc>
      </w:tr>
    </w:tbl>
    <w:p w14:paraId="1E7FBBD1" w14:textId="77777777"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results, reported in Table 9, are consistent with those reported in our main tests and our conclusions are therefore unaffected. </w:t>
      </w:r>
    </w:p>
    <w:p w14:paraId="2554FD18" w14:textId="77777777" w:rsidR="00A707CF" w:rsidRDefault="0055054A" w:rsidP="00E87442">
      <w:pPr>
        <w:spacing w:after="120" w:line="480" w:lineRule="auto"/>
        <w:ind w:firstLine="397"/>
        <w:jc w:val="center"/>
        <w:rPr>
          <w:rFonts w:ascii="Times New Roman" w:eastAsia="Times New Roman" w:hAnsi="Times New Roman" w:cs="Times New Roman"/>
        </w:rPr>
      </w:pPr>
      <w:r>
        <w:rPr>
          <w:rFonts w:ascii="Times New Roman" w:eastAsia="Times New Roman" w:hAnsi="Times New Roman" w:cs="Times New Roman"/>
        </w:rPr>
        <w:t xml:space="preserve"> [TABLE 9 HERE]</w:t>
      </w:r>
    </w:p>
    <w:p w14:paraId="487E5616" w14:textId="77777777" w:rsidR="00A707CF" w:rsidRDefault="0055054A" w:rsidP="00E87442">
      <w:pPr>
        <w:spacing w:after="120" w:line="480" w:lineRule="auto"/>
        <w:jc w:val="both"/>
        <w:rPr>
          <w:rFonts w:ascii="Times New Roman" w:eastAsia="Times New Roman" w:hAnsi="Times New Roman" w:cs="Times New Roman"/>
          <w:b/>
        </w:rPr>
      </w:pPr>
      <w:r>
        <w:rPr>
          <w:rFonts w:ascii="Times New Roman" w:eastAsia="Times New Roman" w:hAnsi="Times New Roman" w:cs="Times New Roman"/>
          <w:b/>
        </w:rPr>
        <w:t>7. Summary and Conclusions</w:t>
      </w:r>
    </w:p>
    <w:p w14:paraId="31B97810" w14:textId="32CAAC52"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Using a comprehensive sample of UK firms over a 17-year time period, we first examine the effects of a </w:t>
      </w:r>
      <w:r w:rsidR="00647D7A">
        <w:rPr>
          <w:rFonts w:ascii="Times New Roman" w:eastAsia="Times New Roman" w:hAnsi="Times New Roman" w:cs="Times New Roman"/>
        </w:rPr>
        <w:t xml:space="preserve">2003 </w:t>
      </w:r>
      <w:r>
        <w:rPr>
          <w:rFonts w:ascii="Times New Roman" w:eastAsia="Times New Roman" w:hAnsi="Times New Roman" w:cs="Times New Roman"/>
        </w:rPr>
        <w:t>reform</w:t>
      </w:r>
      <w:r w:rsidR="00647D7A">
        <w:rPr>
          <w:rFonts w:ascii="Times New Roman" w:eastAsia="Times New Roman" w:hAnsi="Times New Roman" w:cs="Times New Roman"/>
        </w:rPr>
        <w:t>,</w:t>
      </w:r>
      <w:r>
        <w:rPr>
          <w:rFonts w:ascii="Times New Roman" w:eastAsia="Times New Roman" w:hAnsi="Times New Roman" w:cs="Times New Roman"/>
        </w:rPr>
        <w:t xml:space="preserve"> which substantially liberalised share repurchases for UK companies,</w:t>
      </w:r>
      <w:r w:rsidR="00647D7A">
        <w:rPr>
          <w:rFonts w:ascii="Times New Roman" w:eastAsia="Times New Roman" w:hAnsi="Times New Roman" w:cs="Times New Roman"/>
        </w:rPr>
        <w:t xml:space="preserve"> on their share repurchase </w:t>
      </w:r>
      <w:r w:rsidR="00647D7A">
        <w:rPr>
          <w:rFonts w:ascii="Times New Roman" w:eastAsia="Times New Roman" w:hAnsi="Times New Roman" w:cs="Times New Roman"/>
        </w:rPr>
        <w:lastRenderedPageBreak/>
        <w:t>activity, reporting</w:t>
      </w:r>
      <w:r>
        <w:rPr>
          <w:rFonts w:ascii="Times New Roman" w:eastAsia="Times New Roman" w:hAnsi="Times New Roman" w:cs="Times New Roman"/>
        </w:rPr>
        <w:t xml:space="preserve"> a substantial increase in share repurchase</w:t>
      </w:r>
      <w:r w:rsidR="00647D7A">
        <w:rPr>
          <w:rFonts w:ascii="Times New Roman" w:eastAsia="Times New Roman" w:hAnsi="Times New Roman" w:cs="Times New Roman"/>
        </w:rPr>
        <w:t>s</w:t>
      </w:r>
      <w:r>
        <w:rPr>
          <w:rFonts w:ascii="Times New Roman" w:eastAsia="Times New Roman" w:hAnsi="Times New Roman" w:cs="Times New Roman"/>
        </w:rPr>
        <w:t xml:space="preserve"> following the change in regulation. However, the proportion of income distributed </w:t>
      </w:r>
      <w:r>
        <w:rPr>
          <w:rFonts w:ascii="Times New Roman" w:eastAsia="Times New Roman" w:hAnsi="Times New Roman" w:cs="Times New Roman"/>
          <w:i/>
        </w:rPr>
        <w:t>via</w:t>
      </w:r>
      <w:r>
        <w:rPr>
          <w:rFonts w:ascii="Times New Roman" w:eastAsia="Times New Roman" w:hAnsi="Times New Roman" w:cs="Times New Roman"/>
        </w:rPr>
        <w:t xml:space="preserve"> this method remains much smaller than in the US, according to the statistics reported in Floyd </w:t>
      </w:r>
      <w:r>
        <w:rPr>
          <w:rFonts w:ascii="Times New Roman" w:eastAsia="Times New Roman" w:hAnsi="Times New Roman" w:cs="Times New Roman"/>
          <w:i/>
        </w:rPr>
        <w:t>et al</w:t>
      </w:r>
      <w:r>
        <w:rPr>
          <w:rFonts w:ascii="Times New Roman" w:eastAsia="Times New Roman" w:hAnsi="Times New Roman" w:cs="Times New Roman"/>
        </w:rPr>
        <w:t>., (2015).</w:t>
      </w:r>
    </w:p>
    <w:p w14:paraId="333FD122" w14:textId="244190CB"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We then test seven key hypotheses from prior literature, which has established, largely in the US, the following as potential determinants of repurchases: leverage (capital structure) (</w:t>
      </w:r>
      <w:r>
        <w:rPr>
          <w:rFonts w:ascii="Times New Roman" w:eastAsia="Times New Roman" w:hAnsi="Times New Roman" w:cs="Times New Roman"/>
          <w:i/>
        </w:rPr>
        <w:t>H1</w:t>
      </w:r>
      <w:r>
        <w:rPr>
          <w:rFonts w:ascii="Times New Roman" w:eastAsia="Times New Roman" w:hAnsi="Times New Roman" w:cs="Times New Roman"/>
        </w:rPr>
        <w:t>); surplus cash (</w:t>
      </w:r>
      <w:r>
        <w:rPr>
          <w:rFonts w:ascii="Times New Roman" w:eastAsia="Times New Roman" w:hAnsi="Times New Roman" w:cs="Times New Roman"/>
          <w:i/>
        </w:rPr>
        <w:t>H2</w:t>
      </w:r>
      <w:r>
        <w:rPr>
          <w:rFonts w:ascii="Times New Roman" w:eastAsia="Times New Roman" w:hAnsi="Times New Roman" w:cs="Times New Roman"/>
        </w:rPr>
        <w:t>); investment opportunities (</w:t>
      </w:r>
      <w:r>
        <w:rPr>
          <w:rFonts w:ascii="Times New Roman" w:eastAsia="Times New Roman" w:hAnsi="Times New Roman" w:cs="Times New Roman"/>
          <w:i/>
        </w:rPr>
        <w:t>H3</w:t>
      </w:r>
      <w:r>
        <w:rPr>
          <w:rFonts w:ascii="Times New Roman" w:eastAsia="Times New Roman" w:hAnsi="Times New Roman" w:cs="Times New Roman"/>
        </w:rPr>
        <w:t>); company undervaluation (</w:t>
      </w:r>
      <w:r>
        <w:rPr>
          <w:rFonts w:ascii="Times New Roman" w:eastAsia="Times New Roman" w:hAnsi="Times New Roman" w:cs="Times New Roman"/>
          <w:i/>
        </w:rPr>
        <w:t>H4</w:t>
      </w:r>
      <w:r>
        <w:rPr>
          <w:rFonts w:ascii="Times New Roman" w:eastAsia="Times New Roman" w:hAnsi="Times New Roman" w:cs="Times New Roman"/>
        </w:rPr>
        <w:t>); dividend substitution (</w:t>
      </w:r>
      <w:r>
        <w:rPr>
          <w:rFonts w:ascii="Times New Roman" w:eastAsia="Times New Roman" w:hAnsi="Times New Roman" w:cs="Times New Roman"/>
          <w:i/>
        </w:rPr>
        <w:t>H5</w:t>
      </w:r>
      <w:r>
        <w:rPr>
          <w:rFonts w:ascii="Times New Roman" w:eastAsia="Times New Roman" w:hAnsi="Times New Roman" w:cs="Times New Roman"/>
        </w:rPr>
        <w:t>); corporate governance (</w:t>
      </w:r>
      <w:r>
        <w:rPr>
          <w:rFonts w:ascii="Times New Roman" w:eastAsia="Times New Roman" w:hAnsi="Times New Roman" w:cs="Times New Roman"/>
          <w:i/>
        </w:rPr>
        <w:t>H6</w:t>
      </w:r>
      <w:r>
        <w:rPr>
          <w:rFonts w:ascii="Times New Roman" w:eastAsia="Times New Roman" w:hAnsi="Times New Roman" w:cs="Times New Roman"/>
        </w:rPr>
        <w:t>); and executive stock options (</w:t>
      </w:r>
      <w:r>
        <w:rPr>
          <w:rFonts w:ascii="Times New Roman" w:eastAsia="Times New Roman" w:hAnsi="Times New Roman" w:cs="Times New Roman"/>
          <w:i/>
        </w:rPr>
        <w:t>H7</w:t>
      </w:r>
      <w:r>
        <w:rPr>
          <w:rFonts w:ascii="Times New Roman" w:eastAsia="Times New Roman" w:hAnsi="Times New Roman" w:cs="Times New Roman"/>
        </w:rPr>
        <w:t xml:space="preserve">). Consistent with </w:t>
      </w:r>
      <w:r w:rsidR="006A047B">
        <w:rPr>
          <w:rFonts w:ascii="Times New Roman" w:eastAsia="Times New Roman" w:hAnsi="Times New Roman" w:cs="Times New Roman"/>
        </w:rPr>
        <w:t>H</w:t>
      </w:r>
      <w:r>
        <w:rPr>
          <w:rFonts w:ascii="Times New Roman" w:eastAsia="Times New Roman" w:hAnsi="Times New Roman" w:cs="Times New Roman"/>
        </w:rPr>
        <w:t xml:space="preserve">ypotheses 2, 3 and 6, we find </w:t>
      </w:r>
      <w:r w:rsidR="00647D7A">
        <w:rPr>
          <w:rFonts w:ascii="Times New Roman" w:eastAsia="Times New Roman" w:hAnsi="Times New Roman" w:cs="Times New Roman"/>
        </w:rPr>
        <w:t xml:space="preserve">evidence </w:t>
      </w:r>
      <w:r>
        <w:rPr>
          <w:rFonts w:ascii="Times New Roman" w:eastAsia="Times New Roman" w:hAnsi="Times New Roman" w:cs="Times New Roman"/>
        </w:rPr>
        <w:t xml:space="preserve">that repurchase activity is positively associated with surplus cash, a lack of investment opportunities, and board independence. </w:t>
      </w:r>
      <w:r w:rsidR="00647D7A">
        <w:rPr>
          <w:rFonts w:ascii="Times New Roman" w:eastAsia="Times New Roman" w:hAnsi="Times New Roman" w:cs="Times New Roman"/>
        </w:rPr>
        <w:t xml:space="preserve"> We also find that companies spend more on repurchases following a period of poor stock market performance, in line with the undervaluation hypothesis (</w:t>
      </w:r>
      <w:r w:rsidR="00647D7A" w:rsidRPr="00647D7A">
        <w:rPr>
          <w:rFonts w:ascii="Times New Roman" w:eastAsia="Times New Roman" w:hAnsi="Times New Roman" w:cs="Times New Roman"/>
          <w:i/>
          <w:iCs/>
        </w:rPr>
        <w:t>H4</w:t>
      </w:r>
      <w:r w:rsidR="00647D7A">
        <w:rPr>
          <w:rFonts w:ascii="Times New Roman" w:eastAsia="Times New Roman" w:hAnsi="Times New Roman" w:cs="Times New Roman"/>
        </w:rPr>
        <w:t xml:space="preserve">). </w:t>
      </w:r>
      <w:r>
        <w:rPr>
          <w:rFonts w:ascii="Times New Roman" w:eastAsia="Times New Roman" w:hAnsi="Times New Roman" w:cs="Times New Roman"/>
        </w:rPr>
        <w:t xml:space="preserve">However, we find little support for </w:t>
      </w:r>
      <w:r w:rsidR="00647D7A">
        <w:rPr>
          <w:rFonts w:ascii="Times New Roman" w:eastAsia="Times New Roman" w:hAnsi="Times New Roman" w:cs="Times New Roman"/>
        </w:rPr>
        <w:t>H</w:t>
      </w:r>
      <w:r>
        <w:rPr>
          <w:rFonts w:ascii="Times New Roman" w:eastAsia="Times New Roman" w:hAnsi="Times New Roman" w:cs="Times New Roman"/>
        </w:rPr>
        <w:t>ypotheses 1, 4, 5 and 7. That is, there is no strong association between share repurchase activity and leverage, or executive stock options, and there is no indication that share repurchases are substituting for dividends as a mechanism for returning cash to shareholders in the UK.</w:t>
      </w:r>
    </w:p>
    <w:p w14:paraId="3246DE98" w14:textId="025C8EC5"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Given the extent of the increase in share repurchase activity following the reform, we</w:t>
      </w:r>
      <w:r w:rsidR="006A047B">
        <w:rPr>
          <w:rFonts w:ascii="Times New Roman" w:eastAsia="Times New Roman" w:hAnsi="Times New Roman" w:cs="Times New Roman"/>
        </w:rPr>
        <w:t xml:space="preserve"> go on to</w:t>
      </w:r>
      <w:r>
        <w:rPr>
          <w:rFonts w:ascii="Times New Roman" w:eastAsia="Times New Roman" w:hAnsi="Times New Roman" w:cs="Times New Roman"/>
        </w:rPr>
        <w:t xml:space="preserve"> test whether there has been any change in the determinants of repurchases afterwards. Our analyses reveal that, whereas leverage was a factor in the share repurchase decision prior to the reform, with companies with low industry-adjusted gearing being more likely to buy back their own shares, this is no longer a significant factor in determining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policy at the firm level. We also find that poor prior stock market performance was significantly associated with share repurchases pre-2003, consistent with firms buying back their shares when they were undervalued but, again, this is no longer an important cause of repurchasing. Finally, board independence is only a significant determinant of repurchases post-2003, which is the year when corporate governance codes in the UK focused on the role and effectiveness of non-executive directors.  All other determinants are unchanged by the reforms. </w:t>
      </w:r>
    </w:p>
    <w:p w14:paraId="63D62D81" w14:textId="0ED20A48"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We present evidence of an important distinction between repurchase practice in the UK compared to the US. Whereas a compelling body of US evidence points to share repurchases replacing regular dividends, we find more evidence of a complementary, rather than substitutive, relationship between the two modes of </w:t>
      </w:r>
      <w:r>
        <w:rPr>
          <w:rFonts w:ascii="Times New Roman" w:eastAsia="Times New Roman" w:hAnsi="Times New Roman" w:cs="Times New Roman"/>
        </w:rPr>
        <w:lastRenderedPageBreak/>
        <w:t xml:space="preserve">shareholder distribution in the UK. Share repurchases are paid in addition to cash dividends, with cash dividends remaining relatively stable. In contrast, in the US, </w:t>
      </w:r>
      <w:r w:rsidR="001B2DD4">
        <w:rPr>
          <w:rFonts w:ascii="Times New Roman" w:eastAsia="Times New Roman" w:hAnsi="Times New Roman" w:cs="Times New Roman"/>
        </w:rPr>
        <w:t xml:space="preserve">a substantial increase in </w:t>
      </w:r>
      <w:r>
        <w:rPr>
          <w:rFonts w:ascii="Times New Roman" w:eastAsia="Times New Roman" w:hAnsi="Times New Roman" w:cs="Times New Roman"/>
        </w:rPr>
        <w:t>share repurchase</w:t>
      </w:r>
      <w:r w:rsidR="001B2DD4">
        <w:rPr>
          <w:rFonts w:ascii="Times New Roman" w:eastAsia="Times New Roman" w:hAnsi="Times New Roman" w:cs="Times New Roman"/>
        </w:rPr>
        <w:t xml:space="preserve"> activity was accompanied by a decrease in dividend </w:t>
      </w:r>
      <w:proofErr w:type="spellStart"/>
      <w:r w:rsidR="001B2DD4">
        <w:rPr>
          <w:rFonts w:ascii="Times New Roman" w:eastAsia="Times New Roman" w:hAnsi="Times New Roman" w:cs="Times New Roman"/>
        </w:rPr>
        <w:t>payouts</w:t>
      </w:r>
      <w:proofErr w:type="spellEnd"/>
      <w:r w:rsidR="001B2DD4">
        <w:rPr>
          <w:rFonts w:ascii="Times New Roman" w:eastAsia="Times New Roman" w:hAnsi="Times New Roman" w:cs="Times New Roman"/>
        </w:rPr>
        <w:t>, providing clear evidence of substitution in that environment</w:t>
      </w:r>
      <w:r>
        <w:rPr>
          <w:rFonts w:ascii="Times New Roman" w:eastAsia="Times New Roman" w:hAnsi="Times New Roman" w:cs="Times New Roman"/>
        </w:rPr>
        <w:t>.</w:t>
      </w:r>
    </w:p>
    <w:p w14:paraId="2A9CA839" w14:textId="6B25FAF8" w:rsidR="00A707CF" w:rsidRDefault="0055054A" w:rsidP="00E87442">
      <w:pPr>
        <w:spacing w:after="120" w:line="480" w:lineRule="auto"/>
        <w:ind w:firstLine="397"/>
        <w:jc w:val="both"/>
        <w:rPr>
          <w:rFonts w:ascii="Times New Roman" w:eastAsia="Times New Roman" w:hAnsi="Times New Roman" w:cs="Times New Roman"/>
        </w:rPr>
      </w:pPr>
      <w:r>
        <w:rPr>
          <w:rFonts w:ascii="Times New Roman" w:eastAsia="Times New Roman" w:hAnsi="Times New Roman" w:cs="Times New Roman"/>
        </w:rPr>
        <w:t xml:space="preserve">The contribution of this paper is to provide recent large-sample evidence of the determinants of share repurchases in the UK, examining a more comprehensive set of hypotheses than prior individual papers in the literature, and using a sample where repurchases are more prevalent than in earlier work.  We document that, even though changes to regulation make the share repurchase environment in the UK more similar to that in the US, this has not led to a convergence in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practice. We attribute this to environmental differences which affect share repurchases, including</w:t>
      </w:r>
      <w:r w:rsidR="00FC4137">
        <w:rPr>
          <w:rFonts w:ascii="Times New Roman" w:eastAsia="Times New Roman" w:hAnsi="Times New Roman" w:cs="Times New Roman"/>
        </w:rPr>
        <w:t xml:space="preserve"> a</w:t>
      </w:r>
      <w:r>
        <w:rPr>
          <w:rFonts w:ascii="Times New Roman" w:eastAsia="Times New Roman" w:hAnsi="Times New Roman" w:cs="Times New Roman"/>
        </w:rPr>
        <w:t xml:space="preserve"> high dividend </w:t>
      </w:r>
      <w:proofErr w:type="spellStart"/>
      <w:r>
        <w:rPr>
          <w:rFonts w:ascii="Times New Roman" w:eastAsia="Times New Roman" w:hAnsi="Times New Roman" w:cs="Times New Roman"/>
        </w:rPr>
        <w:t>payout</w:t>
      </w:r>
      <w:proofErr w:type="spellEnd"/>
      <w:r>
        <w:rPr>
          <w:rFonts w:ascii="Times New Roman" w:eastAsia="Times New Roman" w:hAnsi="Times New Roman" w:cs="Times New Roman"/>
        </w:rPr>
        <w:t xml:space="preserve"> tradition, ownership structure</w:t>
      </w:r>
      <w:r w:rsidR="00647D7A">
        <w:rPr>
          <w:rFonts w:ascii="Times New Roman" w:eastAsia="Times New Roman" w:hAnsi="Times New Roman" w:cs="Times New Roman"/>
        </w:rPr>
        <w:t>,</w:t>
      </w:r>
      <w:r>
        <w:rPr>
          <w:rFonts w:ascii="Times New Roman" w:eastAsia="Times New Roman" w:hAnsi="Times New Roman" w:cs="Times New Roman"/>
        </w:rPr>
        <w:t xml:space="preserve"> and the structure of executive remuneration.</w:t>
      </w:r>
      <w:r>
        <w:br w:type="page"/>
      </w:r>
    </w:p>
    <w:p w14:paraId="56EE5DEF" w14:textId="77777777" w:rsidR="00A707CF" w:rsidRDefault="0055054A" w:rsidP="00E87442">
      <w:pPr>
        <w:spacing w:after="120" w:line="480" w:lineRule="auto"/>
        <w:ind w:left="720" w:hanging="720"/>
        <w:jc w:val="both"/>
        <w:rPr>
          <w:b/>
          <w:smallCaps/>
        </w:rPr>
      </w:pPr>
      <w:r>
        <w:rPr>
          <w:b/>
          <w:smallCaps/>
        </w:rPr>
        <w:lastRenderedPageBreak/>
        <w:t>References</w:t>
      </w:r>
    </w:p>
    <w:p w14:paraId="4E2E5CA6" w14:textId="71F7580E" w:rsidR="00DC20CC" w:rsidRDefault="00DC20CC" w:rsidP="00E87442">
      <w:pPr>
        <w:widowControl w:val="0"/>
        <w:pBdr>
          <w:top w:val="nil"/>
          <w:left w:val="nil"/>
          <w:bottom w:val="nil"/>
          <w:right w:val="nil"/>
          <w:between w:val="nil"/>
        </w:pBdr>
        <w:spacing w:after="0" w:line="480" w:lineRule="auto"/>
        <w:ind w:left="720" w:hanging="720"/>
        <w:rPr>
          <w:rFonts w:ascii="Times New Roman" w:hAnsi="Times New Roman" w:cs="Times New Roman"/>
          <w:color w:val="222222"/>
          <w:shd w:val="clear" w:color="auto" w:fill="FFFFFF"/>
        </w:rPr>
      </w:pPr>
      <w:r w:rsidRPr="00DC20CC">
        <w:rPr>
          <w:rFonts w:ascii="Times New Roman" w:hAnsi="Times New Roman" w:cs="Times New Roman"/>
          <w:color w:val="222222"/>
          <w:shd w:val="clear" w:color="auto" w:fill="FFFFFF"/>
        </w:rPr>
        <w:t xml:space="preserve">Allen, F., Bernardo, A., Welch, I. </w:t>
      </w:r>
      <w:r w:rsidR="006F5E2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2000</w:t>
      </w:r>
      <w:r w:rsidR="006F5E2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6F5E2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A theory of dividends based on tax clientele</w:t>
      </w:r>
      <w:r w:rsidR="006F5E23">
        <w:rPr>
          <w:rFonts w:ascii="Times New Roman" w:hAnsi="Times New Roman" w:cs="Times New Roman"/>
          <w:color w:val="222222"/>
          <w:shd w:val="clear" w:color="auto" w:fill="FFFFFF"/>
        </w:rPr>
        <w:t>s’,</w:t>
      </w:r>
      <w:r w:rsidRPr="00DC20CC">
        <w:rPr>
          <w:rFonts w:ascii="Times New Roman" w:hAnsi="Times New Roman" w:cs="Times New Roman"/>
          <w:color w:val="222222"/>
          <w:shd w:val="clear" w:color="auto" w:fill="FFFFFF"/>
        </w:rPr>
        <w:t xml:space="preserve"> </w:t>
      </w:r>
      <w:r w:rsidRPr="006F5E23">
        <w:rPr>
          <w:rFonts w:ascii="Times New Roman" w:hAnsi="Times New Roman" w:cs="Times New Roman"/>
          <w:i/>
          <w:iCs/>
          <w:color w:val="222222"/>
          <w:shd w:val="clear" w:color="auto" w:fill="FFFFFF"/>
        </w:rPr>
        <w:t>Journal of Finance</w:t>
      </w:r>
      <w:r w:rsidRPr="00DC20CC">
        <w:rPr>
          <w:rFonts w:ascii="Times New Roman" w:hAnsi="Times New Roman" w:cs="Times New Roman"/>
          <w:color w:val="222222"/>
          <w:shd w:val="clear" w:color="auto" w:fill="FFFFFF"/>
        </w:rPr>
        <w:t xml:space="preserve"> 55, 2499</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2536.</w:t>
      </w:r>
    </w:p>
    <w:p w14:paraId="0690B0E2" w14:textId="1DADB711" w:rsidR="00061C7D" w:rsidRPr="00DC20CC" w:rsidRDefault="00061C7D" w:rsidP="00E87442">
      <w:pPr>
        <w:widowControl w:val="0"/>
        <w:pBdr>
          <w:top w:val="nil"/>
          <w:left w:val="nil"/>
          <w:bottom w:val="nil"/>
          <w:right w:val="nil"/>
          <w:between w:val="nil"/>
        </w:pBdr>
        <w:spacing w:after="0" w:line="480" w:lineRule="auto"/>
        <w:ind w:left="720" w:hanging="72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Akerlof</w:t>
      </w:r>
      <w:proofErr w:type="spellEnd"/>
      <w:r>
        <w:rPr>
          <w:rFonts w:ascii="Times New Roman" w:hAnsi="Times New Roman" w:cs="Times New Roman"/>
          <w:color w:val="222222"/>
          <w:shd w:val="clear" w:color="auto" w:fill="FFFFFF"/>
        </w:rPr>
        <w:t xml:space="preserve">, G. </w:t>
      </w:r>
      <w:r w:rsidR="00AA3195">
        <w:rPr>
          <w:rFonts w:ascii="Times New Roman" w:hAnsi="Times New Roman" w:cs="Times New Roman"/>
          <w:color w:val="222222"/>
          <w:shd w:val="clear" w:color="auto" w:fill="FFFFFF"/>
        </w:rPr>
        <w:t xml:space="preserve">(1970) ‘The market </w:t>
      </w:r>
      <w:r w:rsidR="00AA3195" w:rsidRPr="00DF0B36">
        <w:rPr>
          <w:rFonts w:ascii="Times New Roman" w:hAnsi="Times New Roman" w:cs="Times New Roman"/>
          <w:color w:val="222222"/>
          <w:shd w:val="clear" w:color="auto" w:fill="FFFFFF"/>
        </w:rPr>
        <w:t>for lemons: Qualitative uncertainty and the market mechanism’</w:t>
      </w:r>
      <w:r w:rsidR="00DF0B36">
        <w:rPr>
          <w:rFonts w:ascii="Times New Roman" w:hAnsi="Times New Roman" w:cs="Times New Roman"/>
          <w:color w:val="222222"/>
          <w:shd w:val="clear" w:color="auto" w:fill="FFFFFF"/>
        </w:rPr>
        <w:t xml:space="preserve">, </w:t>
      </w:r>
      <w:r w:rsidR="00DF0B36">
        <w:rPr>
          <w:rFonts w:ascii="Times New Roman" w:hAnsi="Times New Roman" w:cs="Times New Roman"/>
          <w:i/>
          <w:iCs/>
          <w:color w:val="222222"/>
          <w:shd w:val="clear" w:color="auto" w:fill="FFFFFF"/>
        </w:rPr>
        <w:t xml:space="preserve">Quarterly Journal of Economics </w:t>
      </w:r>
      <w:r w:rsidR="00DF0B36">
        <w:rPr>
          <w:rFonts w:ascii="Times New Roman" w:hAnsi="Times New Roman" w:cs="Times New Roman"/>
          <w:color w:val="222222"/>
          <w:shd w:val="clear" w:color="auto" w:fill="FFFFFF"/>
        </w:rPr>
        <w:t>84, 488-500</w:t>
      </w:r>
    </w:p>
    <w:p w14:paraId="119681C1" w14:textId="0585A1B5"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Andres, C., </w:t>
      </w:r>
      <w:proofErr w:type="spellStart"/>
      <w:r w:rsidRPr="00DC20CC">
        <w:rPr>
          <w:rFonts w:ascii="Times New Roman" w:eastAsia="Times New Roman" w:hAnsi="Times New Roman" w:cs="Times New Roman"/>
          <w:color w:val="000000"/>
        </w:rPr>
        <w:t>Doumet</w:t>
      </w:r>
      <w:proofErr w:type="spellEnd"/>
      <w:r w:rsidRPr="00DC20CC">
        <w:rPr>
          <w:rFonts w:ascii="Times New Roman" w:eastAsia="Times New Roman" w:hAnsi="Times New Roman" w:cs="Times New Roman"/>
          <w:color w:val="000000"/>
        </w:rPr>
        <w:t xml:space="preserve">, M., </w:t>
      </w:r>
      <w:proofErr w:type="spellStart"/>
      <w:r w:rsidRPr="00DC20CC">
        <w:rPr>
          <w:rFonts w:ascii="Times New Roman" w:eastAsia="Times New Roman" w:hAnsi="Times New Roman" w:cs="Times New Roman"/>
          <w:color w:val="000000"/>
        </w:rPr>
        <w:t>Fernau</w:t>
      </w:r>
      <w:proofErr w:type="spellEnd"/>
      <w:r w:rsidRPr="00DC20CC">
        <w:rPr>
          <w:rFonts w:ascii="Times New Roman" w:eastAsia="Times New Roman" w:hAnsi="Times New Roman" w:cs="Times New Roman"/>
          <w:color w:val="000000"/>
        </w:rPr>
        <w:t xml:space="preserve">, E., &amp; </w:t>
      </w:r>
      <w:proofErr w:type="spellStart"/>
      <w:r w:rsidRPr="00DC20CC">
        <w:rPr>
          <w:rFonts w:ascii="Times New Roman" w:eastAsia="Times New Roman" w:hAnsi="Times New Roman" w:cs="Times New Roman"/>
          <w:color w:val="000000"/>
        </w:rPr>
        <w:t>Theissen</w:t>
      </w:r>
      <w:proofErr w:type="spellEnd"/>
      <w:r w:rsidRPr="00DC20CC">
        <w:rPr>
          <w:rFonts w:ascii="Times New Roman" w:eastAsia="Times New Roman" w:hAnsi="Times New Roman" w:cs="Times New Roman"/>
          <w:color w:val="000000"/>
        </w:rPr>
        <w:t xml:space="preserve">, E. (2015) </w:t>
      </w:r>
      <w:r w:rsidR="006F5E2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The Lintner model revisited: Dividends versus total </w:t>
      </w:r>
      <w:proofErr w:type="spellStart"/>
      <w:r w:rsidRPr="00DC20CC">
        <w:rPr>
          <w:rFonts w:ascii="Times New Roman" w:eastAsia="Times New Roman" w:hAnsi="Times New Roman" w:cs="Times New Roman"/>
          <w:color w:val="000000"/>
        </w:rPr>
        <w:t>payouts</w:t>
      </w:r>
      <w:proofErr w:type="spellEnd"/>
      <w:r w:rsidR="006F5E23">
        <w:rPr>
          <w:rFonts w:ascii="Times New Roman" w:eastAsia="Times New Roman" w:hAnsi="Times New Roman" w:cs="Times New Roman"/>
          <w:color w:val="000000"/>
        </w:rPr>
        <w:t xml:space="preserve">’, </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Banking &amp; Finance</w:t>
      </w:r>
      <w:r w:rsidRPr="00DC20CC">
        <w:rPr>
          <w:rFonts w:ascii="Times New Roman" w:eastAsia="Times New Roman" w:hAnsi="Times New Roman" w:cs="Times New Roman"/>
          <w:color w:val="000000"/>
        </w:rPr>
        <w:t xml:space="preserve"> 55, 56-69. </w:t>
      </w:r>
    </w:p>
    <w:p w14:paraId="55FC7A1E" w14:textId="7D48FFDC"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Andriosopoulos</w:t>
      </w:r>
      <w:proofErr w:type="spellEnd"/>
      <w:r w:rsidRPr="00DC20CC">
        <w:rPr>
          <w:rFonts w:ascii="Times New Roman" w:eastAsia="Times New Roman" w:hAnsi="Times New Roman" w:cs="Times New Roman"/>
          <w:color w:val="000000"/>
        </w:rPr>
        <w:t xml:space="preserve">, D., &amp; Hoque, H. (2013) </w:t>
      </w:r>
      <w:r w:rsidR="006F5E2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The </w:t>
      </w:r>
      <w:proofErr w:type="gramStart"/>
      <w:r w:rsidRPr="00DC20CC">
        <w:rPr>
          <w:rFonts w:ascii="Times New Roman" w:eastAsia="Times New Roman" w:hAnsi="Times New Roman" w:cs="Times New Roman"/>
          <w:color w:val="000000"/>
        </w:rPr>
        <w:t>determinants</w:t>
      </w:r>
      <w:proofErr w:type="gramEnd"/>
      <w:r w:rsidRPr="00DC20CC">
        <w:rPr>
          <w:rFonts w:ascii="Times New Roman" w:eastAsia="Times New Roman" w:hAnsi="Times New Roman" w:cs="Times New Roman"/>
          <w:color w:val="000000"/>
        </w:rPr>
        <w:t xml:space="preserve"> of share repurchases in Europe</w:t>
      </w:r>
      <w:r w:rsidR="006F5E2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International Review of Financial Analysis</w:t>
      </w:r>
      <w:r w:rsidRPr="00DC20CC">
        <w:rPr>
          <w:rFonts w:ascii="Times New Roman" w:eastAsia="Times New Roman" w:hAnsi="Times New Roman" w:cs="Times New Roman"/>
          <w:color w:val="000000"/>
        </w:rPr>
        <w:t xml:space="preserve"> 27, 65-76.</w:t>
      </w:r>
    </w:p>
    <w:p w14:paraId="51E5A2CB" w14:textId="4BC5E40A" w:rsidR="00A707CF" w:rsidRPr="00DC20CC" w:rsidRDefault="0055054A" w:rsidP="00E87442">
      <w:pPr>
        <w:widowControl w:val="0"/>
        <w:pBdr>
          <w:top w:val="nil"/>
          <w:left w:val="nil"/>
          <w:bottom w:val="nil"/>
          <w:right w:val="nil"/>
          <w:between w:val="nil"/>
        </w:pBdr>
        <w:spacing w:after="0" w:line="480" w:lineRule="auto"/>
        <w:ind w:left="709"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Andriosopoulos</w:t>
      </w:r>
      <w:proofErr w:type="spellEnd"/>
      <w:r w:rsidRPr="00DC20CC">
        <w:rPr>
          <w:rFonts w:ascii="Times New Roman" w:eastAsia="Times New Roman" w:hAnsi="Times New Roman" w:cs="Times New Roman"/>
          <w:color w:val="000000"/>
        </w:rPr>
        <w:t xml:space="preserve">, D., &amp; </w:t>
      </w:r>
      <w:proofErr w:type="spellStart"/>
      <w:r w:rsidRPr="00DC20CC">
        <w:rPr>
          <w:rFonts w:ascii="Times New Roman" w:eastAsia="Times New Roman" w:hAnsi="Times New Roman" w:cs="Times New Roman"/>
          <w:color w:val="000000"/>
        </w:rPr>
        <w:t>Lasfer</w:t>
      </w:r>
      <w:proofErr w:type="spellEnd"/>
      <w:r w:rsidRPr="00DC20CC">
        <w:rPr>
          <w:rFonts w:ascii="Times New Roman" w:eastAsia="Times New Roman" w:hAnsi="Times New Roman" w:cs="Times New Roman"/>
          <w:color w:val="000000"/>
        </w:rPr>
        <w:t xml:space="preserve">, M. (2015) </w:t>
      </w:r>
      <w:r w:rsidR="006F5E2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The market valuation of share repurchases in Europe</w:t>
      </w:r>
      <w:r w:rsidR="006F5E2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006F5E23">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Banking &amp; Finance</w:t>
      </w:r>
      <w:r w:rsidRPr="00DC20CC">
        <w:rPr>
          <w:rFonts w:ascii="Times New Roman" w:eastAsia="Times New Roman" w:hAnsi="Times New Roman" w:cs="Times New Roman"/>
          <w:color w:val="000000"/>
        </w:rPr>
        <w:t xml:space="preserve">  55, 327-339.</w:t>
      </w:r>
    </w:p>
    <w:p w14:paraId="71A3340A" w14:textId="63BA194A"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Bank of England, 1988. Share repurchase</w:t>
      </w:r>
      <w:r w:rsidR="00F9167D">
        <w:rPr>
          <w:rFonts w:ascii="Times New Roman" w:eastAsia="Times New Roman" w:hAnsi="Times New Roman" w:cs="Times New Roman"/>
          <w:color w:val="000000"/>
        </w:rPr>
        <w:t>s</w:t>
      </w:r>
      <w:r w:rsidRPr="00DC20CC">
        <w:rPr>
          <w:rFonts w:ascii="Times New Roman" w:eastAsia="Times New Roman" w:hAnsi="Times New Roman" w:cs="Times New Roman"/>
          <w:color w:val="000000"/>
        </w:rPr>
        <w:t xml:space="preserve"> by quoted companies: a report by the City Capital Markets Committee. Bank of England Quarterly Bulletin (August).</w:t>
      </w:r>
    </w:p>
    <w:p w14:paraId="1D104BDC" w14:textId="7777777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rPr>
      </w:pPr>
      <w:r w:rsidRPr="00DC20CC">
        <w:rPr>
          <w:rFonts w:ascii="Times New Roman" w:eastAsia="Times New Roman" w:hAnsi="Times New Roman" w:cs="Times New Roman"/>
        </w:rPr>
        <w:t xml:space="preserve">BEIS Research Paper Number 2019/011 (2019). Share repurchases, executive    pay and investment, available on internet at </w:t>
      </w:r>
      <w:hyperlink r:id="rId11">
        <w:r w:rsidRPr="00DC20CC">
          <w:rPr>
            <w:rFonts w:ascii="Times New Roman" w:eastAsia="Times New Roman" w:hAnsi="Times New Roman" w:cs="Times New Roman"/>
            <w:color w:val="0000FF"/>
            <w:u w:val="single"/>
          </w:rPr>
          <w:t>https://www.gov.uk/government/publications/share-repurchases-executive-pay-and-investment</w:t>
        </w:r>
      </w:hyperlink>
      <w:r w:rsidRPr="00DC20CC">
        <w:rPr>
          <w:rFonts w:ascii="Times New Roman" w:eastAsia="Times New Roman" w:hAnsi="Times New Roman" w:cs="Times New Roman"/>
        </w:rPr>
        <w:t xml:space="preserve">. </w:t>
      </w:r>
      <w:r w:rsidRPr="00DC20CC">
        <w:rPr>
          <w:rFonts w:ascii="Times New Roman" w:eastAsia="Times New Roman" w:hAnsi="Times New Roman" w:cs="Times New Roman"/>
          <w:color w:val="000000"/>
        </w:rPr>
        <w:t>(Accessed 04.02.2020).</w:t>
      </w:r>
    </w:p>
    <w:p w14:paraId="23FC13D2" w14:textId="1CE4A2C8"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hAnsi="Times New Roman" w:cs="Times New Roman"/>
          <w:color w:val="222222"/>
          <w:shd w:val="clear" w:color="auto" w:fill="FFFFFF"/>
        </w:rPr>
        <w:t xml:space="preserve">Ben </w:t>
      </w:r>
      <w:proofErr w:type="spellStart"/>
      <w:r w:rsidRPr="00DC20CC">
        <w:rPr>
          <w:rFonts w:ascii="Times New Roman" w:hAnsi="Times New Roman" w:cs="Times New Roman"/>
          <w:color w:val="222222"/>
          <w:shd w:val="clear" w:color="auto" w:fill="FFFFFF"/>
        </w:rPr>
        <w:t>Rephael</w:t>
      </w:r>
      <w:proofErr w:type="spellEnd"/>
      <w:r w:rsidRPr="00DC20CC">
        <w:rPr>
          <w:rFonts w:ascii="Times New Roman" w:hAnsi="Times New Roman" w:cs="Times New Roman"/>
          <w:color w:val="222222"/>
          <w:shd w:val="clear" w:color="auto" w:fill="FFFFFF"/>
        </w:rPr>
        <w:t xml:space="preserve">, A., Oded, J., Wohl, A. </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2014</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Do firms buy their stock at bargain prices? Evidence from actual stock repurchase disclosures</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F9167D">
        <w:rPr>
          <w:rFonts w:ascii="Times New Roman" w:hAnsi="Times New Roman" w:cs="Times New Roman"/>
          <w:i/>
          <w:iCs/>
          <w:color w:val="222222"/>
          <w:shd w:val="clear" w:color="auto" w:fill="FFFFFF"/>
        </w:rPr>
        <w:t>Review of Finance</w:t>
      </w:r>
      <w:r w:rsidRPr="00DC20CC">
        <w:rPr>
          <w:rFonts w:ascii="Times New Roman" w:hAnsi="Times New Roman" w:cs="Times New Roman"/>
          <w:color w:val="222222"/>
          <w:shd w:val="clear" w:color="auto" w:fill="FFFFFF"/>
        </w:rPr>
        <w:t xml:space="preserve"> 18, 1299–1340.</w:t>
      </w:r>
    </w:p>
    <w:p w14:paraId="0D565C13" w14:textId="1D7DA1DC"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hAnsi="Times New Roman" w:cs="Times New Roman"/>
          <w:color w:val="222222"/>
          <w:shd w:val="clear" w:color="auto" w:fill="FFFFFF"/>
        </w:rPr>
      </w:pPr>
      <w:r w:rsidRPr="00DC20CC">
        <w:rPr>
          <w:rFonts w:ascii="Times New Roman" w:hAnsi="Times New Roman" w:cs="Times New Roman"/>
          <w:color w:val="222222"/>
          <w:shd w:val="clear" w:color="auto" w:fill="FFFFFF"/>
        </w:rPr>
        <w:t>Black, F.</w:t>
      </w:r>
      <w:r w:rsidR="00F9167D">
        <w:rPr>
          <w:rFonts w:ascii="Times New Roman" w:hAnsi="Times New Roman" w:cs="Times New Roman"/>
          <w:color w:val="222222"/>
          <w:shd w:val="clear" w:color="auto" w:fill="FFFFFF"/>
        </w:rPr>
        <w:t xml:space="preserve"> (</w:t>
      </w:r>
      <w:r w:rsidRPr="00DC20CC">
        <w:rPr>
          <w:rFonts w:ascii="Times New Roman" w:hAnsi="Times New Roman" w:cs="Times New Roman"/>
          <w:color w:val="222222"/>
          <w:shd w:val="clear" w:color="auto" w:fill="FFFFFF"/>
        </w:rPr>
        <w:t>1976</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The dividend puzzle</w:t>
      </w:r>
      <w:r w:rsidR="00F9167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F9167D">
        <w:rPr>
          <w:rFonts w:ascii="Times New Roman" w:hAnsi="Times New Roman" w:cs="Times New Roman"/>
          <w:color w:val="222222"/>
          <w:shd w:val="clear" w:color="auto" w:fill="FFFFFF"/>
        </w:rPr>
        <w:t xml:space="preserve"> </w:t>
      </w:r>
      <w:r w:rsidRPr="00F9167D">
        <w:rPr>
          <w:rFonts w:ascii="Times New Roman" w:hAnsi="Times New Roman" w:cs="Times New Roman"/>
          <w:i/>
          <w:iCs/>
          <w:color w:val="222222"/>
          <w:shd w:val="clear" w:color="auto" w:fill="FFFFFF"/>
        </w:rPr>
        <w:t>Journal of Portfolio Management</w:t>
      </w:r>
      <w:r w:rsidRPr="00DC20CC">
        <w:rPr>
          <w:rFonts w:ascii="Times New Roman" w:hAnsi="Times New Roman" w:cs="Times New Roman"/>
          <w:color w:val="222222"/>
          <w:shd w:val="clear" w:color="auto" w:fill="FFFFFF"/>
        </w:rPr>
        <w:t xml:space="preserve"> 2, 5.8.</w:t>
      </w:r>
    </w:p>
    <w:p w14:paraId="0E5D14CE" w14:textId="383DE270"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hAnsi="Times New Roman" w:cs="Times New Roman"/>
          <w:color w:val="222222"/>
          <w:shd w:val="clear" w:color="auto" w:fill="FFFFFF"/>
        </w:rPr>
        <w:t xml:space="preserve">Bolton, P., Chen, H., Wang, N. </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2011</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A unified theory of Tobin's </w:t>
      </w:r>
      <w:r w:rsidR="00157B00">
        <w:rPr>
          <w:rFonts w:ascii="Times New Roman" w:hAnsi="Times New Roman" w:cs="Times New Roman"/>
          <w:color w:val="222222"/>
          <w:shd w:val="clear" w:color="auto" w:fill="FFFFFF"/>
        </w:rPr>
        <w:t>Q</w:t>
      </w:r>
      <w:r w:rsidRPr="00DC20CC">
        <w:rPr>
          <w:rFonts w:ascii="Times New Roman" w:hAnsi="Times New Roman" w:cs="Times New Roman"/>
          <w:color w:val="222222"/>
          <w:shd w:val="clear" w:color="auto" w:fill="FFFFFF"/>
        </w:rPr>
        <w:t>, corporate investment, financing, and risk management</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157B00">
        <w:rPr>
          <w:rFonts w:ascii="Times New Roman" w:hAnsi="Times New Roman" w:cs="Times New Roman"/>
          <w:i/>
          <w:iCs/>
          <w:color w:val="222222"/>
          <w:shd w:val="clear" w:color="auto" w:fill="FFFFFF"/>
        </w:rPr>
        <w:t>Journal of Finance</w:t>
      </w:r>
      <w:r w:rsidRPr="00DC20CC">
        <w:rPr>
          <w:rFonts w:ascii="Times New Roman" w:hAnsi="Times New Roman" w:cs="Times New Roman"/>
          <w:color w:val="222222"/>
          <w:shd w:val="clear" w:color="auto" w:fill="FFFFFF"/>
        </w:rPr>
        <w:t>, 66, 1545</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1578.</w:t>
      </w:r>
    </w:p>
    <w:p w14:paraId="357BE777" w14:textId="4DCC61F8"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hAnsi="Times New Roman" w:cs="Times New Roman"/>
          <w:color w:val="222222"/>
          <w:shd w:val="clear" w:color="auto" w:fill="FFFFFF"/>
        </w:rPr>
        <w:t>Bonaim</w:t>
      </w:r>
      <w:r w:rsidR="00157B00">
        <w:rPr>
          <w:rFonts w:ascii="Times New Roman" w:hAnsi="Times New Roman" w:cs="Times New Roman"/>
          <w:color w:val="222222"/>
          <w:shd w:val="clear" w:color="auto" w:fill="FFFFFF"/>
        </w:rPr>
        <w:t>é</w:t>
      </w:r>
      <w:proofErr w:type="spellEnd"/>
      <w:r w:rsidR="00157B00">
        <w:rPr>
          <w:rFonts w:ascii="Times New Roman" w:hAnsi="Times New Roman" w:cs="Times New Roman"/>
          <w:color w:val="222222"/>
          <w:shd w:val="clear" w:color="auto" w:fill="FFFFFF"/>
        </w:rPr>
        <w:t>. A.</w:t>
      </w:r>
      <w:r w:rsidRPr="00DC20CC">
        <w:rPr>
          <w:rFonts w:ascii="Times New Roman" w:hAnsi="Times New Roman" w:cs="Times New Roman"/>
          <w:color w:val="222222"/>
          <w:shd w:val="clear" w:color="auto" w:fill="FFFFFF"/>
        </w:rPr>
        <w:t xml:space="preserve"> and </w:t>
      </w:r>
      <w:proofErr w:type="spellStart"/>
      <w:r w:rsidRPr="00DC20CC">
        <w:rPr>
          <w:rFonts w:ascii="Times New Roman" w:hAnsi="Times New Roman" w:cs="Times New Roman"/>
          <w:color w:val="222222"/>
          <w:shd w:val="clear" w:color="auto" w:fill="FFFFFF"/>
        </w:rPr>
        <w:t>Ryngaert</w:t>
      </w:r>
      <w:proofErr w:type="spellEnd"/>
      <w:r w:rsidR="00157B00">
        <w:rPr>
          <w:rFonts w:ascii="Times New Roman" w:hAnsi="Times New Roman" w:cs="Times New Roman"/>
          <w:color w:val="222222"/>
          <w:shd w:val="clear" w:color="auto" w:fill="FFFFFF"/>
        </w:rPr>
        <w:t>, M.</w:t>
      </w:r>
      <w:r w:rsidRPr="00DC20CC">
        <w:rPr>
          <w:rFonts w:ascii="Times New Roman" w:hAnsi="Times New Roman" w:cs="Times New Roman"/>
          <w:color w:val="222222"/>
          <w:shd w:val="clear" w:color="auto" w:fill="FFFFFF"/>
        </w:rPr>
        <w:t xml:space="preserve"> </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2013</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Insider trading and share repurchases: Do insiders and firms trade in the same direction?</w:t>
      </w:r>
      <w:r w:rsidR="00157B00">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157B00">
        <w:rPr>
          <w:rFonts w:ascii="Times New Roman" w:hAnsi="Times New Roman" w:cs="Times New Roman"/>
          <w:i/>
          <w:iCs/>
          <w:color w:val="222222"/>
          <w:shd w:val="clear" w:color="auto" w:fill="FFFFFF"/>
        </w:rPr>
        <w:t>Journal of Corporate Finance</w:t>
      </w:r>
      <w:r w:rsidRPr="00DC20CC">
        <w:rPr>
          <w:rFonts w:ascii="Times New Roman" w:hAnsi="Times New Roman" w:cs="Times New Roman"/>
          <w:color w:val="222222"/>
          <w:shd w:val="clear" w:color="auto" w:fill="FFFFFF"/>
        </w:rPr>
        <w:t xml:space="preserve"> 22, 35</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53.</w:t>
      </w:r>
    </w:p>
    <w:p w14:paraId="52997437" w14:textId="1F839152" w:rsidR="00DC20CC" w:rsidRPr="0073656D" w:rsidRDefault="00DC20CC" w:rsidP="00E87442">
      <w:pPr>
        <w:widowControl w:val="0"/>
        <w:pBdr>
          <w:top w:val="nil"/>
          <w:left w:val="nil"/>
          <w:bottom w:val="nil"/>
          <w:right w:val="nil"/>
          <w:between w:val="nil"/>
        </w:pBdr>
        <w:spacing w:after="0" w:line="480" w:lineRule="auto"/>
        <w:ind w:left="720" w:hanging="720"/>
        <w:rPr>
          <w:rFonts w:ascii="Times New Roman" w:hAnsi="Times New Roman" w:cs="Times New Roman"/>
          <w:color w:val="222222"/>
          <w:shd w:val="clear" w:color="auto" w:fill="FFFFFF"/>
        </w:rPr>
      </w:pPr>
      <w:r w:rsidRPr="00DC20CC">
        <w:rPr>
          <w:rFonts w:ascii="Times New Roman" w:hAnsi="Times New Roman" w:cs="Times New Roman"/>
          <w:color w:val="222222"/>
          <w:shd w:val="clear" w:color="auto" w:fill="FFFFFF"/>
        </w:rPr>
        <w:t>Bond, P.</w:t>
      </w:r>
      <w:r w:rsidR="0073656D">
        <w:rPr>
          <w:rFonts w:ascii="Times New Roman" w:hAnsi="Times New Roman" w:cs="Times New Roman"/>
          <w:color w:val="222222"/>
          <w:shd w:val="clear" w:color="auto" w:fill="FFFFFF"/>
        </w:rPr>
        <w:t xml:space="preserve"> and </w:t>
      </w:r>
      <w:r w:rsidRPr="00DC20CC">
        <w:rPr>
          <w:rFonts w:ascii="Times New Roman" w:hAnsi="Times New Roman" w:cs="Times New Roman"/>
          <w:color w:val="222222"/>
          <w:shd w:val="clear" w:color="auto" w:fill="FFFFFF"/>
        </w:rPr>
        <w:t xml:space="preserve">Zhong, H. </w:t>
      </w:r>
      <w:r w:rsidR="0073656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2016</w:t>
      </w:r>
      <w:r w:rsidR="0073656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73656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Buying high and selling low: Stock repurchases and persistent asymmetric information</w:t>
      </w:r>
      <w:r w:rsidR="0073656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73656D">
        <w:rPr>
          <w:rFonts w:ascii="Times New Roman" w:hAnsi="Times New Roman" w:cs="Times New Roman"/>
          <w:i/>
          <w:iCs/>
          <w:color w:val="222222"/>
          <w:shd w:val="clear" w:color="auto" w:fill="FFFFFF"/>
        </w:rPr>
        <w:t>Review of Financial Studies</w:t>
      </w:r>
      <w:r w:rsidRPr="00DC20CC">
        <w:rPr>
          <w:rFonts w:ascii="Times New Roman" w:hAnsi="Times New Roman" w:cs="Times New Roman"/>
          <w:color w:val="222222"/>
          <w:shd w:val="clear" w:color="auto" w:fill="FFFFFF"/>
        </w:rPr>
        <w:t xml:space="preserve"> 29, 1409</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1452.</w:t>
      </w:r>
    </w:p>
    <w:p w14:paraId="153B03E0" w14:textId="6B23AEBD"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Brav</w:t>
      </w:r>
      <w:proofErr w:type="spellEnd"/>
      <w:r w:rsidRPr="00DC20CC">
        <w:rPr>
          <w:rFonts w:ascii="Times New Roman" w:eastAsia="Times New Roman" w:hAnsi="Times New Roman" w:cs="Times New Roman"/>
          <w:color w:val="000000"/>
        </w:rPr>
        <w:t xml:space="preserve">, A., Graham, J. R., Harvey, C. R. </w:t>
      </w:r>
      <w:r w:rsidR="0073656D">
        <w:rPr>
          <w:rFonts w:ascii="Times New Roman" w:eastAsia="Times New Roman" w:hAnsi="Times New Roman" w:cs="Times New Roman"/>
          <w:color w:val="000000"/>
        </w:rPr>
        <w:t>and</w:t>
      </w:r>
      <w:r w:rsidRPr="00DC20CC">
        <w:rPr>
          <w:rFonts w:ascii="Times New Roman" w:eastAsia="Times New Roman" w:hAnsi="Times New Roman" w:cs="Times New Roman"/>
          <w:color w:val="000000"/>
        </w:rPr>
        <w:t xml:space="preserve"> </w:t>
      </w:r>
      <w:proofErr w:type="spellStart"/>
      <w:r w:rsidRPr="00DC20CC">
        <w:rPr>
          <w:rFonts w:ascii="Times New Roman" w:eastAsia="Times New Roman" w:hAnsi="Times New Roman" w:cs="Times New Roman"/>
          <w:color w:val="000000"/>
        </w:rPr>
        <w:t>Michaely</w:t>
      </w:r>
      <w:proofErr w:type="spellEnd"/>
      <w:r w:rsidRPr="00DC20CC">
        <w:rPr>
          <w:rFonts w:ascii="Times New Roman" w:eastAsia="Times New Roman" w:hAnsi="Times New Roman" w:cs="Times New Roman"/>
          <w:color w:val="000000"/>
        </w:rPr>
        <w:t xml:space="preserve">, R. (2005) </w:t>
      </w:r>
      <w:r w:rsidR="0073656D">
        <w:rPr>
          <w:rFonts w:ascii="Times New Roman" w:eastAsia="Times New Roman" w:hAnsi="Times New Roman" w:cs="Times New Roman"/>
          <w:color w:val="000000"/>
        </w:rPr>
        <w:t>‘</w:t>
      </w:r>
      <w:proofErr w:type="spellStart"/>
      <w:r w:rsidRPr="00DC20CC">
        <w:rPr>
          <w:rFonts w:ascii="Times New Roman" w:eastAsia="Times New Roman" w:hAnsi="Times New Roman" w:cs="Times New Roman"/>
          <w:color w:val="000000"/>
        </w:rPr>
        <w:t>Payout</w:t>
      </w:r>
      <w:proofErr w:type="spellEnd"/>
      <w:r w:rsidRPr="00DC20CC">
        <w:rPr>
          <w:rFonts w:ascii="Times New Roman" w:eastAsia="Times New Roman" w:hAnsi="Times New Roman" w:cs="Times New Roman"/>
          <w:color w:val="000000"/>
        </w:rPr>
        <w:t xml:space="preserve"> policy in the 21</w:t>
      </w:r>
      <w:r w:rsidRPr="00DC20CC">
        <w:rPr>
          <w:rFonts w:ascii="Times New Roman" w:eastAsia="Times New Roman" w:hAnsi="Times New Roman" w:cs="Times New Roman"/>
          <w:color w:val="000000"/>
          <w:vertAlign w:val="superscript"/>
        </w:rPr>
        <w:t>st</w:t>
      </w:r>
      <w:r w:rsidRPr="00DC20CC">
        <w:rPr>
          <w:rFonts w:ascii="Times New Roman" w:eastAsia="Times New Roman" w:hAnsi="Times New Roman" w:cs="Times New Roman"/>
          <w:color w:val="000000"/>
        </w:rPr>
        <w:t xml:space="preserve"> century</w:t>
      </w:r>
      <w:r w:rsidR="0073656D">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Financial Economics</w:t>
      </w:r>
      <w:r w:rsidRPr="00DC20CC">
        <w:rPr>
          <w:rFonts w:ascii="Times New Roman" w:eastAsia="Times New Roman" w:hAnsi="Times New Roman" w:cs="Times New Roman"/>
          <w:color w:val="000000"/>
        </w:rPr>
        <w:t>. 77(3), 483-527.</w:t>
      </w:r>
    </w:p>
    <w:p w14:paraId="2B19788C" w14:textId="425B718E"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hAnsi="Times New Roman" w:cs="Times New Roman"/>
          <w:color w:val="222222"/>
          <w:shd w:val="clear" w:color="auto" w:fill="FFFFFF"/>
        </w:rPr>
        <w:lastRenderedPageBreak/>
        <w:t>Brennan, M.</w:t>
      </w:r>
      <w:r w:rsidR="004303CD">
        <w:rPr>
          <w:rFonts w:ascii="Times New Roman" w:hAnsi="Times New Roman" w:cs="Times New Roman"/>
          <w:color w:val="222222"/>
          <w:shd w:val="clear" w:color="auto" w:fill="FFFFFF"/>
        </w:rPr>
        <w:t xml:space="preserve"> and </w:t>
      </w:r>
      <w:r w:rsidRPr="00DC20CC">
        <w:rPr>
          <w:rFonts w:ascii="Times New Roman" w:hAnsi="Times New Roman" w:cs="Times New Roman"/>
          <w:color w:val="222222"/>
          <w:shd w:val="clear" w:color="auto" w:fill="FFFFFF"/>
        </w:rPr>
        <w:t xml:space="preserve"> </w:t>
      </w:r>
      <w:proofErr w:type="spellStart"/>
      <w:r w:rsidRPr="00DC20CC">
        <w:rPr>
          <w:rFonts w:ascii="Times New Roman" w:hAnsi="Times New Roman" w:cs="Times New Roman"/>
          <w:color w:val="222222"/>
          <w:shd w:val="clear" w:color="auto" w:fill="FFFFFF"/>
        </w:rPr>
        <w:t>Thakor</w:t>
      </w:r>
      <w:proofErr w:type="spellEnd"/>
      <w:r w:rsidRPr="00DC20CC">
        <w:rPr>
          <w:rFonts w:ascii="Times New Roman" w:hAnsi="Times New Roman" w:cs="Times New Roman"/>
          <w:color w:val="222222"/>
          <w:shd w:val="clear" w:color="auto" w:fill="FFFFFF"/>
        </w:rPr>
        <w:t>, A.</w:t>
      </w:r>
      <w:r w:rsidR="004303CD">
        <w:rPr>
          <w:rFonts w:ascii="Times New Roman" w:hAnsi="Times New Roman" w:cs="Times New Roman"/>
          <w:color w:val="222222"/>
          <w:shd w:val="clear" w:color="auto" w:fill="FFFFFF"/>
        </w:rPr>
        <w:t xml:space="preserve"> (</w:t>
      </w:r>
      <w:r w:rsidRPr="00DC20CC">
        <w:rPr>
          <w:rFonts w:ascii="Times New Roman" w:hAnsi="Times New Roman" w:cs="Times New Roman"/>
          <w:color w:val="222222"/>
          <w:shd w:val="clear" w:color="auto" w:fill="FFFFFF"/>
        </w:rPr>
        <w:t>1990</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Shareholder preferences and dividend policy</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4303CD">
        <w:rPr>
          <w:rFonts w:ascii="Times New Roman" w:hAnsi="Times New Roman" w:cs="Times New Roman"/>
          <w:i/>
          <w:iCs/>
          <w:color w:val="222222"/>
          <w:shd w:val="clear" w:color="auto" w:fill="FFFFFF"/>
        </w:rPr>
        <w:t>Journal of Finance</w:t>
      </w:r>
      <w:r w:rsidRPr="00DC20CC">
        <w:rPr>
          <w:rFonts w:ascii="Times New Roman" w:hAnsi="Times New Roman" w:cs="Times New Roman"/>
          <w:color w:val="222222"/>
          <w:shd w:val="clear" w:color="auto" w:fill="FFFFFF"/>
        </w:rPr>
        <w:t xml:space="preserve"> 45, 993</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1018.</w:t>
      </w:r>
    </w:p>
    <w:p w14:paraId="141070C2" w14:textId="0B0847FE"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Chan, K., </w:t>
      </w:r>
      <w:proofErr w:type="spellStart"/>
      <w:r w:rsidRPr="00DC20CC">
        <w:rPr>
          <w:rFonts w:ascii="Times New Roman" w:eastAsia="Times New Roman" w:hAnsi="Times New Roman" w:cs="Times New Roman"/>
          <w:color w:val="000000"/>
        </w:rPr>
        <w:t>Ikenberry</w:t>
      </w:r>
      <w:proofErr w:type="spellEnd"/>
      <w:r w:rsidRPr="00DC20CC">
        <w:rPr>
          <w:rFonts w:ascii="Times New Roman" w:eastAsia="Times New Roman" w:hAnsi="Times New Roman" w:cs="Times New Roman"/>
          <w:color w:val="000000"/>
        </w:rPr>
        <w:t xml:space="preserve">, D.L., Lee, I., </w:t>
      </w:r>
      <w:r w:rsidR="004303CD">
        <w:rPr>
          <w:rFonts w:ascii="Times New Roman" w:eastAsia="Times New Roman" w:hAnsi="Times New Roman" w:cs="Times New Roman"/>
          <w:color w:val="000000"/>
        </w:rPr>
        <w:t>and</w:t>
      </w:r>
      <w:r w:rsidRPr="00DC20CC">
        <w:rPr>
          <w:rFonts w:ascii="Times New Roman" w:eastAsia="Times New Roman" w:hAnsi="Times New Roman" w:cs="Times New Roman"/>
          <w:color w:val="000000"/>
        </w:rPr>
        <w:t xml:space="preserve"> Wang, Y. (2010) </w:t>
      </w:r>
      <w:r w:rsidR="004303CD">
        <w:rPr>
          <w:rFonts w:ascii="Times New Roman" w:eastAsia="Times New Roman" w:hAnsi="Times New Roman" w:cs="Times New Roman"/>
          <w:color w:val="000000"/>
        </w:rPr>
        <w:t>‘</w:t>
      </w:r>
      <w:r w:rsidRPr="00DC20CC">
        <w:rPr>
          <w:rFonts w:ascii="Times New Roman" w:eastAsia="Times New Roman" w:hAnsi="Times New Roman" w:cs="Times New Roman"/>
          <w:color w:val="000000"/>
        </w:rPr>
        <w:t>Share repurchases as a potential tool to mislead investors</w:t>
      </w:r>
      <w:r w:rsidR="004303CD">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Corporate Finance</w:t>
      </w:r>
      <w:r w:rsidRPr="00DC20CC">
        <w:rPr>
          <w:rFonts w:ascii="Times New Roman" w:eastAsia="Times New Roman" w:hAnsi="Times New Roman" w:cs="Times New Roman"/>
          <w:color w:val="000000"/>
        </w:rPr>
        <w:t xml:space="preserve"> 16, 137-158. </w:t>
      </w:r>
    </w:p>
    <w:p w14:paraId="3A0B5E6F" w14:textId="722642D4"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hAnsi="Times New Roman" w:cs="Times New Roman"/>
          <w:color w:val="222222"/>
          <w:shd w:val="clear" w:color="auto" w:fill="FFFFFF"/>
        </w:rPr>
        <w:t>Chowdhry</w:t>
      </w:r>
      <w:proofErr w:type="spellEnd"/>
      <w:r w:rsidRPr="00DC20CC">
        <w:rPr>
          <w:rFonts w:ascii="Times New Roman" w:hAnsi="Times New Roman" w:cs="Times New Roman"/>
          <w:color w:val="222222"/>
          <w:shd w:val="clear" w:color="auto" w:fill="FFFFFF"/>
        </w:rPr>
        <w:t>, B.</w:t>
      </w:r>
      <w:r w:rsidR="004303CD">
        <w:rPr>
          <w:rFonts w:ascii="Times New Roman" w:hAnsi="Times New Roman" w:cs="Times New Roman"/>
          <w:color w:val="222222"/>
          <w:shd w:val="clear" w:color="auto" w:fill="FFFFFF"/>
        </w:rPr>
        <w:t xml:space="preserve"> and</w:t>
      </w:r>
      <w:r w:rsidRPr="00DC20CC">
        <w:rPr>
          <w:rFonts w:ascii="Times New Roman" w:hAnsi="Times New Roman" w:cs="Times New Roman"/>
          <w:color w:val="222222"/>
          <w:shd w:val="clear" w:color="auto" w:fill="FFFFFF"/>
        </w:rPr>
        <w:t xml:space="preserve"> Nanda, V. </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1994</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Repurchase premia as a reason for dividends: A dynamic model of corporate </w:t>
      </w:r>
      <w:proofErr w:type="spellStart"/>
      <w:r w:rsidRPr="00DC20CC">
        <w:rPr>
          <w:rFonts w:ascii="Times New Roman" w:hAnsi="Times New Roman" w:cs="Times New Roman"/>
          <w:color w:val="222222"/>
          <w:shd w:val="clear" w:color="auto" w:fill="FFFFFF"/>
        </w:rPr>
        <w:t>payout</w:t>
      </w:r>
      <w:proofErr w:type="spellEnd"/>
      <w:r w:rsidRPr="00DC20CC">
        <w:rPr>
          <w:rFonts w:ascii="Times New Roman" w:hAnsi="Times New Roman" w:cs="Times New Roman"/>
          <w:color w:val="222222"/>
          <w:shd w:val="clear" w:color="auto" w:fill="FFFFFF"/>
        </w:rPr>
        <w:t xml:space="preserve"> policies</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4303CD">
        <w:rPr>
          <w:rFonts w:ascii="Times New Roman" w:hAnsi="Times New Roman" w:cs="Times New Roman"/>
          <w:i/>
          <w:iCs/>
          <w:color w:val="222222"/>
          <w:shd w:val="clear" w:color="auto" w:fill="FFFFFF"/>
        </w:rPr>
        <w:t>Review of Financial Studies</w:t>
      </w:r>
      <w:r w:rsidRPr="00DC20CC">
        <w:rPr>
          <w:rFonts w:ascii="Times New Roman" w:hAnsi="Times New Roman" w:cs="Times New Roman"/>
          <w:color w:val="222222"/>
          <w:shd w:val="clear" w:color="auto" w:fill="FFFFFF"/>
        </w:rPr>
        <w:t xml:space="preserve"> 7, 321</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350.</w:t>
      </w:r>
    </w:p>
    <w:p w14:paraId="55C287C9" w14:textId="58867A36"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Combined Code on Corporate Governance (2003). Financial Reporting Council. London.</w:t>
      </w:r>
    </w:p>
    <w:p w14:paraId="2EEC2528" w14:textId="3A18D329"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hAnsi="Times New Roman" w:cs="Times New Roman"/>
          <w:color w:val="222222"/>
          <w:shd w:val="clear" w:color="auto" w:fill="FFFFFF"/>
        </w:rPr>
        <w:t xml:space="preserve">Comment, R., </w:t>
      </w:r>
      <w:r w:rsidR="004303CD">
        <w:rPr>
          <w:rFonts w:ascii="Times New Roman" w:hAnsi="Times New Roman" w:cs="Times New Roman"/>
          <w:color w:val="222222"/>
          <w:shd w:val="clear" w:color="auto" w:fill="FFFFFF"/>
        </w:rPr>
        <w:t xml:space="preserve">and </w:t>
      </w:r>
      <w:r w:rsidRPr="00DC20CC">
        <w:rPr>
          <w:rFonts w:ascii="Times New Roman" w:hAnsi="Times New Roman" w:cs="Times New Roman"/>
          <w:color w:val="222222"/>
          <w:shd w:val="clear" w:color="auto" w:fill="FFFFFF"/>
        </w:rPr>
        <w:t xml:space="preserve">Jarrell, G. </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1991</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The relative signa</w:t>
      </w:r>
      <w:r w:rsidR="004303CD">
        <w:rPr>
          <w:rFonts w:ascii="Times New Roman" w:hAnsi="Times New Roman" w:cs="Times New Roman"/>
          <w:color w:val="222222"/>
          <w:shd w:val="clear" w:color="auto" w:fill="FFFFFF"/>
        </w:rPr>
        <w:t>l</w:t>
      </w:r>
      <w:r w:rsidRPr="00DC20CC">
        <w:rPr>
          <w:rFonts w:ascii="Times New Roman" w:hAnsi="Times New Roman" w:cs="Times New Roman"/>
          <w:color w:val="222222"/>
          <w:shd w:val="clear" w:color="auto" w:fill="FFFFFF"/>
        </w:rPr>
        <w:t>ling power of Dutch</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auction and </w:t>
      </w:r>
      <w:r w:rsidR="004303CD">
        <w:rPr>
          <w:rFonts w:ascii="Times New Roman" w:hAnsi="Times New Roman" w:cs="Times New Roman"/>
          <w:color w:val="222222"/>
          <w:shd w:val="clear" w:color="auto" w:fill="FFFFFF"/>
        </w:rPr>
        <w:t>fixed-</w:t>
      </w:r>
      <w:r w:rsidRPr="00DC20CC">
        <w:rPr>
          <w:rFonts w:ascii="Times New Roman" w:hAnsi="Times New Roman" w:cs="Times New Roman"/>
          <w:color w:val="222222"/>
          <w:shd w:val="clear" w:color="auto" w:fill="FFFFFF"/>
        </w:rPr>
        <w:t>price self</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tender o</w:t>
      </w:r>
      <w:r w:rsidR="004303CD">
        <w:rPr>
          <w:rFonts w:ascii="Times New Roman" w:hAnsi="Times New Roman" w:cs="Times New Roman"/>
          <w:color w:val="222222"/>
          <w:shd w:val="clear" w:color="auto" w:fill="FFFFFF"/>
        </w:rPr>
        <w:t>ff</w:t>
      </w:r>
      <w:r w:rsidRPr="00DC20CC">
        <w:rPr>
          <w:rFonts w:ascii="Times New Roman" w:hAnsi="Times New Roman" w:cs="Times New Roman"/>
          <w:color w:val="222222"/>
          <w:shd w:val="clear" w:color="auto" w:fill="FFFFFF"/>
        </w:rPr>
        <w:t>ers and open</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market share repurchases</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4303CD">
        <w:rPr>
          <w:rFonts w:ascii="Times New Roman" w:hAnsi="Times New Roman" w:cs="Times New Roman"/>
          <w:i/>
          <w:iCs/>
          <w:color w:val="222222"/>
          <w:shd w:val="clear" w:color="auto" w:fill="FFFFFF"/>
        </w:rPr>
        <w:t>Journal of Finance</w:t>
      </w:r>
      <w:r w:rsidRPr="00DC20CC">
        <w:rPr>
          <w:rFonts w:ascii="Times New Roman" w:hAnsi="Times New Roman" w:cs="Times New Roman"/>
          <w:color w:val="222222"/>
          <w:shd w:val="clear" w:color="auto" w:fill="FFFFFF"/>
        </w:rPr>
        <w:t xml:space="preserve"> 46, 1243</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1271.</w:t>
      </w:r>
    </w:p>
    <w:p w14:paraId="22E00489" w14:textId="60D81999"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Companies Act 1981, available on the internet at</w:t>
      </w:r>
      <w:r w:rsidR="00CA0C2D">
        <w:rPr>
          <w:rFonts w:ascii="Times New Roman" w:eastAsia="Times New Roman" w:hAnsi="Times New Roman" w:cs="Times New Roman"/>
          <w:color w:val="000000"/>
        </w:rPr>
        <w:t>:</w:t>
      </w:r>
    </w:p>
    <w:p w14:paraId="071ABF6F" w14:textId="7777777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            </w:t>
      </w:r>
      <w:hyperlink r:id="rId12">
        <w:r w:rsidRPr="00DC20CC">
          <w:rPr>
            <w:rFonts w:ascii="Times New Roman" w:eastAsia="Times New Roman" w:hAnsi="Times New Roman" w:cs="Times New Roman"/>
            <w:color w:val="0000FF"/>
            <w:u w:val="single"/>
          </w:rPr>
          <w:t>https://www.legislation.gov.uk/uksi/1981/1684/contents/made</w:t>
        </w:r>
      </w:hyperlink>
      <w:r w:rsidRPr="00DC20CC">
        <w:rPr>
          <w:rFonts w:ascii="Times New Roman" w:eastAsia="Times New Roman" w:hAnsi="Times New Roman" w:cs="Times New Roman"/>
          <w:color w:val="000000"/>
        </w:rPr>
        <w:t>.(Accessed 07.10.2019).</w:t>
      </w:r>
    </w:p>
    <w:p w14:paraId="282EB9A0" w14:textId="5D5AEC14" w:rsidR="00A707CF" w:rsidRPr="00DC20CC" w:rsidRDefault="0055054A" w:rsidP="00E87442">
      <w:pPr>
        <w:widowControl w:val="0"/>
        <w:pBdr>
          <w:top w:val="nil"/>
          <w:left w:val="nil"/>
          <w:bottom w:val="nil"/>
          <w:right w:val="nil"/>
          <w:between w:val="nil"/>
        </w:pBdr>
        <w:spacing w:after="0" w:line="480" w:lineRule="auto"/>
        <w:ind w:left="709"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Companies Act 2006, available on the internet at</w:t>
      </w:r>
      <w:r w:rsidR="00CA0C2D">
        <w:rPr>
          <w:rFonts w:ascii="Times New Roman" w:eastAsia="Times New Roman" w:hAnsi="Times New Roman" w:cs="Times New Roman"/>
          <w:color w:val="000000"/>
        </w:rPr>
        <w:t>:</w:t>
      </w:r>
    </w:p>
    <w:p w14:paraId="239400B9" w14:textId="2A0819BA" w:rsidR="00A707CF" w:rsidRPr="00DC20CC" w:rsidRDefault="0055054A" w:rsidP="00E87442">
      <w:pPr>
        <w:widowControl w:val="0"/>
        <w:pBdr>
          <w:top w:val="nil"/>
          <w:left w:val="nil"/>
          <w:bottom w:val="nil"/>
          <w:right w:val="nil"/>
          <w:between w:val="nil"/>
        </w:pBdr>
        <w:spacing w:after="0" w:line="480" w:lineRule="auto"/>
        <w:ind w:left="709" w:hanging="720"/>
        <w:rPr>
          <w:rFonts w:ascii="Times New Roman" w:eastAsia="Times New Roman" w:hAnsi="Times New Roman" w:cs="Times New Roman"/>
        </w:rPr>
      </w:pPr>
      <w:r w:rsidRPr="00DC20CC">
        <w:rPr>
          <w:rFonts w:ascii="Times New Roman" w:eastAsia="Times New Roman" w:hAnsi="Times New Roman" w:cs="Times New Roman"/>
          <w:color w:val="000000"/>
        </w:rPr>
        <w:t xml:space="preserve"> </w:t>
      </w:r>
      <w:r w:rsidR="004303CD">
        <w:rPr>
          <w:rFonts w:ascii="Times New Roman" w:eastAsia="Times New Roman" w:hAnsi="Times New Roman" w:cs="Times New Roman"/>
          <w:color w:val="000000"/>
        </w:rPr>
        <w:tab/>
      </w:r>
      <w:hyperlink r:id="rId13" w:history="1">
        <w:r w:rsidR="004303CD" w:rsidRPr="000A0066">
          <w:rPr>
            <w:rStyle w:val="Hyperlink"/>
            <w:rFonts w:ascii="Times New Roman" w:eastAsia="Times New Roman" w:hAnsi="Times New Roman" w:cs="Times New Roman"/>
          </w:rPr>
          <w:t>http://www.legislation.gov.uk/ukpga/2006/46/contents</w:t>
        </w:r>
      </w:hyperlink>
      <w:r w:rsidRPr="00DC20CC">
        <w:rPr>
          <w:rFonts w:ascii="Times New Roman" w:eastAsia="Times New Roman" w:hAnsi="Times New Roman" w:cs="Times New Roman"/>
          <w:color w:val="0000FF"/>
          <w:u w:val="single"/>
        </w:rPr>
        <w:t>.</w:t>
      </w:r>
      <w:r w:rsidRPr="00DC20CC">
        <w:rPr>
          <w:rFonts w:ascii="Times New Roman" w:eastAsia="Times New Roman" w:hAnsi="Times New Roman" w:cs="Times New Roman"/>
          <w:color w:val="000000"/>
        </w:rPr>
        <w:t xml:space="preserve"> (Accessed 07.10.2019).</w:t>
      </w:r>
    </w:p>
    <w:p w14:paraId="7FEC8BA0" w14:textId="2862CEFE" w:rsidR="00A707CF" w:rsidRPr="00DC20CC" w:rsidRDefault="0055054A" w:rsidP="00E87442">
      <w:pPr>
        <w:widowControl w:val="0"/>
        <w:pBdr>
          <w:top w:val="nil"/>
          <w:left w:val="nil"/>
          <w:bottom w:val="nil"/>
          <w:right w:val="nil"/>
          <w:between w:val="nil"/>
        </w:pBdr>
        <w:spacing w:after="0" w:line="480" w:lineRule="auto"/>
        <w:ind w:left="851" w:hanging="720"/>
        <w:rPr>
          <w:rFonts w:ascii="Times New Roman" w:eastAsia="Times New Roman" w:hAnsi="Times New Roman" w:cs="Times New Roman"/>
        </w:rPr>
      </w:pPr>
      <w:proofErr w:type="spellStart"/>
      <w:r w:rsidRPr="00DC20CC">
        <w:rPr>
          <w:rFonts w:ascii="Times New Roman" w:eastAsia="Times New Roman" w:hAnsi="Times New Roman" w:cs="Times New Roman"/>
        </w:rPr>
        <w:t>Conyon</w:t>
      </w:r>
      <w:proofErr w:type="spellEnd"/>
      <w:r w:rsidRPr="00DC20CC">
        <w:rPr>
          <w:rFonts w:ascii="Times New Roman" w:eastAsia="Times New Roman" w:hAnsi="Times New Roman" w:cs="Times New Roman"/>
        </w:rPr>
        <w:t xml:space="preserve">, M.J., Fernandes, N, Ferreira, M.A., Matos, P. </w:t>
      </w:r>
      <w:r w:rsidR="004303CD">
        <w:rPr>
          <w:rFonts w:ascii="Times New Roman" w:eastAsia="Times New Roman" w:hAnsi="Times New Roman" w:cs="Times New Roman"/>
        </w:rPr>
        <w:t>and</w:t>
      </w:r>
      <w:r w:rsidRPr="00DC20CC">
        <w:rPr>
          <w:rFonts w:ascii="Times New Roman" w:eastAsia="Times New Roman" w:hAnsi="Times New Roman" w:cs="Times New Roman"/>
        </w:rPr>
        <w:t xml:space="preserve"> Murphy, K.J. (2011) </w:t>
      </w:r>
      <w:r w:rsidR="004303CD">
        <w:rPr>
          <w:rFonts w:ascii="Times New Roman" w:eastAsia="Times New Roman" w:hAnsi="Times New Roman" w:cs="Times New Roman"/>
        </w:rPr>
        <w:t>‘</w:t>
      </w:r>
      <w:r w:rsidRPr="00DF10C6">
        <w:rPr>
          <w:rFonts w:ascii="Times New Roman" w:eastAsia="Times New Roman" w:hAnsi="Times New Roman" w:cs="Times New Roman"/>
          <w:i/>
          <w:iCs/>
        </w:rPr>
        <w:t>The executive  compensation controversy: A transatlantic analysis</w:t>
      </w:r>
      <w:r w:rsidR="004303CD" w:rsidRPr="00DF10C6">
        <w:rPr>
          <w:rFonts w:ascii="Times New Roman" w:eastAsia="Times New Roman" w:hAnsi="Times New Roman" w:cs="Times New Roman"/>
          <w:i/>
          <w:iCs/>
        </w:rPr>
        <w:t>’</w:t>
      </w:r>
      <w:r w:rsidRPr="00DF10C6">
        <w:rPr>
          <w:rFonts w:ascii="Times New Roman" w:eastAsia="Times New Roman" w:hAnsi="Times New Roman" w:cs="Times New Roman"/>
          <w:i/>
          <w:iCs/>
        </w:rPr>
        <w:t xml:space="preserve"> </w:t>
      </w:r>
      <w:r w:rsidRPr="00DC20CC">
        <w:rPr>
          <w:rFonts w:ascii="Times New Roman" w:eastAsia="Times New Roman" w:hAnsi="Times New Roman" w:cs="Times New Roman"/>
        </w:rPr>
        <w:t xml:space="preserve">Institute for Compensation Studies, Cornell University ILR School. </w:t>
      </w:r>
    </w:p>
    <w:p w14:paraId="30B571D6" w14:textId="45FA1B3B"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De </w:t>
      </w:r>
      <w:proofErr w:type="spellStart"/>
      <w:r w:rsidRPr="00DC20CC">
        <w:rPr>
          <w:rFonts w:ascii="Times New Roman" w:eastAsia="Times New Roman" w:hAnsi="Times New Roman" w:cs="Times New Roman"/>
          <w:color w:val="000000"/>
        </w:rPr>
        <w:t>Cesari</w:t>
      </w:r>
      <w:proofErr w:type="spellEnd"/>
      <w:r w:rsidRPr="00DC20CC">
        <w:rPr>
          <w:rFonts w:ascii="Times New Roman" w:eastAsia="Times New Roman" w:hAnsi="Times New Roman" w:cs="Times New Roman"/>
          <w:color w:val="000000"/>
        </w:rPr>
        <w:t xml:space="preserve">, A., </w:t>
      </w:r>
      <w:proofErr w:type="spellStart"/>
      <w:r w:rsidRPr="00DC20CC">
        <w:rPr>
          <w:rFonts w:ascii="Times New Roman" w:eastAsia="Times New Roman" w:hAnsi="Times New Roman" w:cs="Times New Roman"/>
          <w:color w:val="000000"/>
        </w:rPr>
        <w:t>Espenlaub</w:t>
      </w:r>
      <w:proofErr w:type="spellEnd"/>
      <w:r w:rsidRPr="00DC20CC">
        <w:rPr>
          <w:rFonts w:ascii="Times New Roman" w:eastAsia="Times New Roman" w:hAnsi="Times New Roman" w:cs="Times New Roman"/>
          <w:color w:val="000000"/>
        </w:rPr>
        <w:t xml:space="preserve">, S., </w:t>
      </w:r>
      <w:proofErr w:type="spellStart"/>
      <w:r w:rsidRPr="00DC20CC">
        <w:rPr>
          <w:rFonts w:ascii="Times New Roman" w:eastAsia="Times New Roman" w:hAnsi="Times New Roman" w:cs="Times New Roman"/>
          <w:color w:val="000000"/>
        </w:rPr>
        <w:t>Khurshed</w:t>
      </w:r>
      <w:proofErr w:type="spellEnd"/>
      <w:r w:rsidRPr="00DC20CC">
        <w:rPr>
          <w:rFonts w:ascii="Times New Roman" w:eastAsia="Times New Roman" w:hAnsi="Times New Roman" w:cs="Times New Roman"/>
          <w:color w:val="000000"/>
        </w:rPr>
        <w:t xml:space="preserve">, A. </w:t>
      </w:r>
      <w:r w:rsidR="004303CD">
        <w:rPr>
          <w:rFonts w:ascii="Times New Roman" w:eastAsia="Times New Roman" w:hAnsi="Times New Roman" w:cs="Times New Roman"/>
          <w:color w:val="000000"/>
        </w:rPr>
        <w:t>and</w:t>
      </w:r>
      <w:r w:rsidRPr="00DC20CC">
        <w:rPr>
          <w:rFonts w:ascii="Times New Roman" w:eastAsia="Times New Roman" w:hAnsi="Times New Roman" w:cs="Times New Roman"/>
          <w:color w:val="000000"/>
        </w:rPr>
        <w:t xml:space="preserve"> </w:t>
      </w:r>
      <w:proofErr w:type="spellStart"/>
      <w:r w:rsidRPr="00DC20CC">
        <w:rPr>
          <w:rFonts w:ascii="Times New Roman" w:eastAsia="Times New Roman" w:hAnsi="Times New Roman" w:cs="Times New Roman"/>
          <w:color w:val="000000"/>
        </w:rPr>
        <w:t>Simkovic</w:t>
      </w:r>
      <w:proofErr w:type="spellEnd"/>
      <w:r w:rsidRPr="00DC20CC">
        <w:rPr>
          <w:rFonts w:ascii="Times New Roman" w:eastAsia="Times New Roman" w:hAnsi="Times New Roman" w:cs="Times New Roman"/>
          <w:color w:val="000000"/>
        </w:rPr>
        <w:t xml:space="preserve">, M. (2012) </w:t>
      </w:r>
      <w:r w:rsidR="004303CD">
        <w:rPr>
          <w:rFonts w:ascii="Times New Roman" w:eastAsia="Times New Roman" w:hAnsi="Times New Roman" w:cs="Times New Roman"/>
          <w:color w:val="000000"/>
        </w:rPr>
        <w:t>‘</w:t>
      </w:r>
      <w:r w:rsidRPr="00DC20CC">
        <w:rPr>
          <w:rFonts w:ascii="Times New Roman" w:eastAsia="Times New Roman" w:hAnsi="Times New Roman" w:cs="Times New Roman"/>
          <w:color w:val="000000"/>
        </w:rPr>
        <w:t>The effects of ownership and stock liquidity on the timing of repurchase transactions</w:t>
      </w:r>
      <w:r w:rsidR="004303CD">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Corporate Finance</w:t>
      </w:r>
      <w:r w:rsidRPr="00DC20CC">
        <w:rPr>
          <w:rFonts w:ascii="Times New Roman" w:eastAsia="Times New Roman" w:hAnsi="Times New Roman" w:cs="Times New Roman"/>
          <w:color w:val="000000"/>
        </w:rPr>
        <w:t xml:space="preserve"> 18, 1023-1050.</w:t>
      </w:r>
    </w:p>
    <w:p w14:paraId="275ED0EB" w14:textId="20B492B9"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hAnsi="Times New Roman" w:cs="Times New Roman"/>
          <w:color w:val="222222"/>
          <w:shd w:val="clear" w:color="auto" w:fill="FFFFFF"/>
        </w:rPr>
        <w:t>D</w:t>
      </w:r>
      <w:r w:rsidR="004303CD">
        <w:rPr>
          <w:rFonts w:ascii="Times New Roman" w:hAnsi="Times New Roman" w:cs="Times New Roman"/>
          <w:color w:val="222222"/>
          <w:shd w:val="clear" w:color="auto" w:fill="FFFFFF"/>
        </w:rPr>
        <w:t>é</w:t>
      </w:r>
      <w:r w:rsidRPr="00DC20CC">
        <w:rPr>
          <w:rFonts w:ascii="Times New Roman" w:hAnsi="Times New Roman" w:cs="Times New Roman"/>
          <w:color w:val="222222"/>
          <w:shd w:val="clear" w:color="auto" w:fill="FFFFFF"/>
        </w:rPr>
        <w:t>camps</w:t>
      </w:r>
      <w:proofErr w:type="spellEnd"/>
      <w:r w:rsidRPr="00DC20CC">
        <w:rPr>
          <w:rFonts w:ascii="Times New Roman" w:hAnsi="Times New Roman" w:cs="Times New Roman"/>
          <w:color w:val="222222"/>
          <w:shd w:val="clear" w:color="auto" w:fill="FFFFFF"/>
        </w:rPr>
        <w:t xml:space="preserve"> J., </w:t>
      </w:r>
      <w:proofErr w:type="spellStart"/>
      <w:r w:rsidRPr="00DC20CC">
        <w:rPr>
          <w:rFonts w:ascii="Times New Roman" w:hAnsi="Times New Roman" w:cs="Times New Roman"/>
          <w:color w:val="222222"/>
          <w:shd w:val="clear" w:color="auto" w:fill="FFFFFF"/>
        </w:rPr>
        <w:t>Mariotti</w:t>
      </w:r>
      <w:proofErr w:type="spellEnd"/>
      <w:r w:rsidRPr="00DC20CC">
        <w:rPr>
          <w:rFonts w:ascii="Times New Roman" w:hAnsi="Times New Roman" w:cs="Times New Roman"/>
          <w:color w:val="222222"/>
          <w:shd w:val="clear" w:color="auto" w:fill="FFFFFF"/>
        </w:rPr>
        <w:t>, T., Rochet, J.</w:t>
      </w:r>
      <w:r w:rsidR="004303CD">
        <w:rPr>
          <w:rFonts w:ascii="Times New Roman" w:hAnsi="Times New Roman" w:cs="Times New Roman"/>
          <w:color w:val="222222"/>
          <w:shd w:val="clear" w:color="auto" w:fill="FFFFFF"/>
        </w:rPr>
        <w:t xml:space="preserve"> and </w:t>
      </w:r>
      <w:r w:rsidRPr="00DC20CC">
        <w:rPr>
          <w:rFonts w:ascii="Times New Roman" w:hAnsi="Times New Roman" w:cs="Times New Roman"/>
          <w:color w:val="222222"/>
          <w:shd w:val="clear" w:color="auto" w:fill="FFFFFF"/>
        </w:rPr>
        <w:t>Villeneuve, S.</w:t>
      </w:r>
      <w:r w:rsidR="004303CD">
        <w:rPr>
          <w:rFonts w:ascii="Times New Roman" w:hAnsi="Times New Roman" w:cs="Times New Roman"/>
          <w:color w:val="222222"/>
          <w:shd w:val="clear" w:color="auto" w:fill="FFFFFF"/>
        </w:rPr>
        <w:t xml:space="preserve"> (</w:t>
      </w:r>
      <w:r w:rsidRPr="00DC20CC">
        <w:rPr>
          <w:rFonts w:ascii="Times New Roman" w:hAnsi="Times New Roman" w:cs="Times New Roman"/>
          <w:color w:val="222222"/>
          <w:shd w:val="clear" w:color="auto" w:fill="FFFFFF"/>
        </w:rPr>
        <w:t>2011</w:t>
      </w:r>
      <w:r w:rsidR="004303CD">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DF10C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Free cash </w:t>
      </w:r>
      <w:r w:rsidR="00DF10C6">
        <w:rPr>
          <w:rFonts w:ascii="Times New Roman" w:hAnsi="Times New Roman" w:cs="Times New Roman"/>
          <w:color w:val="222222"/>
          <w:shd w:val="clear" w:color="auto" w:fill="FFFFFF"/>
        </w:rPr>
        <w:t>fl</w:t>
      </w:r>
      <w:r w:rsidRPr="00DC20CC">
        <w:rPr>
          <w:rFonts w:ascii="Times New Roman" w:hAnsi="Times New Roman" w:cs="Times New Roman"/>
          <w:color w:val="222222"/>
          <w:shd w:val="clear" w:color="auto" w:fill="FFFFFF"/>
        </w:rPr>
        <w:t>ow, issuance costs, and stock prices</w:t>
      </w:r>
      <w:r w:rsidR="00DF10C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DF10C6">
        <w:rPr>
          <w:rFonts w:ascii="Times New Roman" w:hAnsi="Times New Roman" w:cs="Times New Roman"/>
          <w:i/>
          <w:iCs/>
          <w:color w:val="222222"/>
          <w:shd w:val="clear" w:color="auto" w:fill="FFFFFF"/>
        </w:rPr>
        <w:t>Journal of Finance</w:t>
      </w:r>
      <w:r w:rsidRPr="00DC20CC">
        <w:rPr>
          <w:rFonts w:ascii="Times New Roman" w:hAnsi="Times New Roman" w:cs="Times New Roman"/>
          <w:color w:val="222222"/>
          <w:shd w:val="clear" w:color="auto" w:fill="FFFFFF"/>
        </w:rPr>
        <w:t xml:space="preserve"> 66, 1501</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1544.</w:t>
      </w:r>
    </w:p>
    <w:p w14:paraId="3BDCEA32" w14:textId="56C2A215"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Dhanani, A., </w:t>
      </w:r>
      <w:r w:rsidR="00DF10C6">
        <w:rPr>
          <w:rFonts w:ascii="Times New Roman" w:eastAsia="Times New Roman" w:hAnsi="Times New Roman" w:cs="Times New Roman"/>
          <w:color w:val="000000"/>
        </w:rPr>
        <w:t>and</w:t>
      </w:r>
      <w:r w:rsidRPr="00DC20CC">
        <w:rPr>
          <w:rFonts w:ascii="Times New Roman" w:eastAsia="Times New Roman" w:hAnsi="Times New Roman" w:cs="Times New Roman"/>
          <w:color w:val="000000"/>
        </w:rPr>
        <w:t xml:space="preserve"> Roberts, R. (2009) </w:t>
      </w:r>
      <w:r w:rsidR="00DF10C6">
        <w:rPr>
          <w:rFonts w:ascii="Times New Roman" w:eastAsia="Times New Roman" w:hAnsi="Times New Roman" w:cs="Times New Roman"/>
          <w:color w:val="000000"/>
        </w:rPr>
        <w:t>‘</w:t>
      </w:r>
      <w:r w:rsidRPr="00DF10C6">
        <w:rPr>
          <w:rFonts w:ascii="Times New Roman" w:eastAsia="Times New Roman" w:hAnsi="Times New Roman" w:cs="Times New Roman"/>
          <w:i/>
          <w:iCs/>
          <w:color w:val="000000"/>
        </w:rPr>
        <w:t>Corporate share repurchases: the perceptions and practices of UK financial managers and corporate investors</w:t>
      </w:r>
      <w:r w:rsidR="00DF10C6" w:rsidRPr="00DF10C6">
        <w:rPr>
          <w:rFonts w:ascii="Times New Roman" w:eastAsia="Times New Roman" w:hAnsi="Times New Roman" w:cs="Times New Roman"/>
          <w:i/>
          <w:iCs/>
          <w:color w:val="000000"/>
        </w:rPr>
        <w:t>’</w:t>
      </w:r>
      <w:r w:rsidRPr="00DC20CC">
        <w:rPr>
          <w:rFonts w:ascii="Times New Roman" w:eastAsia="Times New Roman" w:hAnsi="Times New Roman" w:cs="Times New Roman"/>
          <w:color w:val="000000"/>
        </w:rPr>
        <w:t xml:space="preserve"> Edinburgh: The Institute of Chartered Accountants of Scotland.</w:t>
      </w:r>
    </w:p>
    <w:p w14:paraId="251156A2" w14:textId="7777777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Directive 2003/6/EC of the European Parliament and of the Council of 28 January 2003 on insider dealing and market manipulation (market abuse).</w:t>
      </w:r>
    </w:p>
    <w:p w14:paraId="25354FDB" w14:textId="4A6D7AA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Dittmar, A. K. (2000)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Why do firms repurchase stock?</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Business</w:t>
      </w:r>
      <w:r w:rsidRPr="00DC20CC">
        <w:rPr>
          <w:rFonts w:ascii="Times New Roman" w:eastAsia="Times New Roman" w:hAnsi="Times New Roman" w:cs="Times New Roman"/>
          <w:color w:val="000000"/>
        </w:rPr>
        <w:t xml:space="preserve"> 73(3), 331-355.</w:t>
      </w:r>
    </w:p>
    <w:p w14:paraId="09455795" w14:textId="13A52DE8"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Dittmar, A., </w:t>
      </w:r>
      <w:r w:rsidR="00DF10C6">
        <w:rPr>
          <w:rFonts w:ascii="Times New Roman" w:eastAsia="Times New Roman" w:hAnsi="Times New Roman" w:cs="Times New Roman"/>
          <w:color w:val="000000"/>
        </w:rPr>
        <w:t>and</w:t>
      </w:r>
      <w:r w:rsidRPr="00DC20CC">
        <w:rPr>
          <w:rFonts w:ascii="Times New Roman" w:eastAsia="Times New Roman" w:hAnsi="Times New Roman" w:cs="Times New Roman"/>
          <w:color w:val="000000"/>
        </w:rPr>
        <w:t xml:space="preserve"> Field, L.C. (2015)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Can managers time the market? Evidence using repurchase price data</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lastRenderedPageBreak/>
        <w:t>Journal of Financial Economics</w:t>
      </w:r>
      <w:r w:rsidRPr="00DC20CC">
        <w:rPr>
          <w:rFonts w:ascii="Times New Roman" w:eastAsia="Times New Roman" w:hAnsi="Times New Roman" w:cs="Times New Roman"/>
          <w:color w:val="000000"/>
        </w:rPr>
        <w:t xml:space="preserve"> 115(2), 261-282.</w:t>
      </w:r>
    </w:p>
    <w:p w14:paraId="443DAC7F" w14:textId="46F1B81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Dittmar, A.</w:t>
      </w:r>
      <w:r w:rsidR="00DF10C6">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Mahrt-Smith, J. (2007)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Corporate governance and the value of cash holdings</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Financial Economics</w:t>
      </w:r>
      <w:r w:rsidRPr="00DC20CC">
        <w:rPr>
          <w:rFonts w:ascii="Times New Roman" w:eastAsia="Times New Roman" w:hAnsi="Times New Roman" w:cs="Times New Roman"/>
          <w:color w:val="000000"/>
        </w:rPr>
        <w:t xml:space="preserve"> 83(3), 599-634.</w:t>
      </w:r>
    </w:p>
    <w:p w14:paraId="0D0F54EA" w14:textId="4398F62B"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Dixon, R., Palmer, G., Stradling, B. </w:t>
      </w:r>
      <w:r w:rsidR="00DF10C6">
        <w:rPr>
          <w:rFonts w:ascii="Times New Roman" w:eastAsia="Times New Roman" w:hAnsi="Times New Roman" w:cs="Times New Roman"/>
          <w:color w:val="000000"/>
        </w:rPr>
        <w:t>and</w:t>
      </w:r>
      <w:r w:rsidRPr="00DC20CC">
        <w:rPr>
          <w:rFonts w:ascii="Times New Roman" w:eastAsia="Times New Roman" w:hAnsi="Times New Roman" w:cs="Times New Roman"/>
          <w:color w:val="000000"/>
        </w:rPr>
        <w:t xml:space="preserve"> Woodhead, A. (2008)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An empirical survey of the motivation for share repurchases in the UK</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F10C6">
        <w:rPr>
          <w:rFonts w:ascii="Times New Roman" w:eastAsia="Times New Roman" w:hAnsi="Times New Roman" w:cs="Times New Roman"/>
          <w:i/>
          <w:iCs/>
          <w:color w:val="000000"/>
        </w:rPr>
        <w:t>Managerial Finance</w:t>
      </w:r>
      <w:r w:rsidRPr="00DC20CC">
        <w:rPr>
          <w:rFonts w:ascii="Times New Roman" w:eastAsia="Times New Roman" w:hAnsi="Times New Roman" w:cs="Times New Roman"/>
          <w:color w:val="000000"/>
        </w:rPr>
        <w:t xml:space="preserve"> 34(12), 886-906.</w:t>
      </w:r>
    </w:p>
    <w:p w14:paraId="20394125" w14:textId="491B19E1"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Fama</w:t>
      </w:r>
      <w:proofErr w:type="spellEnd"/>
      <w:r w:rsidRPr="00DC20CC">
        <w:rPr>
          <w:rFonts w:ascii="Times New Roman" w:eastAsia="Times New Roman" w:hAnsi="Times New Roman" w:cs="Times New Roman"/>
          <w:color w:val="000000"/>
        </w:rPr>
        <w:t>, E. F.</w:t>
      </w:r>
      <w:r w:rsidR="00DF10C6">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Jensen, M. N. (1983)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Separation of ownership and control</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Law and Economics</w:t>
      </w:r>
      <w:r w:rsidRPr="00DC20CC">
        <w:rPr>
          <w:rFonts w:ascii="Times New Roman" w:eastAsia="Times New Roman" w:hAnsi="Times New Roman" w:cs="Times New Roman"/>
          <w:color w:val="000000"/>
        </w:rPr>
        <w:t xml:space="preserve"> 26(2), 301-325.</w:t>
      </w:r>
    </w:p>
    <w:p w14:paraId="4F84DB64" w14:textId="05C5A3BD"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Farre</w:t>
      </w:r>
      <w:proofErr w:type="spellEnd"/>
      <w:r w:rsidRPr="00DC20CC">
        <w:rPr>
          <w:rFonts w:ascii="Times New Roman" w:eastAsia="Times New Roman" w:hAnsi="Times New Roman" w:cs="Times New Roman"/>
          <w:color w:val="000000"/>
        </w:rPr>
        <w:t xml:space="preserve">-Mensa, J., </w:t>
      </w:r>
      <w:proofErr w:type="spellStart"/>
      <w:r w:rsidRPr="00DC20CC">
        <w:rPr>
          <w:rFonts w:ascii="Times New Roman" w:eastAsia="Times New Roman" w:hAnsi="Times New Roman" w:cs="Times New Roman"/>
          <w:color w:val="000000"/>
        </w:rPr>
        <w:t>Michaely</w:t>
      </w:r>
      <w:proofErr w:type="spellEnd"/>
      <w:r w:rsidRPr="00DC20CC">
        <w:rPr>
          <w:rFonts w:ascii="Times New Roman" w:eastAsia="Times New Roman" w:hAnsi="Times New Roman" w:cs="Times New Roman"/>
          <w:color w:val="000000"/>
        </w:rPr>
        <w:t>, R.</w:t>
      </w:r>
      <w:r w:rsidR="00DF10C6">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Schmalz, M. (2018)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Financing </w:t>
      </w:r>
      <w:proofErr w:type="spellStart"/>
      <w:r w:rsidRPr="00DC20CC">
        <w:rPr>
          <w:rFonts w:ascii="Times New Roman" w:eastAsia="Times New Roman" w:hAnsi="Times New Roman" w:cs="Times New Roman"/>
          <w:color w:val="000000"/>
        </w:rPr>
        <w:t>payouts</w:t>
      </w:r>
      <w:r w:rsidR="00DF10C6">
        <w:rPr>
          <w:rFonts w:ascii="Times New Roman" w:eastAsia="Times New Roman" w:hAnsi="Times New Roman" w:cs="Times New Roman"/>
          <w:color w:val="000000"/>
        </w:rPr>
        <w:t>’</w:t>
      </w:r>
      <w:proofErr w:type="spellEnd"/>
      <w:r w:rsidRPr="00DC20CC">
        <w:rPr>
          <w:rFonts w:ascii="Times New Roman" w:eastAsia="Times New Roman" w:hAnsi="Times New Roman" w:cs="Times New Roman"/>
          <w:color w:val="000000"/>
        </w:rPr>
        <w:t xml:space="preserve"> (Working Paper), available at SSRN </w:t>
      </w:r>
    </w:p>
    <w:p w14:paraId="36E178F3" w14:textId="7777777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           </w:t>
      </w:r>
      <w:hyperlink r:id="rId14">
        <w:r w:rsidRPr="00DC20CC">
          <w:rPr>
            <w:rFonts w:ascii="Times New Roman" w:eastAsia="Times New Roman" w:hAnsi="Times New Roman" w:cs="Times New Roman"/>
            <w:color w:val="0000FF"/>
            <w:u w:val="single"/>
          </w:rPr>
          <w:t>https://papers.ssrn.com/sol3/papers.cfm?abstract_id=2535675</w:t>
        </w:r>
      </w:hyperlink>
      <w:r w:rsidRPr="00DC20CC">
        <w:rPr>
          <w:rFonts w:ascii="Times New Roman" w:eastAsia="Times New Roman" w:hAnsi="Times New Roman" w:cs="Times New Roman"/>
          <w:color w:val="000000"/>
        </w:rPr>
        <w:t>. (Accessed 04.02.2020).</w:t>
      </w:r>
    </w:p>
    <w:p w14:paraId="02E9D228" w14:textId="43356FA7" w:rsidR="00A707CF" w:rsidRPr="00DC20CC" w:rsidRDefault="0055054A" w:rsidP="00E87442">
      <w:pPr>
        <w:widowControl w:val="0"/>
        <w:spacing w:after="0" w:line="480" w:lineRule="auto"/>
        <w:ind w:left="709" w:hanging="720"/>
        <w:rPr>
          <w:rFonts w:ascii="Times New Roman" w:eastAsia="Times New Roman" w:hAnsi="Times New Roman" w:cs="Times New Roman"/>
        </w:rPr>
      </w:pPr>
      <w:r w:rsidRPr="00DC20CC">
        <w:rPr>
          <w:rFonts w:ascii="Times New Roman" w:eastAsia="Times New Roman" w:hAnsi="Times New Roman" w:cs="Times New Roman"/>
        </w:rPr>
        <w:t xml:space="preserve">Fenn, G.W. </w:t>
      </w:r>
      <w:r w:rsidR="00DF10C6">
        <w:rPr>
          <w:rFonts w:ascii="Times New Roman" w:eastAsia="Times New Roman" w:hAnsi="Times New Roman" w:cs="Times New Roman"/>
        </w:rPr>
        <w:t>and</w:t>
      </w:r>
      <w:r w:rsidRPr="00DC20CC">
        <w:rPr>
          <w:rFonts w:ascii="Times New Roman" w:eastAsia="Times New Roman" w:hAnsi="Times New Roman" w:cs="Times New Roman"/>
        </w:rPr>
        <w:t xml:space="preserve"> Liang, N. (2001) </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Corporate </w:t>
      </w:r>
      <w:proofErr w:type="spellStart"/>
      <w:r w:rsidRPr="00DC20CC">
        <w:rPr>
          <w:rFonts w:ascii="Times New Roman" w:eastAsia="Times New Roman" w:hAnsi="Times New Roman" w:cs="Times New Roman"/>
        </w:rPr>
        <w:t>payout</w:t>
      </w:r>
      <w:proofErr w:type="spellEnd"/>
      <w:r w:rsidRPr="00DC20CC">
        <w:rPr>
          <w:rFonts w:ascii="Times New Roman" w:eastAsia="Times New Roman" w:hAnsi="Times New Roman" w:cs="Times New Roman"/>
        </w:rPr>
        <w:t xml:space="preserve"> policy and managerial stock incentives</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Financial Economics</w:t>
      </w:r>
      <w:r w:rsidRPr="00DC20CC">
        <w:rPr>
          <w:rFonts w:ascii="Times New Roman" w:eastAsia="Times New Roman" w:hAnsi="Times New Roman" w:cs="Times New Roman"/>
        </w:rPr>
        <w:t xml:space="preserve"> 60(1), 45-72.</w:t>
      </w:r>
    </w:p>
    <w:p w14:paraId="5F2FEDC5" w14:textId="041FB1E2"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Finance</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color w:val="000000"/>
        </w:rPr>
        <w:t>Bill</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color w:val="000000"/>
        </w:rPr>
        <w:t>2003, available on the internet at</w:t>
      </w:r>
      <w:r w:rsidR="00CA0C2D">
        <w:rPr>
          <w:rFonts w:ascii="Times New Roman" w:eastAsia="Times New Roman" w:hAnsi="Times New Roman" w:cs="Times New Roman"/>
          <w:color w:val="000000"/>
        </w:rPr>
        <w:t>:</w:t>
      </w:r>
    </w:p>
    <w:p w14:paraId="4CC182F9" w14:textId="7777777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            </w:t>
      </w:r>
      <w:hyperlink r:id="rId15">
        <w:r w:rsidRPr="00DC20CC">
          <w:rPr>
            <w:rFonts w:ascii="Times New Roman" w:eastAsia="Times New Roman" w:hAnsi="Times New Roman" w:cs="Times New Roman"/>
            <w:color w:val="0000FF"/>
            <w:u w:val="single"/>
          </w:rPr>
          <w:t>https://publications.parliament.uk/pa/ld200203/ldselect/ldeconaf/121-ii/121.pdf</w:t>
        </w:r>
      </w:hyperlink>
      <w:r w:rsidRPr="00DC20CC">
        <w:rPr>
          <w:rFonts w:ascii="Times New Roman" w:eastAsia="Times New Roman" w:hAnsi="Times New Roman" w:cs="Times New Roman"/>
          <w:color w:val="0000FF"/>
          <w:u w:val="single"/>
        </w:rPr>
        <w:t>.</w:t>
      </w:r>
      <w:r w:rsidRPr="00DC20CC">
        <w:rPr>
          <w:rFonts w:ascii="Times New Roman" w:eastAsia="Times New Roman" w:hAnsi="Times New Roman" w:cs="Times New Roman"/>
          <w:color w:val="000000"/>
        </w:rPr>
        <w:t xml:space="preserve">  (Accessed 07.10.2019).</w:t>
      </w:r>
    </w:p>
    <w:p w14:paraId="36CA6439" w14:textId="65074264"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highlight w:val="white"/>
        </w:rPr>
      </w:pPr>
      <w:r w:rsidRPr="00DC20CC">
        <w:rPr>
          <w:rFonts w:ascii="Times New Roman" w:eastAsia="Times New Roman" w:hAnsi="Times New Roman" w:cs="Times New Roman"/>
          <w:color w:val="000000"/>
          <w:highlight w:val="white"/>
        </w:rPr>
        <w:t>Floyd, E., Li, N.</w:t>
      </w:r>
      <w:r w:rsidR="00DF10C6">
        <w:rPr>
          <w:rFonts w:ascii="Times New Roman" w:eastAsia="Times New Roman" w:hAnsi="Times New Roman" w:cs="Times New Roman"/>
          <w:color w:val="000000"/>
          <w:highlight w:val="white"/>
        </w:rPr>
        <w:t xml:space="preserve"> and</w:t>
      </w:r>
      <w:r w:rsidRPr="00DC20CC">
        <w:rPr>
          <w:rFonts w:ascii="Times New Roman" w:eastAsia="Times New Roman" w:hAnsi="Times New Roman" w:cs="Times New Roman"/>
          <w:color w:val="000000"/>
          <w:highlight w:val="white"/>
        </w:rPr>
        <w:t xml:space="preserve"> Skinner, D. J. (2015) </w:t>
      </w:r>
      <w:r w:rsidR="00DF10C6">
        <w:rPr>
          <w:rFonts w:ascii="Times New Roman" w:eastAsia="Times New Roman" w:hAnsi="Times New Roman" w:cs="Times New Roman"/>
          <w:color w:val="000000"/>
          <w:highlight w:val="white"/>
        </w:rPr>
        <w:t>‘</w:t>
      </w:r>
      <w:proofErr w:type="spellStart"/>
      <w:r w:rsidRPr="00DC20CC">
        <w:rPr>
          <w:rFonts w:ascii="Times New Roman" w:eastAsia="Times New Roman" w:hAnsi="Times New Roman" w:cs="Times New Roman"/>
          <w:color w:val="000000"/>
          <w:highlight w:val="white"/>
        </w:rPr>
        <w:t>Payout</w:t>
      </w:r>
      <w:proofErr w:type="spellEnd"/>
      <w:r w:rsidRPr="00DC20CC">
        <w:rPr>
          <w:rFonts w:ascii="Times New Roman" w:eastAsia="Times New Roman" w:hAnsi="Times New Roman" w:cs="Times New Roman"/>
          <w:color w:val="000000"/>
          <w:highlight w:val="white"/>
        </w:rPr>
        <w:t xml:space="preserve"> policy through the financial crisis: The growth of repurchases and the resilience of dividends</w:t>
      </w:r>
      <w:r w:rsidR="00DF10C6">
        <w:rPr>
          <w:rFonts w:ascii="Times New Roman" w:eastAsia="Times New Roman" w:hAnsi="Times New Roman" w:cs="Times New Roman"/>
          <w:color w:val="000000"/>
          <w:highlight w:val="white"/>
        </w:rPr>
        <w:t>’,</w:t>
      </w:r>
      <w:r w:rsidRPr="00DC20CC">
        <w:rPr>
          <w:rFonts w:ascii="Times New Roman" w:eastAsia="Times New Roman" w:hAnsi="Times New Roman" w:cs="Times New Roman"/>
          <w:color w:val="000000"/>
          <w:highlight w:val="white"/>
        </w:rPr>
        <w:t> </w:t>
      </w:r>
      <w:r w:rsidRPr="00DC20CC">
        <w:rPr>
          <w:rFonts w:ascii="Times New Roman" w:eastAsia="Times New Roman" w:hAnsi="Times New Roman" w:cs="Times New Roman"/>
          <w:i/>
          <w:color w:val="000000"/>
          <w:highlight w:val="white"/>
        </w:rPr>
        <w:t>Journal of Financial Economics</w:t>
      </w:r>
      <w:r w:rsidRPr="00DC20CC">
        <w:rPr>
          <w:rFonts w:ascii="Times New Roman" w:eastAsia="Times New Roman" w:hAnsi="Times New Roman" w:cs="Times New Roman"/>
          <w:color w:val="000000"/>
          <w:highlight w:val="white"/>
        </w:rPr>
        <w:t> 118(2), 299-316.</w:t>
      </w:r>
    </w:p>
    <w:p w14:paraId="0D73A96A" w14:textId="62194F24" w:rsidR="00A707CF" w:rsidRPr="00DC20CC" w:rsidRDefault="0055054A" w:rsidP="00E87442">
      <w:pPr>
        <w:spacing w:after="0" w:line="480" w:lineRule="auto"/>
        <w:ind w:left="720" w:hanging="720"/>
        <w:rPr>
          <w:rFonts w:ascii="Times New Roman" w:eastAsia="Times New Roman" w:hAnsi="Times New Roman" w:cs="Times New Roman"/>
        </w:rPr>
      </w:pPr>
      <w:proofErr w:type="spellStart"/>
      <w:r w:rsidRPr="00DC20CC">
        <w:rPr>
          <w:rFonts w:ascii="Times New Roman" w:eastAsia="Times New Roman" w:hAnsi="Times New Roman" w:cs="Times New Roman"/>
        </w:rPr>
        <w:t>Grullon</w:t>
      </w:r>
      <w:proofErr w:type="spellEnd"/>
      <w:r w:rsidRPr="00DC20CC">
        <w:rPr>
          <w:rFonts w:ascii="Times New Roman" w:eastAsia="Times New Roman" w:hAnsi="Times New Roman" w:cs="Times New Roman"/>
        </w:rPr>
        <w:t xml:space="preserve">, G., </w:t>
      </w:r>
      <w:r w:rsidR="00DF10C6">
        <w:rPr>
          <w:rFonts w:ascii="Times New Roman" w:eastAsia="Times New Roman" w:hAnsi="Times New Roman" w:cs="Times New Roman"/>
        </w:rPr>
        <w:t>and</w:t>
      </w:r>
      <w:r w:rsidRPr="00DC20CC">
        <w:rPr>
          <w:rFonts w:ascii="Times New Roman" w:eastAsia="Times New Roman" w:hAnsi="Times New Roman" w:cs="Times New Roman"/>
        </w:rPr>
        <w:t xml:space="preserve"> </w:t>
      </w:r>
      <w:proofErr w:type="spellStart"/>
      <w:r w:rsidRPr="00DC20CC">
        <w:rPr>
          <w:rFonts w:ascii="Times New Roman" w:eastAsia="Times New Roman" w:hAnsi="Times New Roman" w:cs="Times New Roman"/>
        </w:rPr>
        <w:t>Michaely</w:t>
      </w:r>
      <w:proofErr w:type="spellEnd"/>
      <w:r w:rsidRPr="00DC20CC">
        <w:rPr>
          <w:rFonts w:ascii="Times New Roman" w:eastAsia="Times New Roman" w:hAnsi="Times New Roman" w:cs="Times New Roman"/>
        </w:rPr>
        <w:t xml:space="preserve">, R. (2002) </w:t>
      </w:r>
      <w:r w:rsidR="00DF10C6">
        <w:rPr>
          <w:rFonts w:ascii="Times New Roman" w:eastAsia="Times New Roman" w:hAnsi="Times New Roman" w:cs="Times New Roman"/>
        </w:rPr>
        <w:t>‘</w:t>
      </w:r>
      <w:r w:rsidRPr="00DC20CC">
        <w:rPr>
          <w:rFonts w:ascii="Times New Roman" w:eastAsia="Times New Roman" w:hAnsi="Times New Roman" w:cs="Times New Roman"/>
        </w:rPr>
        <w:t>Dividends, share repurchases, and the substitution hypothesis</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The</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 xml:space="preserve"> Journal of Finance</w:t>
      </w:r>
      <w:r w:rsidRPr="00DC20CC">
        <w:rPr>
          <w:rFonts w:ascii="Times New Roman" w:eastAsia="Times New Roman" w:hAnsi="Times New Roman" w:cs="Times New Roman"/>
        </w:rPr>
        <w:t xml:space="preserve"> 57(4), 1649-1684.</w:t>
      </w:r>
    </w:p>
    <w:p w14:paraId="2936FEA8" w14:textId="1C139566" w:rsidR="00A707CF" w:rsidRPr="00DC20CC" w:rsidRDefault="0055054A" w:rsidP="00E87442">
      <w:pPr>
        <w:spacing w:after="0" w:line="480" w:lineRule="auto"/>
        <w:ind w:left="720" w:hanging="720"/>
        <w:rPr>
          <w:rFonts w:ascii="Times New Roman" w:eastAsia="Times New Roman" w:hAnsi="Times New Roman" w:cs="Times New Roman"/>
        </w:rPr>
      </w:pPr>
      <w:proofErr w:type="spellStart"/>
      <w:r w:rsidRPr="00DC20CC">
        <w:rPr>
          <w:rFonts w:ascii="Times New Roman" w:eastAsia="Times New Roman" w:hAnsi="Times New Roman" w:cs="Times New Roman"/>
        </w:rPr>
        <w:t>Guay</w:t>
      </w:r>
      <w:proofErr w:type="spellEnd"/>
      <w:r w:rsidRPr="00DC20CC">
        <w:rPr>
          <w:rFonts w:ascii="Times New Roman" w:eastAsia="Times New Roman" w:hAnsi="Times New Roman" w:cs="Times New Roman"/>
        </w:rPr>
        <w:t>, W.</w:t>
      </w:r>
      <w:r w:rsidR="00DF10C6">
        <w:rPr>
          <w:rFonts w:ascii="Times New Roman" w:eastAsia="Times New Roman" w:hAnsi="Times New Roman" w:cs="Times New Roman"/>
        </w:rPr>
        <w:t xml:space="preserve"> and </w:t>
      </w:r>
      <w:proofErr w:type="spellStart"/>
      <w:r w:rsidRPr="00DC20CC">
        <w:rPr>
          <w:rFonts w:ascii="Times New Roman" w:eastAsia="Times New Roman" w:hAnsi="Times New Roman" w:cs="Times New Roman"/>
        </w:rPr>
        <w:t>Harford</w:t>
      </w:r>
      <w:proofErr w:type="spellEnd"/>
      <w:r w:rsidRPr="00DC20CC">
        <w:rPr>
          <w:rFonts w:ascii="Times New Roman" w:eastAsia="Times New Roman" w:hAnsi="Times New Roman" w:cs="Times New Roman"/>
        </w:rPr>
        <w:t xml:space="preserve">, J. (2000) </w:t>
      </w:r>
      <w:r w:rsidR="00DF10C6">
        <w:rPr>
          <w:rFonts w:ascii="Times New Roman" w:eastAsia="Times New Roman" w:hAnsi="Times New Roman" w:cs="Times New Roman"/>
        </w:rPr>
        <w:t>‘</w:t>
      </w:r>
      <w:r w:rsidRPr="00DC20CC">
        <w:rPr>
          <w:rFonts w:ascii="Times New Roman" w:eastAsia="Times New Roman" w:hAnsi="Times New Roman" w:cs="Times New Roman"/>
        </w:rPr>
        <w:t>The cash-flow permanence and information content of dividend increases versus repurchases</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Financial Economics</w:t>
      </w:r>
      <w:r w:rsidRPr="00DC20CC">
        <w:rPr>
          <w:rFonts w:ascii="Times New Roman" w:eastAsia="Times New Roman" w:hAnsi="Times New Roman" w:cs="Times New Roman"/>
        </w:rPr>
        <w:t xml:space="preserve"> 57(3), 385-415.</w:t>
      </w:r>
    </w:p>
    <w:p w14:paraId="3DD440E2" w14:textId="77777777" w:rsidR="00A707CF" w:rsidRPr="00DC20CC" w:rsidRDefault="0055054A" w:rsidP="00E87442">
      <w:pPr>
        <w:spacing w:after="0" w:line="480" w:lineRule="auto"/>
        <w:ind w:left="720" w:hanging="720"/>
        <w:rPr>
          <w:rFonts w:ascii="Times New Roman" w:eastAsia="Times New Roman" w:hAnsi="Times New Roman" w:cs="Times New Roman"/>
        </w:rPr>
      </w:pPr>
      <w:r w:rsidRPr="00DC20CC">
        <w:rPr>
          <w:rFonts w:ascii="Times New Roman" w:eastAsia="Times New Roman" w:hAnsi="Times New Roman" w:cs="Times New Roman"/>
        </w:rPr>
        <w:t xml:space="preserve">Higgs, D., 2003. </w:t>
      </w:r>
      <w:r w:rsidRPr="00DF10C6">
        <w:rPr>
          <w:rFonts w:ascii="Times New Roman" w:eastAsia="Times New Roman" w:hAnsi="Times New Roman" w:cs="Times New Roman"/>
          <w:i/>
          <w:iCs/>
        </w:rPr>
        <w:t>Review of the Role and Effectiveness of Non-executive Directors</w:t>
      </w:r>
      <w:r w:rsidRPr="00DC20CC">
        <w:rPr>
          <w:rFonts w:ascii="Times New Roman" w:eastAsia="Times New Roman" w:hAnsi="Times New Roman" w:cs="Times New Roman"/>
        </w:rPr>
        <w:t xml:space="preserve">. </w:t>
      </w:r>
    </w:p>
    <w:p w14:paraId="12C9ED61" w14:textId="2A556D44" w:rsidR="00A707CF" w:rsidRPr="00DC20CC" w:rsidRDefault="0055054A" w:rsidP="00E87442">
      <w:pPr>
        <w:spacing w:after="0" w:line="480" w:lineRule="auto"/>
        <w:ind w:left="720" w:hanging="720"/>
        <w:rPr>
          <w:rFonts w:ascii="Times New Roman" w:eastAsia="Times New Roman" w:hAnsi="Times New Roman" w:cs="Times New Roman"/>
        </w:rPr>
      </w:pPr>
      <w:proofErr w:type="spellStart"/>
      <w:r w:rsidRPr="00DC20CC">
        <w:rPr>
          <w:rFonts w:ascii="Times New Roman" w:eastAsia="Times New Roman" w:hAnsi="Times New Roman" w:cs="Times New Roman"/>
        </w:rPr>
        <w:t>Ikenberry</w:t>
      </w:r>
      <w:proofErr w:type="spellEnd"/>
      <w:r w:rsidRPr="00DC20CC">
        <w:rPr>
          <w:rFonts w:ascii="Times New Roman" w:eastAsia="Times New Roman" w:hAnsi="Times New Roman" w:cs="Times New Roman"/>
        </w:rPr>
        <w:t xml:space="preserve">, D., </w:t>
      </w:r>
      <w:proofErr w:type="spellStart"/>
      <w:r w:rsidRPr="00DC20CC">
        <w:rPr>
          <w:rFonts w:ascii="Times New Roman" w:eastAsia="Times New Roman" w:hAnsi="Times New Roman" w:cs="Times New Roman"/>
        </w:rPr>
        <w:t>Lakonishok</w:t>
      </w:r>
      <w:proofErr w:type="spellEnd"/>
      <w:r w:rsidRPr="00DC20CC">
        <w:rPr>
          <w:rFonts w:ascii="Times New Roman" w:eastAsia="Times New Roman" w:hAnsi="Times New Roman" w:cs="Times New Roman"/>
        </w:rPr>
        <w:t>. J.</w:t>
      </w:r>
      <w:r w:rsidR="00DF10C6">
        <w:rPr>
          <w:rFonts w:ascii="Times New Roman" w:eastAsia="Times New Roman" w:hAnsi="Times New Roman" w:cs="Times New Roman"/>
        </w:rPr>
        <w:t xml:space="preserve"> and</w:t>
      </w:r>
      <w:r w:rsidRPr="00DC20CC">
        <w:rPr>
          <w:rFonts w:ascii="Times New Roman" w:eastAsia="Times New Roman" w:hAnsi="Times New Roman" w:cs="Times New Roman"/>
        </w:rPr>
        <w:t xml:space="preserve"> Vermaelen, T. (1995) </w:t>
      </w:r>
      <w:r w:rsidR="00DF10C6">
        <w:rPr>
          <w:rFonts w:ascii="Times New Roman" w:eastAsia="Times New Roman" w:hAnsi="Times New Roman" w:cs="Times New Roman"/>
        </w:rPr>
        <w:t>‘</w:t>
      </w:r>
      <w:r w:rsidRPr="00DC20CC">
        <w:rPr>
          <w:rFonts w:ascii="Times New Roman" w:eastAsia="Times New Roman" w:hAnsi="Times New Roman" w:cs="Times New Roman"/>
        </w:rPr>
        <w:t>Market underreaction to open market share repurchases</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Financial Economics</w:t>
      </w:r>
      <w:r w:rsidRPr="00DC20CC">
        <w:rPr>
          <w:rFonts w:ascii="Times New Roman" w:eastAsia="Times New Roman" w:hAnsi="Times New Roman" w:cs="Times New Roman"/>
        </w:rPr>
        <w:t xml:space="preserve"> 39(2-3), 181-208.</w:t>
      </w:r>
    </w:p>
    <w:p w14:paraId="67A45C75" w14:textId="77DB64EC"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Jagannathan, M., Stephens, C.P.</w:t>
      </w:r>
      <w:r w:rsidR="00DF10C6">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w:t>
      </w:r>
      <w:proofErr w:type="spellStart"/>
      <w:r w:rsidRPr="00DC20CC">
        <w:rPr>
          <w:rFonts w:ascii="Times New Roman" w:eastAsia="Times New Roman" w:hAnsi="Times New Roman" w:cs="Times New Roman"/>
          <w:color w:val="000000"/>
        </w:rPr>
        <w:t>Weisbach</w:t>
      </w:r>
      <w:proofErr w:type="spellEnd"/>
      <w:r w:rsidRPr="00DC20CC">
        <w:rPr>
          <w:rFonts w:ascii="Times New Roman" w:eastAsia="Times New Roman" w:hAnsi="Times New Roman" w:cs="Times New Roman"/>
          <w:color w:val="000000"/>
        </w:rPr>
        <w:t xml:space="preserve">, M.S. (2000)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Financial flexibility and the choice between dividends and stock repurchases</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Financial Economics</w:t>
      </w:r>
      <w:r w:rsidRPr="00DC20CC">
        <w:rPr>
          <w:rFonts w:ascii="Times New Roman" w:eastAsia="Times New Roman" w:hAnsi="Times New Roman" w:cs="Times New Roman"/>
          <w:color w:val="000000"/>
        </w:rPr>
        <w:t>. 57(3), 355-384.</w:t>
      </w:r>
    </w:p>
    <w:p w14:paraId="277BD384" w14:textId="0F0D3F5A"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Jensen, M.C. (1986) </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Agency costs of free cash flow, corporate finance, and takeovers</w:t>
      </w:r>
      <w:r w:rsidR="00DF10C6">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 xml:space="preserve">The American </w:t>
      </w:r>
      <w:r w:rsidRPr="00DC20CC">
        <w:rPr>
          <w:rFonts w:ascii="Times New Roman" w:eastAsia="Times New Roman" w:hAnsi="Times New Roman" w:cs="Times New Roman"/>
          <w:i/>
          <w:color w:val="000000"/>
        </w:rPr>
        <w:lastRenderedPageBreak/>
        <w:t>Economic Review</w:t>
      </w:r>
      <w:r w:rsidRPr="00DC20CC">
        <w:rPr>
          <w:rFonts w:ascii="Times New Roman" w:eastAsia="Times New Roman" w:hAnsi="Times New Roman" w:cs="Times New Roman"/>
          <w:color w:val="000000"/>
        </w:rPr>
        <w:t xml:space="preserve"> 76(2), 323-329.</w:t>
      </w:r>
    </w:p>
    <w:p w14:paraId="546E2EB7" w14:textId="40B31060"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bookmarkStart w:id="9" w:name="_heading=h.4d34og8" w:colFirst="0" w:colLast="0"/>
      <w:bookmarkEnd w:id="9"/>
      <w:r w:rsidRPr="00DC20CC">
        <w:rPr>
          <w:rFonts w:ascii="Times New Roman" w:eastAsia="Times New Roman" w:hAnsi="Times New Roman" w:cs="Times New Roman"/>
        </w:rPr>
        <w:t xml:space="preserve">Lambert, R.A., </w:t>
      </w:r>
      <w:proofErr w:type="spellStart"/>
      <w:r w:rsidRPr="00DC20CC">
        <w:rPr>
          <w:rFonts w:ascii="Times New Roman" w:eastAsia="Times New Roman" w:hAnsi="Times New Roman" w:cs="Times New Roman"/>
        </w:rPr>
        <w:t>Lanen</w:t>
      </w:r>
      <w:proofErr w:type="spellEnd"/>
      <w:r w:rsidRPr="00DC20CC">
        <w:rPr>
          <w:rFonts w:ascii="Times New Roman" w:eastAsia="Times New Roman" w:hAnsi="Times New Roman" w:cs="Times New Roman"/>
        </w:rPr>
        <w:t>, W.N.</w:t>
      </w:r>
      <w:r w:rsidR="00DF10C6">
        <w:rPr>
          <w:rFonts w:ascii="Times New Roman" w:eastAsia="Times New Roman" w:hAnsi="Times New Roman" w:cs="Times New Roman"/>
        </w:rPr>
        <w:t xml:space="preserve"> and </w:t>
      </w:r>
      <w:proofErr w:type="spellStart"/>
      <w:r w:rsidRPr="00DC20CC">
        <w:rPr>
          <w:rFonts w:ascii="Times New Roman" w:eastAsia="Times New Roman" w:hAnsi="Times New Roman" w:cs="Times New Roman"/>
        </w:rPr>
        <w:t>Larcker</w:t>
      </w:r>
      <w:proofErr w:type="spellEnd"/>
      <w:r w:rsidRPr="00DC20CC">
        <w:rPr>
          <w:rFonts w:ascii="Times New Roman" w:eastAsia="Times New Roman" w:hAnsi="Times New Roman" w:cs="Times New Roman"/>
        </w:rPr>
        <w:t xml:space="preserve">, D.F. (1989) </w:t>
      </w:r>
      <w:r w:rsidR="00DF10C6">
        <w:rPr>
          <w:rFonts w:ascii="Times New Roman" w:eastAsia="Times New Roman" w:hAnsi="Times New Roman" w:cs="Times New Roman"/>
        </w:rPr>
        <w:t>‘</w:t>
      </w:r>
      <w:r w:rsidRPr="00DC20CC">
        <w:rPr>
          <w:rFonts w:ascii="Times New Roman" w:eastAsia="Times New Roman" w:hAnsi="Times New Roman" w:cs="Times New Roman"/>
        </w:rPr>
        <w:t>Executive stock option plans and corporate dividend policy</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Financial and Quantitative Analysis</w:t>
      </w:r>
      <w:r w:rsidRPr="00DC20CC">
        <w:rPr>
          <w:rFonts w:ascii="Times New Roman" w:eastAsia="Times New Roman" w:hAnsi="Times New Roman" w:cs="Times New Roman"/>
        </w:rPr>
        <w:t xml:space="preserve"> 24(4), 409-425</w:t>
      </w:r>
    </w:p>
    <w:p w14:paraId="2424EEA5" w14:textId="0412DFC5" w:rsidR="00DC20CC" w:rsidRPr="00DC20CC" w:rsidRDefault="00DC20CC" w:rsidP="00E87442">
      <w:pPr>
        <w:spacing w:after="0" w:line="480" w:lineRule="auto"/>
        <w:ind w:left="720" w:hanging="720"/>
        <w:rPr>
          <w:rFonts w:ascii="Times New Roman" w:eastAsia="Times New Roman" w:hAnsi="Times New Roman" w:cs="Times New Roman"/>
        </w:rPr>
      </w:pPr>
      <w:r w:rsidRPr="00DC20CC">
        <w:rPr>
          <w:rFonts w:ascii="Times New Roman" w:hAnsi="Times New Roman" w:cs="Times New Roman"/>
          <w:color w:val="222222"/>
          <w:shd w:val="clear" w:color="auto" w:fill="FFFFFF"/>
        </w:rPr>
        <w:t>Lambrecht, B.</w:t>
      </w:r>
      <w:r w:rsidR="00DF10C6">
        <w:rPr>
          <w:rFonts w:ascii="Times New Roman" w:hAnsi="Times New Roman" w:cs="Times New Roman"/>
          <w:color w:val="222222"/>
          <w:shd w:val="clear" w:color="auto" w:fill="FFFFFF"/>
        </w:rPr>
        <w:t xml:space="preserve"> and </w:t>
      </w:r>
      <w:r w:rsidRPr="00DC20CC">
        <w:rPr>
          <w:rFonts w:ascii="Times New Roman" w:hAnsi="Times New Roman" w:cs="Times New Roman"/>
          <w:color w:val="222222"/>
          <w:shd w:val="clear" w:color="auto" w:fill="FFFFFF"/>
        </w:rPr>
        <w:t xml:space="preserve"> </w:t>
      </w:r>
      <w:r w:rsidR="00DF10C6">
        <w:rPr>
          <w:rFonts w:ascii="Times New Roman" w:hAnsi="Times New Roman" w:cs="Times New Roman"/>
          <w:color w:val="222222"/>
          <w:shd w:val="clear" w:color="auto" w:fill="FFFFFF"/>
        </w:rPr>
        <w:t>Myers,</w:t>
      </w:r>
      <w:r w:rsidRPr="00DC20CC">
        <w:rPr>
          <w:rFonts w:ascii="Times New Roman" w:hAnsi="Times New Roman" w:cs="Times New Roman"/>
          <w:color w:val="222222"/>
          <w:shd w:val="clear" w:color="auto" w:fill="FFFFFF"/>
        </w:rPr>
        <w:t xml:space="preserve"> </w:t>
      </w:r>
      <w:r w:rsidR="00DF10C6">
        <w:rPr>
          <w:rFonts w:ascii="Times New Roman" w:hAnsi="Times New Roman" w:cs="Times New Roman"/>
          <w:color w:val="222222"/>
          <w:shd w:val="clear" w:color="auto" w:fill="FFFFFF"/>
        </w:rPr>
        <w:t>S</w:t>
      </w:r>
      <w:r w:rsidRPr="00DC20CC">
        <w:rPr>
          <w:rFonts w:ascii="Times New Roman" w:hAnsi="Times New Roman" w:cs="Times New Roman"/>
          <w:color w:val="222222"/>
          <w:shd w:val="clear" w:color="auto" w:fill="FFFFFF"/>
        </w:rPr>
        <w:t xml:space="preserve">. </w:t>
      </w:r>
      <w:r w:rsidR="00DF10C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2017</w:t>
      </w:r>
      <w:r w:rsidR="00DF10C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DF10C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The dynamics of investment, </w:t>
      </w:r>
      <w:proofErr w:type="spellStart"/>
      <w:r w:rsidRPr="00DC20CC">
        <w:rPr>
          <w:rFonts w:ascii="Times New Roman" w:hAnsi="Times New Roman" w:cs="Times New Roman"/>
          <w:color w:val="222222"/>
          <w:shd w:val="clear" w:color="auto" w:fill="FFFFFF"/>
        </w:rPr>
        <w:t>payout</w:t>
      </w:r>
      <w:proofErr w:type="spellEnd"/>
      <w:r w:rsidRPr="00DC20CC">
        <w:rPr>
          <w:rFonts w:ascii="Times New Roman" w:hAnsi="Times New Roman" w:cs="Times New Roman"/>
          <w:color w:val="222222"/>
          <w:shd w:val="clear" w:color="auto" w:fill="FFFFFF"/>
        </w:rPr>
        <w:t xml:space="preserve"> and debt</w:t>
      </w:r>
      <w:r w:rsidR="00DF10C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DF10C6">
        <w:rPr>
          <w:rFonts w:ascii="Times New Roman" w:hAnsi="Times New Roman" w:cs="Times New Roman"/>
          <w:i/>
          <w:iCs/>
          <w:color w:val="222222"/>
          <w:shd w:val="clear" w:color="auto" w:fill="FFFFFF"/>
        </w:rPr>
        <w:t>Review of Financial Studies</w:t>
      </w:r>
      <w:r w:rsidRPr="00DC20CC">
        <w:rPr>
          <w:rFonts w:ascii="Times New Roman" w:hAnsi="Times New Roman" w:cs="Times New Roman"/>
          <w:color w:val="222222"/>
          <w:shd w:val="clear" w:color="auto" w:fill="FFFFFF"/>
        </w:rPr>
        <w:t xml:space="preserve"> 30, 3759</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3800.</w:t>
      </w:r>
    </w:p>
    <w:p w14:paraId="2203126D" w14:textId="0EAF5859" w:rsidR="00A707CF" w:rsidRPr="00DC20CC" w:rsidRDefault="0055054A" w:rsidP="00E87442">
      <w:pPr>
        <w:spacing w:after="0" w:line="480" w:lineRule="auto"/>
        <w:ind w:left="720" w:hanging="720"/>
        <w:rPr>
          <w:rFonts w:ascii="Times New Roman" w:eastAsia="Times New Roman" w:hAnsi="Times New Roman" w:cs="Times New Roman"/>
        </w:rPr>
      </w:pPr>
      <w:r w:rsidRPr="00DC20CC">
        <w:rPr>
          <w:rFonts w:ascii="Times New Roman" w:eastAsia="Times New Roman" w:hAnsi="Times New Roman" w:cs="Times New Roman"/>
        </w:rPr>
        <w:t>Lee, B. S.</w:t>
      </w:r>
      <w:r w:rsidR="00DF10C6">
        <w:rPr>
          <w:rFonts w:ascii="Times New Roman" w:eastAsia="Times New Roman" w:hAnsi="Times New Roman" w:cs="Times New Roman"/>
        </w:rPr>
        <w:t xml:space="preserve"> and</w:t>
      </w:r>
      <w:r w:rsidRPr="00DC20CC">
        <w:rPr>
          <w:rFonts w:ascii="Times New Roman" w:eastAsia="Times New Roman" w:hAnsi="Times New Roman" w:cs="Times New Roman"/>
        </w:rPr>
        <w:t xml:space="preserve"> Suh, J. (2011) </w:t>
      </w:r>
      <w:r w:rsidR="00DF10C6">
        <w:rPr>
          <w:rFonts w:ascii="Times New Roman" w:eastAsia="Times New Roman" w:hAnsi="Times New Roman" w:cs="Times New Roman"/>
        </w:rPr>
        <w:t>‘</w:t>
      </w:r>
      <w:r w:rsidRPr="00DC20CC">
        <w:rPr>
          <w:rFonts w:ascii="Times New Roman" w:eastAsia="Times New Roman" w:hAnsi="Times New Roman" w:cs="Times New Roman"/>
        </w:rPr>
        <w:t>Cash holdings and share repurchases: international evidence</w:t>
      </w:r>
      <w:r w:rsidR="00DF10C6">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Corporate Finance</w:t>
      </w:r>
      <w:r w:rsidRPr="00DC20CC">
        <w:rPr>
          <w:rFonts w:ascii="Times New Roman" w:eastAsia="Times New Roman" w:hAnsi="Times New Roman" w:cs="Times New Roman"/>
        </w:rPr>
        <w:t>. 17(5), 1306-1329.</w:t>
      </w:r>
    </w:p>
    <w:p w14:paraId="6AE6A14F" w14:textId="204CFB7C"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Lintner, J. (1956) </w:t>
      </w:r>
      <w:r w:rsidR="00DB0ED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Distribution of incomes of corporations among dividends, retained earnings, and taxes</w:t>
      </w:r>
      <w:r w:rsidR="00DB0ED3">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The American Economic Review</w:t>
      </w:r>
      <w:r w:rsidRPr="00DC20CC">
        <w:rPr>
          <w:rFonts w:ascii="Times New Roman" w:eastAsia="Times New Roman" w:hAnsi="Times New Roman" w:cs="Times New Roman"/>
          <w:color w:val="000000"/>
        </w:rPr>
        <w:t xml:space="preserve"> 46(2), 97-113.</w:t>
      </w:r>
    </w:p>
    <w:p w14:paraId="3FB31DC9" w14:textId="3EF9330F"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hAnsi="Times New Roman" w:cs="Times New Roman"/>
          <w:color w:val="222222"/>
          <w:shd w:val="clear" w:color="auto" w:fill="FFFFFF"/>
        </w:rPr>
      </w:pPr>
      <w:r w:rsidRPr="00DC20CC">
        <w:rPr>
          <w:rFonts w:ascii="Times New Roman" w:hAnsi="Times New Roman" w:cs="Times New Roman"/>
          <w:color w:val="222222"/>
          <w:shd w:val="clear" w:color="auto" w:fill="FFFFFF"/>
        </w:rPr>
        <w:t>Oded, J.</w:t>
      </w:r>
      <w:r w:rsidR="00DB0ED3">
        <w:rPr>
          <w:rFonts w:ascii="Times New Roman" w:hAnsi="Times New Roman" w:cs="Times New Roman"/>
          <w:color w:val="222222"/>
          <w:shd w:val="clear" w:color="auto" w:fill="FFFFFF"/>
        </w:rPr>
        <w:t xml:space="preserve"> (</w:t>
      </w:r>
      <w:r w:rsidRPr="00DC20CC">
        <w:rPr>
          <w:rFonts w:ascii="Times New Roman" w:hAnsi="Times New Roman" w:cs="Times New Roman"/>
          <w:color w:val="222222"/>
          <w:shd w:val="clear" w:color="auto" w:fill="FFFFFF"/>
        </w:rPr>
        <w:t>2005</w:t>
      </w:r>
      <w:r w:rsidR="00DB0ED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00DB0ED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Why do firms announce open</w:t>
      </w:r>
      <w:r w:rsidR="00DB0ED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market repurchase programs? </w:t>
      </w:r>
      <w:r w:rsidRPr="00DB0ED3">
        <w:rPr>
          <w:rFonts w:ascii="Times New Roman" w:hAnsi="Times New Roman" w:cs="Times New Roman"/>
          <w:i/>
          <w:iCs/>
          <w:color w:val="222222"/>
          <w:shd w:val="clear" w:color="auto" w:fill="FFFFFF"/>
        </w:rPr>
        <w:t>Review of Financial Studies</w:t>
      </w:r>
      <w:r w:rsidRPr="00DC20CC">
        <w:rPr>
          <w:rFonts w:ascii="Times New Roman" w:hAnsi="Times New Roman" w:cs="Times New Roman"/>
          <w:color w:val="222222"/>
          <w:shd w:val="clear" w:color="auto" w:fill="FFFFFF"/>
        </w:rPr>
        <w:t xml:space="preserve"> 18, 271</w:t>
      </w:r>
      <w:r w:rsidR="00DF0B36">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300.</w:t>
      </w:r>
    </w:p>
    <w:p w14:paraId="27AC242A" w14:textId="2C372370"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hAnsi="Times New Roman" w:cs="Times New Roman"/>
          <w:color w:val="222222"/>
          <w:shd w:val="clear" w:color="auto" w:fill="FFFFFF"/>
        </w:rPr>
        <w:t xml:space="preserve">Oded, </w:t>
      </w:r>
      <w:r w:rsidR="00727BF8">
        <w:rPr>
          <w:rFonts w:ascii="Times New Roman" w:hAnsi="Times New Roman" w:cs="Times New Roman"/>
          <w:color w:val="222222"/>
          <w:shd w:val="clear" w:color="auto" w:fill="FFFFFF"/>
        </w:rPr>
        <w:t>J. (</w:t>
      </w:r>
      <w:r w:rsidRPr="00DC20CC">
        <w:rPr>
          <w:rFonts w:ascii="Times New Roman" w:hAnsi="Times New Roman" w:cs="Times New Roman"/>
          <w:color w:val="222222"/>
          <w:shd w:val="clear" w:color="auto" w:fill="FFFFFF"/>
        </w:rPr>
        <w:t>2020</w:t>
      </w:r>
      <w:r w:rsidR="00727BF8">
        <w:rPr>
          <w:rFonts w:ascii="Times New Roman" w:hAnsi="Times New Roman" w:cs="Times New Roman"/>
          <w:color w:val="222222"/>
          <w:shd w:val="clear" w:color="auto" w:fill="FFFFFF"/>
        </w:rPr>
        <w:t>) ‘</w:t>
      </w:r>
      <w:proofErr w:type="spellStart"/>
      <w:r w:rsidR="00727BF8">
        <w:rPr>
          <w:rFonts w:ascii="Times New Roman" w:hAnsi="Times New Roman" w:cs="Times New Roman"/>
          <w:color w:val="222222"/>
          <w:shd w:val="clear" w:color="auto" w:fill="FFFFFF"/>
        </w:rPr>
        <w:t>Payout</w:t>
      </w:r>
      <w:proofErr w:type="spellEnd"/>
      <w:r w:rsidR="00727BF8">
        <w:rPr>
          <w:rFonts w:ascii="Times New Roman" w:hAnsi="Times New Roman" w:cs="Times New Roman"/>
          <w:color w:val="222222"/>
          <w:shd w:val="clear" w:color="auto" w:fill="FFFFFF"/>
        </w:rPr>
        <w:t xml:space="preserve"> policy, financial flexibility, and agency costs of free cash flow’, </w:t>
      </w:r>
      <w:r w:rsidR="00727BF8" w:rsidRPr="00727BF8">
        <w:rPr>
          <w:rFonts w:ascii="Times New Roman" w:hAnsi="Times New Roman" w:cs="Times New Roman"/>
          <w:i/>
          <w:iCs/>
          <w:color w:val="222222"/>
          <w:shd w:val="clear" w:color="auto" w:fill="FFFFFF"/>
        </w:rPr>
        <w:t>Journal of Business Finance and Accounting</w:t>
      </w:r>
      <w:r w:rsidR="00727BF8">
        <w:rPr>
          <w:rFonts w:ascii="Times New Roman" w:hAnsi="Times New Roman" w:cs="Times New Roman"/>
          <w:color w:val="222222"/>
          <w:shd w:val="clear" w:color="auto" w:fill="FFFFFF"/>
        </w:rPr>
        <w:t xml:space="preserve"> 47: 218-252.</w:t>
      </w:r>
    </w:p>
    <w:p w14:paraId="55BEB9B4" w14:textId="7854DCEF" w:rsidR="00DC20CC" w:rsidRPr="00DC20CC" w:rsidRDefault="00DC20CC"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hAnsi="Times New Roman" w:cs="Times New Roman"/>
          <w:color w:val="222222"/>
          <w:shd w:val="clear" w:color="auto" w:fill="FFFFFF"/>
        </w:rPr>
        <w:t>Ofer</w:t>
      </w:r>
      <w:proofErr w:type="spellEnd"/>
      <w:r w:rsidRPr="00DC20CC">
        <w:rPr>
          <w:rFonts w:ascii="Times New Roman" w:hAnsi="Times New Roman" w:cs="Times New Roman"/>
          <w:color w:val="222222"/>
          <w:shd w:val="clear" w:color="auto" w:fill="FFFFFF"/>
        </w:rPr>
        <w:t>, R.</w:t>
      </w:r>
      <w:r w:rsidR="00B71585">
        <w:rPr>
          <w:rFonts w:ascii="Times New Roman" w:hAnsi="Times New Roman" w:cs="Times New Roman"/>
          <w:color w:val="222222"/>
          <w:shd w:val="clear" w:color="auto" w:fill="FFFFFF"/>
        </w:rPr>
        <w:t xml:space="preserve"> and</w:t>
      </w:r>
      <w:r w:rsidRPr="00DC20CC">
        <w:rPr>
          <w:rFonts w:ascii="Times New Roman" w:hAnsi="Times New Roman" w:cs="Times New Roman"/>
          <w:color w:val="222222"/>
          <w:shd w:val="clear" w:color="auto" w:fill="FFFFFF"/>
        </w:rPr>
        <w:t xml:space="preserve"> </w:t>
      </w:r>
      <w:proofErr w:type="spellStart"/>
      <w:r w:rsidRPr="00DC20CC">
        <w:rPr>
          <w:rFonts w:ascii="Times New Roman" w:hAnsi="Times New Roman" w:cs="Times New Roman"/>
          <w:color w:val="222222"/>
          <w:shd w:val="clear" w:color="auto" w:fill="FFFFFF"/>
        </w:rPr>
        <w:t>Thakor</w:t>
      </w:r>
      <w:proofErr w:type="spellEnd"/>
      <w:r w:rsidRPr="00DC20CC">
        <w:rPr>
          <w:rFonts w:ascii="Times New Roman" w:hAnsi="Times New Roman" w:cs="Times New Roman"/>
          <w:color w:val="222222"/>
          <w:shd w:val="clear" w:color="auto" w:fill="FFFFFF"/>
        </w:rPr>
        <w:t>, A.</w:t>
      </w:r>
      <w:r w:rsidR="00B71585">
        <w:rPr>
          <w:rFonts w:ascii="Times New Roman" w:hAnsi="Times New Roman" w:cs="Times New Roman"/>
          <w:color w:val="222222"/>
          <w:shd w:val="clear" w:color="auto" w:fill="FFFFFF"/>
        </w:rPr>
        <w:t xml:space="preserve"> (</w:t>
      </w:r>
      <w:r w:rsidRPr="00DC20CC">
        <w:rPr>
          <w:rFonts w:ascii="Times New Roman" w:hAnsi="Times New Roman" w:cs="Times New Roman"/>
          <w:color w:val="222222"/>
          <w:shd w:val="clear" w:color="auto" w:fill="FFFFFF"/>
        </w:rPr>
        <w:t>1987</w:t>
      </w:r>
      <w:r w:rsidR="00B71585">
        <w:rPr>
          <w:rFonts w:ascii="Times New Roman" w:hAnsi="Times New Roman" w:cs="Times New Roman"/>
          <w:color w:val="222222"/>
          <w:shd w:val="clear" w:color="auto" w:fill="FFFFFF"/>
        </w:rPr>
        <w:t>) ‘</w:t>
      </w:r>
      <w:r w:rsidRPr="00DC20CC">
        <w:rPr>
          <w:rFonts w:ascii="Times New Roman" w:hAnsi="Times New Roman" w:cs="Times New Roman"/>
          <w:color w:val="222222"/>
          <w:shd w:val="clear" w:color="auto" w:fill="FFFFFF"/>
        </w:rPr>
        <w:t>A theory of stock price responses to alternative corporate cash disbursement methods: Stock repurchases and dividends</w:t>
      </w:r>
      <w:r w:rsidR="00D9160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 xml:space="preserve"> </w:t>
      </w:r>
      <w:r w:rsidRPr="00D91603">
        <w:rPr>
          <w:rFonts w:ascii="Times New Roman" w:hAnsi="Times New Roman" w:cs="Times New Roman"/>
          <w:i/>
          <w:iCs/>
          <w:color w:val="222222"/>
          <w:shd w:val="clear" w:color="auto" w:fill="FFFFFF"/>
        </w:rPr>
        <w:t>Journal of Finance</w:t>
      </w:r>
      <w:r w:rsidRPr="00DC20CC">
        <w:rPr>
          <w:rFonts w:ascii="Times New Roman" w:hAnsi="Times New Roman" w:cs="Times New Roman"/>
          <w:color w:val="222222"/>
          <w:shd w:val="clear" w:color="auto" w:fill="FFFFFF"/>
        </w:rPr>
        <w:t xml:space="preserve"> 42, 365</w:t>
      </w:r>
      <w:r w:rsidR="00D91603">
        <w:rPr>
          <w:rFonts w:ascii="Times New Roman" w:hAnsi="Times New Roman" w:cs="Times New Roman"/>
          <w:color w:val="222222"/>
          <w:shd w:val="clear" w:color="auto" w:fill="FFFFFF"/>
        </w:rPr>
        <w:t>-</w:t>
      </w:r>
      <w:r w:rsidRPr="00DC20CC">
        <w:rPr>
          <w:rFonts w:ascii="Times New Roman" w:hAnsi="Times New Roman" w:cs="Times New Roman"/>
          <w:color w:val="222222"/>
          <w:shd w:val="clear" w:color="auto" w:fill="FFFFFF"/>
        </w:rPr>
        <w:t>394.</w:t>
      </w:r>
    </w:p>
    <w:p w14:paraId="2CC73901" w14:textId="01BED673"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Oswald, D.</w:t>
      </w:r>
      <w:r w:rsidR="0077762C">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Young, S. (2008)</w:t>
      </w:r>
      <w:r w:rsidR="0077762C">
        <w:rPr>
          <w:rFonts w:ascii="Times New Roman" w:eastAsia="Times New Roman" w:hAnsi="Times New Roman" w:cs="Times New Roman"/>
          <w:color w:val="000000"/>
        </w:rPr>
        <w:t xml:space="preserve"> ‘</w:t>
      </w:r>
      <w:r w:rsidRPr="00DC20CC">
        <w:rPr>
          <w:rFonts w:ascii="Times New Roman" w:eastAsia="Times New Roman" w:hAnsi="Times New Roman" w:cs="Times New Roman"/>
          <w:color w:val="000000"/>
        </w:rPr>
        <w:t>Share reacquisitions, surplus cash, and agency problems</w:t>
      </w:r>
      <w:r w:rsidR="0077762C">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Banking &amp; Finance</w:t>
      </w:r>
      <w:r w:rsidRPr="00DC20CC">
        <w:rPr>
          <w:rFonts w:ascii="Times New Roman" w:eastAsia="Times New Roman" w:hAnsi="Times New Roman" w:cs="Times New Roman"/>
          <w:color w:val="000000"/>
        </w:rPr>
        <w:t xml:space="preserve"> 32(5), 795-806. </w:t>
      </w:r>
    </w:p>
    <w:p w14:paraId="71E2A504" w14:textId="2BFD70F9" w:rsidR="00A707CF" w:rsidRPr="00DC20CC" w:rsidRDefault="0055054A" w:rsidP="00E87442">
      <w:pPr>
        <w:spacing w:after="0" w:line="480" w:lineRule="auto"/>
        <w:ind w:left="720" w:hanging="720"/>
        <w:rPr>
          <w:rFonts w:ascii="Times New Roman" w:eastAsia="Times New Roman" w:hAnsi="Times New Roman" w:cs="Times New Roman"/>
        </w:rPr>
      </w:pPr>
      <w:r w:rsidRPr="00DC20CC">
        <w:rPr>
          <w:rFonts w:ascii="Times New Roman" w:eastAsia="Times New Roman" w:hAnsi="Times New Roman" w:cs="Times New Roman"/>
        </w:rPr>
        <w:t>Rau, P. R.</w:t>
      </w:r>
      <w:r w:rsidR="0077762C">
        <w:rPr>
          <w:rFonts w:ascii="Times New Roman" w:eastAsia="Times New Roman" w:hAnsi="Times New Roman" w:cs="Times New Roman"/>
        </w:rPr>
        <w:t xml:space="preserve"> and</w:t>
      </w:r>
      <w:r w:rsidRPr="00DC20CC">
        <w:rPr>
          <w:rFonts w:ascii="Times New Roman" w:eastAsia="Times New Roman" w:hAnsi="Times New Roman" w:cs="Times New Roman"/>
        </w:rPr>
        <w:t xml:space="preserve"> Vermaelen, T. (2002) </w:t>
      </w:r>
      <w:r w:rsidR="0077762C">
        <w:rPr>
          <w:rFonts w:ascii="Times New Roman" w:eastAsia="Times New Roman" w:hAnsi="Times New Roman" w:cs="Times New Roman"/>
        </w:rPr>
        <w:t>‘</w:t>
      </w:r>
      <w:r w:rsidRPr="00DC20CC">
        <w:rPr>
          <w:rFonts w:ascii="Times New Roman" w:eastAsia="Times New Roman" w:hAnsi="Times New Roman" w:cs="Times New Roman"/>
        </w:rPr>
        <w:t>Regulation, taxes and share repurchases in the United Kingdom</w:t>
      </w:r>
      <w:r w:rsidR="0077762C">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Business</w:t>
      </w:r>
      <w:r w:rsidRPr="00DC20CC">
        <w:rPr>
          <w:rFonts w:ascii="Times New Roman" w:eastAsia="Times New Roman" w:hAnsi="Times New Roman" w:cs="Times New Roman"/>
        </w:rPr>
        <w:t xml:space="preserve"> 75(2), 245-282.</w:t>
      </w:r>
    </w:p>
    <w:p w14:paraId="1EE17980" w14:textId="26F7B862"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Renneboog</w:t>
      </w:r>
      <w:proofErr w:type="spellEnd"/>
      <w:r w:rsidRPr="00DC20CC">
        <w:rPr>
          <w:rFonts w:ascii="Times New Roman" w:eastAsia="Times New Roman" w:hAnsi="Times New Roman" w:cs="Times New Roman"/>
          <w:color w:val="000000"/>
        </w:rPr>
        <w:t>, L.</w:t>
      </w:r>
      <w:r w:rsidR="00E87442">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w:t>
      </w:r>
      <w:proofErr w:type="spellStart"/>
      <w:r w:rsidRPr="00DC20CC">
        <w:rPr>
          <w:rFonts w:ascii="Times New Roman" w:eastAsia="Times New Roman" w:hAnsi="Times New Roman" w:cs="Times New Roman"/>
          <w:color w:val="000000"/>
        </w:rPr>
        <w:t>Trojanowski</w:t>
      </w:r>
      <w:proofErr w:type="spellEnd"/>
      <w:r w:rsidRPr="00DC20CC">
        <w:rPr>
          <w:rFonts w:ascii="Times New Roman" w:eastAsia="Times New Roman" w:hAnsi="Times New Roman" w:cs="Times New Roman"/>
          <w:color w:val="000000"/>
        </w:rPr>
        <w:t xml:space="preserve">, G. (2011)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Patterns in </w:t>
      </w:r>
      <w:proofErr w:type="spellStart"/>
      <w:r w:rsidRPr="00DC20CC">
        <w:rPr>
          <w:rFonts w:ascii="Times New Roman" w:eastAsia="Times New Roman" w:hAnsi="Times New Roman" w:cs="Times New Roman"/>
          <w:color w:val="000000"/>
        </w:rPr>
        <w:t>payout</w:t>
      </w:r>
      <w:proofErr w:type="spellEnd"/>
      <w:r w:rsidRPr="00DC20CC">
        <w:rPr>
          <w:rFonts w:ascii="Times New Roman" w:eastAsia="Times New Roman" w:hAnsi="Times New Roman" w:cs="Times New Roman"/>
          <w:color w:val="000000"/>
        </w:rPr>
        <w:t xml:space="preserve"> policy and </w:t>
      </w:r>
      <w:proofErr w:type="spellStart"/>
      <w:r w:rsidRPr="00DC20CC">
        <w:rPr>
          <w:rFonts w:ascii="Times New Roman" w:eastAsia="Times New Roman" w:hAnsi="Times New Roman" w:cs="Times New Roman"/>
          <w:color w:val="000000"/>
        </w:rPr>
        <w:t>payout</w:t>
      </w:r>
      <w:proofErr w:type="spellEnd"/>
      <w:r w:rsidRPr="00DC20CC">
        <w:rPr>
          <w:rFonts w:ascii="Times New Roman" w:eastAsia="Times New Roman" w:hAnsi="Times New Roman" w:cs="Times New Roman"/>
          <w:color w:val="000000"/>
        </w:rPr>
        <w:t xml:space="preserve"> channel choice</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Banking &amp; Finance</w:t>
      </w:r>
      <w:r w:rsidRPr="00DC20CC">
        <w:rPr>
          <w:rFonts w:ascii="Times New Roman" w:eastAsia="Times New Roman" w:hAnsi="Times New Roman" w:cs="Times New Roman"/>
          <w:color w:val="000000"/>
        </w:rPr>
        <w:t xml:space="preserve"> 35(6), 1477-1490. </w:t>
      </w:r>
    </w:p>
    <w:p w14:paraId="4AFEDE78" w14:textId="7C526FA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Richardson, S. (2006)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Over-investment of free cash flow</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Review of Accounting Studies</w:t>
      </w:r>
      <w:r w:rsidRPr="00DC20CC">
        <w:rPr>
          <w:rFonts w:ascii="Times New Roman" w:eastAsia="Times New Roman" w:hAnsi="Times New Roman" w:cs="Times New Roman"/>
          <w:color w:val="000000"/>
        </w:rPr>
        <w:t>. 11, 159-189</w:t>
      </w:r>
    </w:p>
    <w:p w14:paraId="2EA97990" w14:textId="13796417"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Sharma, V. (2011)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Independent directors and the propensity to pay dividends</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Corporate Finance</w:t>
      </w:r>
      <w:r w:rsidRPr="00DC20CC">
        <w:rPr>
          <w:rFonts w:ascii="Times New Roman" w:eastAsia="Times New Roman" w:hAnsi="Times New Roman" w:cs="Times New Roman"/>
          <w:color w:val="000000"/>
        </w:rPr>
        <w:t xml:space="preserve"> 17, 1001-1015.</w:t>
      </w:r>
    </w:p>
    <w:p w14:paraId="36A9463B" w14:textId="2CD72F13"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C20CC">
        <w:rPr>
          <w:rFonts w:ascii="Times New Roman" w:eastAsia="Times New Roman" w:hAnsi="Times New Roman" w:cs="Times New Roman"/>
          <w:color w:val="000000"/>
        </w:rPr>
        <w:t>Siems</w:t>
      </w:r>
      <w:proofErr w:type="spellEnd"/>
      <w:r w:rsidRPr="00DC20CC">
        <w:rPr>
          <w:rFonts w:ascii="Times New Roman" w:eastAsia="Times New Roman" w:hAnsi="Times New Roman" w:cs="Times New Roman"/>
          <w:color w:val="000000"/>
        </w:rPr>
        <w:t>, M. M.</w:t>
      </w:r>
      <w:r w:rsidR="00E87442">
        <w:rPr>
          <w:rFonts w:ascii="Times New Roman" w:eastAsia="Times New Roman" w:hAnsi="Times New Roman" w:cs="Times New Roman"/>
          <w:color w:val="000000"/>
        </w:rPr>
        <w:t xml:space="preserve"> and </w:t>
      </w:r>
      <w:r w:rsidRPr="00DC20CC">
        <w:rPr>
          <w:rFonts w:ascii="Times New Roman" w:eastAsia="Times New Roman" w:hAnsi="Times New Roman" w:cs="Times New Roman"/>
          <w:color w:val="000000"/>
        </w:rPr>
        <w:t xml:space="preserve">De </w:t>
      </w:r>
      <w:proofErr w:type="spellStart"/>
      <w:r w:rsidRPr="00DC20CC">
        <w:rPr>
          <w:rFonts w:ascii="Times New Roman" w:eastAsia="Times New Roman" w:hAnsi="Times New Roman" w:cs="Times New Roman"/>
          <w:color w:val="000000"/>
        </w:rPr>
        <w:t>Cesari</w:t>
      </w:r>
      <w:proofErr w:type="spellEnd"/>
      <w:r w:rsidRPr="00DC20CC">
        <w:rPr>
          <w:rFonts w:ascii="Times New Roman" w:eastAsia="Times New Roman" w:hAnsi="Times New Roman" w:cs="Times New Roman"/>
          <w:color w:val="000000"/>
        </w:rPr>
        <w:t xml:space="preserve">, A. (2012)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The law and finance of share repurchases in Europe</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Corporate Law Studies</w:t>
      </w:r>
      <w:r w:rsidR="00CA0C2D">
        <w:rPr>
          <w:rFonts w:ascii="Times New Roman" w:eastAsia="Times New Roman" w:hAnsi="Times New Roman" w:cs="Times New Roman"/>
          <w:color w:val="000000"/>
        </w:rPr>
        <w:t xml:space="preserve"> </w:t>
      </w:r>
      <w:r w:rsidRPr="00DC20CC">
        <w:rPr>
          <w:rFonts w:ascii="Times New Roman" w:eastAsia="Times New Roman" w:hAnsi="Times New Roman" w:cs="Times New Roman"/>
          <w:color w:val="000000"/>
        </w:rPr>
        <w:t>12(1), 33-57.</w:t>
      </w:r>
    </w:p>
    <w:p w14:paraId="16F812C3" w14:textId="429A5C6B"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Skinner, D. J. (2008)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The evolving relation between earnings, dividends, and stock repurchases</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 xml:space="preserve">Journal of </w:t>
      </w:r>
      <w:r w:rsidRPr="00DC20CC">
        <w:rPr>
          <w:rFonts w:ascii="Times New Roman" w:eastAsia="Times New Roman" w:hAnsi="Times New Roman" w:cs="Times New Roman"/>
          <w:i/>
          <w:color w:val="000000"/>
        </w:rPr>
        <w:lastRenderedPageBreak/>
        <w:t>Financial Economics</w:t>
      </w:r>
      <w:r w:rsidRPr="00DC20CC">
        <w:rPr>
          <w:rFonts w:ascii="Times New Roman" w:eastAsia="Times New Roman" w:hAnsi="Times New Roman" w:cs="Times New Roman"/>
          <w:color w:val="000000"/>
        </w:rPr>
        <w:t xml:space="preserve"> 87(3), 582-609.</w:t>
      </w:r>
    </w:p>
    <w:p w14:paraId="45F487B3" w14:textId="5635C331"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Sun, J., Ding, L., Guo, J.M.</w:t>
      </w:r>
      <w:r w:rsidR="00E87442">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Li, Y. (2016)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Ownership, capital structure and financing decision: Evidence from the UK</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The</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British Accounting Review</w:t>
      </w:r>
      <w:r w:rsidRPr="00DC20CC">
        <w:rPr>
          <w:rFonts w:ascii="Times New Roman" w:eastAsia="Times New Roman" w:hAnsi="Times New Roman" w:cs="Times New Roman"/>
          <w:color w:val="000000"/>
        </w:rPr>
        <w:t xml:space="preserve"> 48, 448-463.</w:t>
      </w:r>
    </w:p>
    <w:p w14:paraId="5106B518" w14:textId="024ED587" w:rsidR="00A707CF" w:rsidRPr="00DC20CC" w:rsidRDefault="0055054A" w:rsidP="00E87442">
      <w:pPr>
        <w:spacing w:line="480" w:lineRule="auto"/>
        <w:ind w:left="720" w:hanging="720"/>
        <w:rPr>
          <w:rFonts w:ascii="Times New Roman" w:eastAsia="Times New Roman" w:hAnsi="Times New Roman" w:cs="Times New Roman"/>
        </w:rPr>
      </w:pPr>
      <w:r w:rsidRPr="00DC20CC">
        <w:rPr>
          <w:rFonts w:ascii="Times New Roman" w:eastAsia="Times New Roman" w:hAnsi="Times New Roman" w:cs="Times New Roman"/>
        </w:rPr>
        <w:t xml:space="preserve">Vermaelen, T. (1981) </w:t>
      </w:r>
      <w:r w:rsidR="00E87442">
        <w:rPr>
          <w:rFonts w:ascii="Times New Roman" w:eastAsia="Times New Roman" w:hAnsi="Times New Roman" w:cs="Times New Roman"/>
        </w:rPr>
        <w:t>‘</w:t>
      </w:r>
      <w:r w:rsidRPr="00DC20CC">
        <w:rPr>
          <w:rFonts w:ascii="Times New Roman" w:eastAsia="Times New Roman" w:hAnsi="Times New Roman" w:cs="Times New Roman"/>
        </w:rPr>
        <w:t>Common stock repurchases and market signalling: An empirical study</w:t>
      </w:r>
      <w:r w:rsidR="00E87442">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Journal of Financial Economics</w:t>
      </w:r>
      <w:r w:rsidRPr="00DC20CC">
        <w:rPr>
          <w:rFonts w:ascii="Times New Roman" w:eastAsia="Times New Roman" w:hAnsi="Times New Roman" w:cs="Times New Roman"/>
        </w:rPr>
        <w:t xml:space="preserve"> 9(2), 139-183.</w:t>
      </w:r>
    </w:p>
    <w:p w14:paraId="095E361C" w14:textId="45649062" w:rsidR="00A707CF" w:rsidRPr="00DC20CC" w:rsidRDefault="0055054A" w:rsidP="00E87442">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C20CC">
        <w:rPr>
          <w:rFonts w:ascii="Times New Roman" w:eastAsia="Times New Roman" w:hAnsi="Times New Roman" w:cs="Times New Roman"/>
          <w:color w:val="000000"/>
        </w:rPr>
        <w:t xml:space="preserve">Von </w:t>
      </w:r>
      <w:proofErr w:type="spellStart"/>
      <w:r w:rsidRPr="00DC20CC">
        <w:rPr>
          <w:rFonts w:ascii="Times New Roman" w:eastAsia="Times New Roman" w:hAnsi="Times New Roman" w:cs="Times New Roman"/>
          <w:color w:val="000000"/>
        </w:rPr>
        <w:t>Eije</w:t>
      </w:r>
      <w:proofErr w:type="spellEnd"/>
      <w:r w:rsidRPr="00DC20CC">
        <w:rPr>
          <w:rFonts w:ascii="Times New Roman" w:eastAsia="Times New Roman" w:hAnsi="Times New Roman" w:cs="Times New Roman"/>
          <w:color w:val="000000"/>
        </w:rPr>
        <w:t>, H.</w:t>
      </w:r>
      <w:r w:rsidR="00E87442">
        <w:rPr>
          <w:rFonts w:ascii="Times New Roman" w:eastAsia="Times New Roman" w:hAnsi="Times New Roman" w:cs="Times New Roman"/>
          <w:color w:val="000000"/>
        </w:rPr>
        <w:t xml:space="preserve"> and</w:t>
      </w:r>
      <w:r w:rsidRPr="00DC20CC">
        <w:rPr>
          <w:rFonts w:ascii="Times New Roman" w:eastAsia="Times New Roman" w:hAnsi="Times New Roman" w:cs="Times New Roman"/>
          <w:color w:val="000000"/>
        </w:rPr>
        <w:t xml:space="preserve"> Megginson, W. L. (2008) </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Dividends and share repurchases in the European Union</w:t>
      </w:r>
      <w:r w:rsidR="00E87442">
        <w:rPr>
          <w:rFonts w:ascii="Times New Roman" w:eastAsia="Times New Roman" w:hAnsi="Times New Roman" w:cs="Times New Roman"/>
          <w:color w:val="000000"/>
        </w:rPr>
        <w:t>’,</w:t>
      </w:r>
      <w:r w:rsidRPr="00DC20CC">
        <w:rPr>
          <w:rFonts w:ascii="Times New Roman" w:eastAsia="Times New Roman" w:hAnsi="Times New Roman" w:cs="Times New Roman"/>
          <w:color w:val="000000"/>
        </w:rPr>
        <w:t xml:space="preserve">  </w:t>
      </w:r>
      <w:r w:rsidRPr="00DC20CC">
        <w:rPr>
          <w:rFonts w:ascii="Times New Roman" w:eastAsia="Times New Roman" w:hAnsi="Times New Roman" w:cs="Times New Roman"/>
          <w:i/>
          <w:color w:val="000000"/>
        </w:rPr>
        <w:t>Journal of Financial Economics</w:t>
      </w:r>
      <w:r w:rsidRPr="00DC20CC">
        <w:rPr>
          <w:rFonts w:ascii="Times New Roman" w:eastAsia="Times New Roman" w:hAnsi="Times New Roman" w:cs="Times New Roman"/>
          <w:color w:val="000000"/>
        </w:rPr>
        <w:t xml:space="preserve"> 89(2), 347-374. </w:t>
      </w:r>
    </w:p>
    <w:p w14:paraId="287F50C3" w14:textId="629941BD" w:rsidR="00A707CF" w:rsidRDefault="0055054A" w:rsidP="00F21601">
      <w:pPr>
        <w:spacing w:after="0" w:line="480" w:lineRule="auto"/>
        <w:ind w:left="720" w:hanging="720"/>
        <w:rPr>
          <w:rFonts w:ascii="Times New Roman" w:eastAsia="Times New Roman" w:hAnsi="Times New Roman" w:cs="Times New Roman"/>
        </w:rPr>
      </w:pPr>
      <w:bookmarkStart w:id="10" w:name="_heading=h.2s8eyo1" w:colFirst="0" w:colLast="0"/>
      <w:bookmarkEnd w:id="10"/>
      <w:r w:rsidRPr="00DC20CC">
        <w:rPr>
          <w:rFonts w:ascii="Times New Roman" w:eastAsia="Times New Roman" w:hAnsi="Times New Roman" w:cs="Times New Roman"/>
        </w:rPr>
        <w:t>Young, S.</w:t>
      </w:r>
      <w:r w:rsidR="00E87442">
        <w:rPr>
          <w:rFonts w:ascii="Times New Roman" w:eastAsia="Times New Roman" w:hAnsi="Times New Roman" w:cs="Times New Roman"/>
        </w:rPr>
        <w:t xml:space="preserve"> and</w:t>
      </w:r>
      <w:r w:rsidRPr="00DC20CC">
        <w:rPr>
          <w:rFonts w:ascii="Times New Roman" w:eastAsia="Times New Roman" w:hAnsi="Times New Roman" w:cs="Times New Roman"/>
        </w:rPr>
        <w:t xml:space="preserve"> Yang, J. (2011) </w:t>
      </w:r>
      <w:r w:rsidR="00E87442">
        <w:rPr>
          <w:rFonts w:ascii="Times New Roman" w:eastAsia="Times New Roman" w:hAnsi="Times New Roman" w:cs="Times New Roman"/>
        </w:rPr>
        <w:t>‘</w:t>
      </w:r>
      <w:r w:rsidRPr="00DC20CC">
        <w:rPr>
          <w:rFonts w:ascii="Times New Roman" w:eastAsia="Times New Roman" w:hAnsi="Times New Roman" w:cs="Times New Roman"/>
        </w:rPr>
        <w:t>Stock repurchases and executive compensation contract design: The role of earnings per share performance conditions</w:t>
      </w:r>
      <w:r w:rsidR="00E87442">
        <w:rPr>
          <w:rFonts w:ascii="Times New Roman" w:eastAsia="Times New Roman" w:hAnsi="Times New Roman" w:cs="Times New Roman"/>
        </w:rPr>
        <w:t>’,</w:t>
      </w:r>
      <w:r w:rsidRPr="00DC20CC">
        <w:rPr>
          <w:rFonts w:ascii="Times New Roman" w:eastAsia="Times New Roman" w:hAnsi="Times New Roman" w:cs="Times New Roman"/>
        </w:rPr>
        <w:t xml:space="preserve"> </w:t>
      </w:r>
      <w:r w:rsidRPr="00DC20CC">
        <w:rPr>
          <w:rFonts w:ascii="Times New Roman" w:eastAsia="Times New Roman" w:hAnsi="Times New Roman" w:cs="Times New Roman"/>
          <w:i/>
        </w:rPr>
        <w:t>The Accounting Review</w:t>
      </w:r>
      <w:r w:rsidRPr="00DC20CC">
        <w:rPr>
          <w:rFonts w:ascii="Times New Roman" w:eastAsia="Times New Roman" w:hAnsi="Times New Roman" w:cs="Times New Roman"/>
        </w:rPr>
        <w:t xml:space="preserve"> 86(2)703-733.</w:t>
      </w:r>
    </w:p>
    <w:p w14:paraId="2C7BC9CD" w14:textId="23F984A8" w:rsidR="00A74F6E" w:rsidRDefault="00A74F6E">
      <w:pPr>
        <w:rPr>
          <w:rFonts w:ascii="Times New Roman" w:eastAsia="Times New Roman" w:hAnsi="Times New Roman" w:cs="Times New Roman"/>
        </w:rPr>
      </w:pPr>
      <w:r>
        <w:rPr>
          <w:rFonts w:ascii="Times New Roman" w:eastAsia="Times New Roman" w:hAnsi="Times New Roman" w:cs="Times New Roman"/>
        </w:rPr>
        <w:br w:type="page"/>
      </w:r>
    </w:p>
    <w:p w14:paraId="13ABADF1"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Table 1: </w:t>
      </w:r>
    </w:p>
    <w:p w14:paraId="3C3CA24F"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t>Variables used to test hypotheses in regression models of determinants of share repurchases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663"/>
        <w:gridCol w:w="2785"/>
        <w:gridCol w:w="2796"/>
        <w:gridCol w:w="1663"/>
        <w:gridCol w:w="2549"/>
      </w:tblGrid>
      <w:tr w:rsidR="00A74F6E" w14:paraId="418C69E7" w14:textId="77777777" w:rsidTr="00D114B8">
        <w:tc>
          <w:tcPr>
            <w:tcW w:w="1648" w:type="pct"/>
            <w:gridSpan w:val="2"/>
          </w:tcPr>
          <w:p w14:paraId="7D2B8D88"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b/>
              </w:rPr>
              <w:t>Hypothesis</w:t>
            </w:r>
          </w:p>
        </w:tc>
        <w:tc>
          <w:tcPr>
            <w:tcW w:w="1337" w:type="pct"/>
          </w:tcPr>
          <w:p w14:paraId="0AE19CA3"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b/>
              </w:rPr>
              <w:t>Measure</w:t>
            </w:r>
          </w:p>
        </w:tc>
        <w:tc>
          <w:tcPr>
            <w:tcW w:w="795" w:type="pct"/>
          </w:tcPr>
          <w:p w14:paraId="0C42C101"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b/>
              </w:rPr>
              <w:t>Variable Name</w:t>
            </w:r>
          </w:p>
        </w:tc>
        <w:tc>
          <w:tcPr>
            <w:tcW w:w="1220" w:type="pct"/>
          </w:tcPr>
          <w:p w14:paraId="77F30825"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b/>
              </w:rPr>
              <w:t>Predicted Sign of Association with Share Repurchases</w:t>
            </w:r>
          </w:p>
        </w:tc>
      </w:tr>
      <w:tr w:rsidR="00A74F6E" w14:paraId="775C7C13" w14:textId="77777777" w:rsidTr="00D114B8">
        <w:tc>
          <w:tcPr>
            <w:tcW w:w="317" w:type="pct"/>
          </w:tcPr>
          <w:p w14:paraId="42C7A380"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H1</w:t>
            </w:r>
          </w:p>
        </w:tc>
        <w:tc>
          <w:tcPr>
            <w:tcW w:w="1332" w:type="pct"/>
          </w:tcPr>
          <w:p w14:paraId="7FD84481" w14:textId="77777777" w:rsidR="00A74F6E" w:rsidRDefault="00A74F6E" w:rsidP="0010233B">
            <w:pPr>
              <w:spacing w:after="120"/>
              <w:rPr>
                <w:rFonts w:ascii="Times New Roman" w:eastAsia="Times New Roman" w:hAnsi="Times New Roman" w:cs="Times New Roman"/>
              </w:rPr>
            </w:pPr>
            <w:r>
              <w:rPr>
                <w:rFonts w:ascii="Times New Roman" w:eastAsia="Times New Roman" w:hAnsi="Times New Roman" w:cs="Times New Roman"/>
              </w:rPr>
              <w:t>Leverage/Capital Structure</w:t>
            </w:r>
          </w:p>
        </w:tc>
        <w:tc>
          <w:tcPr>
            <w:tcW w:w="1337" w:type="pct"/>
          </w:tcPr>
          <w:p w14:paraId="26C9155B"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Industry-adjusted leverage</w:t>
            </w:r>
          </w:p>
        </w:tc>
        <w:tc>
          <w:tcPr>
            <w:tcW w:w="795" w:type="pct"/>
          </w:tcPr>
          <w:p w14:paraId="0B450DB7"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LEVIND</w:t>
            </w:r>
          </w:p>
        </w:tc>
        <w:tc>
          <w:tcPr>
            <w:tcW w:w="1220" w:type="pct"/>
          </w:tcPr>
          <w:p w14:paraId="732BEE28"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5557D804" w14:textId="77777777" w:rsidTr="00D114B8">
        <w:tc>
          <w:tcPr>
            <w:tcW w:w="317" w:type="pct"/>
          </w:tcPr>
          <w:p w14:paraId="3210D55F"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H2</w:t>
            </w:r>
          </w:p>
        </w:tc>
        <w:tc>
          <w:tcPr>
            <w:tcW w:w="1332" w:type="pct"/>
          </w:tcPr>
          <w:p w14:paraId="4AD669B7"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Free Cash Flow</w:t>
            </w:r>
          </w:p>
        </w:tc>
        <w:tc>
          <w:tcPr>
            <w:tcW w:w="1337" w:type="pct"/>
          </w:tcPr>
          <w:p w14:paraId="1EA260E8"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Surplus cash, cash flow from operations</w:t>
            </w:r>
          </w:p>
        </w:tc>
        <w:tc>
          <w:tcPr>
            <w:tcW w:w="795" w:type="pct"/>
          </w:tcPr>
          <w:p w14:paraId="566C6C70"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XSCASH, CFO/TA</w:t>
            </w:r>
          </w:p>
        </w:tc>
        <w:tc>
          <w:tcPr>
            <w:tcW w:w="1220" w:type="pct"/>
          </w:tcPr>
          <w:p w14:paraId="1888DB75"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5360396A" w14:textId="77777777" w:rsidTr="00D114B8">
        <w:tc>
          <w:tcPr>
            <w:tcW w:w="317" w:type="pct"/>
          </w:tcPr>
          <w:p w14:paraId="2606FA5B"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H3</w:t>
            </w:r>
          </w:p>
        </w:tc>
        <w:tc>
          <w:tcPr>
            <w:tcW w:w="1332" w:type="pct"/>
          </w:tcPr>
          <w:p w14:paraId="74BF33EC"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Investment</w:t>
            </w:r>
          </w:p>
        </w:tc>
        <w:tc>
          <w:tcPr>
            <w:tcW w:w="1337" w:type="pct"/>
          </w:tcPr>
          <w:p w14:paraId="6637CDC8"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Industry-adjusted market to book</w:t>
            </w:r>
          </w:p>
        </w:tc>
        <w:tc>
          <w:tcPr>
            <w:tcW w:w="795" w:type="pct"/>
          </w:tcPr>
          <w:p w14:paraId="05DE64FA"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MTBIND</w:t>
            </w:r>
          </w:p>
        </w:tc>
        <w:tc>
          <w:tcPr>
            <w:tcW w:w="1220" w:type="pct"/>
          </w:tcPr>
          <w:p w14:paraId="3FD46CD7"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2A139A8F" w14:textId="77777777" w:rsidTr="00D114B8">
        <w:tc>
          <w:tcPr>
            <w:tcW w:w="317" w:type="pct"/>
          </w:tcPr>
          <w:p w14:paraId="2D877206"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H4</w:t>
            </w:r>
          </w:p>
        </w:tc>
        <w:tc>
          <w:tcPr>
            <w:tcW w:w="1332" w:type="pct"/>
          </w:tcPr>
          <w:p w14:paraId="402E13D7"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Undervaluation</w:t>
            </w:r>
          </w:p>
        </w:tc>
        <w:tc>
          <w:tcPr>
            <w:tcW w:w="1337" w:type="pct"/>
          </w:tcPr>
          <w:p w14:paraId="42BBF9C5"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Abnormal share price return</w:t>
            </w:r>
          </w:p>
        </w:tc>
        <w:tc>
          <w:tcPr>
            <w:tcW w:w="795" w:type="pct"/>
          </w:tcPr>
          <w:p w14:paraId="4069CC2A"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ABRET</w:t>
            </w:r>
          </w:p>
        </w:tc>
        <w:tc>
          <w:tcPr>
            <w:tcW w:w="1220" w:type="pct"/>
          </w:tcPr>
          <w:p w14:paraId="35CA39AE"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340E5C12" w14:textId="77777777" w:rsidTr="00D114B8">
        <w:tc>
          <w:tcPr>
            <w:tcW w:w="317" w:type="pct"/>
          </w:tcPr>
          <w:p w14:paraId="4D1D2B54"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H5</w:t>
            </w:r>
          </w:p>
        </w:tc>
        <w:tc>
          <w:tcPr>
            <w:tcW w:w="1332" w:type="pct"/>
          </w:tcPr>
          <w:p w14:paraId="73140503"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Dividend Substitution</w:t>
            </w:r>
          </w:p>
        </w:tc>
        <w:tc>
          <w:tcPr>
            <w:tcW w:w="1337" w:type="pct"/>
          </w:tcPr>
          <w:p w14:paraId="62113993"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 xml:space="preserve">Dividend </w:t>
            </w:r>
            <w:proofErr w:type="spellStart"/>
            <w:r>
              <w:rPr>
                <w:rFonts w:ascii="Times New Roman" w:eastAsia="Times New Roman" w:hAnsi="Times New Roman" w:cs="Times New Roman"/>
              </w:rPr>
              <w:t>payout</w:t>
            </w:r>
            <w:proofErr w:type="spellEnd"/>
          </w:p>
        </w:tc>
        <w:tc>
          <w:tcPr>
            <w:tcW w:w="795" w:type="pct"/>
          </w:tcPr>
          <w:p w14:paraId="49DAB569"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DIV/NI</w:t>
            </w:r>
          </w:p>
        </w:tc>
        <w:tc>
          <w:tcPr>
            <w:tcW w:w="1220" w:type="pct"/>
          </w:tcPr>
          <w:p w14:paraId="666E6465"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23CAFD51" w14:textId="77777777" w:rsidTr="00D114B8">
        <w:tc>
          <w:tcPr>
            <w:tcW w:w="317" w:type="pct"/>
          </w:tcPr>
          <w:p w14:paraId="25EEEF2A"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H6</w:t>
            </w:r>
          </w:p>
        </w:tc>
        <w:tc>
          <w:tcPr>
            <w:tcW w:w="1332" w:type="pct"/>
          </w:tcPr>
          <w:p w14:paraId="5A59E2D1"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Corporate Governance</w:t>
            </w:r>
          </w:p>
        </w:tc>
        <w:tc>
          <w:tcPr>
            <w:tcW w:w="1337" w:type="pct"/>
          </w:tcPr>
          <w:p w14:paraId="455F4D7B"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Board independence</w:t>
            </w:r>
          </w:p>
        </w:tc>
        <w:tc>
          <w:tcPr>
            <w:tcW w:w="795" w:type="pct"/>
          </w:tcPr>
          <w:p w14:paraId="742C548D"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PROPNED</w:t>
            </w:r>
          </w:p>
        </w:tc>
        <w:tc>
          <w:tcPr>
            <w:tcW w:w="1220" w:type="pct"/>
          </w:tcPr>
          <w:p w14:paraId="63B4A280"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02EB0A5A" w14:textId="77777777" w:rsidTr="00D114B8">
        <w:tc>
          <w:tcPr>
            <w:tcW w:w="317" w:type="pct"/>
          </w:tcPr>
          <w:p w14:paraId="3D64C6B8"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H6</w:t>
            </w:r>
          </w:p>
        </w:tc>
        <w:tc>
          <w:tcPr>
            <w:tcW w:w="1332" w:type="pct"/>
          </w:tcPr>
          <w:p w14:paraId="5E2866D2"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Corporate Governance</w:t>
            </w:r>
          </w:p>
        </w:tc>
        <w:tc>
          <w:tcPr>
            <w:tcW w:w="1337" w:type="pct"/>
          </w:tcPr>
          <w:p w14:paraId="4EFD684B"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rPr>
              <w:t>Board ownership</w:t>
            </w:r>
          </w:p>
        </w:tc>
        <w:tc>
          <w:tcPr>
            <w:tcW w:w="795" w:type="pct"/>
          </w:tcPr>
          <w:p w14:paraId="6A96F590" w14:textId="77777777" w:rsidR="00A74F6E" w:rsidRDefault="00A74F6E" w:rsidP="0010233B">
            <w:pPr>
              <w:spacing w:after="120"/>
              <w:rPr>
                <w:rFonts w:ascii="Times New Roman" w:eastAsia="Times New Roman" w:hAnsi="Times New Roman" w:cs="Times New Roman"/>
                <w:b/>
              </w:rPr>
            </w:pPr>
            <w:r>
              <w:rPr>
                <w:rFonts w:ascii="Times New Roman" w:eastAsia="Times New Roman" w:hAnsi="Times New Roman" w:cs="Times New Roman"/>
                <w:i/>
              </w:rPr>
              <w:t>BOARDOWN</w:t>
            </w:r>
          </w:p>
        </w:tc>
        <w:tc>
          <w:tcPr>
            <w:tcW w:w="1220" w:type="pct"/>
          </w:tcPr>
          <w:p w14:paraId="3C5779DE" w14:textId="77777777" w:rsidR="00A74F6E" w:rsidRDefault="00A74F6E" w:rsidP="0010233B">
            <w:pPr>
              <w:spacing w:after="120"/>
              <w:jc w:val="center"/>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r w:rsidR="00A74F6E" w14:paraId="7D2F1ADB" w14:textId="77777777" w:rsidTr="00D114B8">
        <w:tc>
          <w:tcPr>
            <w:tcW w:w="317" w:type="pct"/>
          </w:tcPr>
          <w:p w14:paraId="0DF8C3DD" w14:textId="77777777" w:rsidR="00A74F6E" w:rsidRDefault="00A74F6E" w:rsidP="0010233B">
            <w:pPr>
              <w:spacing w:after="120"/>
              <w:rPr>
                <w:rFonts w:ascii="Times New Roman" w:eastAsia="Times New Roman" w:hAnsi="Times New Roman" w:cs="Times New Roman"/>
              </w:rPr>
            </w:pPr>
            <w:r>
              <w:rPr>
                <w:rFonts w:ascii="Times New Roman" w:eastAsia="Times New Roman" w:hAnsi="Times New Roman" w:cs="Times New Roman"/>
              </w:rPr>
              <w:t>H7</w:t>
            </w:r>
          </w:p>
        </w:tc>
        <w:tc>
          <w:tcPr>
            <w:tcW w:w="1332" w:type="pct"/>
          </w:tcPr>
          <w:p w14:paraId="1B7EAC5D" w14:textId="77777777" w:rsidR="00A74F6E" w:rsidRDefault="00A74F6E" w:rsidP="0010233B">
            <w:pPr>
              <w:spacing w:after="120"/>
              <w:rPr>
                <w:rFonts w:ascii="Times New Roman" w:eastAsia="Times New Roman" w:hAnsi="Times New Roman" w:cs="Times New Roman"/>
              </w:rPr>
            </w:pPr>
            <w:r>
              <w:rPr>
                <w:rFonts w:ascii="Times New Roman" w:eastAsia="Times New Roman" w:hAnsi="Times New Roman" w:cs="Times New Roman"/>
              </w:rPr>
              <w:t>Executive Stock Options</w:t>
            </w:r>
          </w:p>
        </w:tc>
        <w:tc>
          <w:tcPr>
            <w:tcW w:w="1337" w:type="pct"/>
          </w:tcPr>
          <w:p w14:paraId="65A7234E" w14:textId="77777777" w:rsidR="00A74F6E" w:rsidRDefault="00A74F6E" w:rsidP="0010233B">
            <w:pPr>
              <w:spacing w:after="120"/>
              <w:rPr>
                <w:rFonts w:ascii="Times New Roman" w:eastAsia="Times New Roman" w:hAnsi="Times New Roman" w:cs="Times New Roman"/>
              </w:rPr>
            </w:pPr>
            <w:r>
              <w:rPr>
                <w:rFonts w:ascii="Times New Roman" w:eastAsia="Times New Roman" w:hAnsi="Times New Roman" w:cs="Times New Roman"/>
              </w:rPr>
              <w:t>Positive value of exercisable options present at annual report date</w:t>
            </w:r>
          </w:p>
        </w:tc>
        <w:tc>
          <w:tcPr>
            <w:tcW w:w="795" w:type="pct"/>
          </w:tcPr>
          <w:p w14:paraId="58025807" w14:textId="77777777" w:rsidR="00A74F6E" w:rsidRDefault="00A74F6E" w:rsidP="0010233B">
            <w:pPr>
              <w:spacing w:after="120"/>
              <w:rPr>
                <w:rFonts w:ascii="Times New Roman" w:eastAsia="Times New Roman" w:hAnsi="Times New Roman" w:cs="Times New Roman"/>
                <w:i/>
              </w:rPr>
            </w:pPr>
            <w:r>
              <w:rPr>
                <w:rFonts w:ascii="Times New Roman" w:eastAsia="Times New Roman" w:hAnsi="Times New Roman" w:cs="Times New Roman"/>
                <w:i/>
              </w:rPr>
              <w:t>ESO</w:t>
            </w:r>
          </w:p>
        </w:tc>
        <w:tc>
          <w:tcPr>
            <w:tcW w:w="1220" w:type="pct"/>
          </w:tcPr>
          <w:p w14:paraId="6CF7E593" w14:textId="77777777" w:rsidR="00A74F6E" w:rsidRDefault="00A74F6E" w:rsidP="0010233B">
            <w:pPr>
              <w:spacing w:after="120"/>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ve</w:t>
            </w:r>
            <w:proofErr w:type="spellEnd"/>
          </w:p>
        </w:tc>
      </w:tr>
    </w:tbl>
    <w:p w14:paraId="1326377A" w14:textId="77777777" w:rsidR="00A74F6E" w:rsidRDefault="00A74F6E" w:rsidP="00A74F6E">
      <w:pPr>
        <w:rPr>
          <w:rFonts w:ascii="Times New Roman" w:eastAsia="Times New Roman" w:hAnsi="Times New Roman" w:cs="Times New Roman"/>
          <w:b/>
        </w:rPr>
      </w:pPr>
    </w:p>
    <w:p w14:paraId="3C2AF6CC" w14:textId="0482DE1B" w:rsidR="00A74F6E" w:rsidRDefault="00A74F6E" w:rsidP="00A74F6E">
      <w:pPr>
        <w:spacing w:after="0"/>
        <w:jc w:val="both"/>
        <w:rPr>
          <w:rFonts w:ascii="Times New Roman" w:eastAsia="Times New Roman" w:hAnsi="Times New Roman" w:cs="Times New Roman"/>
        </w:rPr>
      </w:pPr>
      <w:r>
        <w:rPr>
          <w:rFonts w:ascii="Times New Roman" w:eastAsia="Times New Roman" w:hAnsi="Times New Roman" w:cs="Times New Roman"/>
          <w:i/>
          <w:sz w:val="20"/>
          <w:szCs w:val="20"/>
        </w:rPr>
        <w:t>LEVIND</w:t>
      </w:r>
      <w:r>
        <w:rPr>
          <w:rFonts w:ascii="Times New Roman" w:eastAsia="Times New Roman" w:hAnsi="Times New Roman" w:cs="Times New Roman"/>
          <w:sz w:val="20"/>
          <w:szCs w:val="20"/>
        </w:rPr>
        <w:t xml:space="preserve"> is leverage minus industry-year mean value where leverage is measured by total debt (WC03255), divided by total shareholders’ equity (WC03995).</w:t>
      </w:r>
      <w:r>
        <w:rPr>
          <w:rFonts w:ascii="Times New Roman" w:eastAsia="Times New Roman" w:hAnsi="Times New Roman" w:cs="Times New Roman"/>
          <w:i/>
          <w:sz w:val="20"/>
          <w:szCs w:val="20"/>
        </w:rPr>
        <w:t xml:space="preserve"> XSCASH </w:t>
      </w:r>
      <w:r>
        <w:rPr>
          <w:rFonts w:ascii="Times New Roman" w:eastAsia="Times New Roman" w:hAnsi="Times New Roman" w:cs="Times New Roman"/>
          <w:sz w:val="20"/>
          <w:szCs w:val="20"/>
        </w:rPr>
        <w:t xml:space="preserve">is surplus cash, measured as the residual from the optimal cash equation. </w:t>
      </w:r>
      <w:r>
        <w:rPr>
          <w:rFonts w:ascii="Times New Roman" w:eastAsia="Times New Roman" w:hAnsi="Times New Roman" w:cs="Times New Roman"/>
          <w:i/>
          <w:sz w:val="20"/>
          <w:szCs w:val="20"/>
        </w:rPr>
        <w:t>CFO/TA</w:t>
      </w:r>
      <w:r>
        <w:rPr>
          <w:rFonts w:ascii="Times New Roman" w:eastAsia="Times New Roman" w:hAnsi="Times New Roman" w:cs="Times New Roman"/>
          <w:sz w:val="20"/>
          <w:szCs w:val="20"/>
        </w:rPr>
        <w:t xml:space="preserve"> is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measured as net operating cash flow (WC04860) divided by total assets (WC02999). </w:t>
      </w:r>
      <w:r>
        <w:rPr>
          <w:rFonts w:ascii="Times New Roman" w:eastAsia="Times New Roman" w:hAnsi="Times New Roman" w:cs="Times New Roman"/>
          <w:i/>
          <w:sz w:val="20"/>
          <w:szCs w:val="20"/>
        </w:rPr>
        <w:t>MTBIND</w:t>
      </w:r>
      <w:r>
        <w:rPr>
          <w:rFonts w:ascii="Times New Roman" w:eastAsia="Times New Roman" w:hAnsi="Times New Roman" w:cs="Times New Roman"/>
          <w:sz w:val="20"/>
          <w:szCs w:val="20"/>
        </w:rPr>
        <w:t xml:space="preserve"> is market-to-book minus year and industry mean value, where market-to-book is measured by the sum of total debt (WC03255) and market capitalisation (WC08001), divided by total assets (WC02999). </w:t>
      </w:r>
      <w:r>
        <w:rPr>
          <w:rFonts w:ascii="Times New Roman" w:eastAsia="Times New Roman" w:hAnsi="Times New Roman" w:cs="Times New Roman"/>
          <w:i/>
          <w:sz w:val="20"/>
          <w:szCs w:val="20"/>
        </w:rPr>
        <w:t>ABRET</w:t>
      </w:r>
      <w:r>
        <w:rPr>
          <w:rFonts w:ascii="Times New Roman" w:eastAsia="Times New Roman" w:hAnsi="Times New Roman" w:cs="Times New Roman"/>
          <w:sz w:val="20"/>
          <w:szCs w:val="20"/>
        </w:rPr>
        <w:t xml:space="preserve"> is the firm’s annual return minus the return on the FTSE All Share Index over the same period. </w:t>
      </w:r>
      <w:r>
        <w:rPr>
          <w:rFonts w:ascii="Times New Roman" w:eastAsia="Times New Roman" w:hAnsi="Times New Roman" w:cs="Times New Roman"/>
          <w:i/>
          <w:sz w:val="20"/>
          <w:szCs w:val="20"/>
        </w:rPr>
        <w:t>DIV/NI</w:t>
      </w:r>
      <w:r>
        <w:rPr>
          <w:rFonts w:ascii="Times New Roman" w:eastAsia="Times New Roman" w:hAnsi="Times New Roman" w:cs="Times New Roman"/>
          <w:sz w:val="20"/>
          <w:szCs w:val="20"/>
        </w:rPr>
        <w:t xml:space="preserve"> is measured by aggregate value of total cash common dividends (WC05376), divided by net income before extraordinary items and preference dividends (WC01551). </w:t>
      </w:r>
      <w:r>
        <w:rPr>
          <w:rFonts w:ascii="Times New Roman" w:eastAsia="Times New Roman" w:hAnsi="Times New Roman" w:cs="Times New Roman"/>
          <w:i/>
          <w:sz w:val="20"/>
          <w:szCs w:val="20"/>
        </w:rPr>
        <w:t>PROPNED</w:t>
      </w:r>
      <w:r>
        <w:rPr>
          <w:rFonts w:ascii="Times New Roman" w:eastAsia="Times New Roman" w:hAnsi="Times New Roman" w:cs="Times New Roman"/>
          <w:sz w:val="20"/>
          <w:szCs w:val="20"/>
        </w:rPr>
        <w:t xml:space="preserve"> is the number of non-executive directors (</w:t>
      </w:r>
      <w:proofErr w:type="spellStart"/>
      <w:r>
        <w:rPr>
          <w:rFonts w:ascii="Times New Roman" w:eastAsia="Times New Roman" w:hAnsi="Times New Roman" w:cs="Times New Roman"/>
          <w:sz w:val="20"/>
          <w:szCs w:val="20"/>
        </w:rPr>
        <w:t>BoardEx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numofned</w:t>
      </w:r>
      <w:proofErr w:type="spellEnd"/>
      <w:r>
        <w:rPr>
          <w:rFonts w:ascii="Times New Roman" w:eastAsia="Times New Roman" w:hAnsi="Times New Roman" w:cs="Times New Roman"/>
          <w:sz w:val="20"/>
          <w:szCs w:val="20"/>
        </w:rPr>
        <w:t>’), divided by the total number of directors</w:t>
      </w:r>
      <w:r>
        <w:rPr>
          <w:rFonts w:ascii="Times New Roman" w:eastAsia="Times New Roman" w:hAnsi="Times New Roman" w:cs="Times New Roman"/>
        </w:rPr>
        <w:t xml:space="preserve">. </w:t>
      </w:r>
      <w:r>
        <w:rPr>
          <w:rFonts w:ascii="Times New Roman" w:eastAsia="Times New Roman" w:hAnsi="Times New Roman" w:cs="Times New Roman"/>
          <w:i/>
          <w:sz w:val="20"/>
          <w:szCs w:val="20"/>
        </w:rPr>
        <w:t>BOARDOWN</w:t>
      </w:r>
      <w:r>
        <w:rPr>
          <w:rFonts w:ascii="Times New Roman" w:eastAsia="Times New Roman" w:hAnsi="Times New Roman" w:cs="Times New Roman"/>
          <w:sz w:val="20"/>
          <w:szCs w:val="20"/>
        </w:rPr>
        <w:t xml:space="preserve"> is the value of ordinary shares held by directors and their immediate family (</w:t>
      </w:r>
      <w:proofErr w:type="spellStart"/>
      <w:r>
        <w:rPr>
          <w:rFonts w:ascii="Times New Roman" w:eastAsia="Times New Roman" w:hAnsi="Times New Roman" w:cs="Times New Roman"/>
          <w:sz w:val="20"/>
          <w:szCs w:val="20"/>
        </w:rPr>
        <w:t>BoardEx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valtoteqheld</w:t>
      </w:r>
      <w:proofErr w:type="spellEnd"/>
      <w:r>
        <w:rPr>
          <w:rFonts w:ascii="Times New Roman" w:eastAsia="Times New Roman" w:hAnsi="Times New Roman" w:cs="Times New Roman"/>
          <w:sz w:val="20"/>
          <w:szCs w:val="20"/>
        </w:rPr>
        <w:t xml:space="preserve">’), divided by total market value of the year. </w:t>
      </w:r>
      <w:r>
        <w:rPr>
          <w:rFonts w:ascii="Times New Roman" w:eastAsia="Times New Roman" w:hAnsi="Times New Roman" w:cs="Times New Roman"/>
          <w:i/>
          <w:sz w:val="20"/>
          <w:szCs w:val="20"/>
        </w:rPr>
        <w:t xml:space="preserve">ESO </w:t>
      </w:r>
      <w:r>
        <w:rPr>
          <w:rFonts w:ascii="Times New Roman" w:eastAsia="Times New Roman" w:hAnsi="Times New Roman" w:cs="Times New Roman"/>
          <w:sz w:val="20"/>
          <w:szCs w:val="20"/>
        </w:rPr>
        <w:t>= 1 if there is a positive value for exercisable options reported in the accounts at balance sheet date, otherwise zero.</w:t>
      </w:r>
      <w:r>
        <w:br w:type="page"/>
      </w:r>
    </w:p>
    <w:p w14:paraId="574AC1C8"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lastRenderedPageBreak/>
        <w:t>Table 2: Description of Sample</w:t>
      </w:r>
    </w:p>
    <w:tbl>
      <w:tblPr>
        <w:tblW w:w="0" w:type="auto"/>
        <w:jc w:val="center"/>
        <w:tblBorders>
          <w:top w:val="single" w:sz="4" w:space="0" w:color="BFBFBF"/>
          <w:left w:val="single" w:sz="4" w:space="0" w:color="BFBFBF"/>
          <w:bottom w:val="single" w:sz="4" w:space="0" w:color="BFBFBF"/>
          <w:right w:val="single" w:sz="4" w:space="0" w:color="BFBFBF"/>
          <w:insideH w:val="nil"/>
          <w:insideV w:val="nil"/>
        </w:tblBorders>
        <w:tblLook w:val="0400" w:firstRow="0" w:lastRow="0" w:firstColumn="0" w:lastColumn="0" w:noHBand="0" w:noVBand="1"/>
      </w:tblPr>
      <w:tblGrid>
        <w:gridCol w:w="1856"/>
        <w:gridCol w:w="876"/>
        <w:gridCol w:w="756"/>
        <w:gridCol w:w="876"/>
        <w:gridCol w:w="876"/>
        <w:gridCol w:w="876"/>
        <w:gridCol w:w="876"/>
        <w:gridCol w:w="956"/>
      </w:tblGrid>
      <w:tr w:rsidR="00A74F6E" w14:paraId="2FA62882" w14:textId="77777777" w:rsidTr="00437A34">
        <w:trPr>
          <w:trHeight w:val="283"/>
          <w:jc w:val="center"/>
        </w:trPr>
        <w:tc>
          <w:tcPr>
            <w:tcW w:w="0" w:type="auto"/>
            <w:tcBorders>
              <w:top w:val="single" w:sz="4" w:space="0" w:color="auto"/>
              <w:left w:val="single" w:sz="4" w:space="0" w:color="auto"/>
              <w:bottom w:val="single" w:sz="4" w:space="0" w:color="000000"/>
            </w:tcBorders>
            <w:vAlign w:val="center"/>
          </w:tcPr>
          <w:p w14:paraId="69F8EF0B" w14:textId="77777777" w:rsidR="00A74F6E" w:rsidRDefault="00A74F6E" w:rsidP="0010233B">
            <w:pPr>
              <w:rPr>
                <w:rFonts w:ascii="Times New Roman" w:eastAsia="Times New Roman" w:hAnsi="Times New Roman" w:cs="Times New Roman"/>
              </w:rPr>
            </w:pPr>
            <w:r>
              <w:rPr>
                <w:rFonts w:ascii="Times New Roman" w:eastAsia="Times New Roman" w:hAnsi="Times New Roman" w:cs="Times New Roman"/>
              </w:rPr>
              <w:t>Variable</w:t>
            </w:r>
          </w:p>
        </w:tc>
        <w:tc>
          <w:tcPr>
            <w:tcW w:w="0" w:type="auto"/>
            <w:tcBorders>
              <w:top w:val="single" w:sz="4" w:space="0" w:color="auto"/>
              <w:bottom w:val="single" w:sz="4" w:space="0" w:color="000000"/>
            </w:tcBorders>
            <w:vAlign w:val="center"/>
          </w:tcPr>
          <w:p w14:paraId="0DF76D97" w14:textId="77777777" w:rsidR="00A74F6E" w:rsidRDefault="00A74F6E" w:rsidP="0010233B">
            <w:pPr>
              <w:jc w:val="center"/>
              <w:rPr>
                <w:rFonts w:ascii="Times New Roman" w:eastAsia="Times New Roman" w:hAnsi="Times New Roman" w:cs="Times New Roman"/>
              </w:rPr>
            </w:pPr>
            <w:r>
              <w:rPr>
                <w:rFonts w:ascii="Times New Roman" w:eastAsia="Times New Roman" w:hAnsi="Times New Roman" w:cs="Times New Roman"/>
              </w:rPr>
              <w:t>mean</w:t>
            </w:r>
          </w:p>
        </w:tc>
        <w:tc>
          <w:tcPr>
            <w:tcW w:w="0" w:type="auto"/>
            <w:tcBorders>
              <w:top w:val="single" w:sz="4" w:space="0" w:color="auto"/>
              <w:bottom w:val="single" w:sz="4" w:space="0" w:color="000000"/>
            </w:tcBorders>
            <w:vAlign w:val="center"/>
          </w:tcPr>
          <w:p w14:paraId="6833DF3E" w14:textId="77777777" w:rsidR="00A74F6E" w:rsidRDefault="00A74F6E" w:rsidP="0010233B">
            <w:pPr>
              <w:jc w:val="center"/>
              <w:rPr>
                <w:rFonts w:ascii="Times New Roman" w:eastAsia="Times New Roman" w:hAnsi="Times New Roman" w:cs="Times New Roman"/>
              </w:rPr>
            </w:pPr>
            <w:proofErr w:type="spellStart"/>
            <w:r>
              <w:rPr>
                <w:rFonts w:ascii="Times New Roman" w:eastAsia="Times New Roman" w:hAnsi="Times New Roman" w:cs="Times New Roman"/>
              </w:rPr>
              <w:t>sd</w:t>
            </w:r>
            <w:proofErr w:type="spellEnd"/>
          </w:p>
        </w:tc>
        <w:tc>
          <w:tcPr>
            <w:tcW w:w="0" w:type="auto"/>
            <w:tcBorders>
              <w:top w:val="single" w:sz="4" w:space="0" w:color="auto"/>
              <w:bottom w:val="single" w:sz="4" w:space="0" w:color="000000"/>
            </w:tcBorders>
            <w:vAlign w:val="center"/>
          </w:tcPr>
          <w:p w14:paraId="29083FDE" w14:textId="77777777" w:rsidR="00A74F6E" w:rsidRDefault="00A74F6E" w:rsidP="0010233B">
            <w:pPr>
              <w:jc w:val="center"/>
              <w:rPr>
                <w:rFonts w:ascii="Times New Roman" w:eastAsia="Times New Roman" w:hAnsi="Times New Roman" w:cs="Times New Roman"/>
              </w:rPr>
            </w:pPr>
            <w:r>
              <w:rPr>
                <w:rFonts w:ascii="Times New Roman" w:eastAsia="Times New Roman" w:hAnsi="Times New Roman" w:cs="Times New Roman"/>
              </w:rPr>
              <w:t>max</w:t>
            </w:r>
          </w:p>
        </w:tc>
        <w:tc>
          <w:tcPr>
            <w:tcW w:w="0" w:type="auto"/>
            <w:tcBorders>
              <w:top w:val="single" w:sz="4" w:space="0" w:color="auto"/>
              <w:bottom w:val="single" w:sz="4" w:space="0" w:color="000000"/>
            </w:tcBorders>
            <w:vAlign w:val="center"/>
          </w:tcPr>
          <w:p w14:paraId="3C86E22B" w14:textId="77777777" w:rsidR="00A74F6E" w:rsidRDefault="00A74F6E" w:rsidP="0010233B">
            <w:pPr>
              <w:jc w:val="center"/>
              <w:rPr>
                <w:rFonts w:ascii="Times New Roman" w:eastAsia="Times New Roman" w:hAnsi="Times New Roman" w:cs="Times New Roman"/>
              </w:rPr>
            </w:pPr>
            <w:r>
              <w:rPr>
                <w:rFonts w:ascii="Times New Roman" w:eastAsia="Times New Roman" w:hAnsi="Times New Roman" w:cs="Times New Roman"/>
              </w:rPr>
              <w:t>p75</w:t>
            </w:r>
          </w:p>
        </w:tc>
        <w:tc>
          <w:tcPr>
            <w:tcW w:w="0" w:type="auto"/>
            <w:tcBorders>
              <w:top w:val="single" w:sz="4" w:space="0" w:color="auto"/>
              <w:bottom w:val="single" w:sz="4" w:space="0" w:color="000000"/>
            </w:tcBorders>
            <w:vAlign w:val="center"/>
          </w:tcPr>
          <w:p w14:paraId="1D9F6025" w14:textId="77777777" w:rsidR="00A74F6E" w:rsidRDefault="00A74F6E" w:rsidP="0010233B">
            <w:pPr>
              <w:jc w:val="center"/>
              <w:rPr>
                <w:rFonts w:ascii="Times New Roman" w:eastAsia="Times New Roman" w:hAnsi="Times New Roman" w:cs="Times New Roman"/>
              </w:rPr>
            </w:pPr>
            <w:r>
              <w:rPr>
                <w:rFonts w:ascii="Times New Roman" w:eastAsia="Times New Roman" w:hAnsi="Times New Roman" w:cs="Times New Roman"/>
              </w:rPr>
              <w:t>p50</w:t>
            </w:r>
          </w:p>
        </w:tc>
        <w:tc>
          <w:tcPr>
            <w:tcW w:w="0" w:type="auto"/>
            <w:tcBorders>
              <w:top w:val="single" w:sz="4" w:space="0" w:color="auto"/>
              <w:bottom w:val="single" w:sz="4" w:space="0" w:color="000000"/>
            </w:tcBorders>
            <w:vAlign w:val="center"/>
          </w:tcPr>
          <w:p w14:paraId="06381ABA" w14:textId="77777777" w:rsidR="00A74F6E" w:rsidRDefault="00A74F6E" w:rsidP="0010233B">
            <w:pPr>
              <w:jc w:val="center"/>
              <w:rPr>
                <w:rFonts w:ascii="Times New Roman" w:eastAsia="Times New Roman" w:hAnsi="Times New Roman" w:cs="Times New Roman"/>
              </w:rPr>
            </w:pPr>
            <w:r>
              <w:rPr>
                <w:rFonts w:ascii="Times New Roman" w:eastAsia="Times New Roman" w:hAnsi="Times New Roman" w:cs="Times New Roman"/>
              </w:rPr>
              <w:t>p25</w:t>
            </w:r>
          </w:p>
        </w:tc>
        <w:tc>
          <w:tcPr>
            <w:tcW w:w="0" w:type="auto"/>
            <w:tcBorders>
              <w:top w:val="single" w:sz="4" w:space="0" w:color="auto"/>
              <w:bottom w:val="single" w:sz="4" w:space="0" w:color="000000"/>
              <w:right w:val="single" w:sz="4" w:space="0" w:color="auto"/>
            </w:tcBorders>
            <w:vAlign w:val="center"/>
          </w:tcPr>
          <w:p w14:paraId="3165F649" w14:textId="77777777" w:rsidR="00A74F6E" w:rsidRDefault="00A74F6E" w:rsidP="0010233B">
            <w:pPr>
              <w:jc w:val="center"/>
              <w:rPr>
                <w:rFonts w:ascii="Times New Roman" w:eastAsia="Times New Roman" w:hAnsi="Times New Roman" w:cs="Times New Roman"/>
              </w:rPr>
            </w:pPr>
            <w:r>
              <w:rPr>
                <w:rFonts w:ascii="Times New Roman" w:eastAsia="Times New Roman" w:hAnsi="Times New Roman" w:cs="Times New Roman"/>
              </w:rPr>
              <w:t>min</w:t>
            </w:r>
          </w:p>
        </w:tc>
      </w:tr>
      <w:tr w:rsidR="00A74F6E" w14:paraId="5EE2428C" w14:textId="77777777" w:rsidTr="00437A34">
        <w:trPr>
          <w:trHeight w:val="299"/>
          <w:jc w:val="center"/>
        </w:trPr>
        <w:tc>
          <w:tcPr>
            <w:tcW w:w="0" w:type="auto"/>
            <w:tcBorders>
              <w:top w:val="nil"/>
              <w:left w:val="single" w:sz="4" w:space="0" w:color="auto"/>
              <w:bottom w:val="nil"/>
            </w:tcBorders>
            <w:vAlign w:val="center"/>
          </w:tcPr>
          <w:p w14:paraId="146CE2D7" w14:textId="77777777" w:rsidR="00A74F6E" w:rsidRPr="000F5FFC" w:rsidRDefault="00A74F6E" w:rsidP="0010233B">
            <w:pPr>
              <w:rPr>
                <w:rFonts w:ascii="Times New Roman" w:eastAsia="Times New Roman" w:hAnsi="Times New Roman" w:cs="Times New Roman"/>
                <w:i/>
              </w:rPr>
            </w:pPr>
            <w:r w:rsidRPr="000F5FFC">
              <w:rPr>
                <w:i/>
                <w:iCs/>
                <w:color w:val="000000"/>
              </w:rPr>
              <w:t>SPDUM1YR</w:t>
            </w:r>
            <w:r w:rsidRPr="008C51ED">
              <w:rPr>
                <w:i/>
                <w:iCs/>
                <w:color w:val="000000"/>
                <w:vertAlign w:val="subscript"/>
              </w:rPr>
              <w:t>t</w:t>
            </w:r>
          </w:p>
        </w:tc>
        <w:tc>
          <w:tcPr>
            <w:tcW w:w="0" w:type="auto"/>
            <w:tcBorders>
              <w:top w:val="nil"/>
              <w:bottom w:val="nil"/>
            </w:tcBorders>
            <w:vAlign w:val="bottom"/>
          </w:tcPr>
          <w:p w14:paraId="3046FCE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0.326</w:t>
            </w:r>
          </w:p>
        </w:tc>
        <w:tc>
          <w:tcPr>
            <w:tcW w:w="0" w:type="auto"/>
            <w:tcBorders>
              <w:top w:val="nil"/>
              <w:bottom w:val="nil"/>
            </w:tcBorders>
            <w:vAlign w:val="bottom"/>
          </w:tcPr>
          <w:p w14:paraId="2E6085C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0.469</w:t>
            </w:r>
          </w:p>
        </w:tc>
        <w:tc>
          <w:tcPr>
            <w:tcW w:w="0" w:type="auto"/>
            <w:tcBorders>
              <w:top w:val="nil"/>
              <w:bottom w:val="nil"/>
            </w:tcBorders>
            <w:vAlign w:val="bottom"/>
          </w:tcPr>
          <w:p w14:paraId="47F9F48C"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5B2767F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11CD398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tcBorders>
            <w:vAlign w:val="bottom"/>
          </w:tcPr>
          <w:p w14:paraId="09253AC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744D91E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492ED262" w14:textId="77777777" w:rsidTr="00437A34">
        <w:trPr>
          <w:trHeight w:val="299"/>
          <w:jc w:val="center"/>
        </w:trPr>
        <w:tc>
          <w:tcPr>
            <w:tcW w:w="0" w:type="auto"/>
            <w:tcBorders>
              <w:top w:val="nil"/>
              <w:left w:val="single" w:sz="4" w:space="0" w:color="auto"/>
              <w:bottom w:val="nil"/>
            </w:tcBorders>
            <w:vAlign w:val="center"/>
          </w:tcPr>
          <w:p w14:paraId="291FDE96" w14:textId="77777777" w:rsidR="00A74F6E" w:rsidRPr="000F5FFC" w:rsidRDefault="00A74F6E" w:rsidP="0010233B">
            <w:pPr>
              <w:rPr>
                <w:rFonts w:ascii="Times New Roman" w:eastAsia="Times New Roman" w:hAnsi="Times New Roman" w:cs="Times New Roman"/>
                <w:i/>
              </w:rPr>
            </w:pPr>
            <w:r w:rsidRPr="000F5FFC">
              <w:rPr>
                <w:i/>
                <w:iCs/>
                <w:color w:val="000000"/>
              </w:rPr>
              <w:t>SPDUM2YR</w:t>
            </w:r>
            <w:r w:rsidRPr="008C51ED">
              <w:rPr>
                <w:i/>
                <w:iCs/>
                <w:color w:val="000000"/>
                <w:vertAlign w:val="subscript"/>
              </w:rPr>
              <w:t>t</w:t>
            </w:r>
          </w:p>
        </w:tc>
        <w:tc>
          <w:tcPr>
            <w:tcW w:w="0" w:type="auto"/>
            <w:tcBorders>
              <w:top w:val="nil"/>
              <w:bottom w:val="nil"/>
            </w:tcBorders>
            <w:vAlign w:val="bottom"/>
          </w:tcPr>
          <w:p w14:paraId="46AADF4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0.222</w:t>
            </w:r>
          </w:p>
        </w:tc>
        <w:tc>
          <w:tcPr>
            <w:tcW w:w="0" w:type="auto"/>
            <w:tcBorders>
              <w:top w:val="nil"/>
              <w:bottom w:val="nil"/>
            </w:tcBorders>
            <w:vAlign w:val="bottom"/>
          </w:tcPr>
          <w:p w14:paraId="2444AF3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0.416</w:t>
            </w:r>
          </w:p>
        </w:tc>
        <w:tc>
          <w:tcPr>
            <w:tcW w:w="0" w:type="auto"/>
            <w:tcBorders>
              <w:top w:val="nil"/>
              <w:bottom w:val="nil"/>
            </w:tcBorders>
            <w:vAlign w:val="bottom"/>
          </w:tcPr>
          <w:p w14:paraId="7A03881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74886E0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tcBorders>
            <w:vAlign w:val="bottom"/>
          </w:tcPr>
          <w:p w14:paraId="30F32CF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tcBorders>
            <w:vAlign w:val="bottom"/>
          </w:tcPr>
          <w:p w14:paraId="7C10A86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2619DC8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225F30DC" w14:textId="77777777" w:rsidTr="00437A34">
        <w:trPr>
          <w:trHeight w:val="299"/>
          <w:jc w:val="center"/>
        </w:trPr>
        <w:tc>
          <w:tcPr>
            <w:tcW w:w="0" w:type="auto"/>
            <w:tcBorders>
              <w:top w:val="nil"/>
              <w:left w:val="single" w:sz="4" w:space="0" w:color="auto"/>
              <w:bottom w:val="nil"/>
            </w:tcBorders>
            <w:vAlign w:val="center"/>
          </w:tcPr>
          <w:p w14:paraId="2449C62E" w14:textId="77777777" w:rsidR="00A74F6E" w:rsidRPr="000F5FFC" w:rsidRDefault="00A74F6E" w:rsidP="0010233B">
            <w:pPr>
              <w:rPr>
                <w:rFonts w:ascii="Times New Roman" w:eastAsia="Times New Roman" w:hAnsi="Times New Roman" w:cs="Times New Roman"/>
                <w:i/>
              </w:rPr>
            </w:pPr>
            <w:r w:rsidRPr="000F5FFC">
              <w:rPr>
                <w:i/>
                <w:iCs/>
                <w:color w:val="000000"/>
              </w:rPr>
              <w:t>CCDUM1YR</w:t>
            </w:r>
            <w:r w:rsidRPr="008C51ED">
              <w:rPr>
                <w:i/>
                <w:iCs/>
                <w:color w:val="000000"/>
                <w:vertAlign w:val="subscript"/>
              </w:rPr>
              <w:t>t</w:t>
            </w:r>
          </w:p>
        </w:tc>
        <w:tc>
          <w:tcPr>
            <w:tcW w:w="0" w:type="auto"/>
            <w:tcBorders>
              <w:top w:val="nil"/>
              <w:bottom w:val="nil"/>
            </w:tcBorders>
            <w:vAlign w:val="bottom"/>
          </w:tcPr>
          <w:p w14:paraId="3D449E9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0.704</w:t>
            </w:r>
          </w:p>
        </w:tc>
        <w:tc>
          <w:tcPr>
            <w:tcW w:w="0" w:type="auto"/>
            <w:tcBorders>
              <w:top w:val="nil"/>
              <w:bottom w:val="nil"/>
            </w:tcBorders>
            <w:vAlign w:val="bottom"/>
          </w:tcPr>
          <w:p w14:paraId="0C85C6F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0.456</w:t>
            </w:r>
          </w:p>
        </w:tc>
        <w:tc>
          <w:tcPr>
            <w:tcW w:w="0" w:type="auto"/>
            <w:tcBorders>
              <w:top w:val="nil"/>
              <w:bottom w:val="nil"/>
            </w:tcBorders>
            <w:vAlign w:val="bottom"/>
          </w:tcPr>
          <w:p w14:paraId="032E30EC"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1E177CA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06156E2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7F30B9F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0B5A4D9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184DAB02" w14:textId="77777777" w:rsidTr="00437A34">
        <w:trPr>
          <w:trHeight w:val="299"/>
          <w:jc w:val="center"/>
        </w:trPr>
        <w:tc>
          <w:tcPr>
            <w:tcW w:w="0" w:type="auto"/>
            <w:tcBorders>
              <w:top w:val="nil"/>
              <w:left w:val="single" w:sz="4" w:space="0" w:color="auto"/>
              <w:bottom w:val="nil"/>
            </w:tcBorders>
            <w:vAlign w:val="center"/>
          </w:tcPr>
          <w:p w14:paraId="38E238B2" w14:textId="77777777" w:rsidR="00A74F6E" w:rsidRPr="000F5FFC" w:rsidRDefault="00A74F6E" w:rsidP="0010233B">
            <w:pPr>
              <w:rPr>
                <w:rFonts w:ascii="Times New Roman" w:eastAsia="Times New Roman" w:hAnsi="Times New Roman" w:cs="Times New Roman"/>
                <w:i/>
              </w:rPr>
            </w:pPr>
            <w:r w:rsidRPr="000F5FFC">
              <w:rPr>
                <w:i/>
                <w:iCs/>
                <w:color w:val="000000"/>
              </w:rPr>
              <w:t>CCDUM2YR</w:t>
            </w:r>
            <w:r w:rsidRPr="008C51ED">
              <w:rPr>
                <w:i/>
                <w:iCs/>
                <w:color w:val="000000"/>
                <w:vertAlign w:val="subscript"/>
              </w:rPr>
              <w:t>t</w:t>
            </w:r>
          </w:p>
        </w:tc>
        <w:tc>
          <w:tcPr>
            <w:tcW w:w="0" w:type="auto"/>
            <w:tcBorders>
              <w:top w:val="nil"/>
              <w:bottom w:val="nil"/>
            </w:tcBorders>
            <w:vAlign w:val="bottom"/>
          </w:tcPr>
          <w:p w14:paraId="59A5D72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0.618</w:t>
            </w:r>
          </w:p>
        </w:tc>
        <w:tc>
          <w:tcPr>
            <w:tcW w:w="0" w:type="auto"/>
            <w:tcBorders>
              <w:top w:val="nil"/>
              <w:bottom w:val="nil"/>
            </w:tcBorders>
            <w:vAlign w:val="bottom"/>
          </w:tcPr>
          <w:p w14:paraId="4A3C193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0.486</w:t>
            </w:r>
          </w:p>
        </w:tc>
        <w:tc>
          <w:tcPr>
            <w:tcW w:w="0" w:type="auto"/>
            <w:tcBorders>
              <w:top w:val="nil"/>
              <w:bottom w:val="nil"/>
            </w:tcBorders>
            <w:vAlign w:val="bottom"/>
          </w:tcPr>
          <w:p w14:paraId="7E9FF3D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595BA83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2C526B0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70DFD15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556ED77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5C6E3ACD" w14:textId="77777777" w:rsidTr="00437A34">
        <w:trPr>
          <w:trHeight w:val="299"/>
          <w:jc w:val="center"/>
        </w:trPr>
        <w:tc>
          <w:tcPr>
            <w:tcW w:w="0" w:type="auto"/>
            <w:tcBorders>
              <w:top w:val="nil"/>
              <w:left w:val="single" w:sz="4" w:space="0" w:color="auto"/>
              <w:bottom w:val="nil"/>
            </w:tcBorders>
            <w:vAlign w:val="center"/>
          </w:tcPr>
          <w:p w14:paraId="76A621F9" w14:textId="77777777" w:rsidR="00A74F6E" w:rsidRPr="000F5FFC" w:rsidRDefault="00A74F6E" w:rsidP="0010233B">
            <w:pPr>
              <w:rPr>
                <w:rFonts w:ascii="Times New Roman" w:eastAsia="Times New Roman" w:hAnsi="Times New Roman" w:cs="Times New Roman"/>
                <w:i/>
              </w:rPr>
            </w:pPr>
            <w:r w:rsidRPr="000F5FFC">
              <w:rPr>
                <w:i/>
                <w:iCs/>
                <w:color w:val="000000"/>
              </w:rPr>
              <w:t>DIVDUM1YR</w:t>
            </w:r>
            <w:r w:rsidRPr="008C51ED">
              <w:rPr>
                <w:i/>
                <w:iCs/>
                <w:color w:val="000000"/>
                <w:vertAlign w:val="subscript"/>
              </w:rPr>
              <w:t>t</w:t>
            </w:r>
          </w:p>
        </w:tc>
        <w:tc>
          <w:tcPr>
            <w:tcW w:w="0" w:type="auto"/>
            <w:tcBorders>
              <w:top w:val="nil"/>
              <w:bottom w:val="nil"/>
            </w:tcBorders>
            <w:vAlign w:val="bottom"/>
          </w:tcPr>
          <w:p w14:paraId="5E723AC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0.813</w:t>
            </w:r>
          </w:p>
        </w:tc>
        <w:tc>
          <w:tcPr>
            <w:tcW w:w="0" w:type="auto"/>
            <w:tcBorders>
              <w:top w:val="nil"/>
              <w:bottom w:val="nil"/>
            </w:tcBorders>
            <w:vAlign w:val="bottom"/>
          </w:tcPr>
          <w:p w14:paraId="5F45BEB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0.390</w:t>
            </w:r>
          </w:p>
        </w:tc>
        <w:tc>
          <w:tcPr>
            <w:tcW w:w="0" w:type="auto"/>
            <w:tcBorders>
              <w:top w:val="nil"/>
              <w:bottom w:val="nil"/>
            </w:tcBorders>
            <w:vAlign w:val="bottom"/>
          </w:tcPr>
          <w:p w14:paraId="11B2EEF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18873EB2"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177D03E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320AF16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right w:val="single" w:sz="4" w:space="0" w:color="auto"/>
            </w:tcBorders>
            <w:vAlign w:val="bottom"/>
          </w:tcPr>
          <w:p w14:paraId="68DC09B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23306CDF" w14:textId="77777777" w:rsidTr="00437A34">
        <w:trPr>
          <w:trHeight w:val="299"/>
          <w:jc w:val="center"/>
        </w:trPr>
        <w:tc>
          <w:tcPr>
            <w:tcW w:w="0" w:type="auto"/>
            <w:tcBorders>
              <w:top w:val="nil"/>
              <w:left w:val="single" w:sz="4" w:space="0" w:color="auto"/>
              <w:bottom w:val="nil"/>
            </w:tcBorders>
            <w:vAlign w:val="center"/>
          </w:tcPr>
          <w:p w14:paraId="0BD2AB95" w14:textId="77777777" w:rsidR="00A74F6E" w:rsidRPr="000F5FFC" w:rsidRDefault="00A74F6E" w:rsidP="0010233B">
            <w:pPr>
              <w:rPr>
                <w:rFonts w:ascii="Times New Roman" w:eastAsia="Times New Roman" w:hAnsi="Times New Roman" w:cs="Times New Roman"/>
                <w:i/>
              </w:rPr>
            </w:pPr>
            <w:r w:rsidRPr="000F5FFC">
              <w:rPr>
                <w:i/>
                <w:iCs/>
                <w:color w:val="000000"/>
              </w:rPr>
              <w:t>DIVDUM2YR</w:t>
            </w:r>
            <w:r w:rsidRPr="008C51ED">
              <w:rPr>
                <w:i/>
                <w:iCs/>
                <w:color w:val="000000"/>
                <w:vertAlign w:val="subscript"/>
              </w:rPr>
              <w:t>t</w:t>
            </w:r>
          </w:p>
        </w:tc>
        <w:tc>
          <w:tcPr>
            <w:tcW w:w="0" w:type="auto"/>
            <w:tcBorders>
              <w:top w:val="nil"/>
              <w:bottom w:val="nil"/>
            </w:tcBorders>
            <w:vAlign w:val="bottom"/>
          </w:tcPr>
          <w:p w14:paraId="2C0D363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0.790</w:t>
            </w:r>
          </w:p>
        </w:tc>
        <w:tc>
          <w:tcPr>
            <w:tcW w:w="0" w:type="auto"/>
            <w:tcBorders>
              <w:top w:val="nil"/>
              <w:bottom w:val="nil"/>
            </w:tcBorders>
            <w:vAlign w:val="bottom"/>
          </w:tcPr>
          <w:p w14:paraId="11E4BF1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0.407</w:t>
            </w:r>
          </w:p>
        </w:tc>
        <w:tc>
          <w:tcPr>
            <w:tcW w:w="0" w:type="auto"/>
            <w:tcBorders>
              <w:top w:val="nil"/>
              <w:bottom w:val="nil"/>
            </w:tcBorders>
            <w:vAlign w:val="bottom"/>
          </w:tcPr>
          <w:p w14:paraId="0F8354D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3C5A3EC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6D282CF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3952E30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right w:val="single" w:sz="4" w:space="0" w:color="auto"/>
            </w:tcBorders>
            <w:vAlign w:val="bottom"/>
          </w:tcPr>
          <w:p w14:paraId="3BDCDDA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3E3CD88C" w14:textId="77777777" w:rsidTr="00437A34">
        <w:trPr>
          <w:trHeight w:val="299"/>
          <w:jc w:val="center"/>
        </w:trPr>
        <w:tc>
          <w:tcPr>
            <w:tcW w:w="0" w:type="auto"/>
            <w:tcBorders>
              <w:top w:val="nil"/>
              <w:left w:val="single" w:sz="4" w:space="0" w:color="auto"/>
              <w:bottom w:val="nil"/>
            </w:tcBorders>
            <w:vAlign w:val="center"/>
          </w:tcPr>
          <w:p w14:paraId="13CD5DA3" w14:textId="77777777" w:rsidR="00A74F6E" w:rsidRPr="000F5FFC" w:rsidRDefault="00A74F6E" w:rsidP="0010233B">
            <w:pPr>
              <w:rPr>
                <w:rFonts w:ascii="Times New Roman" w:eastAsia="Times New Roman" w:hAnsi="Times New Roman" w:cs="Times New Roman"/>
                <w:i/>
              </w:rPr>
            </w:pPr>
            <w:proofErr w:type="spellStart"/>
            <w:r w:rsidRPr="000F5FFC">
              <w:rPr>
                <w:i/>
                <w:iCs/>
                <w:color w:val="000000"/>
              </w:rPr>
              <w:t>NOPAY</w:t>
            </w:r>
            <w:r w:rsidRPr="008C51ED">
              <w:rPr>
                <w:i/>
                <w:iCs/>
                <w:color w:val="000000"/>
                <w:vertAlign w:val="subscript"/>
              </w:rPr>
              <w:t>t</w:t>
            </w:r>
            <w:proofErr w:type="spellEnd"/>
          </w:p>
        </w:tc>
        <w:tc>
          <w:tcPr>
            <w:tcW w:w="0" w:type="auto"/>
            <w:tcBorders>
              <w:top w:val="nil"/>
              <w:bottom w:val="nil"/>
            </w:tcBorders>
            <w:vAlign w:val="bottom"/>
          </w:tcPr>
          <w:p w14:paraId="488DF9A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0.167</w:t>
            </w:r>
          </w:p>
        </w:tc>
        <w:tc>
          <w:tcPr>
            <w:tcW w:w="0" w:type="auto"/>
            <w:tcBorders>
              <w:top w:val="nil"/>
              <w:bottom w:val="nil"/>
            </w:tcBorders>
            <w:vAlign w:val="bottom"/>
          </w:tcPr>
          <w:p w14:paraId="09AF416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0.373</w:t>
            </w:r>
          </w:p>
        </w:tc>
        <w:tc>
          <w:tcPr>
            <w:tcW w:w="0" w:type="auto"/>
            <w:tcBorders>
              <w:top w:val="nil"/>
              <w:bottom w:val="nil"/>
            </w:tcBorders>
            <w:vAlign w:val="bottom"/>
          </w:tcPr>
          <w:p w14:paraId="236DD08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tcBorders>
              <w:top w:val="nil"/>
              <w:bottom w:val="nil"/>
            </w:tcBorders>
            <w:vAlign w:val="bottom"/>
          </w:tcPr>
          <w:p w14:paraId="46E6CF3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tcBorders>
            <w:vAlign w:val="bottom"/>
          </w:tcPr>
          <w:p w14:paraId="1FA980C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tcBorders>
            <w:vAlign w:val="bottom"/>
          </w:tcPr>
          <w:p w14:paraId="44BEF4F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6CC78B6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7F7725F2" w14:textId="77777777" w:rsidTr="00437A34">
        <w:trPr>
          <w:trHeight w:val="299"/>
          <w:jc w:val="center"/>
        </w:trPr>
        <w:tc>
          <w:tcPr>
            <w:tcW w:w="0" w:type="auto"/>
            <w:tcBorders>
              <w:top w:val="nil"/>
              <w:left w:val="single" w:sz="4" w:space="0" w:color="auto"/>
              <w:bottom w:val="nil"/>
            </w:tcBorders>
            <w:vAlign w:val="center"/>
          </w:tcPr>
          <w:p w14:paraId="3F4C47C1" w14:textId="77777777" w:rsidR="00A74F6E" w:rsidRPr="000F5FFC" w:rsidRDefault="00A74F6E" w:rsidP="0010233B">
            <w:pPr>
              <w:rPr>
                <w:rFonts w:ascii="Times New Roman" w:eastAsia="Times New Roman" w:hAnsi="Times New Roman" w:cs="Times New Roman"/>
                <w:i/>
              </w:rPr>
            </w:pPr>
            <w:r w:rsidRPr="000F5FFC">
              <w:rPr>
                <w:i/>
                <w:iCs/>
                <w:color w:val="000000"/>
              </w:rPr>
              <w:t>SP/</w:t>
            </w:r>
            <w:proofErr w:type="spellStart"/>
            <w:r w:rsidRPr="000F5FFC">
              <w:rPr>
                <w:i/>
                <w:iCs/>
                <w:color w:val="000000"/>
              </w:rPr>
              <w:t>NI</w:t>
            </w:r>
            <w:r w:rsidRPr="008C51ED">
              <w:rPr>
                <w:i/>
                <w:iCs/>
                <w:color w:val="000000"/>
                <w:vertAlign w:val="subscript"/>
              </w:rPr>
              <w:t>t</w:t>
            </w:r>
            <w:proofErr w:type="spellEnd"/>
          </w:p>
        </w:tc>
        <w:tc>
          <w:tcPr>
            <w:tcW w:w="0" w:type="auto"/>
            <w:tcBorders>
              <w:top w:val="nil"/>
              <w:bottom w:val="nil"/>
            </w:tcBorders>
            <w:vAlign w:val="bottom"/>
          </w:tcPr>
          <w:p w14:paraId="6C69893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0.104</w:t>
            </w:r>
          </w:p>
        </w:tc>
        <w:tc>
          <w:tcPr>
            <w:tcW w:w="0" w:type="auto"/>
            <w:tcBorders>
              <w:top w:val="nil"/>
              <w:bottom w:val="nil"/>
            </w:tcBorders>
            <w:vAlign w:val="bottom"/>
          </w:tcPr>
          <w:p w14:paraId="27C29FA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0.395</w:t>
            </w:r>
          </w:p>
        </w:tc>
        <w:tc>
          <w:tcPr>
            <w:tcW w:w="0" w:type="auto"/>
            <w:tcBorders>
              <w:top w:val="nil"/>
              <w:bottom w:val="nil"/>
            </w:tcBorders>
            <w:vAlign w:val="bottom"/>
          </w:tcPr>
          <w:p w14:paraId="7072E5C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5.190</w:t>
            </w:r>
          </w:p>
        </w:tc>
        <w:tc>
          <w:tcPr>
            <w:tcW w:w="0" w:type="auto"/>
            <w:tcBorders>
              <w:top w:val="nil"/>
              <w:bottom w:val="nil"/>
            </w:tcBorders>
            <w:vAlign w:val="bottom"/>
          </w:tcPr>
          <w:p w14:paraId="02E64B5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0.017</w:t>
            </w:r>
          </w:p>
        </w:tc>
        <w:tc>
          <w:tcPr>
            <w:tcW w:w="0" w:type="auto"/>
            <w:tcBorders>
              <w:top w:val="nil"/>
              <w:bottom w:val="nil"/>
            </w:tcBorders>
            <w:vAlign w:val="bottom"/>
          </w:tcPr>
          <w:p w14:paraId="57E594E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tcBorders>
            <w:vAlign w:val="bottom"/>
          </w:tcPr>
          <w:p w14:paraId="1D8F7B7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2480E252"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59CE1E1F" w14:textId="77777777" w:rsidTr="00437A34">
        <w:trPr>
          <w:trHeight w:val="299"/>
          <w:jc w:val="center"/>
        </w:trPr>
        <w:tc>
          <w:tcPr>
            <w:tcW w:w="0" w:type="auto"/>
            <w:tcBorders>
              <w:top w:val="nil"/>
              <w:left w:val="single" w:sz="4" w:space="0" w:color="auto"/>
              <w:bottom w:val="nil"/>
            </w:tcBorders>
            <w:vAlign w:val="center"/>
          </w:tcPr>
          <w:p w14:paraId="18F7C408" w14:textId="77777777" w:rsidR="00A74F6E" w:rsidRPr="000F5FFC" w:rsidRDefault="00A74F6E" w:rsidP="0010233B">
            <w:pPr>
              <w:rPr>
                <w:rFonts w:ascii="Times New Roman" w:eastAsia="Times New Roman" w:hAnsi="Times New Roman" w:cs="Times New Roman"/>
                <w:i/>
              </w:rPr>
            </w:pPr>
            <w:r w:rsidRPr="000F5FFC">
              <w:rPr>
                <w:i/>
                <w:iCs/>
                <w:color w:val="000000"/>
              </w:rPr>
              <w:t>CC/</w:t>
            </w:r>
            <w:proofErr w:type="spellStart"/>
            <w:r w:rsidRPr="000F5FFC">
              <w:rPr>
                <w:i/>
                <w:iCs/>
                <w:color w:val="000000"/>
              </w:rPr>
              <w:t>NI</w:t>
            </w:r>
            <w:r w:rsidRPr="008C51ED">
              <w:rPr>
                <w:i/>
                <w:iCs/>
                <w:color w:val="000000"/>
                <w:vertAlign w:val="subscript"/>
              </w:rPr>
              <w:t>t</w:t>
            </w:r>
            <w:proofErr w:type="spellEnd"/>
          </w:p>
        </w:tc>
        <w:tc>
          <w:tcPr>
            <w:tcW w:w="0" w:type="auto"/>
            <w:tcBorders>
              <w:top w:val="nil"/>
              <w:bottom w:val="nil"/>
            </w:tcBorders>
            <w:vAlign w:val="bottom"/>
          </w:tcPr>
          <w:p w14:paraId="742817F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0.221</w:t>
            </w:r>
          </w:p>
        </w:tc>
        <w:tc>
          <w:tcPr>
            <w:tcW w:w="0" w:type="auto"/>
            <w:tcBorders>
              <w:top w:val="nil"/>
              <w:bottom w:val="nil"/>
            </w:tcBorders>
            <w:vAlign w:val="bottom"/>
          </w:tcPr>
          <w:p w14:paraId="412CF76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2.151</w:t>
            </w:r>
          </w:p>
        </w:tc>
        <w:tc>
          <w:tcPr>
            <w:tcW w:w="0" w:type="auto"/>
            <w:tcBorders>
              <w:top w:val="nil"/>
              <w:bottom w:val="nil"/>
            </w:tcBorders>
            <w:vAlign w:val="bottom"/>
          </w:tcPr>
          <w:p w14:paraId="751C617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34.611</w:t>
            </w:r>
          </w:p>
        </w:tc>
        <w:tc>
          <w:tcPr>
            <w:tcW w:w="0" w:type="auto"/>
            <w:tcBorders>
              <w:top w:val="nil"/>
              <w:bottom w:val="nil"/>
            </w:tcBorders>
            <w:vAlign w:val="bottom"/>
          </w:tcPr>
          <w:p w14:paraId="5CD408C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0.045</w:t>
            </w:r>
          </w:p>
        </w:tc>
        <w:tc>
          <w:tcPr>
            <w:tcW w:w="0" w:type="auto"/>
            <w:tcBorders>
              <w:top w:val="nil"/>
              <w:bottom w:val="nil"/>
            </w:tcBorders>
            <w:vAlign w:val="bottom"/>
          </w:tcPr>
          <w:p w14:paraId="4D612ED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0.007</w:t>
            </w:r>
          </w:p>
        </w:tc>
        <w:tc>
          <w:tcPr>
            <w:tcW w:w="0" w:type="auto"/>
            <w:tcBorders>
              <w:top w:val="nil"/>
              <w:bottom w:val="nil"/>
            </w:tcBorders>
            <w:vAlign w:val="bottom"/>
          </w:tcPr>
          <w:p w14:paraId="244E5CE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6D4DB96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-18.639</w:t>
            </w:r>
          </w:p>
        </w:tc>
      </w:tr>
      <w:tr w:rsidR="00A74F6E" w14:paraId="3CAD64F4" w14:textId="77777777" w:rsidTr="00437A34">
        <w:trPr>
          <w:trHeight w:val="299"/>
          <w:jc w:val="center"/>
        </w:trPr>
        <w:tc>
          <w:tcPr>
            <w:tcW w:w="0" w:type="auto"/>
            <w:tcBorders>
              <w:top w:val="nil"/>
              <w:left w:val="single" w:sz="4" w:space="0" w:color="auto"/>
              <w:bottom w:val="nil"/>
            </w:tcBorders>
            <w:vAlign w:val="center"/>
          </w:tcPr>
          <w:p w14:paraId="53668193" w14:textId="77777777" w:rsidR="00A74F6E" w:rsidRPr="000F5FFC" w:rsidRDefault="00A74F6E" w:rsidP="0010233B">
            <w:pPr>
              <w:rPr>
                <w:rFonts w:ascii="Times New Roman" w:eastAsia="Times New Roman" w:hAnsi="Times New Roman" w:cs="Times New Roman"/>
                <w:i/>
              </w:rPr>
            </w:pPr>
            <w:r w:rsidRPr="000F5FFC">
              <w:rPr>
                <w:i/>
                <w:iCs/>
                <w:color w:val="000000"/>
              </w:rPr>
              <w:t>DIV/</w:t>
            </w:r>
            <w:proofErr w:type="spellStart"/>
            <w:r w:rsidRPr="000F5FFC">
              <w:rPr>
                <w:i/>
                <w:iCs/>
                <w:color w:val="000000"/>
              </w:rPr>
              <w:t>NI</w:t>
            </w:r>
            <w:r w:rsidRPr="008C51ED">
              <w:rPr>
                <w:i/>
                <w:iCs/>
                <w:color w:val="000000"/>
                <w:vertAlign w:val="subscript"/>
              </w:rPr>
              <w:t>t</w:t>
            </w:r>
            <w:proofErr w:type="spellEnd"/>
          </w:p>
        </w:tc>
        <w:tc>
          <w:tcPr>
            <w:tcW w:w="0" w:type="auto"/>
            <w:tcBorders>
              <w:top w:val="nil"/>
              <w:bottom w:val="nil"/>
            </w:tcBorders>
            <w:vAlign w:val="bottom"/>
          </w:tcPr>
          <w:p w14:paraId="1E85B6F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0.454</w:t>
            </w:r>
          </w:p>
        </w:tc>
        <w:tc>
          <w:tcPr>
            <w:tcW w:w="0" w:type="auto"/>
            <w:tcBorders>
              <w:top w:val="nil"/>
              <w:bottom w:val="nil"/>
            </w:tcBorders>
            <w:vAlign w:val="bottom"/>
          </w:tcPr>
          <w:p w14:paraId="0AC94EB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1.418</w:t>
            </w:r>
          </w:p>
        </w:tc>
        <w:tc>
          <w:tcPr>
            <w:tcW w:w="0" w:type="auto"/>
            <w:tcBorders>
              <w:top w:val="nil"/>
              <w:bottom w:val="nil"/>
            </w:tcBorders>
            <w:vAlign w:val="bottom"/>
          </w:tcPr>
          <w:p w14:paraId="67DE922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39.295</w:t>
            </w:r>
          </w:p>
        </w:tc>
        <w:tc>
          <w:tcPr>
            <w:tcW w:w="0" w:type="auto"/>
            <w:tcBorders>
              <w:top w:val="nil"/>
              <w:bottom w:val="nil"/>
            </w:tcBorders>
            <w:vAlign w:val="bottom"/>
          </w:tcPr>
          <w:p w14:paraId="6099FF2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0.566</w:t>
            </w:r>
          </w:p>
        </w:tc>
        <w:tc>
          <w:tcPr>
            <w:tcW w:w="0" w:type="auto"/>
            <w:tcBorders>
              <w:top w:val="nil"/>
              <w:bottom w:val="nil"/>
            </w:tcBorders>
            <w:vAlign w:val="bottom"/>
          </w:tcPr>
          <w:p w14:paraId="0EDDF68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0.330</w:t>
            </w:r>
          </w:p>
        </w:tc>
        <w:tc>
          <w:tcPr>
            <w:tcW w:w="0" w:type="auto"/>
            <w:tcBorders>
              <w:top w:val="nil"/>
              <w:bottom w:val="nil"/>
            </w:tcBorders>
            <w:vAlign w:val="bottom"/>
          </w:tcPr>
          <w:p w14:paraId="7447427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top w:val="nil"/>
              <w:bottom w:val="nil"/>
              <w:right w:val="single" w:sz="4" w:space="0" w:color="auto"/>
            </w:tcBorders>
            <w:vAlign w:val="bottom"/>
          </w:tcPr>
          <w:p w14:paraId="6CCE2D5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-6.000</w:t>
            </w:r>
          </w:p>
        </w:tc>
      </w:tr>
      <w:tr w:rsidR="00A74F6E" w14:paraId="528E26BA" w14:textId="77777777" w:rsidTr="00437A34">
        <w:trPr>
          <w:trHeight w:val="299"/>
          <w:jc w:val="center"/>
        </w:trPr>
        <w:tc>
          <w:tcPr>
            <w:tcW w:w="0" w:type="auto"/>
            <w:tcBorders>
              <w:top w:val="nil"/>
              <w:left w:val="single" w:sz="4" w:space="0" w:color="auto"/>
              <w:bottom w:val="nil"/>
            </w:tcBorders>
            <w:vAlign w:val="center"/>
          </w:tcPr>
          <w:p w14:paraId="6306A71A"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LEVIND</w:t>
            </w:r>
            <w:r w:rsidRPr="008C51ED">
              <w:rPr>
                <w:i/>
                <w:iCs/>
                <w:color w:val="000000"/>
                <w:vertAlign w:val="subscript"/>
              </w:rPr>
              <w:t>t</w:t>
            </w:r>
            <w:r>
              <w:rPr>
                <w:i/>
                <w:iCs/>
                <w:color w:val="000000"/>
                <w:vertAlign w:val="subscript"/>
              </w:rPr>
              <w:t>-1</w:t>
            </w:r>
          </w:p>
        </w:tc>
        <w:tc>
          <w:tcPr>
            <w:tcW w:w="0" w:type="auto"/>
            <w:tcBorders>
              <w:top w:val="nil"/>
              <w:bottom w:val="nil"/>
            </w:tcBorders>
            <w:vAlign w:val="bottom"/>
          </w:tcPr>
          <w:p w14:paraId="11456EB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0.007</w:t>
            </w:r>
          </w:p>
        </w:tc>
        <w:tc>
          <w:tcPr>
            <w:tcW w:w="0" w:type="auto"/>
            <w:tcBorders>
              <w:top w:val="nil"/>
              <w:bottom w:val="nil"/>
            </w:tcBorders>
            <w:vAlign w:val="bottom"/>
          </w:tcPr>
          <w:p w14:paraId="2FB4DC9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1.781</w:t>
            </w:r>
          </w:p>
        </w:tc>
        <w:tc>
          <w:tcPr>
            <w:tcW w:w="0" w:type="auto"/>
            <w:tcBorders>
              <w:top w:val="nil"/>
              <w:bottom w:val="nil"/>
            </w:tcBorders>
            <w:vAlign w:val="bottom"/>
          </w:tcPr>
          <w:p w14:paraId="487E4CB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20.701</w:t>
            </w:r>
          </w:p>
        </w:tc>
        <w:tc>
          <w:tcPr>
            <w:tcW w:w="0" w:type="auto"/>
            <w:tcBorders>
              <w:top w:val="nil"/>
              <w:bottom w:val="nil"/>
            </w:tcBorders>
            <w:vAlign w:val="bottom"/>
          </w:tcPr>
          <w:p w14:paraId="3052D2F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0.260</w:t>
            </w:r>
          </w:p>
        </w:tc>
        <w:tc>
          <w:tcPr>
            <w:tcW w:w="0" w:type="auto"/>
            <w:tcBorders>
              <w:top w:val="nil"/>
              <w:bottom w:val="nil"/>
            </w:tcBorders>
            <w:vAlign w:val="bottom"/>
          </w:tcPr>
          <w:p w14:paraId="7475161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-0.122</w:t>
            </w:r>
          </w:p>
        </w:tc>
        <w:tc>
          <w:tcPr>
            <w:tcW w:w="0" w:type="auto"/>
            <w:tcBorders>
              <w:top w:val="nil"/>
              <w:bottom w:val="nil"/>
            </w:tcBorders>
            <w:vAlign w:val="bottom"/>
          </w:tcPr>
          <w:p w14:paraId="4ADC621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-0.437</w:t>
            </w:r>
          </w:p>
        </w:tc>
        <w:tc>
          <w:tcPr>
            <w:tcW w:w="0" w:type="auto"/>
            <w:tcBorders>
              <w:top w:val="nil"/>
              <w:bottom w:val="nil"/>
              <w:right w:val="single" w:sz="4" w:space="0" w:color="auto"/>
            </w:tcBorders>
            <w:vAlign w:val="bottom"/>
          </w:tcPr>
          <w:p w14:paraId="03AB029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-21.245</w:t>
            </w:r>
          </w:p>
        </w:tc>
      </w:tr>
      <w:tr w:rsidR="00A74F6E" w14:paraId="48BA572C" w14:textId="77777777" w:rsidTr="00437A34">
        <w:trPr>
          <w:trHeight w:val="283"/>
          <w:jc w:val="center"/>
        </w:trPr>
        <w:tc>
          <w:tcPr>
            <w:tcW w:w="0" w:type="auto"/>
            <w:tcBorders>
              <w:top w:val="nil"/>
              <w:left w:val="single" w:sz="4" w:space="0" w:color="auto"/>
              <w:bottom w:val="nil"/>
            </w:tcBorders>
            <w:vAlign w:val="center"/>
          </w:tcPr>
          <w:p w14:paraId="3270944C"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XSCASH</w:t>
            </w:r>
            <w:r w:rsidRPr="008C51ED">
              <w:rPr>
                <w:i/>
                <w:iCs/>
                <w:color w:val="000000"/>
                <w:vertAlign w:val="subscript"/>
              </w:rPr>
              <w:t>t</w:t>
            </w:r>
            <w:r>
              <w:rPr>
                <w:i/>
                <w:iCs/>
                <w:color w:val="000000"/>
                <w:vertAlign w:val="subscript"/>
              </w:rPr>
              <w:t>-1</w:t>
            </w:r>
          </w:p>
        </w:tc>
        <w:tc>
          <w:tcPr>
            <w:tcW w:w="0" w:type="auto"/>
            <w:tcBorders>
              <w:top w:val="nil"/>
              <w:bottom w:val="nil"/>
            </w:tcBorders>
            <w:vAlign w:val="bottom"/>
          </w:tcPr>
          <w:p w14:paraId="23F6029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-0.005</w:t>
            </w:r>
          </w:p>
        </w:tc>
        <w:tc>
          <w:tcPr>
            <w:tcW w:w="0" w:type="auto"/>
            <w:tcBorders>
              <w:top w:val="nil"/>
              <w:bottom w:val="nil"/>
            </w:tcBorders>
            <w:vAlign w:val="bottom"/>
          </w:tcPr>
          <w:p w14:paraId="2FCD888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0.181</w:t>
            </w:r>
          </w:p>
        </w:tc>
        <w:tc>
          <w:tcPr>
            <w:tcW w:w="0" w:type="auto"/>
            <w:tcBorders>
              <w:top w:val="nil"/>
              <w:bottom w:val="nil"/>
            </w:tcBorders>
            <w:vAlign w:val="bottom"/>
          </w:tcPr>
          <w:p w14:paraId="7AFACB8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3.311</w:t>
            </w:r>
          </w:p>
        </w:tc>
        <w:tc>
          <w:tcPr>
            <w:tcW w:w="0" w:type="auto"/>
            <w:tcBorders>
              <w:top w:val="nil"/>
              <w:bottom w:val="nil"/>
            </w:tcBorders>
            <w:vAlign w:val="bottom"/>
          </w:tcPr>
          <w:p w14:paraId="025ECDE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0.036</w:t>
            </w:r>
          </w:p>
        </w:tc>
        <w:tc>
          <w:tcPr>
            <w:tcW w:w="0" w:type="auto"/>
            <w:tcBorders>
              <w:top w:val="nil"/>
              <w:bottom w:val="nil"/>
            </w:tcBorders>
            <w:vAlign w:val="bottom"/>
          </w:tcPr>
          <w:p w14:paraId="0A0D613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-0.049</w:t>
            </w:r>
          </w:p>
        </w:tc>
        <w:tc>
          <w:tcPr>
            <w:tcW w:w="0" w:type="auto"/>
            <w:tcBorders>
              <w:top w:val="nil"/>
              <w:bottom w:val="nil"/>
            </w:tcBorders>
            <w:vAlign w:val="bottom"/>
          </w:tcPr>
          <w:p w14:paraId="3E568BF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-0.097</w:t>
            </w:r>
          </w:p>
        </w:tc>
        <w:tc>
          <w:tcPr>
            <w:tcW w:w="0" w:type="auto"/>
            <w:tcBorders>
              <w:top w:val="nil"/>
              <w:bottom w:val="nil"/>
              <w:right w:val="single" w:sz="4" w:space="0" w:color="auto"/>
            </w:tcBorders>
            <w:vAlign w:val="bottom"/>
          </w:tcPr>
          <w:p w14:paraId="19435FA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-0.323</w:t>
            </w:r>
          </w:p>
        </w:tc>
      </w:tr>
      <w:tr w:rsidR="00A74F6E" w14:paraId="21F09530" w14:textId="77777777" w:rsidTr="00437A34">
        <w:trPr>
          <w:trHeight w:val="299"/>
          <w:jc w:val="center"/>
        </w:trPr>
        <w:tc>
          <w:tcPr>
            <w:tcW w:w="0" w:type="auto"/>
            <w:tcBorders>
              <w:left w:val="single" w:sz="4" w:space="0" w:color="auto"/>
            </w:tcBorders>
            <w:vAlign w:val="center"/>
          </w:tcPr>
          <w:p w14:paraId="2FAF1F55"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CFO/TA</w:t>
            </w:r>
            <w:r w:rsidRPr="008C51ED">
              <w:rPr>
                <w:i/>
                <w:iCs/>
                <w:color w:val="000000"/>
                <w:vertAlign w:val="subscript"/>
              </w:rPr>
              <w:t>t</w:t>
            </w:r>
            <w:r>
              <w:rPr>
                <w:i/>
                <w:iCs/>
                <w:color w:val="000000"/>
                <w:vertAlign w:val="subscript"/>
              </w:rPr>
              <w:t>-1</w:t>
            </w:r>
          </w:p>
        </w:tc>
        <w:tc>
          <w:tcPr>
            <w:tcW w:w="0" w:type="auto"/>
            <w:vAlign w:val="bottom"/>
          </w:tcPr>
          <w:p w14:paraId="6C51CC6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0.086</w:t>
            </w:r>
          </w:p>
        </w:tc>
        <w:tc>
          <w:tcPr>
            <w:tcW w:w="0" w:type="auto"/>
            <w:vAlign w:val="bottom"/>
          </w:tcPr>
          <w:p w14:paraId="191A908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0.100</w:t>
            </w:r>
          </w:p>
        </w:tc>
        <w:tc>
          <w:tcPr>
            <w:tcW w:w="0" w:type="auto"/>
            <w:vAlign w:val="bottom"/>
          </w:tcPr>
          <w:p w14:paraId="2B27B5C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0.391</w:t>
            </w:r>
          </w:p>
        </w:tc>
        <w:tc>
          <w:tcPr>
            <w:tcW w:w="0" w:type="auto"/>
            <w:vAlign w:val="bottom"/>
          </w:tcPr>
          <w:p w14:paraId="2D76781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0.133</w:t>
            </w:r>
          </w:p>
        </w:tc>
        <w:tc>
          <w:tcPr>
            <w:tcW w:w="0" w:type="auto"/>
            <w:vAlign w:val="bottom"/>
          </w:tcPr>
          <w:p w14:paraId="34EA563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0.086</w:t>
            </w:r>
          </w:p>
        </w:tc>
        <w:tc>
          <w:tcPr>
            <w:tcW w:w="0" w:type="auto"/>
            <w:vAlign w:val="bottom"/>
          </w:tcPr>
          <w:p w14:paraId="1CFB1F0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0.047</w:t>
            </w:r>
          </w:p>
        </w:tc>
        <w:tc>
          <w:tcPr>
            <w:tcW w:w="0" w:type="auto"/>
            <w:tcBorders>
              <w:right w:val="single" w:sz="4" w:space="0" w:color="auto"/>
            </w:tcBorders>
            <w:vAlign w:val="bottom"/>
          </w:tcPr>
          <w:p w14:paraId="68E12FB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-0.612</w:t>
            </w:r>
          </w:p>
        </w:tc>
      </w:tr>
      <w:tr w:rsidR="00A74F6E" w14:paraId="768BD191" w14:textId="77777777" w:rsidTr="00437A34">
        <w:trPr>
          <w:trHeight w:val="299"/>
          <w:jc w:val="center"/>
        </w:trPr>
        <w:tc>
          <w:tcPr>
            <w:tcW w:w="0" w:type="auto"/>
            <w:tcBorders>
              <w:left w:val="single" w:sz="4" w:space="0" w:color="auto"/>
            </w:tcBorders>
            <w:vAlign w:val="center"/>
          </w:tcPr>
          <w:p w14:paraId="25982922"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MTBIND</w:t>
            </w:r>
            <w:r w:rsidRPr="008C51ED">
              <w:rPr>
                <w:i/>
                <w:iCs/>
                <w:color w:val="000000"/>
                <w:vertAlign w:val="subscript"/>
              </w:rPr>
              <w:t>t-1</w:t>
            </w:r>
          </w:p>
        </w:tc>
        <w:tc>
          <w:tcPr>
            <w:tcW w:w="0" w:type="auto"/>
            <w:vAlign w:val="bottom"/>
          </w:tcPr>
          <w:p w14:paraId="596EB6E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0.021</w:t>
            </w:r>
          </w:p>
        </w:tc>
        <w:tc>
          <w:tcPr>
            <w:tcW w:w="0" w:type="auto"/>
            <w:vAlign w:val="bottom"/>
          </w:tcPr>
          <w:p w14:paraId="076B5C3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1.088</w:t>
            </w:r>
          </w:p>
        </w:tc>
        <w:tc>
          <w:tcPr>
            <w:tcW w:w="0" w:type="auto"/>
            <w:vAlign w:val="bottom"/>
          </w:tcPr>
          <w:p w14:paraId="3CBD687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15.189</w:t>
            </w:r>
          </w:p>
        </w:tc>
        <w:tc>
          <w:tcPr>
            <w:tcW w:w="0" w:type="auto"/>
            <w:vAlign w:val="bottom"/>
          </w:tcPr>
          <w:p w14:paraId="495DB02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0.245</w:t>
            </w:r>
          </w:p>
        </w:tc>
        <w:tc>
          <w:tcPr>
            <w:tcW w:w="0" w:type="auto"/>
            <w:vAlign w:val="bottom"/>
          </w:tcPr>
          <w:p w14:paraId="2A3C1CA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-0.147</w:t>
            </w:r>
          </w:p>
        </w:tc>
        <w:tc>
          <w:tcPr>
            <w:tcW w:w="0" w:type="auto"/>
            <w:vAlign w:val="bottom"/>
          </w:tcPr>
          <w:p w14:paraId="5F2484B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-0.494</w:t>
            </w:r>
          </w:p>
        </w:tc>
        <w:tc>
          <w:tcPr>
            <w:tcW w:w="0" w:type="auto"/>
            <w:tcBorders>
              <w:right w:val="single" w:sz="4" w:space="0" w:color="auto"/>
            </w:tcBorders>
            <w:vAlign w:val="bottom"/>
          </w:tcPr>
          <w:p w14:paraId="1703597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-5.802</w:t>
            </w:r>
          </w:p>
        </w:tc>
      </w:tr>
      <w:tr w:rsidR="00A74F6E" w14:paraId="01944911" w14:textId="77777777" w:rsidTr="00437A34">
        <w:trPr>
          <w:trHeight w:val="299"/>
          <w:jc w:val="center"/>
        </w:trPr>
        <w:tc>
          <w:tcPr>
            <w:tcW w:w="0" w:type="auto"/>
            <w:tcBorders>
              <w:left w:val="single" w:sz="4" w:space="0" w:color="auto"/>
            </w:tcBorders>
            <w:vAlign w:val="center"/>
          </w:tcPr>
          <w:p w14:paraId="6CF38F60" w14:textId="77777777" w:rsidR="00A74F6E" w:rsidRPr="000F5FFC" w:rsidRDefault="00A74F6E" w:rsidP="0010233B">
            <w:pPr>
              <w:rPr>
                <w:rFonts w:ascii="Times New Roman" w:eastAsia="Times New Roman" w:hAnsi="Times New Roman" w:cs="Times New Roman"/>
                <w:i/>
              </w:rPr>
            </w:pPr>
            <w:r w:rsidRPr="000F5FFC">
              <w:rPr>
                <w:i/>
                <w:iCs/>
                <w:color w:val="000000"/>
              </w:rPr>
              <w:t>ABRET</w:t>
            </w:r>
            <w:r w:rsidRPr="008C51ED">
              <w:rPr>
                <w:i/>
                <w:iCs/>
                <w:color w:val="000000"/>
                <w:vertAlign w:val="subscript"/>
              </w:rPr>
              <w:t>t-1</w:t>
            </w:r>
          </w:p>
        </w:tc>
        <w:tc>
          <w:tcPr>
            <w:tcW w:w="0" w:type="auto"/>
            <w:vAlign w:val="bottom"/>
          </w:tcPr>
          <w:p w14:paraId="56D03EB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0.111</w:t>
            </w:r>
          </w:p>
        </w:tc>
        <w:tc>
          <w:tcPr>
            <w:tcW w:w="0" w:type="auto"/>
            <w:vAlign w:val="bottom"/>
          </w:tcPr>
          <w:p w14:paraId="0E02375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0.487</w:t>
            </w:r>
          </w:p>
        </w:tc>
        <w:tc>
          <w:tcPr>
            <w:tcW w:w="0" w:type="auto"/>
            <w:vAlign w:val="bottom"/>
          </w:tcPr>
          <w:p w14:paraId="0612B89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3.742</w:t>
            </w:r>
          </w:p>
        </w:tc>
        <w:tc>
          <w:tcPr>
            <w:tcW w:w="0" w:type="auto"/>
            <w:vAlign w:val="bottom"/>
          </w:tcPr>
          <w:p w14:paraId="173F349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0.290</w:t>
            </w:r>
          </w:p>
        </w:tc>
        <w:tc>
          <w:tcPr>
            <w:tcW w:w="0" w:type="auto"/>
            <w:vAlign w:val="bottom"/>
          </w:tcPr>
          <w:p w14:paraId="6ED2761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0.050</w:t>
            </w:r>
          </w:p>
        </w:tc>
        <w:tc>
          <w:tcPr>
            <w:tcW w:w="0" w:type="auto"/>
            <w:vAlign w:val="bottom"/>
          </w:tcPr>
          <w:p w14:paraId="1B09A21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-0.164</w:t>
            </w:r>
          </w:p>
        </w:tc>
        <w:tc>
          <w:tcPr>
            <w:tcW w:w="0" w:type="auto"/>
            <w:tcBorders>
              <w:right w:val="single" w:sz="4" w:space="0" w:color="auto"/>
            </w:tcBorders>
            <w:vAlign w:val="bottom"/>
          </w:tcPr>
          <w:p w14:paraId="5B9BC2F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-0.995</w:t>
            </w:r>
          </w:p>
        </w:tc>
      </w:tr>
      <w:tr w:rsidR="00A74F6E" w14:paraId="47347060" w14:textId="77777777" w:rsidTr="00437A34">
        <w:trPr>
          <w:trHeight w:val="299"/>
          <w:jc w:val="center"/>
        </w:trPr>
        <w:tc>
          <w:tcPr>
            <w:tcW w:w="0" w:type="auto"/>
            <w:tcBorders>
              <w:left w:val="single" w:sz="4" w:space="0" w:color="auto"/>
            </w:tcBorders>
            <w:vAlign w:val="center"/>
          </w:tcPr>
          <w:p w14:paraId="30C3CCE5" w14:textId="77777777" w:rsidR="00A74F6E" w:rsidRPr="000F5FFC" w:rsidRDefault="00A74F6E" w:rsidP="0010233B">
            <w:pPr>
              <w:rPr>
                <w:rFonts w:ascii="Times New Roman" w:eastAsia="Times New Roman" w:hAnsi="Times New Roman" w:cs="Times New Roman"/>
                <w:i/>
                <w:vertAlign w:val="subscript"/>
              </w:rPr>
            </w:pPr>
            <w:proofErr w:type="spellStart"/>
            <w:r w:rsidRPr="000F5FFC">
              <w:rPr>
                <w:i/>
                <w:iCs/>
                <w:color w:val="000000"/>
              </w:rPr>
              <w:t>ROA</w:t>
            </w:r>
            <w:r w:rsidRPr="008C51ED">
              <w:rPr>
                <w:i/>
                <w:iCs/>
                <w:color w:val="000000"/>
                <w:vertAlign w:val="subscript"/>
              </w:rPr>
              <w:t>t</w:t>
            </w:r>
            <w:proofErr w:type="spellEnd"/>
          </w:p>
        </w:tc>
        <w:tc>
          <w:tcPr>
            <w:tcW w:w="0" w:type="auto"/>
            <w:vAlign w:val="bottom"/>
          </w:tcPr>
          <w:p w14:paraId="62983E1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0.030</w:t>
            </w:r>
          </w:p>
        </w:tc>
        <w:tc>
          <w:tcPr>
            <w:tcW w:w="0" w:type="auto"/>
            <w:vAlign w:val="bottom"/>
          </w:tcPr>
          <w:p w14:paraId="0593CA7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0.142</w:t>
            </w:r>
          </w:p>
        </w:tc>
        <w:tc>
          <w:tcPr>
            <w:tcW w:w="0" w:type="auto"/>
            <w:vAlign w:val="bottom"/>
          </w:tcPr>
          <w:p w14:paraId="11CB3D5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0.356</w:t>
            </w:r>
          </w:p>
        </w:tc>
        <w:tc>
          <w:tcPr>
            <w:tcW w:w="0" w:type="auto"/>
            <w:vAlign w:val="bottom"/>
          </w:tcPr>
          <w:p w14:paraId="3CFD84C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0.084</w:t>
            </w:r>
          </w:p>
        </w:tc>
        <w:tc>
          <w:tcPr>
            <w:tcW w:w="0" w:type="auto"/>
            <w:vAlign w:val="bottom"/>
          </w:tcPr>
          <w:p w14:paraId="64DBB36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0.048</w:t>
            </w:r>
          </w:p>
        </w:tc>
        <w:tc>
          <w:tcPr>
            <w:tcW w:w="0" w:type="auto"/>
            <w:vAlign w:val="bottom"/>
          </w:tcPr>
          <w:p w14:paraId="5B7DC8C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0.015</w:t>
            </w:r>
          </w:p>
        </w:tc>
        <w:tc>
          <w:tcPr>
            <w:tcW w:w="0" w:type="auto"/>
            <w:tcBorders>
              <w:right w:val="single" w:sz="4" w:space="0" w:color="auto"/>
            </w:tcBorders>
            <w:vAlign w:val="bottom"/>
          </w:tcPr>
          <w:p w14:paraId="038CAF7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-2.041</w:t>
            </w:r>
          </w:p>
        </w:tc>
      </w:tr>
      <w:tr w:rsidR="00A74F6E" w14:paraId="70BEE557" w14:textId="77777777" w:rsidTr="00437A34">
        <w:trPr>
          <w:trHeight w:val="299"/>
          <w:jc w:val="center"/>
        </w:trPr>
        <w:tc>
          <w:tcPr>
            <w:tcW w:w="0" w:type="auto"/>
            <w:tcBorders>
              <w:left w:val="single" w:sz="4" w:space="0" w:color="auto"/>
            </w:tcBorders>
            <w:vAlign w:val="center"/>
          </w:tcPr>
          <w:p w14:paraId="41C7EE4A" w14:textId="77777777" w:rsidR="00A74F6E" w:rsidRPr="000F5FFC" w:rsidRDefault="00A74F6E" w:rsidP="0010233B">
            <w:pPr>
              <w:rPr>
                <w:rFonts w:ascii="Times New Roman" w:eastAsia="Times New Roman" w:hAnsi="Times New Roman" w:cs="Times New Roman"/>
                <w:i/>
                <w:vertAlign w:val="subscript"/>
              </w:rPr>
            </w:pPr>
            <w:r w:rsidRPr="000F5FFC">
              <w:rPr>
                <w:i/>
                <w:iCs/>
                <w:color w:val="000000"/>
              </w:rPr>
              <w:t>SP/NI</w:t>
            </w:r>
            <w:r w:rsidRPr="008C51ED">
              <w:rPr>
                <w:i/>
                <w:iCs/>
                <w:color w:val="000000"/>
                <w:vertAlign w:val="subscript"/>
              </w:rPr>
              <w:t>t-1</w:t>
            </w:r>
          </w:p>
        </w:tc>
        <w:tc>
          <w:tcPr>
            <w:tcW w:w="0" w:type="auto"/>
            <w:vAlign w:val="bottom"/>
          </w:tcPr>
          <w:p w14:paraId="2E0D577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0.099</w:t>
            </w:r>
          </w:p>
        </w:tc>
        <w:tc>
          <w:tcPr>
            <w:tcW w:w="0" w:type="auto"/>
            <w:vAlign w:val="bottom"/>
          </w:tcPr>
          <w:p w14:paraId="50E0334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0.379</w:t>
            </w:r>
          </w:p>
        </w:tc>
        <w:tc>
          <w:tcPr>
            <w:tcW w:w="0" w:type="auto"/>
            <w:vAlign w:val="bottom"/>
          </w:tcPr>
          <w:p w14:paraId="441B676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5.190</w:t>
            </w:r>
          </w:p>
        </w:tc>
        <w:tc>
          <w:tcPr>
            <w:tcW w:w="0" w:type="auto"/>
            <w:vAlign w:val="bottom"/>
          </w:tcPr>
          <w:p w14:paraId="6A5BDBD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0.011</w:t>
            </w:r>
          </w:p>
        </w:tc>
        <w:tc>
          <w:tcPr>
            <w:tcW w:w="0" w:type="auto"/>
            <w:vAlign w:val="bottom"/>
          </w:tcPr>
          <w:p w14:paraId="610DFB7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vAlign w:val="bottom"/>
          </w:tcPr>
          <w:p w14:paraId="7074995C"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right w:val="single" w:sz="4" w:space="0" w:color="auto"/>
            </w:tcBorders>
            <w:vAlign w:val="bottom"/>
          </w:tcPr>
          <w:p w14:paraId="442C40C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29E2F7F5" w14:textId="77777777" w:rsidTr="00437A34">
        <w:trPr>
          <w:trHeight w:val="299"/>
          <w:jc w:val="center"/>
        </w:trPr>
        <w:tc>
          <w:tcPr>
            <w:tcW w:w="0" w:type="auto"/>
            <w:tcBorders>
              <w:left w:val="single" w:sz="4" w:space="0" w:color="auto"/>
            </w:tcBorders>
            <w:vAlign w:val="center"/>
          </w:tcPr>
          <w:p w14:paraId="667137E2"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CC/NI</w:t>
            </w:r>
            <w:r w:rsidRPr="008C51ED">
              <w:rPr>
                <w:i/>
                <w:iCs/>
                <w:color w:val="000000"/>
                <w:vertAlign w:val="subscript"/>
              </w:rPr>
              <w:t>t-1</w:t>
            </w:r>
          </w:p>
        </w:tc>
        <w:tc>
          <w:tcPr>
            <w:tcW w:w="0" w:type="auto"/>
            <w:vAlign w:val="bottom"/>
          </w:tcPr>
          <w:p w14:paraId="2079CDE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0.228</w:t>
            </w:r>
          </w:p>
        </w:tc>
        <w:tc>
          <w:tcPr>
            <w:tcW w:w="0" w:type="auto"/>
            <w:vAlign w:val="bottom"/>
          </w:tcPr>
          <w:p w14:paraId="7BDD6AA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2.222</w:t>
            </w:r>
          </w:p>
        </w:tc>
        <w:tc>
          <w:tcPr>
            <w:tcW w:w="0" w:type="auto"/>
            <w:vAlign w:val="bottom"/>
          </w:tcPr>
          <w:p w14:paraId="7851E1B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34.611</w:t>
            </w:r>
          </w:p>
        </w:tc>
        <w:tc>
          <w:tcPr>
            <w:tcW w:w="0" w:type="auto"/>
            <w:vAlign w:val="bottom"/>
          </w:tcPr>
          <w:p w14:paraId="784DCB6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0.047</w:t>
            </w:r>
          </w:p>
        </w:tc>
        <w:tc>
          <w:tcPr>
            <w:tcW w:w="0" w:type="auto"/>
            <w:vAlign w:val="bottom"/>
          </w:tcPr>
          <w:p w14:paraId="5B80193C"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0.007</w:t>
            </w:r>
          </w:p>
        </w:tc>
        <w:tc>
          <w:tcPr>
            <w:tcW w:w="0" w:type="auto"/>
            <w:vAlign w:val="bottom"/>
          </w:tcPr>
          <w:p w14:paraId="5C54FA4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right w:val="single" w:sz="4" w:space="0" w:color="auto"/>
            </w:tcBorders>
            <w:vAlign w:val="bottom"/>
          </w:tcPr>
          <w:p w14:paraId="4312235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-18.639</w:t>
            </w:r>
          </w:p>
        </w:tc>
      </w:tr>
      <w:tr w:rsidR="00A74F6E" w14:paraId="2A047BEE" w14:textId="77777777" w:rsidTr="00437A34">
        <w:trPr>
          <w:trHeight w:val="283"/>
          <w:jc w:val="center"/>
        </w:trPr>
        <w:tc>
          <w:tcPr>
            <w:tcW w:w="0" w:type="auto"/>
            <w:tcBorders>
              <w:left w:val="single" w:sz="4" w:space="0" w:color="auto"/>
            </w:tcBorders>
            <w:vAlign w:val="center"/>
          </w:tcPr>
          <w:p w14:paraId="034F37B1"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BOARDOWN</w:t>
            </w:r>
            <w:r w:rsidRPr="008C51ED">
              <w:rPr>
                <w:i/>
                <w:iCs/>
                <w:color w:val="000000"/>
                <w:vertAlign w:val="subscript"/>
              </w:rPr>
              <w:t>t-1</w:t>
            </w:r>
          </w:p>
        </w:tc>
        <w:tc>
          <w:tcPr>
            <w:tcW w:w="0" w:type="auto"/>
            <w:vAlign w:val="bottom"/>
          </w:tcPr>
          <w:p w14:paraId="111831E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0.100</w:t>
            </w:r>
          </w:p>
        </w:tc>
        <w:tc>
          <w:tcPr>
            <w:tcW w:w="0" w:type="auto"/>
            <w:vAlign w:val="bottom"/>
          </w:tcPr>
          <w:p w14:paraId="68404CE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0.192</w:t>
            </w:r>
          </w:p>
        </w:tc>
        <w:tc>
          <w:tcPr>
            <w:tcW w:w="0" w:type="auto"/>
            <w:vAlign w:val="bottom"/>
          </w:tcPr>
          <w:p w14:paraId="05D2474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vAlign w:val="bottom"/>
          </w:tcPr>
          <w:p w14:paraId="6F054C1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0.092</w:t>
            </w:r>
          </w:p>
        </w:tc>
        <w:tc>
          <w:tcPr>
            <w:tcW w:w="0" w:type="auto"/>
            <w:vAlign w:val="bottom"/>
          </w:tcPr>
          <w:p w14:paraId="39447A9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0.012</w:t>
            </w:r>
          </w:p>
        </w:tc>
        <w:tc>
          <w:tcPr>
            <w:tcW w:w="0" w:type="auto"/>
            <w:vAlign w:val="bottom"/>
          </w:tcPr>
          <w:p w14:paraId="131F350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0.003</w:t>
            </w:r>
          </w:p>
        </w:tc>
        <w:tc>
          <w:tcPr>
            <w:tcW w:w="0" w:type="auto"/>
            <w:tcBorders>
              <w:right w:val="single" w:sz="4" w:space="0" w:color="auto"/>
            </w:tcBorders>
            <w:vAlign w:val="bottom"/>
          </w:tcPr>
          <w:p w14:paraId="2F42A01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2A7894ED" w14:textId="77777777" w:rsidTr="00437A34">
        <w:trPr>
          <w:trHeight w:val="299"/>
          <w:jc w:val="center"/>
        </w:trPr>
        <w:tc>
          <w:tcPr>
            <w:tcW w:w="0" w:type="auto"/>
            <w:tcBorders>
              <w:left w:val="single" w:sz="4" w:space="0" w:color="auto"/>
            </w:tcBorders>
            <w:vAlign w:val="center"/>
          </w:tcPr>
          <w:p w14:paraId="091330AE"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PROPNED</w:t>
            </w:r>
            <w:r w:rsidRPr="008C51ED">
              <w:rPr>
                <w:i/>
                <w:iCs/>
                <w:color w:val="000000"/>
                <w:vertAlign w:val="subscript"/>
              </w:rPr>
              <w:t>t-1</w:t>
            </w:r>
          </w:p>
        </w:tc>
        <w:tc>
          <w:tcPr>
            <w:tcW w:w="0" w:type="auto"/>
            <w:vAlign w:val="bottom"/>
          </w:tcPr>
          <w:p w14:paraId="403F472C"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0.574</w:t>
            </w:r>
          </w:p>
        </w:tc>
        <w:tc>
          <w:tcPr>
            <w:tcW w:w="0" w:type="auto"/>
            <w:vAlign w:val="bottom"/>
          </w:tcPr>
          <w:p w14:paraId="569A332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0.147</w:t>
            </w:r>
          </w:p>
        </w:tc>
        <w:tc>
          <w:tcPr>
            <w:tcW w:w="0" w:type="auto"/>
            <w:vAlign w:val="bottom"/>
          </w:tcPr>
          <w:p w14:paraId="74A96D0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0.929</w:t>
            </w:r>
          </w:p>
        </w:tc>
        <w:tc>
          <w:tcPr>
            <w:tcW w:w="0" w:type="auto"/>
            <w:vAlign w:val="bottom"/>
          </w:tcPr>
          <w:p w14:paraId="22C7B9A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0.667</w:t>
            </w:r>
          </w:p>
        </w:tc>
        <w:tc>
          <w:tcPr>
            <w:tcW w:w="0" w:type="auto"/>
            <w:vAlign w:val="bottom"/>
          </w:tcPr>
          <w:p w14:paraId="6329D99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0.583</w:t>
            </w:r>
          </w:p>
        </w:tc>
        <w:tc>
          <w:tcPr>
            <w:tcW w:w="0" w:type="auto"/>
            <w:vAlign w:val="bottom"/>
          </w:tcPr>
          <w:p w14:paraId="578C555C"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0.500</w:t>
            </w:r>
          </w:p>
        </w:tc>
        <w:tc>
          <w:tcPr>
            <w:tcW w:w="0" w:type="auto"/>
            <w:tcBorders>
              <w:right w:val="single" w:sz="4" w:space="0" w:color="auto"/>
            </w:tcBorders>
            <w:vAlign w:val="bottom"/>
          </w:tcPr>
          <w:p w14:paraId="3DB3816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72271071" w14:textId="77777777" w:rsidTr="00437A34">
        <w:trPr>
          <w:trHeight w:val="299"/>
          <w:jc w:val="center"/>
        </w:trPr>
        <w:tc>
          <w:tcPr>
            <w:tcW w:w="0" w:type="auto"/>
            <w:tcBorders>
              <w:left w:val="single" w:sz="4" w:space="0" w:color="auto"/>
            </w:tcBorders>
            <w:vAlign w:val="center"/>
          </w:tcPr>
          <w:p w14:paraId="6EF624A2"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ESO</w:t>
            </w:r>
            <w:r w:rsidRPr="008C51ED">
              <w:rPr>
                <w:i/>
                <w:iCs/>
                <w:color w:val="000000"/>
                <w:vertAlign w:val="subscript"/>
              </w:rPr>
              <w:t>t-1</w:t>
            </w:r>
          </w:p>
        </w:tc>
        <w:tc>
          <w:tcPr>
            <w:tcW w:w="0" w:type="auto"/>
            <w:vAlign w:val="bottom"/>
          </w:tcPr>
          <w:p w14:paraId="73E8413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0.162</w:t>
            </w:r>
          </w:p>
        </w:tc>
        <w:tc>
          <w:tcPr>
            <w:tcW w:w="0" w:type="auto"/>
            <w:vAlign w:val="bottom"/>
          </w:tcPr>
          <w:p w14:paraId="301A468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0.368</w:t>
            </w:r>
          </w:p>
        </w:tc>
        <w:tc>
          <w:tcPr>
            <w:tcW w:w="0" w:type="auto"/>
            <w:vAlign w:val="bottom"/>
          </w:tcPr>
          <w:p w14:paraId="7B106C66"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1.000</w:t>
            </w:r>
          </w:p>
        </w:tc>
        <w:tc>
          <w:tcPr>
            <w:tcW w:w="0" w:type="auto"/>
            <w:vAlign w:val="bottom"/>
          </w:tcPr>
          <w:p w14:paraId="401B9092"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vAlign w:val="bottom"/>
          </w:tcPr>
          <w:p w14:paraId="7C86134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vAlign w:val="bottom"/>
          </w:tcPr>
          <w:p w14:paraId="3E9E1CE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c>
          <w:tcPr>
            <w:tcW w:w="0" w:type="auto"/>
            <w:tcBorders>
              <w:right w:val="single" w:sz="4" w:space="0" w:color="auto"/>
            </w:tcBorders>
            <w:vAlign w:val="bottom"/>
          </w:tcPr>
          <w:p w14:paraId="52C8887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5F18A339" w14:textId="77777777" w:rsidTr="00437A34">
        <w:trPr>
          <w:trHeight w:val="299"/>
          <w:jc w:val="center"/>
        </w:trPr>
        <w:tc>
          <w:tcPr>
            <w:tcW w:w="0" w:type="auto"/>
            <w:tcBorders>
              <w:left w:val="single" w:sz="4" w:space="0" w:color="auto"/>
            </w:tcBorders>
            <w:vAlign w:val="center"/>
          </w:tcPr>
          <w:p w14:paraId="5FAEC47F"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MCAP</w:t>
            </w:r>
            <w:r w:rsidRPr="008C51ED">
              <w:rPr>
                <w:i/>
                <w:iCs/>
                <w:color w:val="000000"/>
                <w:vertAlign w:val="subscript"/>
              </w:rPr>
              <w:t>t-1</w:t>
            </w:r>
          </w:p>
        </w:tc>
        <w:tc>
          <w:tcPr>
            <w:tcW w:w="0" w:type="auto"/>
            <w:vAlign w:val="bottom"/>
          </w:tcPr>
          <w:p w14:paraId="4EB5294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12.783</w:t>
            </w:r>
          </w:p>
        </w:tc>
        <w:tc>
          <w:tcPr>
            <w:tcW w:w="0" w:type="auto"/>
            <w:vAlign w:val="bottom"/>
          </w:tcPr>
          <w:p w14:paraId="16FE882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1.898</w:t>
            </w:r>
          </w:p>
        </w:tc>
        <w:tc>
          <w:tcPr>
            <w:tcW w:w="0" w:type="auto"/>
            <w:vAlign w:val="bottom"/>
          </w:tcPr>
          <w:p w14:paraId="3DB917F4"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18.293</w:t>
            </w:r>
          </w:p>
        </w:tc>
        <w:tc>
          <w:tcPr>
            <w:tcW w:w="0" w:type="auto"/>
            <w:vAlign w:val="bottom"/>
          </w:tcPr>
          <w:p w14:paraId="00D8CDC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14.000</w:t>
            </w:r>
          </w:p>
        </w:tc>
        <w:tc>
          <w:tcPr>
            <w:tcW w:w="0" w:type="auto"/>
            <w:vAlign w:val="bottom"/>
          </w:tcPr>
          <w:p w14:paraId="185BE30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12.701</w:t>
            </w:r>
          </w:p>
        </w:tc>
        <w:tc>
          <w:tcPr>
            <w:tcW w:w="0" w:type="auto"/>
            <w:vAlign w:val="bottom"/>
          </w:tcPr>
          <w:p w14:paraId="1820535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11.495</w:t>
            </w:r>
          </w:p>
        </w:tc>
        <w:tc>
          <w:tcPr>
            <w:tcW w:w="0" w:type="auto"/>
            <w:tcBorders>
              <w:right w:val="single" w:sz="4" w:space="0" w:color="auto"/>
            </w:tcBorders>
            <w:vAlign w:val="bottom"/>
          </w:tcPr>
          <w:p w14:paraId="2B29010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6.702</w:t>
            </w:r>
          </w:p>
        </w:tc>
      </w:tr>
      <w:tr w:rsidR="00A74F6E" w14:paraId="1BFB57BF" w14:textId="77777777" w:rsidTr="00437A34">
        <w:trPr>
          <w:trHeight w:val="299"/>
          <w:jc w:val="center"/>
        </w:trPr>
        <w:tc>
          <w:tcPr>
            <w:tcW w:w="0" w:type="auto"/>
            <w:tcBorders>
              <w:left w:val="single" w:sz="4" w:space="0" w:color="auto"/>
            </w:tcBorders>
            <w:vAlign w:val="center"/>
          </w:tcPr>
          <w:p w14:paraId="4F3A9CB5"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INSTOWN</w:t>
            </w:r>
            <w:r w:rsidRPr="008C51ED">
              <w:rPr>
                <w:i/>
                <w:iCs/>
                <w:color w:val="000000"/>
                <w:vertAlign w:val="subscript"/>
              </w:rPr>
              <w:t>t-1</w:t>
            </w:r>
          </w:p>
        </w:tc>
        <w:tc>
          <w:tcPr>
            <w:tcW w:w="0" w:type="auto"/>
            <w:vAlign w:val="bottom"/>
          </w:tcPr>
          <w:p w14:paraId="169AA991"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0.300</w:t>
            </w:r>
          </w:p>
        </w:tc>
        <w:tc>
          <w:tcPr>
            <w:tcW w:w="0" w:type="auto"/>
            <w:vAlign w:val="bottom"/>
          </w:tcPr>
          <w:p w14:paraId="4667E30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0.159</w:t>
            </w:r>
          </w:p>
        </w:tc>
        <w:tc>
          <w:tcPr>
            <w:tcW w:w="0" w:type="auto"/>
            <w:vAlign w:val="bottom"/>
          </w:tcPr>
          <w:p w14:paraId="1A7DB56D"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0.905</w:t>
            </w:r>
          </w:p>
        </w:tc>
        <w:tc>
          <w:tcPr>
            <w:tcW w:w="0" w:type="auto"/>
            <w:vAlign w:val="bottom"/>
          </w:tcPr>
          <w:p w14:paraId="63A5D25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0.398</w:t>
            </w:r>
          </w:p>
        </w:tc>
        <w:tc>
          <w:tcPr>
            <w:tcW w:w="0" w:type="auto"/>
            <w:vAlign w:val="bottom"/>
          </w:tcPr>
          <w:p w14:paraId="6B823E5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0.300</w:t>
            </w:r>
          </w:p>
        </w:tc>
        <w:tc>
          <w:tcPr>
            <w:tcW w:w="0" w:type="auto"/>
            <w:vAlign w:val="bottom"/>
          </w:tcPr>
          <w:p w14:paraId="7E9EBCC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0.186</w:t>
            </w:r>
          </w:p>
        </w:tc>
        <w:tc>
          <w:tcPr>
            <w:tcW w:w="0" w:type="auto"/>
            <w:tcBorders>
              <w:right w:val="single" w:sz="4" w:space="0" w:color="auto"/>
            </w:tcBorders>
            <w:vAlign w:val="bottom"/>
          </w:tcPr>
          <w:p w14:paraId="2ABC7C5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r w:rsidR="00A74F6E" w14:paraId="125EC51D" w14:textId="77777777" w:rsidTr="00437A34">
        <w:trPr>
          <w:trHeight w:val="283"/>
          <w:jc w:val="center"/>
        </w:trPr>
        <w:tc>
          <w:tcPr>
            <w:tcW w:w="0" w:type="auto"/>
            <w:tcBorders>
              <w:left w:val="single" w:sz="4" w:space="0" w:color="auto"/>
            </w:tcBorders>
            <w:vAlign w:val="center"/>
          </w:tcPr>
          <w:p w14:paraId="14620611"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RE/TA</w:t>
            </w:r>
            <w:r w:rsidRPr="008C51ED">
              <w:rPr>
                <w:i/>
                <w:iCs/>
                <w:color w:val="000000"/>
                <w:vertAlign w:val="subscript"/>
              </w:rPr>
              <w:t>t-1</w:t>
            </w:r>
          </w:p>
        </w:tc>
        <w:tc>
          <w:tcPr>
            <w:tcW w:w="0" w:type="auto"/>
            <w:vAlign w:val="bottom"/>
          </w:tcPr>
          <w:p w14:paraId="0F8F7F30"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0.072</w:t>
            </w:r>
          </w:p>
        </w:tc>
        <w:tc>
          <w:tcPr>
            <w:tcW w:w="0" w:type="auto"/>
            <w:vAlign w:val="bottom"/>
          </w:tcPr>
          <w:p w14:paraId="0F0F131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0.702</w:t>
            </w:r>
          </w:p>
        </w:tc>
        <w:tc>
          <w:tcPr>
            <w:tcW w:w="0" w:type="auto"/>
            <w:vAlign w:val="bottom"/>
          </w:tcPr>
          <w:p w14:paraId="505BBA69"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1.005</w:t>
            </w:r>
          </w:p>
        </w:tc>
        <w:tc>
          <w:tcPr>
            <w:tcW w:w="0" w:type="auto"/>
            <w:vAlign w:val="bottom"/>
          </w:tcPr>
          <w:p w14:paraId="6A0B274F"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0.353</w:t>
            </w:r>
          </w:p>
        </w:tc>
        <w:tc>
          <w:tcPr>
            <w:tcW w:w="0" w:type="auto"/>
            <w:vAlign w:val="bottom"/>
          </w:tcPr>
          <w:p w14:paraId="48EFE162"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0.197</w:t>
            </w:r>
          </w:p>
        </w:tc>
        <w:tc>
          <w:tcPr>
            <w:tcW w:w="0" w:type="auto"/>
            <w:vAlign w:val="bottom"/>
          </w:tcPr>
          <w:p w14:paraId="35A644B8"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0.037</w:t>
            </w:r>
          </w:p>
        </w:tc>
        <w:tc>
          <w:tcPr>
            <w:tcW w:w="0" w:type="auto"/>
            <w:tcBorders>
              <w:right w:val="single" w:sz="4" w:space="0" w:color="auto"/>
            </w:tcBorders>
            <w:vAlign w:val="bottom"/>
          </w:tcPr>
          <w:p w14:paraId="46A711B2"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-6.784</w:t>
            </w:r>
          </w:p>
        </w:tc>
      </w:tr>
      <w:tr w:rsidR="00A74F6E" w14:paraId="5C032641" w14:textId="77777777" w:rsidTr="00437A34">
        <w:trPr>
          <w:trHeight w:val="299"/>
          <w:jc w:val="center"/>
        </w:trPr>
        <w:tc>
          <w:tcPr>
            <w:tcW w:w="0" w:type="auto"/>
            <w:tcBorders>
              <w:left w:val="single" w:sz="4" w:space="0" w:color="auto"/>
              <w:bottom w:val="single" w:sz="4" w:space="0" w:color="auto"/>
            </w:tcBorders>
            <w:vAlign w:val="center"/>
          </w:tcPr>
          <w:p w14:paraId="58BCAF24" w14:textId="77777777" w:rsidR="00A74F6E" w:rsidRPr="000F5FFC" w:rsidRDefault="00A74F6E" w:rsidP="0010233B">
            <w:pPr>
              <w:rPr>
                <w:rFonts w:ascii="Times New Roman" w:eastAsia="Times New Roman" w:hAnsi="Times New Roman" w:cs="Times New Roman"/>
                <w:vertAlign w:val="subscript"/>
              </w:rPr>
            </w:pPr>
            <w:r w:rsidRPr="000F5FFC">
              <w:rPr>
                <w:i/>
                <w:iCs/>
                <w:color w:val="000000"/>
              </w:rPr>
              <w:t>AGE</w:t>
            </w:r>
            <w:r w:rsidRPr="008C51ED">
              <w:rPr>
                <w:i/>
                <w:iCs/>
                <w:color w:val="000000"/>
                <w:vertAlign w:val="subscript"/>
              </w:rPr>
              <w:t>t-1</w:t>
            </w:r>
          </w:p>
        </w:tc>
        <w:tc>
          <w:tcPr>
            <w:tcW w:w="0" w:type="auto"/>
            <w:tcBorders>
              <w:bottom w:val="single" w:sz="4" w:space="0" w:color="auto"/>
            </w:tcBorders>
            <w:vAlign w:val="bottom"/>
          </w:tcPr>
          <w:p w14:paraId="5997EE77"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3.282</w:t>
            </w:r>
          </w:p>
        </w:tc>
        <w:tc>
          <w:tcPr>
            <w:tcW w:w="0" w:type="auto"/>
            <w:tcBorders>
              <w:bottom w:val="single" w:sz="4" w:space="0" w:color="auto"/>
            </w:tcBorders>
            <w:vAlign w:val="bottom"/>
          </w:tcPr>
          <w:p w14:paraId="34A424C5"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0.976</w:t>
            </w:r>
          </w:p>
        </w:tc>
        <w:tc>
          <w:tcPr>
            <w:tcW w:w="0" w:type="auto"/>
            <w:tcBorders>
              <w:bottom w:val="single" w:sz="4" w:space="0" w:color="auto"/>
            </w:tcBorders>
            <w:vAlign w:val="bottom"/>
          </w:tcPr>
          <w:p w14:paraId="182375BB"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4.844</w:t>
            </w:r>
          </w:p>
        </w:tc>
        <w:tc>
          <w:tcPr>
            <w:tcW w:w="0" w:type="auto"/>
            <w:tcBorders>
              <w:bottom w:val="single" w:sz="4" w:space="0" w:color="auto"/>
            </w:tcBorders>
            <w:vAlign w:val="bottom"/>
          </w:tcPr>
          <w:p w14:paraId="23684A72"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4.143</w:t>
            </w:r>
          </w:p>
        </w:tc>
        <w:tc>
          <w:tcPr>
            <w:tcW w:w="0" w:type="auto"/>
            <w:tcBorders>
              <w:bottom w:val="single" w:sz="4" w:space="0" w:color="auto"/>
            </w:tcBorders>
            <w:vAlign w:val="bottom"/>
          </w:tcPr>
          <w:p w14:paraId="72FCC423"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3.258</w:t>
            </w:r>
          </w:p>
        </w:tc>
        <w:tc>
          <w:tcPr>
            <w:tcW w:w="0" w:type="auto"/>
            <w:tcBorders>
              <w:bottom w:val="single" w:sz="4" w:space="0" w:color="auto"/>
            </w:tcBorders>
            <w:vAlign w:val="bottom"/>
          </w:tcPr>
          <w:p w14:paraId="65FD72EA"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2.565</w:t>
            </w:r>
          </w:p>
        </w:tc>
        <w:tc>
          <w:tcPr>
            <w:tcW w:w="0" w:type="auto"/>
            <w:tcBorders>
              <w:bottom w:val="single" w:sz="4" w:space="0" w:color="auto"/>
              <w:right w:val="single" w:sz="4" w:space="0" w:color="auto"/>
            </w:tcBorders>
            <w:vAlign w:val="bottom"/>
          </w:tcPr>
          <w:p w14:paraId="472E731E" w14:textId="77777777" w:rsidR="00A74F6E" w:rsidRPr="006165AE" w:rsidRDefault="00A74F6E" w:rsidP="0010233B">
            <w:pPr>
              <w:jc w:val="center"/>
              <w:rPr>
                <w:rFonts w:ascii="Times New Roman" w:eastAsia="Times New Roman" w:hAnsi="Times New Roman" w:cs="Times New Roman"/>
              </w:rPr>
            </w:pPr>
            <w:r w:rsidRPr="006165AE">
              <w:rPr>
                <w:rFonts w:ascii="Times New Roman" w:hAnsi="Times New Roman" w:cs="Times New Roman"/>
              </w:rPr>
              <w:t>0.000</w:t>
            </w:r>
          </w:p>
        </w:tc>
      </w:tr>
    </w:tbl>
    <w:p w14:paraId="7FDF7C14" w14:textId="77777777" w:rsidR="00A74F6E" w:rsidRPr="00526A3E" w:rsidRDefault="00A74F6E" w:rsidP="00A74F6E">
      <w:pPr>
        <w:tabs>
          <w:tab w:val="left" w:pos="426"/>
          <w:tab w:val="left" w:pos="1440"/>
          <w:tab w:val="left" w:pos="2160"/>
          <w:tab w:val="left" w:pos="2880"/>
          <w:tab w:val="left" w:pos="3600"/>
          <w:tab w:val="left" w:pos="4320"/>
          <w:tab w:val="center" w:pos="4513"/>
          <w:tab w:val="left" w:pos="8222"/>
        </w:tabs>
        <w:jc w:val="both"/>
        <w:rPr>
          <w:rFonts w:ascii="Times New Roman" w:eastAsia="Times New Roman" w:hAnsi="Times New Roman" w:cs="Times New Roman"/>
          <w:color w:val="FF0000"/>
          <w:sz w:val="20"/>
          <w:szCs w:val="20"/>
        </w:rPr>
        <w:sectPr w:rsidR="00A74F6E" w:rsidRPr="00526A3E" w:rsidSect="00A54ECC">
          <w:footerReference w:type="default" r:id="rId16"/>
          <w:pgSz w:w="11906" w:h="16838"/>
          <w:pgMar w:top="720" w:right="720" w:bottom="720" w:left="720" w:header="708" w:footer="708" w:gutter="0"/>
          <w:cols w:space="720"/>
          <w:docGrid w:linePitch="326"/>
        </w:sectPr>
      </w:pPr>
      <w:r>
        <w:rPr>
          <w:rFonts w:ascii="Times New Roman" w:eastAsia="Times New Roman" w:hAnsi="Times New Roman" w:cs="Times New Roman"/>
          <w:i/>
          <w:sz w:val="20"/>
          <w:szCs w:val="20"/>
        </w:rPr>
        <w:t>SPDUM1YR</w:t>
      </w:r>
      <w:r>
        <w:rPr>
          <w:rFonts w:ascii="Times New Roman" w:eastAsia="Times New Roman" w:hAnsi="Times New Roman" w:cs="Times New Roman"/>
          <w:sz w:val="20"/>
          <w:szCs w:val="20"/>
        </w:rPr>
        <w:t xml:space="preserve"> is a dummy variable, coded 1 if the firm repurchases share in the year, otherwise 0. </w:t>
      </w:r>
      <w:r>
        <w:rPr>
          <w:rFonts w:ascii="Times New Roman" w:eastAsia="Times New Roman" w:hAnsi="Times New Roman" w:cs="Times New Roman"/>
          <w:i/>
          <w:sz w:val="20"/>
          <w:szCs w:val="20"/>
        </w:rPr>
        <w:t>SPDUM2YR</w:t>
      </w:r>
      <w:r>
        <w:rPr>
          <w:rFonts w:ascii="Times New Roman" w:eastAsia="Times New Roman" w:hAnsi="Times New Roman" w:cs="Times New Roman"/>
          <w:sz w:val="20"/>
          <w:szCs w:val="20"/>
        </w:rPr>
        <w:t xml:space="preserve"> is a dummy variable, coded 1 if the firm repurchase share in the year and year before, otherwise 0. </w:t>
      </w:r>
      <w:r w:rsidRPr="000222BA">
        <w:rPr>
          <w:rFonts w:ascii="Times New Roman" w:eastAsia="Times New Roman" w:hAnsi="Times New Roman" w:cs="Times New Roman"/>
          <w:i/>
          <w:sz w:val="20"/>
          <w:szCs w:val="20"/>
        </w:rPr>
        <w:t>CCDUM1YR</w:t>
      </w:r>
      <w:r w:rsidRPr="000222BA">
        <w:rPr>
          <w:rFonts w:ascii="Times New Roman" w:eastAsia="Times New Roman" w:hAnsi="Times New Roman" w:cs="Times New Roman"/>
          <w:sz w:val="20"/>
          <w:szCs w:val="20"/>
        </w:rPr>
        <w:t xml:space="preserve"> is a dummy variable, coded 1 if the firm receives an amount from the sale of common and/or preferred share in the year, otherwise 0. </w:t>
      </w:r>
      <w:r w:rsidRPr="000222BA">
        <w:rPr>
          <w:rFonts w:ascii="Times New Roman" w:eastAsia="Times New Roman" w:hAnsi="Times New Roman" w:cs="Times New Roman"/>
          <w:i/>
          <w:sz w:val="20"/>
          <w:szCs w:val="20"/>
        </w:rPr>
        <w:t>CCDUM2YR</w:t>
      </w:r>
      <w:r w:rsidRPr="000222BA">
        <w:rPr>
          <w:rFonts w:ascii="Times New Roman" w:eastAsia="Times New Roman" w:hAnsi="Times New Roman" w:cs="Times New Roman"/>
          <w:sz w:val="20"/>
          <w:szCs w:val="20"/>
        </w:rPr>
        <w:t xml:space="preserve"> is a dummy variable, coded 1 if the firm receives an amount from the sale of common and/or preferred share in the year and year before, otherwise 0. </w:t>
      </w:r>
      <w:r w:rsidRPr="000222BA">
        <w:rPr>
          <w:rFonts w:ascii="Times New Roman" w:eastAsia="Times New Roman" w:hAnsi="Times New Roman" w:cs="Times New Roman"/>
          <w:i/>
          <w:sz w:val="20"/>
          <w:szCs w:val="20"/>
        </w:rPr>
        <w:t>DIVDUM1YR</w:t>
      </w:r>
      <w:r w:rsidRPr="000222BA">
        <w:rPr>
          <w:rFonts w:ascii="Times New Roman" w:eastAsia="Times New Roman" w:hAnsi="Times New Roman" w:cs="Times New Roman"/>
          <w:sz w:val="20"/>
          <w:szCs w:val="20"/>
        </w:rPr>
        <w:t xml:space="preserve"> is a dummy variable, coded 1 if the firm pays a dividend in the year, otherwise 0. </w:t>
      </w:r>
      <w:r w:rsidRPr="000222BA">
        <w:rPr>
          <w:rFonts w:ascii="Times New Roman" w:eastAsia="Times New Roman" w:hAnsi="Times New Roman" w:cs="Times New Roman"/>
          <w:i/>
          <w:sz w:val="20"/>
          <w:szCs w:val="20"/>
        </w:rPr>
        <w:t xml:space="preserve">DIVDUM2YR </w:t>
      </w:r>
      <w:r w:rsidRPr="000222BA">
        <w:rPr>
          <w:rFonts w:ascii="Times New Roman" w:eastAsia="Times New Roman" w:hAnsi="Times New Roman" w:cs="Times New Roman"/>
          <w:sz w:val="20"/>
          <w:szCs w:val="20"/>
        </w:rPr>
        <w:t>is</w:t>
      </w:r>
      <w:r w:rsidRPr="000222BA">
        <w:rPr>
          <w:rFonts w:ascii="Times New Roman" w:eastAsia="Times New Roman" w:hAnsi="Times New Roman" w:cs="Times New Roman"/>
          <w:i/>
          <w:sz w:val="20"/>
          <w:szCs w:val="20"/>
        </w:rPr>
        <w:t xml:space="preserve"> </w:t>
      </w:r>
      <w:r w:rsidRPr="000222BA">
        <w:rPr>
          <w:rFonts w:ascii="Times New Roman" w:eastAsia="Times New Roman" w:hAnsi="Times New Roman" w:cs="Times New Roman"/>
          <w:sz w:val="20"/>
          <w:szCs w:val="20"/>
        </w:rPr>
        <w:t>a dummy variable, coded 1 if the firm pays a dividend in the year and year before, otherwise 0.</w:t>
      </w:r>
      <w:r w:rsidRPr="000222BA">
        <w:rPr>
          <w:rFonts w:ascii="Times New Roman" w:eastAsia="Times New Roman" w:hAnsi="Times New Roman" w:cs="Times New Roman"/>
          <w:i/>
          <w:sz w:val="20"/>
          <w:szCs w:val="20"/>
        </w:rPr>
        <w:t xml:space="preserve"> NOPAY</w:t>
      </w:r>
      <w:r w:rsidRPr="000222BA">
        <w:rPr>
          <w:rFonts w:ascii="Times New Roman" w:eastAsia="Times New Roman" w:hAnsi="Times New Roman" w:cs="Times New Roman"/>
          <w:sz w:val="20"/>
          <w:szCs w:val="20"/>
        </w:rPr>
        <w:t xml:space="preserve"> = 1 if </w:t>
      </w:r>
      <w:r w:rsidRPr="000222BA">
        <w:rPr>
          <w:rFonts w:ascii="Times New Roman" w:eastAsia="Times New Roman" w:hAnsi="Times New Roman" w:cs="Times New Roman"/>
          <w:i/>
          <w:sz w:val="20"/>
          <w:szCs w:val="20"/>
        </w:rPr>
        <w:t>SPDUM1YR</w:t>
      </w:r>
      <w:r w:rsidRPr="000222BA">
        <w:rPr>
          <w:rFonts w:ascii="Times New Roman" w:eastAsia="Times New Roman" w:hAnsi="Times New Roman" w:cs="Times New Roman"/>
          <w:sz w:val="20"/>
          <w:szCs w:val="20"/>
        </w:rPr>
        <w:t xml:space="preserve"> and </w:t>
      </w:r>
      <w:r w:rsidRPr="000222BA">
        <w:rPr>
          <w:rFonts w:ascii="Times New Roman" w:eastAsia="Times New Roman" w:hAnsi="Times New Roman" w:cs="Times New Roman"/>
          <w:i/>
          <w:sz w:val="20"/>
          <w:szCs w:val="20"/>
        </w:rPr>
        <w:t>DIVDUM1YR</w:t>
      </w:r>
      <w:r w:rsidRPr="000222BA">
        <w:rPr>
          <w:rFonts w:ascii="Times New Roman" w:eastAsia="Times New Roman" w:hAnsi="Times New Roman" w:cs="Times New Roman"/>
          <w:sz w:val="20"/>
          <w:szCs w:val="20"/>
        </w:rPr>
        <w:t xml:space="preserve"> are both zero. </w:t>
      </w:r>
      <w:r w:rsidRPr="000222BA">
        <w:rPr>
          <w:rFonts w:ascii="Times New Roman" w:eastAsia="Times New Roman" w:hAnsi="Times New Roman" w:cs="Times New Roman"/>
          <w:i/>
          <w:sz w:val="20"/>
          <w:szCs w:val="20"/>
        </w:rPr>
        <w:t>SP/NI</w:t>
      </w:r>
      <w:r w:rsidRPr="000222BA">
        <w:rPr>
          <w:rFonts w:ascii="Times New Roman" w:eastAsia="Times New Roman" w:hAnsi="Times New Roman" w:cs="Times New Roman"/>
          <w:sz w:val="20"/>
          <w:szCs w:val="20"/>
        </w:rPr>
        <w:t xml:space="preserve"> is measured by aggregate value of shares repurchased (WC04751), divided by net income before extraordinary items and preference dividends (WC01551).  </w:t>
      </w:r>
      <w:r w:rsidRPr="000222BA">
        <w:rPr>
          <w:rFonts w:ascii="Times New Roman" w:eastAsia="Times New Roman" w:hAnsi="Times New Roman" w:cs="Times New Roman"/>
          <w:i/>
          <w:sz w:val="20"/>
          <w:szCs w:val="20"/>
        </w:rPr>
        <w:t>CC/NI</w:t>
      </w:r>
      <w:r w:rsidRPr="000222BA">
        <w:rPr>
          <w:rFonts w:ascii="Times New Roman" w:eastAsia="Times New Roman" w:hAnsi="Times New Roman" w:cs="Times New Roman"/>
          <w:sz w:val="20"/>
          <w:szCs w:val="20"/>
        </w:rPr>
        <w:t xml:space="preserve"> is measured by aggregate value of the amount a firm received from the sale of </w:t>
      </w:r>
      <w:r w:rsidRPr="000222BA">
        <w:rPr>
          <w:rFonts w:ascii="Times New Roman" w:eastAsia="Times New Roman" w:hAnsi="Times New Roman" w:cs="Times New Roman"/>
          <w:sz w:val="20"/>
          <w:szCs w:val="20"/>
        </w:rPr>
        <w:lastRenderedPageBreak/>
        <w:t xml:space="preserve">common and/or preferred shares (WC04251) divided by net income before extraordinary items and preference dividends (WC01551).  </w:t>
      </w:r>
      <w:r w:rsidRPr="000222BA">
        <w:rPr>
          <w:rFonts w:ascii="Times New Roman" w:eastAsia="Times New Roman" w:hAnsi="Times New Roman" w:cs="Times New Roman"/>
          <w:i/>
          <w:sz w:val="20"/>
          <w:szCs w:val="20"/>
        </w:rPr>
        <w:t>DIV/NI</w:t>
      </w:r>
      <w:r w:rsidRPr="000222BA">
        <w:rPr>
          <w:rFonts w:ascii="Times New Roman" w:eastAsia="Times New Roman" w:hAnsi="Times New Roman" w:cs="Times New Roman"/>
          <w:sz w:val="20"/>
          <w:szCs w:val="20"/>
        </w:rPr>
        <w:t xml:space="preserve"> is measured by aggregate value of total cash common dividends (WC05376), divided by net income before extraordinary </w:t>
      </w:r>
      <w:r>
        <w:rPr>
          <w:rFonts w:ascii="Times New Roman" w:eastAsia="Times New Roman" w:hAnsi="Times New Roman" w:cs="Times New Roman"/>
          <w:sz w:val="20"/>
          <w:szCs w:val="20"/>
        </w:rPr>
        <w:t xml:space="preserve">items and preference dividends (WC01551). </w:t>
      </w:r>
      <w:r>
        <w:rPr>
          <w:rFonts w:ascii="Times New Roman" w:eastAsia="Times New Roman" w:hAnsi="Times New Roman" w:cs="Times New Roman"/>
          <w:i/>
          <w:sz w:val="20"/>
          <w:szCs w:val="20"/>
        </w:rPr>
        <w:t>LEVIND</w:t>
      </w:r>
      <w:r>
        <w:rPr>
          <w:rFonts w:ascii="Times New Roman" w:eastAsia="Times New Roman" w:hAnsi="Times New Roman" w:cs="Times New Roman"/>
          <w:sz w:val="20"/>
          <w:szCs w:val="20"/>
        </w:rPr>
        <w:t xml:space="preserve"> is leverage minus industry-year mean value where leverage is measured by total debt (WC03255), divided by total shareholders’ equity (WC03995).</w:t>
      </w:r>
      <w:r>
        <w:rPr>
          <w:rFonts w:ascii="Times New Roman" w:eastAsia="Times New Roman" w:hAnsi="Times New Roman" w:cs="Times New Roman"/>
          <w:i/>
          <w:sz w:val="20"/>
          <w:szCs w:val="20"/>
        </w:rPr>
        <w:t xml:space="preserve">  XSCASH </w:t>
      </w:r>
      <w:r>
        <w:rPr>
          <w:rFonts w:ascii="Times New Roman" w:eastAsia="Times New Roman" w:hAnsi="Times New Roman" w:cs="Times New Roman"/>
          <w:sz w:val="20"/>
          <w:szCs w:val="20"/>
        </w:rPr>
        <w:t xml:space="preserve">is surplus cash, measured as the residual from the optimal cash equation from Oswald and |Young |(2008). </w:t>
      </w:r>
      <w:r>
        <w:rPr>
          <w:rFonts w:ascii="Times New Roman" w:eastAsia="Times New Roman" w:hAnsi="Times New Roman" w:cs="Times New Roman"/>
          <w:i/>
          <w:sz w:val="20"/>
          <w:szCs w:val="20"/>
        </w:rPr>
        <w:t>CFO/TA</w:t>
      </w:r>
      <w:r>
        <w:rPr>
          <w:rFonts w:ascii="Times New Roman" w:eastAsia="Times New Roman" w:hAnsi="Times New Roman" w:cs="Times New Roman"/>
          <w:sz w:val="20"/>
          <w:szCs w:val="20"/>
        </w:rPr>
        <w:t xml:space="preserve"> is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measured as net operating cash flow (WC04860) divided by total assets (WC02999). </w:t>
      </w:r>
      <w:r>
        <w:rPr>
          <w:rFonts w:ascii="Times New Roman" w:eastAsia="Times New Roman" w:hAnsi="Times New Roman" w:cs="Times New Roman"/>
          <w:i/>
          <w:sz w:val="20"/>
          <w:szCs w:val="20"/>
        </w:rPr>
        <w:t>MTBIND</w:t>
      </w:r>
      <w:r>
        <w:rPr>
          <w:rFonts w:ascii="Times New Roman" w:eastAsia="Times New Roman" w:hAnsi="Times New Roman" w:cs="Times New Roman"/>
          <w:sz w:val="20"/>
          <w:szCs w:val="20"/>
        </w:rPr>
        <w:t xml:space="preserve"> is market-to-book minus year and industry mean value, where market-to-book is measured by the sum of total debt (WC03255) and market capitalisation (WC08001), divided by total assets (WC02999).  </w:t>
      </w:r>
      <w:r>
        <w:rPr>
          <w:rFonts w:ascii="Times New Roman" w:eastAsia="Times New Roman" w:hAnsi="Times New Roman" w:cs="Times New Roman"/>
          <w:i/>
          <w:sz w:val="20"/>
          <w:szCs w:val="20"/>
        </w:rPr>
        <w:t>ABRET</w:t>
      </w:r>
      <w:r>
        <w:rPr>
          <w:rFonts w:ascii="Times New Roman" w:eastAsia="Times New Roman" w:hAnsi="Times New Roman" w:cs="Times New Roman"/>
          <w:sz w:val="20"/>
          <w:szCs w:val="20"/>
        </w:rPr>
        <w:t xml:space="preserve"> is the firm’s annual return minus the return on the FTSE All Share Index over the same period.   </w:t>
      </w:r>
      <w:r>
        <w:rPr>
          <w:rFonts w:ascii="Times New Roman" w:eastAsia="Times New Roman" w:hAnsi="Times New Roman" w:cs="Times New Roman"/>
          <w:i/>
          <w:sz w:val="20"/>
          <w:szCs w:val="20"/>
        </w:rPr>
        <w:t>ROA</w:t>
      </w:r>
      <w:r>
        <w:rPr>
          <w:rFonts w:ascii="Times New Roman" w:eastAsia="Times New Roman" w:hAnsi="Times New Roman" w:cs="Times New Roman"/>
          <w:sz w:val="20"/>
          <w:szCs w:val="20"/>
        </w:rPr>
        <w:t xml:space="preserve"> is net income before extraordinary items and preference dividends (WC01551), divided by total assets (WC02999). </w:t>
      </w:r>
      <w:r>
        <w:rPr>
          <w:rFonts w:ascii="Times New Roman" w:eastAsia="Times New Roman" w:hAnsi="Times New Roman" w:cs="Times New Roman"/>
          <w:i/>
          <w:sz w:val="20"/>
          <w:szCs w:val="20"/>
        </w:rPr>
        <w:t>BOARDOWN</w:t>
      </w:r>
      <w:r>
        <w:rPr>
          <w:rFonts w:ascii="Times New Roman" w:eastAsia="Times New Roman" w:hAnsi="Times New Roman" w:cs="Times New Roman"/>
          <w:sz w:val="20"/>
          <w:szCs w:val="20"/>
        </w:rPr>
        <w:t xml:space="preserve"> is the value of ordinary shares held by directors and their immediate family (</w:t>
      </w:r>
      <w:proofErr w:type="spellStart"/>
      <w:r>
        <w:rPr>
          <w:rFonts w:ascii="Times New Roman" w:eastAsia="Times New Roman" w:hAnsi="Times New Roman" w:cs="Times New Roman"/>
          <w:sz w:val="20"/>
          <w:szCs w:val="20"/>
        </w:rPr>
        <w:t>BoardEx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valtoteqheld</w:t>
      </w:r>
      <w:proofErr w:type="spellEnd"/>
      <w:r>
        <w:rPr>
          <w:rFonts w:ascii="Times New Roman" w:eastAsia="Times New Roman" w:hAnsi="Times New Roman" w:cs="Times New Roman"/>
          <w:sz w:val="20"/>
          <w:szCs w:val="20"/>
        </w:rPr>
        <w:t xml:space="preserve">’), divided by total market value of the year. </w:t>
      </w:r>
      <w:r>
        <w:rPr>
          <w:rFonts w:ascii="Times New Roman" w:eastAsia="Times New Roman" w:hAnsi="Times New Roman" w:cs="Times New Roman"/>
          <w:i/>
          <w:sz w:val="20"/>
          <w:szCs w:val="20"/>
        </w:rPr>
        <w:t>PROPNED</w:t>
      </w:r>
      <w:r>
        <w:rPr>
          <w:rFonts w:ascii="Times New Roman" w:eastAsia="Times New Roman" w:hAnsi="Times New Roman" w:cs="Times New Roman"/>
          <w:sz w:val="20"/>
          <w:szCs w:val="20"/>
        </w:rPr>
        <w:t xml:space="preserve"> is the number of non-executive directors (</w:t>
      </w:r>
      <w:proofErr w:type="spellStart"/>
      <w:r>
        <w:rPr>
          <w:rFonts w:ascii="Times New Roman" w:eastAsia="Times New Roman" w:hAnsi="Times New Roman" w:cs="Times New Roman"/>
          <w:sz w:val="20"/>
          <w:szCs w:val="20"/>
        </w:rPr>
        <w:t>BoardEx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numofned</w:t>
      </w:r>
      <w:proofErr w:type="spellEnd"/>
      <w:r>
        <w:rPr>
          <w:rFonts w:ascii="Times New Roman" w:eastAsia="Times New Roman" w:hAnsi="Times New Roman" w:cs="Times New Roman"/>
          <w:sz w:val="20"/>
          <w:szCs w:val="20"/>
        </w:rPr>
        <w:t>’), divided by the total number of directors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ESO </w:t>
      </w:r>
      <w:r>
        <w:rPr>
          <w:rFonts w:ascii="Times New Roman" w:eastAsia="Times New Roman" w:hAnsi="Times New Roman" w:cs="Times New Roman"/>
          <w:color w:val="000000"/>
          <w:sz w:val="20"/>
          <w:szCs w:val="20"/>
        </w:rPr>
        <w:t>= 1 if there is a positive value for exercisable options reported in the accounts at balance sheet date, otherwise zero (</w:t>
      </w:r>
      <w:proofErr w:type="spellStart"/>
      <w:r>
        <w:rPr>
          <w:rFonts w:ascii="Times New Roman" w:eastAsia="Times New Roman" w:hAnsi="Times New Roman" w:cs="Times New Roman"/>
          <w:color w:val="000000"/>
          <w:sz w:val="20"/>
          <w:szCs w:val="20"/>
        </w:rPr>
        <w:t>BoardEx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exestvalue</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w:t>
      </w:r>
      <w:r>
        <w:rPr>
          <w:rFonts w:ascii="Times New Roman" w:eastAsia="Times New Roman" w:hAnsi="Times New Roman" w:cs="Times New Roman"/>
          <w:i/>
          <w:sz w:val="20"/>
          <w:szCs w:val="20"/>
        </w:rPr>
        <w:t>CAP</w:t>
      </w:r>
      <w:r>
        <w:rPr>
          <w:rFonts w:ascii="Times New Roman" w:eastAsia="Times New Roman" w:hAnsi="Times New Roman" w:cs="Times New Roman"/>
          <w:sz w:val="20"/>
          <w:szCs w:val="20"/>
        </w:rPr>
        <w:t xml:space="preserve"> is the natural logarithm of market value of equity (WC08001). </w:t>
      </w:r>
      <w:r>
        <w:rPr>
          <w:rFonts w:ascii="Times New Roman" w:eastAsia="Times New Roman" w:hAnsi="Times New Roman" w:cs="Times New Roman"/>
          <w:i/>
          <w:sz w:val="20"/>
          <w:szCs w:val="20"/>
        </w:rPr>
        <w:t xml:space="preserve">INSTOWN </w:t>
      </w:r>
      <w:r>
        <w:rPr>
          <w:rFonts w:ascii="Times New Roman" w:eastAsia="Times New Roman" w:hAnsi="Times New Roman" w:cs="Times New Roman"/>
          <w:sz w:val="20"/>
          <w:szCs w:val="20"/>
        </w:rPr>
        <w:t xml:space="preserve">is the percentage of shares owned by institutional investors.  </w:t>
      </w:r>
      <w:r>
        <w:rPr>
          <w:rFonts w:ascii="Times New Roman" w:eastAsia="Times New Roman" w:hAnsi="Times New Roman" w:cs="Times New Roman"/>
          <w:i/>
          <w:sz w:val="20"/>
          <w:szCs w:val="20"/>
        </w:rPr>
        <w:t>RE/TA</w:t>
      </w:r>
      <w:r>
        <w:rPr>
          <w:rFonts w:ascii="Times New Roman" w:eastAsia="Times New Roman" w:hAnsi="Times New Roman" w:cs="Times New Roman"/>
          <w:sz w:val="20"/>
          <w:szCs w:val="20"/>
        </w:rPr>
        <w:t xml:space="preserve"> is retained earnings (WC03495), divided by total assets (WC02999).  </w:t>
      </w:r>
      <w:r>
        <w:rPr>
          <w:rFonts w:ascii="Times New Roman" w:eastAsia="Times New Roman" w:hAnsi="Times New Roman" w:cs="Times New Roman"/>
          <w:i/>
          <w:sz w:val="20"/>
          <w:szCs w:val="20"/>
        </w:rPr>
        <w:t xml:space="preserve">AGE </w:t>
      </w:r>
      <w:r>
        <w:rPr>
          <w:rFonts w:ascii="Times New Roman" w:eastAsia="Times New Roman" w:hAnsi="Times New Roman" w:cs="Times New Roman"/>
          <w:sz w:val="20"/>
          <w:szCs w:val="20"/>
        </w:rPr>
        <w:t xml:space="preserve">is natural log of (1+) years since incorporation (WC05350 minus WC18273). Total firm-year observations </w:t>
      </w:r>
      <w:r w:rsidRPr="00821502">
        <w:rPr>
          <w:rFonts w:ascii="Times New Roman" w:eastAsia="Times New Roman" w:hAnsi="Times New Roman" w:cs="Times New Roman"/>
          <w:sz w:val="20"/>
          <w:szCs w:val="20"/>
        </w:rPr>
        <w:t>= 6199</w:t>
      </w:r>
      <w:r>
        <w:rPr>
          <w:rFonts w:ascii="Times New Roman" w:eastAsia="Times New Roman" w:hAnsi="Times New Roman" w:cs="Times New Roman"/>
          <w:sz w:val="20"/>
          <w:szCs w:val="20"/>
        </w:rPr>
        <w:t xml:space="preserve">. All continuous independent variables are </w:t>
      </w:r>
      <w:proofErr w:type="spellStart"/>
      <w:r>
        <w:rPr>
          <w:rFonts w:ascii="Times New Roman" w:eastAsia="Times New Roman" w:hAnsi="Times New Roman" w:cs="Times New Roman"/>
          <w:sz w:val="20"/>
          <w:szCs w:val="20"/>
        </w:rPr>
        <w:t>winsorised</w:t>
      </w:r>
      <w:proofErr w:type="spellEnd"/>
      <w:r>
        <w:rPr>
          <w:rFonts w:ascii="Times New Roman" w:eastAsia="Times New Roman" w:hAnsi="Times New Roman" w:cs="Times New Roman"/>
          <w:sz w:val="20"/>
          <w:szCs w:val="20"/>
        </w:rPr>
        <w:t xml:space="preserve"> at 1% and 99% except for </w:t>
      </w:r>
      <w:r>
        <w:rPr>
          <w:rFonts w:ascii="Times New Roman" w:eastAsia="Times New Roman" w:hAnsi="Times New Roman" w:cs="Times New Roman"/>
          <w:i/>
          <w:sz w:val="20"/>
          <w:szCs w:val="20"/>
        </w:rPr>
        <w:t>SP/NI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INSTOWN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BOARDOWN</w:t>
      </w:r>
      <w:r>
        <w:rPr>
          <w:rFonts w:ascii="Times New Roman" w:eastAsia="Times New Roman" w:hAnsi="Times New Roman" w:cs="Times New Roman"/>
          <w:sz w:val="20"/>
          <w:szCs w:val="20"/>
        </w:rPr>
        <w:t xml:space="preserve">, which are </w:t>
      </w:r>
      <w:proofErr w:type="spellStart"/>
      <w:r>
        <w:rPr>
          <w:rFonts w:ascii="Times New Roman" w:eastAsia="Times New Roman" w:hAnsi="Times New Roman" w:cs="Times New Roman"/>
          <w:sz w:val="20"/>
          <w:szCs w:val="20"/>
        </w:rPr>
        <w:t>winsorised</w:t>
      </w:r>
      <w:proofErr w:type="spellEnd"/>
      <w:r>
        <w:rPr>
          <w:rFonts w:ascii="Times New Roman" w:eastAsia="Times New Roman" w:hAnsi="Times New Roman" w:cs="Times New Roman"/>
          <w:sz w:val="20"/>
          <w:szCs w:val="20"/>
        </w:rPr>
        <w:t xml:space="preserve"> at 99% only, and </w:t>
      </w:r>
      <w:r>
        <w:rPr>
          <w:rFonts w:ascii="Times New Roman" w:eastAsia="Times New Roman" w:hAnsi="Times New Roman" w:cs="Times New Roman"/>
          <w:i/>
          <w:sz w:val="20"/>
          <w:szCs w:val="20"/>
        </w:rPr>
        <w:t>PROPNED</w:t>
      </w:r>
      <w:r>
        <w:rPr>
          <w:rFonts w:ascii="Times New Roman" w:eastAsia="Times New Roman" w:hAnsi="Times New Roman" w:cs="Times New Roman"/>
          <w:sz w:val="20"/>
          <w:szCs w:val="20"/>
        </w:rPr>
        <w:t>, which is bounded between 0 and 1.</w:t>
      </w:r>
    </w:p>
    <w:p w14:paraId="3BA7FDC2" w14:textId="77777777" w:rsidR="00A74F6E" w:rsidRDefault="00A74F6E" w:rsidP="00A74F6E">
      <w:pPr>
        <w:spacing w:after="0"/>
        <w:jc w:val="center"/>
        <w:rPr>
          <w:rFonts w:ascii="Times New Roman" w:eastAsia="Times New Roman" w:hAnsi="Times New Roman" w:cs="Times New Roman"/>
          <w:b/>
        </w:rPr>
      </w:pPr>
      <w:r>
        <w:rPr>
          <w:noProof/>
        </w:rPr>
        <w:lastRenderedPageBreak/>
        <w:drawing>
          <wp:inline distT="0" distB="0" distL="0" distR="0" wp14:anchorId="025A0E19" wp14:editId="53DB91D9">
            <wp:extent cx="4848225" cy="289083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BEC3EF" w14:textId="77777777" w:rsidR="00A74F6E" w:rsidRDefault="00A74F6E" w:rsidP="00A74F6E">
      <w:pPr>
        <w:spacing w:after="0"/>
        <w:jc w:val="center"/>
        <w:rPr>
          <w:rFonts w:ascii="Times New Roman" w:eastAsia="Times New Roman" w:hAnsi="Times New Roman" w:cs="Times New Roman"/>
          <w:b/>
        </w:rPr>
      </w:pPr>
    </w:p>
    <w:p w14:paraId="4F6F741A" w14:textId="77777777" w:rsidR="00A74F6E" w:rsidRDefault="00A74F6E" w:rsidP="00A74F6E">
      <w:pPr>
        <w:spacing w:after="0"/>
        <w:rPr>
          <w:rFonts w:ascii="Times New Roman" w:eastAsia="Times New Roman" w:hAnsi="Times New Roman" w:cs="Times New Roman"/>
        </w:rPr>
        <w:sectPr w:rsidR="00A74F6E">
          <w:pgSz w:w="11906" w:h="16838"/>
          <w:pgMar w:top="1440" w:right="1440" w:bottom="1440" w:left="1418" w:header="708" w:footer="708" w:gutter="0"/>
          <w:cols w:space="720"/>
        </w:sectPr>
      </w:pPr>
      <w:r>
        <w:rPr>
          <w:rFonts w:ascii="Times New Roman" w:eastAsia="Times New Roman" w:hAnsi="Times New Roman" w:cs="Times New Roman"/>
        </w:rPr>
        <w:t>Figure 1 reports the number of sample firms which repurchase shares in each year, divided by the sample size for each year.</w:t>
      </w:r>
    </w:p>
    <w:p w14:paraId="01C5DFD7" w14:textId="77777777" w:rsidR="00A74F6E" w:rsidRDefault="00A74F6E" w:rsidP="00A74F6E">
      <w:pPr>
        <w:rPr>
          <w:rFonts w:ascii="Times New Roman" w:eastAsia="Times New Roman" w:hAnsi="Times New Roman" w:cs="Times New Roman"/>
          <w:b/>
        </w:rPr>
      </w:pPr>
      <w:r>
        <w:br w:type="page"/>
      </w:r>
    </w:p>
    <w:p w14:paraId="1F28FF25" w14:textId="77777777" w:rsidR="00A74F6E" w:rsidRDefault="00A74F6E" w:rsidP="00A74F6E">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Table 3: Trends by Regulatory Regime</w:t>
      </w:r>
    </w:p>
    <w:p w14:paraId="02D0DF3A" w14:textId="77777777" w:rsidR="00A74F6E" w:rsidRDefault="00A74F6E" w:rsidP="00A74F6E">
      <w:pPr>
        <w:spacing w:after="0"/>
        <w:jc w:val="center"/>
        <w:rPr>
          <w:rFonts w:ascii="Times New Roman" w:eastAsia="Times New Roman" w:hAnsi="Times New Roman" w:cs="Times New Roman"/>
        </w:rPr>
      </w:pPr>
      <w:r>
        <w:rPr>
          <w:rFonts w:ascii="Times New Roman" w:eastAsia="Times New Roman" w:hAnsi="Times New Roman" w:cs="Times New Roman"/>
        </w:rPr>
        <w:t>(</w:t>
      </w:r>
      <w:r w:rsidRPr="00F726C1">
        <w:rPr>
          <w:rFonts w:ascii="Times New Roman" w:eastAsia="Times New Roman" w:hAnsi="Times New Roman" w:cs="Times New Roman"/>
          <w:color w:val="000000" w:themeColor="text1"/>
        </w:rPr>
        <w:t>Regime 1 = 2000-2003; Regime 2 = 2004-20</w:t>
      </w:r>
      <w:r>
        <w:rPr>
          <w:rFonts w:ascii="Times New Roman" w:eastAsia="Times New Roman" w:hAnsi="Times New Roman" w:cs="Times New Roman"/>
          <w:color w:val="000000" w:themeColor="text1"/>
        </w:rPr>
        <w:t>1</w:t>
      </w:r>
      <w:r w:rsidRPr="00F726C1">
        <w:rPr>
          <w:rFonts w:ascii="Times New Roman" w:eastAsia="Times New Roman" w:hAnsi="Times New Roman" w:cs="Times New Roman"/>
          <w:color w:val="000000" w:themeColor="text1"/>
        </w:rPr>
        <w:t>6</w:t>
      </w:r>
      <w:r>
        <w:rPr>
          <w:rFonts w:ascii="Times New Roman" w:eastAsia="Times New Roman" w:hAnsi="Times New Roman" w:cs="Times New Roman"/>
        </w:rPr>
        <w:t>)</w:t>
      </w:r>
    </w:p>
    <w:p w14:paraId="221061B4" w14:textId="77777777" w:rsidR="00A74F6E" w:rsidRDefault="00A74F6E" w:rsidP="00A74F6E">
      <w:pPr>
        <w:spacing w:after="0"/>
        <w:jc w:val="center"/>
        <w:rPr>
          <w:rFonts w:ascii="Times New Roman" w:eastAsia="Times New Roman" w:hAnsi="Times New Roman" w:cs="Times New Roman"/>
          <w:b/>
        </w:rPr>
      </w:pPr>
    </w:p>
    <w:tbl>
      <w:tblPr>
        <w:tblW w:w="0" w:type="auto"/>
        <w:tblInd w:w="1663" w:type="dxa"/>
        <w:tblLook w:val="0400" w:firstRow="0" w:lastRow="0" w:firstColumn="0" w:lastColumn="0" w:noHBand="0" w:noVBand="1"/>
      </w:tblPr>
      <w:tblGrid>
        <w:gridCol w:w="1697"/>
        <w:gridCol w:w="864"/>
        <w:gridCol w:w="1090"/>
        <w:gridCol w:w="1090"/>
        <w:gridCol w:w="1169"/>
        <w:gridCol w:w="319"/>
        <w:gridCol w:w="901"/>
      </w:tblGrid>
      <w:tr w:rsidR="00A74F6E" w14:paraId="734E56FE" w14:textId="77777777" w:rsidTr="00C57E6F">
        <w:trPr>
          <w:trHeight w:val="300"/>
        </w:trPr>
        <w:tc>
          <w:tcPr>
            <w:tcW w:w="0" w:type="auto"/>
            <w:tcBorders>
              <w:top w:val="single" w:sz="4" w:space="0" w:color="000000"/>
              <w:left w:val="single" w:sz="4" w:space="0" w:color="000000"/>
              <w:bottom w:val="single" w:sz="4" w:space="0" w:color="000000"/>
            </w:tcBorders>
            <w:shd w:val="clear" w:color="auto" w:fill="auto"/>
            <w:vAlign w:val="center"/>
          </w:tcPr>
          <w:p w14:paraId="6981019E" w14:textId="77777777" w:rsidR="00A74F6E" w:rsidRDefault="00A74F6E" w:rsidP="0010233B">
            <w:pPr>
              <w:spacing w:after="0" w:line="240" w:lineRule="auto"/>
              <w:rPr>
                <w:rFonts w:ascii="Times New Roman" w:eastAsia="Times New Roman" w:hAnsi="Times New Roman" w:cs="Times New Roman"/>
                <w:sz w:val="22"/>
                <w:szCs w:val="22"/>
              </w:rPr>
            </w:pPr>
          </w:p>
        </w:tc>
        <w:tc>
          <w:tcPr>
            <w:tcW w:w="0" w:type="auto"/>
            <w:tcBorders>
              <w:top w:val="single" w:sz="4" w:space="0" w:color="000000"/>
              <w:bottom w:val="single" w:sz="4" w:space="0" w:color="000000"/>
            </w:tcBorders>
            <w:vAlign w:val="center"/>
          </w:tcPr>
          <w:p w14:paraId="15280954" w14:textId="77777777" w:rsidR="00A74F6E" w:rsidRDefault="00A74F6E" w:rsidP="0010233B">
            <w:pPr>
              <w:spacing w:after="0" w:line="240" w:lineRule="auto"/>
              <w:jc w:val="right"/>
              <w:rPr>
                <w:rFonts w:ascii="Times New Roman" w:eastAsia="Times New Roman" w:hAnsi="Times New Roman" w:cs="Times New Roman"/>
                <w:sz w:val="22"/>
                <w:szCs w:val="22"/>
              </w:rPr>
            </w:pPr>
          </w:p>
        </w:tc>
        <w:tc>
          <w:tcPr>
            <w:tcW w:w="0" w:type="auto"/>
            <w:tcBorders>
              <w:top w:val="single" w:sz="4" w:space="0" w:color="000000"/>
              <w:bottom w:val="single" w:sz="4" w:space="0" w:color="000000"/>
            </w:tcBorders>
            <w:shd w:val="clear" w:color="auto" w:fill="auto"/>
            <w:vAlign w:val="center"/>
          </w:tcPr>
          <w:p w14:paraId="3BFAA9D1" w14:textId="77777777" w:rsidR="00A74F6E" w:rsidRDefault="00A74F6E" w:rsidP="0010233B">
            <w:pPr>
              <w:spacing w:after="0" w:line="24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Regime 1</w:t>
            </w:r>
          </w:p>
          <w:p w14:paraId="1A5189A6" w14:textId="77777777" w:rsidR="00A74F6E" w:rsidRDefault="00A74F6E" w:rsidP="0010233B">
            <w:pPr>
              <w:spacing w:after="0" w:line="240" w:lineRule="auto"/>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n =1467</w:t>
            </w:r>
          </w:p>
        </w:tc>
        <w:tc>
          <w:tcPr>
            <w:tcW w:w="0" w:type="auto"/>
            <w:tcBorders>
              <w:top w:val="single" w:sz="4" w:space="0" w:color="000000"/>
              <w:bottom w:val="single" w:sz="4" w:space="0" w:color="000000"/>
              <w:right w:val="single" w:sz="4" w:space="0" w:color="000000"/>
            </w:tcBorders>
            <w:shd w:val="clear" w:color="auto" w:fill="auto"/>
            <w:vAlign w:val="center"/>
          </w:tcPr>
          <w:p w14:paraId="451A6D29" w14:textId="77777777" w:rsidR="00A74F6E" w:rsidRDefault="00A74F6E" w:rsidP="0010233B">
            <w:pPr>
              <w:spacing w:after="0" w:line="24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Regime 2</w:t>
            </w:r>
          </w:p>
          <w:p w14:paraId="21DA9F27" w14:textId="77777777" w:rsidR="00A74F6E" w:rsidRDefault="00A74F6E" w:rsidP="0010233B">
            <w:pPr>
              <w:spacing w:after="0" w:line="240" w:lineRule="auto"/>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n=4732</w:t>
            </w:r>
          </w:p>
        </w:tc>
        <w:tc>
          <w:tcPr>
            <w:tcW w:w="0" w:type="auto"/>
            <w:tcBorders>
              <w:top w:val="single" w:sz="4" w:space="0" w:color="000000"/>
              <w:left w:val="single" w:sz="4" w:space="0" w:color="000000"/>
              <w:bottom w:val="single" w:sz="4" w:space="0" w:color="000000"/>
            </w:tcBorders>
            <w:shd w:val="clear" w:color="auto" w:fill="auto"/>
            <w:vAlign w:val="center"/>
          </w:tcPr>
          <w:p w14:paraId="5B186C2A" w14:textId="77777777" w:rsidR="00A74F6E" w:rsidRDefault="00A74F6E" w:rsidP="0010233B">
            <w:pPr>
              <w:spacing w:after="0" w:line="240" w:lineRule="auto"/>
              <w:ind w:right="-113"/>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 – Pre</w:t>
            </w:r>
          </w:p>
          <w:p w14:paraId="52FA6EA8" w14:textId="77777777" w:rsidR="00A74F6E" w:rsidRDefault="00A74F6E" w:rsidP="0010233B">
            <w:pPr>
              <w:spacing w:after="0" w:line="240" w:lineRule="auto"/>
              <w:ind w:right="-113"/>
              <w:jc w:val="right"/>
              <w:rPr>
                <w:rFonts w:ascii="Times New Roman" w:eastAsia="Times New Roman" w:hAnsi="Times New Roman" w:cs="Times New Roman"/>
                <w:b/>
                <w:sz w:val="22"/>
                <w:szCs w:val="22"/>
              </w:rPr>
            </w:pPr>
          </w:p>
        </w:tc>
        <w:tc>
          <w:tcPr>
            <w:tcW w:w="0" w:type="auto"/>
            <w:tcBorders>
              <w:top w:val="single" w:sz="4" w:space="0" w:color="000000"/>
              <w:bottom w:val="single" w:sz="4" w:space="0" w:color="000000"/>
            </w:tcBorders>
          </w:tcPr>
          <w:p w14:paraId="6C741658" w14:textId="77777777" w:rsidR="00A74F6E" w:rsidRDefault="00A74F6E" w:rsidP="0010233B">
            <w:pPr>
              <w:spacing w:after="0" w:line="240" w:lineRule="auto"/>
              <w:jc w:val="right"/>
              <w:rPr>
                <w:rFonts w:ascii="Times New Roman" w:eastAsia="Times New Roman" w:hAnsi="Times New Roman" w:cs="Times New Roman"/>
                <w:b/>
                <w:i/>
                <w:sz w:val="22"/>
                <w:szCs w:val="22"/>
              </w:rPr>
            </w:pPr>
          </w:p>
          <w:p w14:paraId="3C8A1CB7" w14:textId="77777777" w:rsidR="00A74F6E" w:rsidRDefault="00A74F6E" w:rsidP="0010233B">
            <w:pPr>
              <w:spacing w:after="0" w:line="240" w:lineRule="auto"/>
              <w:jc w:val="right"/>
              <w:rPr>
                <w:rFonts w:ascii="Times New Roman" w:eastAsia="Times New Roman" w:hAnsi="Times New Roman" w:cs="Times New Roman"/>
                <w:b/>
                <w:i/>
                <w:sz w:val="22"/>
                <w:szCs w:val="22"/>
              </w:rPr>
            </w:pPr>
          </w:p>
        </w:tc>
        <w:tc>
          <w:tcPr>
            <w:tcW w:w="0" w:type="auto"/>
            <w:tcBorders>
              <w:top w:val="single" w:sz="4" w:space="0" w:color="000000"/>
              <w:bottom w:val="single" w:sz="4" w:space="0" w:color="000000"/>
              <w:right w:val="single" w:sz="4" w:space="0" w:color="000000"/>
            </w:tcBorders>
            <w:vAlign w:val="center"/>
          </w:tcPr>
          <w:p w14:paraId="197C5DF1" w14:textId="77777777" w:rsidR="00A74F6E" w:rsidRDefault="00A74F6E" w:rsidP="0010233B">
            <w:pPr>
              <w:spacing w:after="0" w:line="240" w:lineRule="auto"/>
              <w:jc w:val="right"/>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p</w:t>
            </w:r>
            <w:r>
              <w:rPr>
                <w:rFonts w:ascii="Times New Roman" w:eastAsia="Times New Roman" w:hAnsi="Times New Roman" w:cs="Times New Roman"/>
                <w:b/>
                <w:sz w:val="22"/>
                <w:szCs w:val="22"/>
              </w:rPr>
              <w:t>-value</w:t>
            </w:r>
          </w:p>
          <w:p w14:paraId="532CA8A3" w14:textId="77777777" w:rsidR="00A74F6E" w:rsidRDefault="00A74F6E" w:rsidP="0010233B">
            <w:pPr>
              <w:spacing w:after="0" w:line="240" w:lineRule="auto"/>
              <w:jc w:val="right"/>
              <w:rPr>
                <w:rFonts w:ascii="Times New Roman" w:eastAsia="Times New Roman" w:hAnsi="Times New Roman" w:cs="Times New Roman"/>
                <w:b/>
                <w:sz w:val="22"/>
                <w:szCs w:val="22"/>
              </w:rPr>
            </w:pPr>
          </w:p>
        </w:tc>
      </w:tr>
      <w:tr w:rsidR="00A74F6E" w14:paraId="4C9FC300" w14:textId="77777777" w:rsidTr="00C57E6F">
        <w:trPr>
          <w:trHeight w:val="300"/>
        </w:trPr>
        <w:tc>
          <w:tcPr>
            <w:tcW w:w="0" w:type="auto"/>
            <w:tcBorders>
              <w:top w:val="single" w:sz="4" w:space="0" w:color="000000"/>
              <w:left w:val="single" w:sz="4" w:space="0" w:color="000000"/>
              <w:right w:val="single" w:sz="4" w:space="0" w:color="000000"/>
            </w:tcBorders>
            <w:shd w:val="clear" w:color="auto" w:fill="auto"/>
          </w:tcPr>
          <w:p w14:paraId="1F6C500D"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SPDUM1YR</w:t>
            </w:r>
          </w:p>
        </w:tc>
        <w:tc>
          <w:tcPr>
            <w:tcW w:w="0" w:type="auto"/>
            <w:tcBorders>
              <w:top w:val="single" w:sz="4" w:space="0" w:color="000000"/>
              <w:left w:val="single" w:sz="4" w:space="0" w:color="000000"/>
            </w:tcBorders>
            <w:vAlign w:val="center"/>
          </w:tcPr>
          <w:p w14:paraId="1947CD47"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tcBorders>
              <w:top w:val="single" w:sz="4" w:space="0" w:color="000000"/>
            </w:tcBorders>
            <w:shd w:val="clear" w:color="auto" w:fill="auto"/>
            <w:vAlign w:val="center"/>
          </w:tcPr>
          <w:p w14:paraId="729AEC5D"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0.157</w:t>
            </w:r>
          </w:p>
        </w:tc>
        <w:tc>
          <w:tcPr>
            <w:tcW w:w="0" w:type="auto"/>
            <w:tcBorders>
              <w:top w:val="single" w:sz="4" w:space="0" w:color="000000"/>
              <w:right w:val="single" w:sz="4" w:space="0" w:color="000000"/>
            </w:tcBorders>
            <w:shd w:val="clear" w:color="auto" w:fill="auto"/>
            <w:vAlign w:val="center"/>
          </w:tcPr>
          <w:p w14:paraId="3C6AA83E"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0.378</w:t>
            </w:r>
          </w:p>
        </w:tc>
        <w:tc>
          <w:tcPr>
            <w:tcW w:w="0" w:type="auto"/>
            <w:tcBorders>
              <w:top w:val="single" w:sz="4" w:space="0" w:color="000000"/>
              <w:left w:val="single" w:sz="4" w:space="0" w:color="000000"/>
            </w:tcBorders>
            <w:shd w:val="clear" w:color="auto" w:fill="auto"/>
            <w:vAlign w:val="center"/>
          </w:tcPr>
          <w:p w14:paraId="62C5211F"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0.221</w:t>
            </w:r>
          </w:p>
        </w:tc>
        <w:tc>
          <w:tcPr>
            <w:tcW w:w="0" w:type="auto"/>
            <w:tcBorders>
              <w:top w:val="single" w:sz="4" w:space="0" w:color="000000"/>
              <w:left w:val="nil"/>
            </w:tcBorders>
            <w:vAlign w:val="center"/>
          </w:tcPr>
          <w:p w14:paraId="3F9490DB" w14:textId="77777777" w:rsidR="00A74F6E" w:rsidRPr="006C1BB7" w:rsidRDefault="00A74F6E" w:rsidP="0010233B">
            <w:pPr>
              <w:spacing w:after="0" w:line="240" w:lineRule="auto"/>
              <w:jc w:val="right"/>
              <w:rPr>
                <w:rFonts w:ascii="Times New Roman" w:eastAsia="Times New Roman" w:hAnsi="Times New Roman" w:cs="Times New Roman"/>
                <w:b/>
              </w:rPr>
            </w:pPr>
          </w:p>
        </w:tc>
        <w:tc>
          <w:tcPr>
            <w:tcW w:w="0" w:type="auto"/>
            <w:tcBorders>
              <w:top w:val="single" w:sz="4" w:space="0" w:color="000000"/>
              <w:right w:val="single" w:sz="4" w:space="0" w:color="000000"/>
            </w:tcBorders>
            <w:vAlign w:val="center"/>
          </w:tcPr>
          <w:p w14:paraId="4185FF4B"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0.000</w:t>
            </w:r>
          </w:p>
        </w:tc>
      </w:tr>
      <w:tr w:rsidR="00A74F6E" w14:paraId="18F70593" w14:textId="77777777" w:rsidTr="00C57E6F">
        <w:trPr>
          <w:trHeight w:val="300"/>
        </w:trPr>
        <w:tc>
          <w:tcPr>
            <w:tcW w:w="0" w:type="auto"/>
            <w:tcBorders>
              <w:left w:val="single" w:sz="4" w:space="0" w:color="000000"/>
              <w:right w:val="single" w:sz="4" w:space="0" w:color="000000"/>
            </w:tcBorders>
            <w:shd w:val="clear" w:color="auto" w:fill="auto"/>
          </w:tcPr>
          <w:p w14:paraId="2808C047"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72C51F22"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0F48562A"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0.000</w:t>
            </w:r>
          </w:p>
        </w:tc>
        <w:tc>
          <w:tcPr>
            <w:tcW w:w="0" w:type="auto"/>
            <w:tcBorders>
              <w:right w:val="single" w:sz="4" w:space="0" w:color="000000"/>
            </w:tcBorders>
            <w:shd w:val="clear" w:color="auto" w:fill="auto"/>
            <w:vAlign w:val="center"/>
          </w:tcPr>
          <w:p w14:paraId="651E31A4"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0.000</w:t>
            </w:r>
          </w:p>
        </w:tc>
        <w:tc>
          <w:tcPr>
            <w:tcW w:w="0" w:type="auto"/>
            <w:tcBorders>
              <w:left w:val="single" w:sz="4" w:space="0" w:color="000000"/>
            </w:tcBorders>
            <w:shd w:val="clear" w:color="auto" w:fill="auto"/>
            <w:vAlign w:val="center"/>
          </w:tcPr>
          <w:p w14:paraId="52635D1C" w14:textId="77777777" w:rsidR="00A74F6E" w:rsidRPr="006C1BB7" w:rsidRDefault="00A74F6E" w:rsidP="0010233B">
            <w:pPr>
              <w:spacing w:after="0" w:line="240" w:lineRule="auto"/>
              <w:ind w:right="-113"/>
              <w:jc w:val="right"/>
              <w:rPr>
                <w:rFonts w:ascii="Times New Roman" w:eastAsia="Times New Roman" w:hAnsi="Times New Roman" w:cs="Times New Roman"/>
                <w:i/>
              </w:rPr>
            </w:pPr>
            <w:r w:rsidRPr="006C1BB7">
              <w:rPr>
                <w:rFonts w:ascii="Times New Roman" w:hAnsi="Times New Roman" w:cs="Times New Roman"/>
              </w:rPr>
              <w:t>0.000</w:t>
            </w:r>
          </w:p>
        </w:tc>
        <w:tc>
          <w:tcPr>
            <w:tcW w:w="0" w:type="auto"/>
            <w:tcBorders>
              <w:left w:val="nil"/>
            </w:tcBorders>
            <w:vAlign w:val="center"/>
          </w:tcPr>
          <w:p w14:paraId="48F7D0AA"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r w:rsidRPr="006C1BB7">
              <w:rPr>
                <w:rFonts w:ascii="Times New Roman" w:hAnsi="Times New Roman" w:cs="Times New Roman"/>
              </w:rPr>
              <w:t>+</w:t>
            </w:r>
          </w:p>
        </w:tc>
        <w:tc>
          <w:tcPr>
            <w:tcW w:w="0" w:type="auto"/>
            <w:tcBorders>
              <w:right w:val="single" w:sz="4" w:space="0" w:color="000000"/>
            </w:tcBorders>
            <w:vAlign w:val="center"/>
          </w:tcPr>
          <w:p w14:paraId="660CED43" w14:textId="77777777" w:rsidR="00A74F6E" w:rsidRPr="006C1BB7" w:rsidRDefault="00A74F6E" w:rsidP="0010233B">
            <w:pPr>
              <w:spacing w:after="0" w:line="240" w:lineRule="auto"/>
              <w:jc w:val="right"/>
              <w:rPr>
                <w:rFonts w:ascii="Times New Roman" w:eastAsia="Times New Roman" w:hAnsi="Times New Roman" w:cs="Times New Roman"/>
                <w:b/>
                <w:bCs/>
                <w:i/>
              </w:rPr>
            </w:pPr>
            <w:r w:rsidRPr="006C1BB7">
              <w:rPr>
                <w:rFonts w:ascii="Times New Roman" w:hAnsi="Times New Roman" w:cs="Times New Roman"/>
                <w:b/>
                <w:bCs/>
              </w:rPr>
              <w:t>0.000</w:t>
            </w:r>
          </w:p>
        </w:tc>
      </w:tr>
      <w:tr w:rsidR="00A74F6E" w14:paraId="46A157B6" w14:textId="77777777" w:rsidTr="00C57E6F">
        <w:trPr>
          <w:trHeight w:val="300"/>
        </w:trPr>
        <w:tc>
          <w:tcPr>
            <w:tcW w:w="0" w:type="auto"/>
            <w:tcBorders>
              <w:left w:val="single" w:sz="4" w:space="0" w:color="000000"/>
              <w:right w:val="single" w:sz="4" w:space="0" w:color="000000"/>
            </w:tcBorders>
            <w:shd w:val="clear" w:color="auto" w:fill="auto"/>
          </w:tcPr>
          <w:p w14:paraId="579D90E6"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SPDUM2YR</w:t>
            </w:r>
          </w:p>
        </w:tc>
        <w:tc>
          <w:tcPr>
            <w:tcW w:w="0" w:type="auto"/>
            <w:tcBorders>
              <w:left w:val="single" w:sz="4" w:space="0" w:color="000000"/>
            </w:tcBorders>
            <w:vAlign w:val="center"/>
          </w:tcPr>
          <w:p w14:paraId="52CC9FBF"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0F193436"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0.081</w:t>
            </w:r>
          </w:p>
        </w:tc>
        <w:tc>
          <w:tcPr>
            <w:tcW w:w="0" w:type="auto"/>
            <w:tcBorders>
              <w:right w:val="single" w:sz="4" w:space="0" w:color="000000"/>
            </w:tcBorders>
            <w:shd w:val="clear" w:color="auto" w:fill="auto"/>
            <w:vAlign w:val="center"/>
          </w:tcPr>
          <w:p w14:paraId="54F4BC94"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0.266</w:t>
            </w:r>
          </w:p>
        </w:tc>
        <w:tc>
          <w:tcPr>
            <w:tcW w:w="0" w:type="auto"/>
            <w:tcBorders>
              <w:left w:val="single" w:sz="4" w:space="0" w:color="000000"/>
            </w:tcBorders>
            <w:shd w:val="clear" w:color="auto" w:fill="auto"/>
            <w:vAlign w:val="center"/>
          </w:tcPr>
          <w:p w14:paraId="4BF3661D"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0.185</w:t>
            </w:r>
          </w:p>
        </w:tc>
        <w:tc>
          <w:tcPr>
            <w:tcW w:w="0" w:type="auto"/>
            <w:tcBorders>
              <w:left w:val="nil"/>
            </w:tcBorders>
            <w:vAlign w:val="center"/>
          </w:tcPr>
          <w:p w14:paraId="53A13309"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p>
        </w:tc>
        <w:tc>
          <w:tcPr>
            <w:tcW w:w="0" w:type="auto"/>
            <w:tcBorders>
              <w:right w:val="single" w:sz="4" w:space="0" w:color="000000"/>
            </w:tcBorders>
            <w:vAlign w:val="center"/>
          </w:tcPr>
          <w:p w14:paraId="6A2FCB91"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0.000</w:t>
            </w:r>
          </w:p>
        </w:tc>
      </w:tr>
      <w:tr w:rsidR="00A74F6E" w14:paraId="547A3F52" w14:textId="77777777" w:rsidTr="00C57E6F">
        <w:trPr>
          <w:trHeight w:val="300"/>
        </w:trPr>
        <w:tc>
          <w:tcPr>
            <w:tcW w:w="0" w:type="auto"/>
            <w:tcBorders>
              <w:left w:val="single" w:sz="4" w:space="0" w:color="000000"/>
              <w:right w:val="single" w:sz="4" w:space="0" w:color="000000"/>
            </w:tcBorders>
            <w:shd w:val="clear" w:color="auto" w:fill="auto"/>
          </w:tcPr>
          <w:p w14:paraId="36AEB962"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680ABD64"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7F108888"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0.000</w:t>
            </w:r>
          </w:p>
        </w:tc>
        <w:tc>
          <w:tcPr>
            <w:tcW w:w="0" w:type="auto"/>
            <w:tcBorders>
              <w:right w:val="single" w:sz="4" w:space="0" w:color="000000"/>
            </w:tcBorders>
            <w:shd w:val="clear" w:color="auto" w:fill="auto"/>
            <w:vAlign w:val="center"/>
          </w:tcPr>
          <w:p w14:paraId="3852B621"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0.000</w:t>
            </w:r>
          </w:p>
        </w:tc>
        <w:tc>
          <w:tcPr>
            <w:tcW w:w="0" w:type="auto"/>
            <w:tcBorders>
              <w:left w:val="single" w:sz="4" w:space="0" w:color="000000"/>
            </w:tcBorders>
            <w:shd w:val="clear" w:color="auto" w:fill="auto"/>
            <w:vAlign w:val="center"/>
          </w:tcPr>
          <w:p w14:paraId="5821D90B" w14:textId="77777777" w:rsidR="00A74F6E" w:rsidRPr="006C1BB7" w:rsidRDefault="00A74F6E" w:rsidP="0010233B">
            <w:pPr>
              <w:spacing w:after="0" w:line="240" w:lineRule="auto"/>
              <w:ind w:right="-113"/>
              <w:jc w:val="right"/>
              <w:rPr>
                <w:rFonts w:ascii="Times New Roman" w:eastAsia="Times New Roman" w:hAnsi="Times New Roman" w:cs="Times New Roman"/>
                <w:i/>
              </w:rPr>
            </w:pPr>
            <w:r w:rsidRPr="006C1BB7">
              <w:rPr>
                <w:rFonts w:ascii="Times New Roman" w:hAnsi="Times New Roman" w:cs="Times New Roman"/>
              </w:rPr>
              <w:t>0.000</w:t>
            </w:r>
          </w:p>
        </w:tc>
        <w:tc>
          <w:tcPr>
            <w:tcW w:w="0" w:type="auto"/>
            <w:tcBorders>
              <w:left w:val="nil"/>
            </w:tcBorders>
            <w:vAlign w:val="center"/>
          </w:tcPr>
          <w:p w14:paraId="259058A9"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r w:rsidRPr="006C1BB7">
              <w:rPr>
                <w:rFonts w:ascii="Times New Roman" w:hAnsi="Times New Roman" w:cs="Times New Roman"/>
              </w:rPr>
              <w:t>+</w:t>
            </w:r>
          </w:p>
        </w:tc>
        <w:tc>
          <w:tcPr>
            <w:tcW w:w="0" w:type="auto"/>
            <w:tcBorders>
              <w:right w:val="single" w:sz="4" w:space="0" w:color="000000"/>
            </w:tcBorders>
            <w:vAlign w:val="center"/>
          </w:tcPr>
          <w:p w14:paraId="2DA600D2" w14:textId="77777777" w:rsidR="00A74F6E" w:rsidRPr="006C1BB7" w:rsidRDefault="00A74F6E" w:rsidP="0010233B">
            <w:pPr>
              <w:spacing w:after="0" w:line="240" w:lineRule="auto"/>
              <w:jc w:val="right"/>
              <w:rPr>
                <w:rFonts w:ascii="Times New Roman" w:eastAsia="Times New Roman" w:hAnsi="Times New Roman" w:cs="Times New Roman"/>
                <w:b/>
                <w:bCs/>
                <w:i/>
              </w:rPr>
            </w:pPr>
            <w:r w:rsidRPr="006C1BB7">
              <w:rPr>
                <w:rFonts w:ascii="Times New Roman" w:hAnsi="Times New Roman" w:cs="Times New Roman"/>
                <w:b/>
                <w:bCs/>
              </w:rPr>
              <w:t>0.000</w:t>
            </w:r>
          </w:p>
        </w:tc>
      </w:tr>
      <w:tr w:rsidR="00A74F6E" w14:paraId="7E7479BC" w14:textId="77777777" w:rsidTr="00C57E6F">
        <w:trPr>
          <w:trHeight w:val="300"/>
        </w:trPr>
        <w:tc>
          <w:tcPr>
            <w:tcW w:w="0" w:type="auto"/>
            <w:tcBorders>
              <w:left w:val="single" w:sz="4" w:space="0" w:color="000000"/>
              <w:right w:val="single" w:sz="4" w:space="0" w:color="000000"/>
            </w:tcBorders>
            <w:shd w:val="clear" w:color="auto" w:fill="auto"/>
          </w:tcPr>
          <w:p w14:paraId="70DC0E1E"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SP/RE</w:t>
            </w:r>
          </w:p>
        </w:tc>
        <w:tc>
          <w:tcPr>
            <w:tcW w:w="0" w:type="auto"/>
            <w:tcBorders>
              <w:left w:val="single" w:sz="4" w:space="0" w:color="000000"/>
            </w:tcBorders>
            <w:vAlign w:val="center"/>
          </w:tcPr>
          <w:p w14:paraId="4516933A"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0E1AFB81"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0.018</w:t>
            </w:r>
          </w:p>
        </w:tc>
        <w:tc>
          <w:tcPr>
            <w:tcW w:w="0" w:type="auto"/>
            <w:tcBorders>
              <w:right w:val="single" w:sz="4" w:space="0" w:color="000000"/>
            </w:tcBorders>
            <w:shd w:val="clear" w:color="auto" w:fill="auto"/>
            <w:vAlign w:val="center"/>
          </w:tcPr>
          <w:p w14:paraId="3C2F38C3"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0.026</w:t>
            </w:r>
          </w:p>
        </w:tc>
        <w:tc>
          <w:tcPr>
            <w:tcW w:w="0" w:type="auto"/>
            <w:tcBorders>
              <w:left w:val="single" w:sz="4" w:space="0" w:color="000000"/>
            </w:tcBorders>
            <w:shd w:val="clear" w:color="auto" w:fill="auto"/>
            <w:vAlign w:val="center"/>
          </w:tcPr>
          <w:p w14:paraId="7AA173D1"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0.008</w:t>
            </w:r>
          </w:p>
        </w:tc>
        <w:tc>
          <w:tcPr>
            <w:tcW w:w="0" w:type="auto"/>
            <w:tcBorders>
              <w:left w:val="nil"/>
            </w:tcBorders>
            <w:vAlign w:val="center"/>
          </w:tcPr>
          <w:p w14:paraId="1EE5171B"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p>
        </w:tc>
        <w:tc>
          <w:tcPr>
            <w:tcW w:w="0" w:type="auto"/>
            <w:tcBorders>
              <w:right w:val="single" w:sz="4" w:space="0" w:color="000000"/>
            </w:tcBorders>
            <w:vAlign w:val="center"/>
          </w:tcPr>
          <w:p w14:paraId="55B43C27"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0.061</w:t>
            </w:r>
          </w:p>
        </w:tc>
      </w:tr>
      <w:tr w:rsidR="00A74F6E" w14:paraId="5AB7495C" w14:textId="77777777" w:rsidTr="00C57E6F">
        <w:trPr>
          <w:trHeight w:val="300"/>
        </w:trPr>
        <w:tc>
          <w:tcPr>
            <w:tcW w:w="0" w:type="auto"/>
            <w:tcBorders>
              <w:left w:val="single" w:sz="4" w:space="0" w:color="000000"/>
              <w:right w:val="single" w:sz="4" w:space="0" w:color="000000"/>
            </w:tcBorders>
            <w:shd w:val="clear" w:color="auto" w:fill="auto"/>
          </w:tcPr>
          <w:p w14:paraId="556F0BC5"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202362C1"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089045F5"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right w:val="single" w:sz="4" w:space="0" w:color="000000"/>
            </w:tcBorders>
            <w:shd w:val="clear" w:color="auto" w:fill="auto"/>
            <w:vAlign w:val="center"/>
          </w:tcPr>
          <w:p w14:paraId="21D87231"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single" w:sz="4" w:space="0" w:color="000000"/>
            </w:tcBorders>
            <w:shd w:val="clear" w:color="auto" w:fill="auto"/>
            <w:vAlign w:val="center"/>
          </w:tcPr>
          <w:p w14:paraId="07A17F65"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nil"/>
            </w:tcBorders>
            <w:vAlign w:val="center"/>
          </w:tcPr>
          <w:p w14:paraId="59A10501"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r w:rsidRPr="006C1BB7">
              <w:rPr>
                <w:rFonts w:ascii="Times New Roman" w:hAnsi="Times New Roman" w:cs="Times New Roman"/>
              </w:rPr>
              <w:t>+</w:t>
            </w:r>
          </w:p>
        </w:tc>
        <w:tc>
          <w:tcPr>
            <w:tcW w:w="0" w:type="auto"/>
            <w:tcBorders>
              <w:right w:val="single" w:sz="4" w:space="0" w:color="000000"/>
            </w:tcBorders>
            <w:vAlign w:val="center"/>
          </w:tcPr>
          <w:p w14:paraId="1149E3DD"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0.000</w:t>
            </w:r>
          </w:p>
        </w:tc>
      </w:tr>
      <w:tr w:rsidR="00A74F6E" w14:paraId="4C663D71" w14:textId="77777777" w:rsidTr="00C57E6F">
        <w:trPr>
          <w:trHeight w:val="300"/>
        </w:trPr>
        <w:tc>
          <w:tcPr>
            <w:tcW w:w="0" w:type="auto"/>
            <w:tcBorders>
              <w:left w:val="single" w:sz="4" w:space="0" w:color="000000"/>
              <w:right w:val="single" w:sz="4" w:space="0" w:color="000000"/>
            </w:tcBorders>
            <w:shd w:val="clear" w:color="auto" w:fill="auto"/>
          </w:tcPr>
          <w:p w14:paraId="4486317A"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SP/NI</w:t>
            </w:r>
          </w:p>
        </w:tc>
        <w:tc>
          <w:tcPr>
            <w:tcW w:w="0" w:type="auto"/>
            <w:tcBorders>
              <w:left w:val="single" w:sz="4" w:space="0" w:color="000000"/>
            </w:tcBorders>
            <w:vAlign w:val="center"/>
          </w:tcPr>
          <w:p w14:paraId="6B24F41A"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03B58109"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0.089</w:t>
            </w:r>
          </w:p>
        </w:tc>
        <w:tc>
          <w:tcPr>
            <w:tcW w:w="0" w:type="auto"/>
            <w:tcBorders>
              <w:right w:val="single" w:sz="4" w:space="0" w:color="000000"/>
            </w:tcBorders>
            <w:shd w:val="clear" w:color="auto" w:fill="auto"/>
            <w:vAlign w:val="center"/>
          </w:tcPr>
          <w:p w14:paraId="6523E5D9"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0.109</w:t>
            </w:r>
          </w:p>
        </w:tc>
        <w:tc>
          <w:tcPr>
            <w:tcW w:w="0" w:type="auto"/>
            <w:tcBorders>
              <w:left w:val="single" w:sz="4" w:space="0" w:color="000000"/>
            </w:tcBorders>
            <w:shd w:val="clear" w:color="auto" w:fill="auto"/>
            <w:vAlign w:val="center"/>
          </w:tcPr>
          <w:p w14:paraId="2D359CC9"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0.020</w:t>
            </w:r>
          </w:p>
        </w:tc>
        <w:tc>
          <w:tcPr>
            <w:tcW w:w="0" w:type="auto"/>
            <w:tcBorders>
              <w:left w:val="nil"/>
            </w:tcBorders>
            <w:vAlign w:val="center"/>
          </w:tcPr>
          <w:p w14:paraId="7CCC9485" w14:textId="77777777" w:rsidR="00A74F6E" w:rsidRPr="006C1BB7" w:rsidRDefault="00A74F6E" w:rsidP="0010233B">
            <w:pPr>
              <w:spacing w:after="0" w:line="240" w:lineRule="auto"/>
              <w:ind w:left="-113"/>
              <w:rPr>
                <w:rFonts w:ascii="Times New Roman" w:eastAsia="Times New Roman" w:hAnsi="Times New Roman" w:cs="Times New Roman"/>
                <w:vertAlign w:val="superscript"/>
              </w:rPr>
            </w:pPr>
          </w:p>
        </w:tc>
        <w:tc>
          <w:tcPr>
            <w:tcW w:w="0" w:type="auto"/>
            <w:tcBorders>
              <w:right w:val="single" w:sz="4" w:space="0" w:color="000000"/>
            </w:tcBorders>
            <w:vAlign w:val="center"/>
          </w:tcPr>
          <w:p w14:paraId="4F6AB9C9" w14:textId="77777777" w:rsidR="00A74F6E" w:rsidRPr="007276F8" w:rsidRDefault="00A74F6E" w:rsidP="0010233B">
            <w:pPr>
              <w:spacing w:after="0" w:line="240" w:lineRule="auto"/>
              <w:jc w:val="right"/>
              <w:rPr>
                <w:rFonts w:ascii="Times New Roman" w:eastAsia="Times New Roman" w:hAnsi="Times New Roman" w:cs="Times New Roman"/>
                <w:b/>
                <w:bCs/>
              </w:rPr>
            </w:pPr>
            <w:r w:rsidRPr="007276F8">
              <w:rPr>
                <w:rFonts w:ascii="Times New Roman" w:hAnsi="Times New Roman" w:cs="Times New Roman"/>
                <w:b/>
                <w:bCs/>
              </w:rPr>
              <w:t>0.093</w:t>
            </w:r>
          </w:p>
        </w:tc>
      </w:tr>
      <w:tr w:rsidR="00A74F6E" w14:paraId="154801AE" w14:textId="77777777" w:rsidTr="00C57E6F">
        <w:trPr>
          <w:trHeight w:val="300"/>
        </w:trPr>
        <w:tc>
          <w:tcPr>
            <w:tcW w:w="0" w:type="auto"/>
            <w:tcBorders>
              <w:left w:val="single" w:sz="4" w:space="0" w:color="000000"/>
              <w:right w:val="single" w:sz="4" w:space="0" w:color="000000"/>
            </w:tcBorders>
            <w:shd w:val="clear" w:color="auto" w:fill="auto"/>
          </w:tcPr>
          <w:p w14:paraId="095007B3"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5E4403DD"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72552B12"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right w:val="single" w:sz="4" w:space="0" w:color="000000"/>
            </w:tcBorders>
            <w:shd w:val="clear" w:color="auto" w:fill="auto"/>
            <w:vAlign w:val="center"/>
          </w:tcPr>
          <w:p w14:paraId="4862400F"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single" w:sz="4" w:space="0" w:color="000000"/>
            </w:tcBorders>
            <w:shd w:val="clear" w:color="auto" w:fill="auto"/>
            <w:vAlign w:val="center"/>
          </w:tcPr>
          <w:p w14:paraId="7C40564A"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nil"/>
            </w:tcBorders>
            <w:vAlign w:val="center"/>
          </w:tcPr>
          <w:p w14:paraId="4B3B42BA"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r w:rsidRPr="006C1BB7">
              <w:rPr>
                <w:rFonts w:ascii="Times New Roman" w:hAnsi="Times New Roman" w:cs="Times New Roman"/>
              </w:rPr>
              <w:t>+</w:t>
            </w:r>
          </w:p>
        </w:tc>
        <w:tc>
          <w:tcPr>
            <w:tcW w:w="0" w:type="auto"/>
            <w:tcBorders>
              <w:right w:val="single" w:sz="4" w:space="0" w:color="000000"/>
            </w:tcBorders>
            <w:vAlign w:val="center"/>
          </w:tcPr>
          <w:p w14:paraId="3B7BBE80" w14:textId="77777777" w:rsidR="00A74F6E" w:rsidRPr="007276F8" w:rsidRDefault="00A74F6E" w:rsidP="0010233B">
            <w:pPr>
              <w:spacing w:after="0" w:line="240" w:lineRule="auto"/>
              <w:jc w:val="right"/>
              <w:rPr>
                <w:rFonts w:ascii="Times New Roman" w:eastAsia="Times New Roman" w:hAnsi="Times New Roman" w:cs="Times New Roman"/>
                <w:b/>
                <w:bCs/>
              </w:rPr>
            </w:pPr>
            <w:r w:rsidRPr="007276F8">
              <w:rPr>
                <w:rFonts w:ascii="Times New Roman" w:hAnsi="Times New Roman" w:cs="Times New Roman"/>
                <w:b/>
                <w:bCs/>
              </w:rPr>
              <w:t>0.000</w:t>
            </w:r>
          </w:p>
        </w:tc>
      </w:tr>
      <w:tr w:rsidR="00A74F6E" w14:paraId="0C607D4F" w14:textId="77777777" w:rsidTr="00C57E6F">
        <w:trPr>
          <w:trHeight w:val="300"/>
        </w:trPr>
        <w:tc>
          <w:tcPr>
            <w:tcW w:w="0" w:type="auto"/>
            <w:tcBorders>
              <w:left w:val="single" w:sz="4" w:space="0" w:color="000000"/>
              <w:right w:val="single" w:sz="4" w:space="0" w:color="000000"/>
            </w:tcBorders>
            <w:shd w:val="clear" w:color="auto" w:fill="auto"/>
          </w:tcPr>
          <w:p w14:paraId="06752723"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i/>
              </w:rPr>
              <w:t>SP/TOTALPAY</w:t>
            </w:r>
          </w:p>
        </w:tc>
        <w:tc>
          <w:tcPr>
            <w:tcW w:w="0" w:type="auto"/>
            <w:tcBorders>
              <w:left w:val="single" w:sz="4" w:space="0" w:color="000000"/>
            </w:tcBorders>
            <w:vAlign w:val="center"/>
          </w:tcPr>
          <w:p w14:paraId="576B22A9"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441D8908"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0.081</w:t>
            </w:r>
          </w:p>
        </w:tc>
        <w:tc>
          <w:tcPr>
            <w:tcW w:w="0" w:type="auto"/>
            <w:tcBorders>
              <w:right w:val="single" w:sz="4" w:space="0" w:color="000000"/>
            </w:tcBorders>
            <w:shd w:val="clear" w:color="auto" w:fill="auto"/>
            <w:vAlign w:val="center"/>
          </w:tcPr>
          <w:p w14:paraId="3C1ED75E"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0.142</w:t>
            </w:r>
          </w:p>
        </w:tc>
        <w:tc>
          <w:tcPr>
            <w:tcW w:w="0" w:type="auto"/>
            <w:tcBorders>
              <w:left w:val="single" w:sz="4" w:space="0" w:color="000000"/>
            </w:tcBorders>
            <w:shd w:val="clear" w:color="auto" w:fill="auto"/>
            <w:vAlign w:val="center"/>
          </w:tcPr>
          <w:p w14:paraId="0638F45D"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0.060</w:t>
            </w:r>
          </w:p>
        </w:tc>
        <w:tc>
          <w:tcPr>
            <w:tcW w:w="0" w:type="auto"/>
            <w:tcBorders>
              <w:left w:val="nil"/>
            </w:tcBorders>
            <w:vAlign w:val="center"/>
          </w:tcPr>
          <w:p w14:paraId="520344A3"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p>
        </w:tc>
        <w:tc>
          <w:tcPr>
            <w:tcW w:w="0" w:type="auto"/>
            <w:tcBorders>
              <w:right w:val="single" w:sz="4" w:space="0" w:color="000000"/>
            </w:tcBorders>
            <w:vAlign w:val="center"/>
          </w:tcPr>
          <w:p w14:paraId="626D0B89"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0.000</w:t>
            </w:r>
          </w:p>
        </w:tc>
      </w:tr>
      <w:tr w:rsidR="00A74F6E" w14:paraId="63A95CFE" w14:textId="77777777" w:rsidTr="00C57E6F">
        <w:trPr>
          <w:trHeight w:val="300"/>
        </w:trPr>
        <w:tc>
          <w:tcPr>
            <w:tcW w:w="0" w:type="auto"/>
            <w:tcBorders>
              <w:left w:val="single" w:sz="4" w:space="0" w:color="000000"/>
              <w:right w:val="single" w:sz="4" w:space="0" w:color="000000"/>
            </w:tcBorders>
            <w:shd w:val="clear" w:color="auto" w:fill="auto"/>
          </w:tcPr>
          <w:p w14:paraId="6CB400CF" w14:textId="77777777" w:rsidR="00A74F6E" w:rsidRDefault="00A74F6E" w:rsidP="0010233B">
            <w:pPr>
              <w:spacing w:after="0" w:line="240" w:lineRule="auto"/>
              <w:rPr>
                <w:rFonts w:ascii="Times New Roman" w:eastAsia="Times New Roman" w:hAnsi="Times New Roman" w:cs="Times New Roman"/>
                <w:sz w:val="22"/>
                <w:szCs w:val="22"/>
              </w:rPr>
            </w:pPr>
          </w:p>
        </w:tc>
        <w:tc>
          <w:tcPr>
            <w:tcW w:w="0" w:type="auto"/>
            <w:tcBorders>
              <w:left w:val="single" w:sz="4" w:space="0" w:color="000000"/>
            </w:tcBorders>
            <w:vAlign w:val="center"/>
          </w:tcPr>
          <w:p w14:paraId="508FFF7B"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3F48FC4F"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right w:val="single" w:sz="4" w:space="0" w:color="000000"/>
            </w:tcBorders>
            <w:shd w:val="clear" w:color="auto" w:fill="auto"/>
            <w:vAlign w:val="center"/>
          </w:tcPr>
          <w:p w14:paraId="6E042861"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single" w:sz="4" w:space="0" w:color="000000"/>
            </w:tcBorders>
            <w:shd w:val="clear" w:color="auto" w:fill="auto"/>
            <w:vAlign w:val="center"/>
          </w:tcPr>
          <w:p w14:paraId="308E0E98"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nil"/>
            </w:tcBorders>
            <w:vAlign w:val="center"/>
          </w:tcPr>
          <w:p w14:paraId="54D2B2B6"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r>
              <w:rPr>
                <w:rFonts w:ascii="Times New Roman" w:eastAsia="Times New Roman" w:hAnsi="Times New Roman" w:cs="Times New Roman"/>
                <w:b/>
                <w:vertAlign w:val="superscript"/>
              </w:rPr>
              <w:t>+</w:t>
            </w:r>
          </w:p>
        </w:tc>
        <w:tc>
          <w:tcPr>
            <w:tcW w:w="0" w:type="auto"/>
            <w:tcBorders>
              <w:right w:val="single" w:sz="4" w:space="0" w:color="000000"/>
            </w:tcBorders>
            <w:vAlign w:val="center"/>
          </w:tcPr>
          <w:p w14:paraId="321ED3A0"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0.000</w:t>
            </w:r>
          </w:p>
        </w:tc>
      </w:tr>
      <w:tr w:rsidR="00A74F6E" w14:paraId="056CDD31" w14:textId="77777777" w:rsidTr="00C57E6F">
        <w:trPr>
          <w:trHeight w:val="300"/>
        </w:trPr>
        <w:tc>
          <w:tcPr>
            <w:tcW w:w="0" w:type="auto"/>
            <w:tcBorders>
              <w:left w:val="single" w:sz="4" w:space="0" w:color="000000"/>
              <w:right w:val="single" w:sz="4" w:space="0" w:color="000000"/>
            </w:tcBorders>
            <w:shd w:val="clear" w:color="auto" w:fill="auto"/>
          </w:tcPr>
          <w:p w14:paraId="73615B21"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DIVDUM1YR</w:t>
            </w:r>
          </w:p>
        </w:tc>
        <w:tc>
          <w:tcPr>
            <w:tcW w:w="0" w:type="auto"/>
            <w:tcBorders>
              <w:left w:val="single" w:sz="4" w:space="0" w:color="000000"/>
            </w:tcBorders>
            <w:vAlign w:val="center"/>
          </w:tcPr>
          <w:p w14:paraId="78F1FF8A"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76E54964"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0.823</w:t>
            </w:r>
          </w:p>
        </w:tc>
        <w:tc>
          <w:tcPr>
            <w:tcW w:w="0" w:type="auto"/>
            <w:tcBorders>
              <w:right w:val="single" w:sz="4" w:space="0" w:color="000000"/>
            </w:tcBorders>
            <w:shd w:val="clear" w:color="auto" w:fill="auto"/>
            <w:vAlign w:val="center"/>
          </w:tcPr>
          <w:p w14:paraId="553D6FB2"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0.810</w:t>
            </w:r>
          </w:p>
        </w:tc>
        <w:tc>
          <w:tcPr>
            <w:tcW w:w="0" w:type="auto"/>
            <w:tcBorders>
              <w:left w:val="single" w:sz="4" w:space="0" w:color="000000"/>
            </w:tcBorders>
            <w:shd w:val="clear" w:color="auto" w:fill="auto"/>
            <w:vAlign w:val="center"/>
          </w:tcPr>
          <w:p w14:paraId="30F2EEEF"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-0.014</w:t>
            </w:r>
          </w:p>
        </w:tc>
        <w:tc>
          <w:tcPr>
            <w:tcW w:w="0" w:type="auto"/>
            <w:tcBorders>
              <w:left w:val="nil"/>
            </w:tcBorders>
            <w:vAlign w:val="center"/>
          </w:tcPr>
          <w:p w14:paraId="72C5168C" w14:textId="77777777" w:rsidR="00A74F6E" w:rsidRPr="006C1BB7" w:rsidRDefault="00A74F6E" w:rsidP="0010233B">
            <w:pPr>
              <w:spacing w:after="0" w:line="240" w:lineRule="auto"/>
              <w:ind w:left="-113"/>
              <w:rPr>
                <w:rFonts w:ascii="Times New Roman" w:eastAsia="Times New Roman" w:hAnsi="Times New Roman" w:cs="Times New Roman"/>
                <w:vertAlign w:val="superscript"/>
              </w:rPr>
            </w:pPr>
          </w:p>
        </w:tc>
        <w:tc>
          <w:tcPr>
            <w:tcW w:w="0" w:type="auto"/>
            <w:tcBorders>
              <w:right w:val="single" w:sz="4" w:space="0" w:color="000000"/>
            </w:tcBorders>
            <w:vAlign w:val="center"/>
          </w:tcPr>
          <w:p w14:paraId="0DFEDCE4" w14:textId="77777777" w:rsidR="00A74F6E" w:rsidRPr="006C1BB7" w:rsidRDefault="00A74F6E" w:rsidP="0010233B">
            <w:pPr>
              <w:spacing w:after="0" w:line="240" w:lineRule="auto"/>
              <w:jc w:val="right"/>
              <w:rPr>
                <w:rFonts w:ascii="Times New Roman" w:eastAsia="Times New Roman" w:hAnsi="Times New Roman" w:cs="Times New Roman"/>
                <w:b/>
              </w:rPr>
            </w:pPr>
            <w:r w:rsidRPr="006C1BB7">
              <w:rPr>
                <w:rFonts w:ascii="Times New Roman" w:hAnsi="Times New Roman" w:cs="Times New Roman"/>
              </w:rPr>
              <w:t>0.235</w:t>
            </w:r>
          </w:p>
        </w:tc>
      </w:tr>
      <w:tr w:rsidR="00A74F6E" w14:paraId="64B80488" w14:textId="77777777" w:rsidTr="00C57E6F">
        <w:trPr>
          <w:trHeight w:val="300"/>
        </w:trPr>
        <w:tc>
          <w:tcPr>
            <w:tcW w:w="0" w:type="auto"/>
            <w:tcBorders>
              <w:left w:val="single" w:sz="4" w:space="0" w:color="000000"/>
              <w:right w:val="single" w:sz="4" w:space="0" w:color="000000"/>
            </w:tcBorders>
            <w:shd w:val="clear" w:color="auto" w:fill="auto"/>
          </w:tcPr>
          <w:p w14:paraId="3C6E436B"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6D1D3690"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14C31239"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1.000</w:t>
            </w:r>
          </w:p>
        </w:tc>
        <w:tc>
          <w:tcPr>
            <w:tcW w:w="0" w:type="auto"/>
            <w:tcBorders>
              <w:right w:val="single" w:sz="4" w:space="0" w:color="000000"/>
            </w:tcBorders>
            <w:shd w:val="clear" w:color="auto" w:fill="auto"/>
            <w:vAlign w:val="center"/>
          </w:tcPr>
          <w:p w14:paraId="1A9EDB5E"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1.000</w:t>
            </w:r>
          </w:p>
        </w:tc>
        <w:tc>
          <w:tcPr>
            <w:tcW w:w="0" w:type="auto"/>
            <w:tcBorders>
              <w:left w:val="single" w:sz="4" w:space="0" w:color="000000"/>
            </w:tcBorders>
            <w:shd w:val="clear" w:color="auto" w:fill="auto"/>
            <w:vAlign w:val="center"/>
          </w:tcPr>
          <w:p w14:paraId="5B5263A3"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nil"/>
            </w:tcBorders>
            <w:vAlign w:val="center"/>
          </w:tcPr>
          <w:p w14:paraId="02C550CA" w14:textId="77777777" w:rsidR="00A74F6E" w:rsidRPr="006C1BB7" w:rsidRDefault="00A74F6E" w:rsidP="0010233B">
            <w:pPr>
              <w:spacing w:after="0" w:line="240" w:lineRule="auto"/>
              <w:ind w:left="-113"/>
              <w:rPr>
                <w:rFonts w:ascii="Times New Roman" w:eastAsia="Times New Roman" w:hAnsi="Times New Roman" w:cs="Times New Roman"/>
                <w:vertAlign w:val="superscript"/>
              </w:rPr>
            </w:pPr>
            <w:r>
              <w:rPr>
                <w:rFonts w:ascii="Times New Roman" w:eastAsia="Times New Roman" w:hAnsi="Times New Roman" w:cs="Times New Roman"/>
                <w:vertAlign w:val="superscript"/>
              </w:rPr>
              <w:t>+</w:t>
            </w:r>
          </w:p>
        </w:tc>
        <w:tc>
          <w:tcPr>
            <w:tcW w:w="0" w:type="auto"/>
            <w:tcBorders>
              <w:right w:val="single" w:sz="4" w:space="0" w:color="000000"/>
            </w:tcBorders>
            <w:vAlign w:val="center"/>
          </w:tcPr>
          <w:p w14:paraId="66B9106D" w14:textId="77777777" w:rsidR="00A74F6E" w:rsidRPr="006C1BB7" w:rsidRDefault="00A74F6E" w:rsidP="0010233B">
            <w:pPr>
              <w:spacing w:after="0" w:line="240" w:lineRule="auto"/>
              <w:jc w:val="right"/>
              <w:rPr>
                <w:rFonts w:ascii="Times New Roman" w:eastAsia="Times New Roman" w:hAnsi="Times New Roman" w:cs="Times New Roman"/>
                <w:b/>
              </w:rPr>
            </w:pPr>
            <w:r w:rsidRPr="006C1BB7">
              <w:rPr>
                <w:rFonts w:ascii="Times New Roman" w:hAnsi="Times New Roman" w:cs="Times New Roman"/>
              </w:rPr>
              <w:t>0.242</w:t>
            </w:r>
          </w:p>
        </w:tc>
      </w:tr>
      <w:tr w:rsidR="00A74F6E" w14:paraId="55E0E9FE" w14:textId="77777777" w:rsidTr="00C57E6F">
        <w:trPr>
          <w:trHeight w:val="300"/>
        </w:trPr>
        <w:tc>
          <w:tcPr>
            <w:tcW w:w="0" w:type="auto"/>
            <w:tcBorders>
              <w:left w:val="single" w:sz="4" w:space="0" w:color="000000"/>
              <w:right w:val="single" w:sz="4" w:space="0" w:color="000000"/>
            </w:tcBorders>
            <w:shd w:val="clear" w:color="auto" w:fill="auto"/>
          </w:tcPr>
          <w:p w14:paraId="0292CB92"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DIVDUM2YR</w:t>
            </w:r>
          </w:p>
        </w:tc>
        <w:tc>
          <w:tcPr>
            <w:tcW w:w="0" w:type="auto"/>
            <w:tcBorders>
              <w:left w:val="single" w:sz="4" w:space="0" w:color="000000"/>
            </w:tcBorders>
            <w:vAlign w:val="center"/>
          </w:tcPr>
          <w:p w14:paraId="549864AC"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755B0302"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0.812</w:t>
            </w:r>
          </w:p>
        </w:tc>
        <w:tc>
          <w:tcPr>
            <w:tcW w:w="0" w:type="auto"/>
            <w:tcBorders>
              <w:right w:val="single" w:sz="4" w:space="0" w:color="000000"/>
            </w:tcBorders>
            <w:shd w:val="clear" w:color="auto" w:fill="auto"/>
            <w:vAlign w:val="center"/>
          </w:tcPr>
          <w:p w14:paraId="3F8F637B"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0.783</w:t>
            </w:r>
          </w:p>
        </w:tc>
        <w:tc>
          <w:tcPr>
            <w:tcW w:w="0" w:type="auto"/>
            <w:tcBorders>
              <w:left w:val="single" w:sz="4" w:space="0" w:color="000000"/>
            </w:tcBorders>
            <w:shd w:val="clear" w:color="auto" w:fill="auto"/>
            <w:vAlign w:val="center"/>
          </w:tcPr>
          <w:p w14:paraId="7AE833FB"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-0.028</w:t>
            </w:r>
          </w:p>
        </w:tc>
        <w:tc>
          <w:tcPr>
            <w:tcW w:w="0" w:type="auto"/>
            <w:tcBorders>
              <w:left w:val="nil"/>
            </w:tcBorders>
            <w:vAlign w:val="center"/>
          </w:tcPr>
          <w:p w14:paraId="391F1D45"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p>
        </w:tc>
        <w:tc>
          <w:tcPr>
            <w:tcW w:w="0" w:type="auto"/>
            <w:tcBorders>
              <w:right w:val="single" w:sz="4" w:space="0" w:color="000000"/>
            </w:tcBorders>
            <w:vAlign w:val="center"/>
          </w:tcPr>
          <w:p w14:paraId="79B2A7EB"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0.016</w:t>
            </w:r>
          </w:p>
        </w:tc>
      </w:tr>
      <w:tr w:rsidR="00A74F6E" w14:paraId="43CC82B4" w14:textId="77777777" w:rsidTr="00C57E6F">
        <w:trPr>
          <w:trHeight w:val="300"/>
        </w:trPr>
        <w:tc>
          <w:tcPr>
            <w:tcW w:w="0" w:type="auto"/>
            <w:tcBorders>
              <w:left w:val="single" w:sz="4" w:space="0" w:color="000000"/>
              <w:right w:val="single" w:sz="4" w:space="0" w:color="000000"/>
            </w:tcBorders>
            <w:shd w:val="clear" w:color="auto" w:fill="auto"/>
          </w:tcPr>
          <w:p w14:paraId="307D866C"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5A9AAC35"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median</w:t>
            </w:r>
          </w:p>
        </w:tc>
        <w:tc>
          <w:tcPr>
            <w:tcW w:w="0" w:type="auto"/>
            <w:shd w:val="clear" w:color="auto" w:fill="auto"/>
            <w:vAlign w:val="center"/>
          </w:tcPr>
          <w:p w14:paraId="7ACD5853"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1.000</w:t>
            </w:r>
          </w:p>
        </w:tc>
        <w:tc>
          <w:tcPr>
            <w:tcW w:w="0" w:type="auto"/>
            <w:tcBorders>
              <w:right w:val="single" w:sz="4" w:space="0" w:color="000000"/>
            </w:tcBorders>
            <w:shd w:val="clear" w:color="auto" w:fill="auto"/>
            <w:vAlign w:val="center"/>
          </w:tcPr>
          <w:p w14:paraId="32C257A6"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1.000</w:t>
            </w:r>
          </w:p>
        </w:tc>
        <w:tc>
          <w:tcPr>
            <w:tcW w:w="0" w:type="auto"/>
            <w:tcBorders>
              <w:left w:val="single" w:sz="4" w:space="0" w:color="000000"/>
            </w:tcBorders>
            <w:shd w:val="clear" w:color="auto" w:fill="auto"/>
            <w:vAlign w:val="center"/>
          </w:tcPr>
          <w:p w14:paraId="64A93991"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0.000</w:t>
            </w:r>
          </w:p>
        </w:tc>
        <w:tc>
          <w:tcPr>
            <w:tcW w:w="0" w:type="auto"/>
            <w:tcBorders>
              <w:left w:val="nil"/>
            </w:tcBorders>
            <w:vAlign w:val="center"/>
          </w:tcPr>
          <w:p w14:paraId="4B126DB4"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r>
              <w:rPr>
                <w:rFonts w:ascii="Times New Roman" w:eastAsia="Times New Roman" w:hAnsi="Times New Roman" w:cs="Times New Roman"/>
                <w:b/>
                <w:vertAlign w:val="superscript"/>
              </w:rPr>
              <w:t>_</w:t>
            </w:r>
          </w:p>
        </w:tc>
        <w:tc>
          <w:tcPr>
            <w:tcW w:w="0" w:type="auto"/>
            <w:tcBorders>
              <w:right w:val="single" w:sz="4" w:space="0" w:color="000000"/>
            </w:tcBorders>
            <w:vAlign w:val="center"/>
          </w:tcPr>
          <w:p w14:paraId="1D07802A" w14:textId="77777777" w:rsidR="00A74F6E" w:rsidRPr="006C1BB7" w:rsidRDefault="00A74F6E" w:rsidP="0010233B">
            <w:pPr>
              <w:spacing w:after="0" w:line="240" w:lineRule="auto"/>
              <w:jc w:val="right"/>
              <w:rPr>
                <w:rFonts w:ascii="Times New Roman" w:eastAsia="Times New Roman" w:hAnsi="Times New Roman" w:cs="Times New Roman"/>
                <w:b/>
                <w:bCs/>
              </w:rPr>
            </w:pPr>
            <w:r w:rsidRPr="006C1BB7">
              <w:rPr>
                <w:rFonts w:ascii="Times New Roman" w:hAnsi="Times New Roman" w:cs="Times New Roman"/>
                <w:b/>
                <w:bCs/>
              </w:rPr>
              <w:t>0.019</w:t>
            </w:r>
          </w:p>
        </w:tc>
      </w:tr>
      <w:tr w:rsidR="00A74F6E" w14:paraId="697315D5" w14:textId="77777777" w:rsidTr="00C57E6F">
        <w:trPr>
          <w:trHeight w:val="300"/>
        </w:trPr>
        <w:tc>
          <w:tcPr>
            <w:tcW w:w="0" w:type="auto"/>
            <w:tcBorders>
              <w:left w:val="single" w:sz="4" w:space="0" w:color="000000"/>
              <w:right w:val="single" w:sz="4" w:space="0" w:color="000000"/>
            </w:tcBorders>
            <w:shd w:val="clear" w:color="auto" w:fill="auto"/>
          </w:tcPr>
          <w:p w14:paraId="17BF1D1E"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DIV/RE</w:t>
            </w:r>
          </w:p>
        </w:tc>
        <w:tc>
          <w:tcPr>
            <w:tcW w:w="0" w:type="auto"/>
            <w:tcBorders>
              <w:left w:val="single" w:sz="4" w:space="0" w:color="000000"/>
            </w:tcBorders>
            <w:vAlign w:val="center"/>
          </w:tcPr>
          <w:p w14:paraId="19CCC6B1"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center"/>
          </w:tcPr>
          <w:p w14:paraId="5FEF3004"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0.111</w:t>
            </w:r>
          </w:p>
        </w:tc>
        <w:tc>
          <w:tcPr>
            <w:tcW w:w="0" w:type="auto"/>
            <w:tcBorders>
              <w:right w:val="single" w:sz="4" w:space="0" w:color="000000"/>
            </w:tcBorders>
            <w:shd w:val="clear" w:color="auto" w:fill="auto"/>
            <w:vAlign w:val="center"/>
          </w:tcPr>
          <w:p w14:paraId="761200BC"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0.101</w:t>
            </w:r>
          </w:p>
        </w:tc>
        <w:tc>
          <w:tcPr>
            <w:tcW w:w="0" w:type="auto"/>
            <w:tcBorders>
              <w:left w:val="single" w:sz="4" w:space="0" w:color="000000"/>
            </w:tcBorders>
            <w:shd w:val="clear" w:color="auto" w:fill="auto"/>
            <w:vAlign w:val="center"/>
          </w:tcPr>
          <w:p w14:paraId="2BB33318"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-0.011</w:t>
            </w:r>
          </w:p>
        </w:tc>
        <w:tc>
          <w:tcPr>
            <w:tcW w:w="0" w:type="auto"/>
            <w:tcBorders>
              <w:left w:val="nil"/>
            </w:tcBorders>
            <w:vAlign w:val="center"/>
          </w:tcPr>
          <w:p w14:paraId="14BBF0DE" w14:textId="77777777" w:rsidR="00A74F6E" w:rsidRPr="006C1BB7" w:rsidRDefault="00A74F6E" w:rsidP="0010233B">
            <w:pPr>
              <w:spacing w:after="0" w:line="240" w:lineRule="auto"/>
              <w:ind w:left="-113"/>
              <w:rPr>
                <w:rFonts w:ascii="Times New Roman" w:eastAsia="Times New Roman" w:hAnsi="Times New Roman" w:cs="Times New Roman"/>
                <w:vertAlign w:val="superscript"/>
              </w:rPr>
            </w:pPr>
          </w:p>
        </w:tc>
        <w:tc>
          <w:tcPr>
            <w:tcW w:w="0" w:type="auto"/>
            <w:tcBorders>
              <w:right w:val="single" w:sz="4" w:space="0" w:color="000000"/>
            </w:tcBorders>
            <w:vAlign w:val="center"/>
          </w:tcPr>
          <w:p w14:paraId="091443A0" w14:textId="77777777" w:rsidR="00A74F6E" w:rsidRPr="006C1BB7" w:rsidRDefault="00A74F6E" w:rsidP="0010233B">
            <w:pPr>
              <w:spacing w:after="0" w:line="240" w:lineRule="auto"/>
              <w:jc w:val="right"/>
              <w:rPr>
                <w:rFonts w:ascii="Times New Roman" w:eastAsia="Times New Roman" w:hAnsi="Times New Roman" w:cs="Times New Roman"/>
                <w:b/>
              </w:rPr>
            </w:pPr>
            <w:r w:rsidRPr="006C1BB7">
              <w:rPr>
                <w:rFonts w:ascii="Times New Roman" w:hAnsi="Times New Roman" w:cs="Times New Roman"/>
              </w:rPr>
              <w:t>0.387</w:t>
            </w:r>
          </w:p>
        </w:tc>
      </w:tr>
      <w:tr w:rsidR="00A74F6E" w14:paraId="36A951AF" w14:textId="77777777" w:rsidTr="00C57E6F">
        <w:trPr>
          <w:trHeight w:val="285"/>
        </w:trPr>
        <w:tc>
          <w:tcPr>
            <w:tcW w:w="0" w:type="auto"/>
            <w:tcBorders>
              <w:left w:val="single" w:sz="4" w:space="0" w:color="000000"/>
              <w:right w:val="single" w:sz="4" w:space="0" w:color="000000"/>
            </w:tcBorders>
            <w:shd w:val="clear" w:color="auto" w:fill="auto"/>
          </w:tcPr>
          <w:p w14:paraId="7F197BDE"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0FB1FEA5"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median</w:t>
            </w:r>
          </w:p>
        </w:tc>
        <w:tc>
          <w:tcPr>
            <w:tcW w:w="0" w:type="auto"/>
            <w:shd w:val="clear" w:color="auto" w:fill="auto"/>
            <w:vAlign w:val="bottom"/>
          </w:tcPr>
          <w:p w14:paraId="3A82B152"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0.077</w:t>
            </w:r>
          </w:p>
        </w:tc>
        <w:tc>
          <w:tcPr>
            <w:tcW w:w="0" w:type="auto"/>
            <w:tcBorders>
              <w:right w:val="single" w:sz="4" w:space="0" w:color="000000"/>
            </w:tcBorders>
            <w:shd w:val="clear" w:color="auto" w:fill="auto"/>
            <w:vAlign w:val="bottom"/>
          </w:tcPr>
          <w:p w14:paraId="42D9652A"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0.063</w:t>
            </w:r>
          </w:p>
        </w:tc>
        <w:tc>
          <w:tcPr>
            <w:tcW w:w="0" w:type="auto"/>
            <w:tcBorders>
              <w:left w:val="single" w:sz="4" w:space="0" w:color="000000"/>
            </w:tcBorders>
            <w:shd w:val="clear" w:color="auto" w:fill="auto"/>
            <w:vAlign w:val="center"/>
          </w:tcPr>
          <w:p w14:paraId="290AD5F3"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-0.014</w:t>
            </w:r>
          </w:p>
        </w:tc>
        <w:tc>
          <w:tcPr>
            <w:tcW w:w="0" w:type="auto"/>
            <w:tcBorders>
              <w:left w:val="nil"/>
            </w:tcBorders>
            <w:vAlign w:val="bottom"/>
          </w:tcPr>
          <w:p w14:paraId="1FBE8F04" w14:textId="77777777" w:rsidR="00A74F6E" w:rsidRPr="006C1BB7" w:rsidRDefault="00A74F6E" w:rsidP="0010233B">
            <w:pPr>
              <w:spacing w:after="0" w:line="240" w:lineRule="auto"/>
              <w:ind w:left="-113"/>
              <w:rPr>
                <w:rFonts w:ascii="Times New Roman" w:eastAsia="Times New Roman" w:hAnsi="Times New Roman" w:cs="Times New Roman"/>
                <w:b/>
                <w:vertAlign w:val="superscript"/>
              </w:rPr>
            </w:pPr>
          </w:p>
        </w:tc>
        <w:tc>
          <w:tcPr>
            <w:tcW w:w="0" w:type="auto"/>
            <w:tcBorders>
              <w:right w:val="single" w:sz="4" w:space="0" w:color="000000"/>
            </w:tcBorders>
            <w:vAlign w:val="center"/>
          </w:tcPr>
          <w:p w14:paraId="6C8147B8" w14:textId="77777777" w:rsidR="00A74F6E" w:rsidRPr="006C1BB7" w:rsidRDefault="00A74F6E" w:rsidP="0010233B">
            <w:pPr>
              <w:spacing w:after="0" w:line="240" w:lineRule="auto"/>
              <w:jc w:val="right"/>
              <w:rPr>
                <w:rFonts w:ascii="Times New Roman" w:eastAsia="Times New Roman" w:hAnsi="Times New Roman" w:cs="Times New Roman"/>
                <w:b/>
              </w:rPr>
            </w:pPr>
            <w:r w:rsidRPr="006C1BB7">
              <w:rPr>
                <w:rFonts w:ascii="Times New Roman" w:hAnsi="Times New Roman" w:cs="Times New Roman"/>
              </w:rPr>
              <w:t>0.797</w:t>
            </w:r>
          </w:p>
        </w:tc>
      </w:tr>
      <w:tr w:rsidR="00A74F6E" w14:paraId="3E54472D" w14:textId="77777777" w:rsidTr="00C57E6F">
        <w:trPr>
          <w:trHeight w:val="300"/>
        </w:trPr>
        <w:tc>
          <w:tcPr>
            <w:tcW w:w="0" w:type="auto"/>
            <w:tcBorders>
              <w:left w:val="single" w:sz="4" w:space="0" w:color="000000"/>
              <w:right w:val="single" w:sz="4" w:space="0" w:color="000000"/>
            </w:tcBorders>
            <w:shd w:val="clear" w:color="auto" w:fill="auto"/>
          </w:tcPr>
          <w:p w14:paraId="18AF7986"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DIV/NI</w:t>
            </w:r>
          </w:p>
        </w:tc>
        <w:tc>
          <w:tcPr>
            <w:tcW w:w="0" w:type="auto"/>
            <w:tcBorders>
              <w:left w:val="single" w:sz="4" w:space="0" w:color="000000"/>
            </w:tcBorders>
            <w:vAlign w:val="center"/>
          </w:tcPr>
          <w:p w14:paraId="1ED5C014"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bottom"/>
          </w:tcPr>
          <w:p w14:paraId="0936942A"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0.464</w:t>
            </w:r>
          </w:p>
        </w:tc>
        <w:tc>
          <w:tcPr>
            <w:tcW w:w="0" w:type="auto"/>
            <w:tcBorders>
              <w:right w:val="single" w:sz="4" w:space="0" w:color="000000"/>
            </w:tcBorders>
            <w:shd w:val="clear" w:color="auto" w:fill="auto"/>
            <w:vAlign w:val="bottom"/>
          </w:tcPr>
          <w:p w14:paraId="0DDEBB05"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0.450</w:t>
            </w:r>
          </w:p>
        </w:tc>
        <w:tc>
          <w:tcPr>
            <w:tcW w:w="0" w:type="auto"/>
            <w:tcBorders>
              <w:left w:val="single" w:sz="4" w:space="0" w:color="000000"/>
            </w:tcBorders>
            <w:shd w:val="clear" w:color="auto" w:fill="auto"/>
            <w:vAlign w:val="center"/>
          </w:tcPr>
          <w:p w14:paraId="34B9654A"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-0.014</w:t>
            </w:r>
          </w:p>
        </w:tc>
        <w:tc>
          <w:tcPr>
            <w:tcW w:w="0" w:type="auto"/>
            <w:tcBorders>
              <w:left w:val="nil"/>
            </w:tcBorders>
            <w:vAlign w:val="bottom"/>
          </w:tcPr>
          <w:p w14:paraId="476FA3BF" w14:textId="77777777" w:rsidR="00A74F6E" w:rsidRPr="006C1BB7" w:rsidRDefault="00A74F6E" w:rsidP="0010233B">
            <w:pPr>
              <w:spacing w:after="0" w:line="240" w:lineRule="auto"/>
              <w:ind w:left="-113"/>
              <w:rPr>
                <w:rFonts w:ascii="Times New Roman" w:eastAsia="Times New Roman" w:hAnsi="Times New Roman" w:cs="Times New Roman"/>
              </w:rPr>
            </w:pPr>
          </w:p>
        </w:tc>
        <w:tc>
          <w:tcPr>
            <w:tcW w:w="0" w:type="auto"/>
            <w:tcBorders>
              <w:right w:val="single" w:sz="4" w:space="0" w:color="000000"/>
            </w:tcBorders>
            <w:vAlign w:val="center"/>
          </w:tcPr>
          <w:p w14:paraId="20E9A464" w14:textId="77777777" w:rsidR="00A74F6E" w:rsidRPr="006C1BB7" w:rsidRDefault="00A74F6E" w:rsidP="0010233B">
            <w:pPr>
              <w:spacing w:after="0" w:line="240" w:lineRule="auto"/>
              <w:jc w:val="right"/>
              <w:rPr>
                <w:rFonts w:ascii="Times New Roman" w:eastAsia="Times New Roman" w:hAnsi="Times New Roman" w:cs="Times New Roman"/>
                <w:b/>
              </w:rPr>
            </w:pPr>
            <w:r w:rsidRPr="006C1BB7">
              <w:rPr>
                <w:rFonts w:ascii="Times New Roman" w:hAnsi="Times New Roman" w:cs="Times New Roman"/>
              </w:rPr>
              <w:t>0.922</w:t>
            </w:r>
          </w:p>
        </w:tc>
      </w:tr>
      <w:tr w:rsidR="00A74F6E" w14:paraId="4C4371AF" w14:textId="77777777" w:rsidTr="00C57E6F">
        <w:trPr>
          <w:trHeight w:val="300"/>
        </w:trPr>
        <w:tc>
          <w:tcPr>
            <w:tcW w:w="0" w:type="auto"/>
            <w:tcBorders>
              <w:left w:val="single" w:sz="4" w:space="0" w:color="000000"/>
              <w:right w:val="single" w:sz="4" w:space="0" w:color="000000"/>
            </w:tcBorders>
            <w:shd w:val="clear" w:color="auto" w:fill="auto"/>
          </w:tcPr>
          <w:p w14:paraId="423B61B0"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7B1F7CB1"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median</w:t>
            </w:r>
          </w:p>
        </w:tc>
        <w:tc>
          <w:tcPr>
            <w:tcW w:w="0" w:type="auto"/>
            <w:shd w:val="clear" w:color="auto" w:fill="auto"/>
            <w:vAlign w:val="bottom"/>
          </w:tcPr>
          <w:p w14:paraId="01FF97C1"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0.317</w:t>
            </w:r>
          </w:p>
        </w:tc>
        <w:tc>
          <w:tcPr>
            <w:tcW w:w="0" w:type="auto"/>
            <w:tcBorders>
              <w:right w:val="single" w:sz="4" w:space="0" w:color="000000"/>
            </w:tcBorders>
            <w:shd w:val="clear" w:color="auto" w:fill="auto"/>
            <w:vAlign w:val="bottom"/>
          </w:tcPr>
          <w:p w14:paraId="456D678F"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0.332</w:t>
            </w:r>
          </w:p>
        </w:tc>
        <w:tc>
          <w:tcPr>
            <w:tcW w:w="0" w:type="auto"/>
            <w:tcBorders>
              <w:left w:val="single" w:sz="4" w:space="0" w:color="000000"/>
            </w:tcBorders>
            <w:shd w:val="clear" w:color="auto" w:fill="auto"/>
            <w:vAlign w:val="center"/>
          </w:tcPr>
          <w:p w14:paraId="112AA562" w14:textId="77777777" w:rsidR="00A74F6E" w:rsidRPr="006C1BB7" w:rsidRDefault="00A74F6E" w:rsidP="0010233B">
            <w:pPr>
              <w:spacing w:after="0" w:line="240" w:lineRule="auto"/>
              <w:ind w:right="-113"/>
              <w:jc w:val="right"/>
              <w:rPr>
                <w:rFonts w:ascii="Times New Roman" w:eastAsia="Times New Roman" w:hAnsi="Times New Roman" w:cs="Times New Roman"/>
                <w:i/>
              </w:rPr>
            </w:pPr>
            <w:r w:rsidRPr="006C1BB7">
              <w:rPr>
                <w:rFonts w:ascii="Times New Roman" w:hAnsi="Times New Roman" w:cs="Times New Roman"/>
              </w:rPr>
              <w:t>0.014</w:t>
            </w:r>
          </w:p>
        </w:tc>
        <w:tc>
          <w:tcPr>
            <w:tcW w:w="0" w:type="auto"/>
            <w:tcBorders>
              <w:left w:val="nil"/>
            </w:tcBorders>
            <w:vAlign w:val="bottom"/>
          </w:tcPr>
          <w:p w14:paraId="2C174F35" w14:textId="77777777" w:rsidR="00A74F6E" w:rsidRPr="006C1BB7" w:rsidRDefault="00A74F6E" w:rsidP="0010233B">
            <w:pPr>
              <w:spacing w:after="0" w:line="240" w:lineRule="auto"/>
              <w:ind w:left="-113"/>
              <w:rPr>
                <w:rFonts w:ascii="Times New Roman" w:eastAsia="Times New Roman" w:hAnsi="Times New Roman" w:cs="Times New Roman"/>
              </w:rPr>
            </w:pPr>
          </w:p>
        </w:tc>
        <w:tc>
          <w:tcPr>
            <w:tcW w:w="0" w:type="auto"/>
            <w:tcBorders>
              <w:right w:val="single" w:sz="4" w:space="0" w:color="000000"/>
            </w:tcBorders>
            <w:vAlign w:val="center"/>
          </w:tcPr>
          <w:p w14:paraId="15467D59" w14:textId="77777777" w:rsidR="00A74F6E" w:rsidRPr="006C1BB7" w:rsidRDefault="00A74F6E" w:rsidP="0010233B">
            <w:pPr>
              <w:spacing w:after="0" w:line="240" w:lineRule="auto"/>
              <w:jc w:val="right"/>
              <w:rPr>
                <w:rFonts w:ascii="Times New Roman" w:eastAsia="Times New Roman" w:hAnsi="Times New Roman" w:cs="Times New Roman"/>
                <w:b/>
                <w:i/>
              </w:rPr>
            </w:pPr>
            <w:r w:rsidRPr="006C1BB7">
              <w:rPr>
                <w:rFonts w:ascii="Times New Roman" w:hAnsi="Times New Roman" w:cs="Times New Roman"/>
              </w:rPr>
              <w:t>0.884</w:t>
            </w:r>
          </w:p>
        </w:tc>
      </w:tr>
      <w:tr w:rsidR="00A74F6E" w14:paraId="5ADA29A4" w14:textId="77777777" w:rsidTr="00C57E6F">
        <w:trPr>
          <w:trHeight w:val="300"/>
        </w:trPr>
        <w:tc>
          <w:tcPr>
            <w:tcW w:w="0" w:type="auto"/>
            <w:tcBorders>
              <w:left w:val="single" w:sz="4" w:space="0" w:color="000000"/>
              <w:right w:val="single" w:sz="4" w:space="0" w:color="000000"/>
            </w:tcBorders>
            <w:shd w:val="clear" w:color="auto" w:fill="auto"/>
          </w:tcPr>
          <w:p w14:paraId="526D22CF"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rPr>
              <w:t>TOTALPAY/NI</w:t>
            </w:r>
          </w:p>
        </w:tc>
        <w:tc>
          <w:tcPr>
            <w:tcW w:w="0" w:type="auto"/>
            <w:tcBorders>
              <w:left w:val="single" w:sz="4" w:space="0" w:color="000000"/>
            </w:tcBorders>
            <w:vAlign w:val="center"/>
          </w:tcPr>
          <w:p w14:paraId="3FDD500B" w14:textId="77777777" w:rsidR="00A74F6E" w:rsidRDefault="00A74F6E" w:rsidP="0010233B">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w:t>
            </w:r>
          </w:p>
        </w:tc>
        <w:tc>
          <w:tcPr>
            <w:tcW w:w="0" w:type="auto"/>
            <w:shd w:val="clear" w:color="auto" w:fill="auto"/>
            <w:vAlign w:val="bottom"/>
          </w:tcPr>
          <w:p w14:paraId="28547E9A"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0.553</w:t>
            </w:r>
          </w:p>
        </w:tc>
        <w:tc>
          <w:tcPr>
            <w:tcW w:w="0" w:type="auto"/>
            <w:tcBorders>
              <w:right w:val="single" w:sz="4" w:space="0" w:color="000000"/>
            </w:tcBorders>
            <w:shd w:val="clear" w:color="auto" w:fill="auto"/>
            <w:vAlign w:val="bottom"/>
          </w:tcPr>
          <w:p w14:paraId="4C89B429"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0.559</w:t>
            </w:r>
          </w:p>
        </w:tc>
        <w:tc>
          <w:tcPr>
            <w:tcW w:w="0" w:type="auto"/>
            <w:tcBorders>
              <w:left w:val="single" w:sz="4" w:space="0" w:color="000000"/>
            </w:tcBorders>
            <w:shd w:val="clear" w:color="auto" w:fill="auto"/>
            <w:vAlign w:val="center"/>
          </w:tcPr>
          <w:p w14:paraId="59D1570B"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0.006</w:t>
            </w:r>
          </w:p>
        </w:tc>
        <w:tc>
          <w:tcPr>
            <w:tcW w:w="0" w:type="auto"/>
            <w:tcBorders>
              <w:left w:val="nil"/>
            </w:tcBorders>
            <w:vAlign w:val="bottom"/>
          </w:tcPr>
          <w:p w14:paraId="4F052C25" w14:textId="77777777" w:rsidR="00A74F6E" w:rsidRPr="006C1BB7" w:rsidRDefault="00A74F6E" w:rsidP="0010233B">
            <w:pPr>
              <w:spacing w:after="0" w:line="240" w:lineRule="auto"/>
              <w:jc w:val="right"/>
              <w:rPr>
                <w:rFonts w:ascii="Times New Roman" w:eastAsia="Times New Roman" w:hAnsi="Times New Roman" w:cs="Times New Roman"/>
              </w:rPr>
            </w:pPr>
          </w:p>
        </w:tc>
        <w:tc>
          <w:tcPr>
            <w:tcW w:w="0" w:type="auto"/>
            <w:tcBorders>
              <w:right w:val="single" w:sz="4" w:space="0" w:color="000000"/>
            </w:tcBorders>
            <w:vAlign w:val="center"/>
          </w:tcPr>
          <w:p w14:paraId="147B578B" w14:textId="77777777" w:rsidR="00A74F6E" w:rsidRPr="003E6509" w:rsidRDefault="00A74F6E" w:rsidP="0010233B">
            <w:pPr>
              <w:spacing w:after="0" w:line="240" w:lineRule="auto"/>
              <w:jc w:val="right"/>
              <w:rPr>
                <w:rFonts w:ascii="Times New Roman" w:eastAsia="Times New Roman" w:hAnsi="Times New Roman" w:cs="Times New Roman"/>
                <w:b/>
                <w:bCs/>
                <w:color w:val="FF0000"/>
              </w:rPr>
            </w:pPr>
            <w:r w:rsidRPr="007276F8">
              <w:rPr>
                <w:rFonts w:ascii="Times New Roman" w:hAnsi="Times New Roman" w:cs="Times New Roman"/>
                <w:b/>
                <w:bCs/>
              </w:rPr>
              <w:t>0.000</w:t>
            </w:r>
          </w:p>
        </w:tc>
      </w:tr>
      <w:tr w:rsidR="00A74F6E" w14:paraId="6BEA7317" w14:textId="77777777" w:rsidTr="00C57E6F">
        <w:trPr>
          <w:trHeight w:val="300"/>
        </w:trPr>
        <w:tc>
          <w:tcPr>
            <w:tcW w:w="0" w:type="auto"/>
            <w:tcBorders>
              <w:left w:val="single" w:sz="4" w:space="0" w:color="000000"/>
              <w:right w:val="single" w:sz="4" w:space="0" w:color="000000"/>
            </w:tcBorders>
            <w:shd w:val="clear" w:color="auto" w:fill="auto"/>
            <w:vAlign w:val="center"/>
          </w:tcPr>
          <w:p w14:paraId="7E7C509E" w14:textId="77777777" w:rsidR="00A74F6E" w:rsidRDefault="00A74F6E" w:rsidP="0010233B">
            <w:pPr>
              <w:spacing w:after="0" w:line="240" w:lineRule="auto"/>
              <w:rPr>
                <w:rFonts w:ascii="Times New Roman" w:eastAsia="Times New Roman" w:hAnsi="Times New Roman" w:cs="Times New Roman"/>
                <w:i/>
                <w:sz w:val="22"/>
                <w:szCs w:val="22"/>
              </w:rPr>
            </w:pPr>
          </w:p>
        </w:tc>
        <w:tc>
          <w:tcPr>
            <w:tcW w:w="0" w:type="auto"/>
            <w:tcBorders>
              <w:left w:val="single" w:sz="4" w:space="0" w:color="000000"/>
            </w:tcBorders>
            <w:vAlign w:val="center"/>
          </w:tcPr>
          <w:p w14:paraId="022DA7A7"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median</w:t>
            </w:r>
          </w:p>
        </w:tc>
        <w:tc>
          <w:tcPr>
            <w:tcW w:w="0" w:type="auto"/>
            <w:shd w:val="clear" w:color="auto" w:fill="auto"/>
            <w:vAlign w:val="bottom"/>
          </w:tcPr>
          <w:p w14:paraId="2C8554A9"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0.342</w:t>
            </w:r>
          </w:p>
        </w:tc>
        <w:tc>
          <w:tcPr>
            <w:tcW w:w="0" w:type="auto"/>
            <w:tcBorders>
              <w:right w:val="single" w:sz="4" w:space="0" w:color="000000"/>
            </w:tcBorders>
            <w:shd w:val="clear" w:color="auto" w:fill="auto"/>
            <w:vAlign w:val="bottom"/>
          </w:tcPr>
          <w:p w14:paraId="120DAA92" w14:textId="77777777" w:rsidR="00A74F6E" w:rsidRPr="006C1BB7" w:rsidRDefault="00A74F6E" w:rsidP="0010233B">
            <w:pPr>
              <w:spacing w:after="0" w:line="240" w:lineRule="auto"/>
              <w:jc w:val="right"/>
              <w:rPr>
                <w:rFonts w:ascii="Times New Roman" w:eastAsia="Times New Roman" w:hAnsi="Times New Roman" w:cs="Times New Roman"/>
                <w:i/>
              </w:rPr>
            </w:pPr>
            <w:r w:rsidRPr="006C1BB7">
              <w:rPr>
                <w:rFonts w:ascii="Times New Roman" w:hAnsi="Times New Roman" w:cs="Times New Roman"/>
              </w:rPr>
              <w:t>0.391</w:t>
            </w:r>
          </w:p>
        </w:tc>
        <w:tc>
          <w:tcPr>
            <w:tcW w:w="0" w:type="auto"/>
            <w:tcBorders>
              <w:left w:val="single" w:sz="4" w:space="0" w:color="000000"/>
            </w:tcBorders>
            <w:shd w:val="clear" w:color="auto" w:fill="auto"/>
            <w:vAlign w:val="center"/>
          </w:tcPr>
          <w:p w14:paraId="31555EFC" w14:textId="77777777" w:rsidR="00A74F6E" w:rsidRPr="006C1BB7" w:rsidRDefault="00A74F6E" w:rsidP="0010233B">
            <w:pPr>
              <w:spacing w:after="0" w:line="240" w:lineRule="auto"/>
              <w:ind w:right="-113"/>
              <w:jc w:val="right"/>
              <w:rPr>
                <w:rFonts w:ascii="Times New Roman" w:eastAsia="Times New Roman" w:hAnsi="Times New Roman" w:cs="Times New Roman"/>
                <w:i/>
              </w:rPr>
            </w:pPr>
            <w:r w:rsidRPr="006C1BB7">
              <w:rPr>
                <w:rFonts w:ascii="Times New Roman" w:hAnsi="Times New Roman" w:cs="Times New Roman"/>
              </w:rPr>
              <w:t>0.049</w:t>
            </w:r>
          </w:p>
        </w:tc>
        <w:tc>
          <w:tcPr>
            <w:tcW w:w="0" w:type="auto"/>
            <w:tcBorders>
              <w:left w:val="nil"/>
            </w:tcBorders>
            <w:vAlign w:val="bottom"/>
          </w:tcPr>
          <w:p w14:paraId="3329A903" w14:textId="77777777" w:rsidR="00A74F6E" w:rsidRPr="006C1BB7" w:rsidRDefault="00A74F6E" w:rsidP="0010233B">
            <w:pPr>
              <w:spacing w:after="0" w:line="240" w:lineRule="auto"/>
              <w:jc w:val="right"/>
              <w:rPr>
                <w:rFonts w:ascii="Times New Roman" w:eastAsia="Times New Roman" w:hAnsi="Times New Roman" w:cs="Times New Roman"/>
                <w:b/>
              </w:rPr>
            </w:pPr>
          </w:p>
        </w:tc>
        <w:tc>
          <w:tcPr>
            <w:tcW w:w="0" w:type="auto"/>
            <w:tcBorders>
              <w:right w:val="single" w:sz="4" w:space="0" w:color="000000"/>
            </w:tcBorders>
            <w:vAlign w:val="center"/>
          </w:tcPr>
          <w:p w14:paraId="6045AC28" w14:textId="77777777" w:rsidR="00A74F6E" w:rsidRPr="006C1BB7" w:rsidRDefault="00A74F6E" w:rsidP="0010233B">
            <w:pPr>
              <w:spacing w:after="0" w:line="240" w:lineRule="auto"/>
              <w:jc w:val="right"/>
              <w:rPr>
                <w:rFonts w:ascii="Times New Roman" w:eastAsia="Times New Roman" w:hAnsi="Times New Roman" w:cs="Times New Roman"/>
                <w:b/>
                <w:bCs/>
                <w:i/>
              </w:rPr>
            </w:pPr>
            <w:r w:rsidRPr="006C1BB7">
              <w:rPr>
                <w:rFonts w:ascii="Times New Roman" w:hAnsi="Times New Roman" w:cs="Times New Roman"/>
                <w:b/>
                <w:bCs/>
              </w:rPr>
              <w:t>0.002</w:t>
            </w:r>
          </w:p>
        </w:tc>
      </w:tr>
      <w:tr w:rsidR="00A74F6E" w14:paraId="6BAAB404" w14:textId="77777777" w:rsidTr="00C57E6F">
        <w:trPr>
          <w:trHeight w:val="300"/>
        </w:trPr>
        <w:tc>
          <w:tcPr>
            <w:tcW w:w="0" w:type="auto"/>
            <w:tcBorders>
              <w:left w:val="single" w:sz="4" w:space="0" w:color="000000"/>
              <w:bottom w:val="single" w:sz="4" w:space="0" w:color="000000"/>
              <w:right w:val="single" w:sz="4" w:space="0" w:color="000000"/>
            </w:tcBorders>
            <w:shd w:val="clear" w:color="auto" w:fill="auto"/>
            <w:vAlign w:val="center"/>
          </w:tcPr>
          <w:p w14:paraId="1C4E1D2A" w14:textId="77777777" w:rsidR="00A74F6E" w:rsidRDefault="00A74F6E" w:rsidP="0010233B">
            <w:pPr>
              <w:spacing w:after="0" w:line="240" w:lineRule="auto"/>
              <w:rPr>
                <w:rFonts w:ascii="Times New Roman" w:eastAsia="Times New Roman" w:hAnsi="Times New Roman" w:cs="Times New Roman"/>
                <w:i/>
              </w:rPr>
            </w:pPr>
            <w:r>
              <w:rPr>
                <w:rFonts w:ascii="Times New Roman" w:eastAsia="Times New Roman" w:hAnsi="Times New Roman" w:cs="Times New Roman"/>
                <w:i/>
              </w:rPr>
              <w:t>NOPAY</w:t>
            </w:r>
          </w:p>
        </w:tc>
        <w:tc>
          <w:tcPr>
            <w:tcW w:w="0" w:type="auto"/>
            <w:tcBorders>
              <w:left w:val="single" w:sz="4" w:space="0" w:color="000000"/>
              <w:bottom w:val="single" w:sz="4" w:space="0" w:color="000000"/>
            </w:tcBorders>
            <w:vAlign w:val="center"/>
          </w:tcPr>
          <w:p w14:paraId="7BC185A2" w14:textId="77777777" w:rsidR="00A74F6E" w:rsidRDefault="00A74F6E" w:rsidP="0010233B">
            <w:pPr>
              <w:spacing w:after="0" w:line="240" w:lineRule="auto"/>
              <w:rPr>
                <w:rFonts w:ascii="Times New Roman" w:eastAsia="Times New Roman" w:hAnsi="Times New Roman" w:cs="Times New Roman"/>
              </w:rPr>
            </w:pPr>
            <w:r>
              <w:rPr>
                <w:rFonts w:ascii="Times New Roman" w:eastAsia="Times New Roman" w:hAnsi="Times New Roman" w:cs="Times New Roman"/>
              </w:rPr>
              <w:t>mean</w:t>
            </w:r>
          </w:p>
        </w:tc>
        <w:tc>
          <w:tcPr>
            <w:tcW w:w="0" w:type="auto"/>
            <w:tcBorders>
              <w:bottom w:val="single" w:sz="4" w:space="0" w:color="000000"/>
            </w:tcBorders>
            <w:shd w:val="clear" w:color="auto" w:fill="auto"/>
            <w:vAlign w:val="bottom"/>
          </w:tcPr>
          <w:p w14:paraId="4A308C97"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0.168</w:t>
            </w:r>
          </w:p>
        </w:tc>
        <w:tc>
          <w:tcPr>
            <w:tcW w:w="0" w:type="auto"/>
            <w:tcBorders>
              <w:bottom w:val="single" w:sz="4" w:space="0" w:color="000000"/>
              <w:right w:val="single" w:sz="4" w:space="0" w:color="000000"/>
            </w:tcBorders>
            <w:shd w:val="clear" w:color="auto" w:fill="auto"/>
            <w:vAlign w:val="bottom"/>
          </w:tcPr>
          <w:p w14:paraId="438E56B2"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0.167</w:t>
            </w:r>
          </w:p>
        </w:tc>
        <w:tc>
          <w:tcPr>
            <w:tcW w:w="0" w:type="auto"/>
            <w:tcBorders>
              <w:left w:val="single" w:sz="4" w:space="0" w:color="000000"/>
              <w:bottom w:val="single" w:sz="4" w:space="0" w:color="000000"/>
            </w:tcBorders>
            <w:shd w:val="clear" w:color="auto" w:fill="auto"/>
            <w:vAlign w:val="center"/>
          </w:tcPr>
          <w:p w14:paraId="46A0BC56" w14:textId="77777777" w:rsidR="00A74F6E" w:rsidRPr="006C1BB7" w:rsidRDefault="00A74F6E" w:rsidP="0010233B">
            <w:pPr>
              <w:spacing w:after="0" w:line="240" w:lineRule="auto"/>
              <w:ind w:right="-113"/>
              <w:jc w:val="right"/>
              <w:rPr>
                <w:rFonts w:ascii="Times New Roman" w:eastAsia="Times New Roman" w:hAnsi="Times New Roman" w:cs="Times New Roman"/>
              </w:rPr>
            </w:pPr>
            <w:r w:rsidRPr="006C1BB7">
              <w:rPr>
                <w:rFonts w:ascii="Times New Roman" w:hAnsi="Times New Roman" w:cs="Times New Roman"/>
              </w:rPr>
              <w:t>-0.002</w:t>
            </w:r>
          </w:p>
        </w:tc>
        <w:tc>
          <w:tcPr>
            <w:tcW w:w="0" w:type="auto"/>
            <w:tcBorders>
              <w:left w:val="nil"/>
              <w:bottom w:val="single" w:sz="4" w:space="0" w:color="000000"/>
            </w:tcBorders>
            <w:vAlign w:val="bottom"/>
          </w:tcPr>
          <w:p w14:paraId="1F6608A2" w14:textId="77777777" w:rsidR="00A74F6E" w:rsidRPr="006C1BB7" w:rsidRDefault="00A74F6E" w:rsidP="0010233B">
            <w:pPr>
              <w:spacing w:after="0" w:line="240" w:lineRule="auto"/>
              <w:jc w:val="right"/>
              <w:rPr>
                <w:rFonts w:ascii="Times New Roman" w:eastAsia="Times New Roman" w:hAnsi="Times New Roman" w:cs="Times New Roman"/>
                <w:b/>
              </w:rPr>
            </w:pPr>
          </w:p>
        </w:tc>
        <w:tc>
          <w:tcPr>
            <w:tcW w:w="0" w:type="auto"/>
            <w:tcBorders>
              <w:bottom w:val="single" w:sz="4" w:space="0" w:color="000000"/>
              <w:right w:val="single" w:sz="4" w:space="0" w:color="000000"/>
            </w:tcBorders>
            <w:vAlign w:val="center"/>
          </w:tcPr>
          <w:p w14:paraId="2865FD14" w14:textId="77777777" w:rsidR="00A74F6E" w:rsidRPr="006C1BB7" w:rsidRDefault="00A74F6E" w:rsidP="0010233B">
            <w:pPr>
              <w:spacing w:after="0" w:line="240" w:lineRule="auto"/>
              <w:jc w:val="right"/>
              <w:rPr>
                <w:rFonts w:ascii="Times New Roman" w:eastAsia="Times New Roman" w:hAnsi="Times New Roman" w:cs="Times New Roman"/>
              </w:rPr>
            </w:pPr>
            <w:r w:rsidRPr="006C1BB7">
              <w:rPr>
                <w:rFonts w:ascii="Times New Roman" w:hAnsi="Times New Roman" w:cs="Times New Roman"/>
              </w:rPr>
              <w:t>0.461</w:t>
            </w:r>
          </w:p>
        </w:tc>
      </w:tr>
    </w:tbl>
    <w:p w14:paraId="0EC8EFCC" w14:textId="3CB85A21" w:rsidR="00A74F6E" w:rsidRDefault="00A74F6E" w:rsidP="00A74F6E">
      <w:pPr>
        <w:tabs>
          <w:tab w:val="left" w:pos="1440"/>
          <w:tab w:val="left" w:pos="2160"/>
          <w:tab w:val="left" w:pos="2880"/>
          <w:tab w:val="left" w:pos="3600"/>
          <w:tab w:val="left" w:pos="4320"/>
          <w:tab w:val="center" w:pos="4513"/>
          <w:tab w:val="left" w:pos="8280"/>
        </w:tabs>
        <w:ind w:left="567" w:right="284"/>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Notes</w:t>
      </w:r>
      <w:r>
        <w:rPr>
          <w:rFonts w:ascii="Times New Roman" w:eastAsia="Times New Roman" w:hAnsi="Times New Roman" w:cs="Times New Roman"/>
          <w:sz w:val="20"/>
          <w:szCs w:val="20"/>
        </w:rPr>
        <w:t xml:space="preserve">: </w:t>
      </w:r>
      <w:r w:rsidR="00C57E6F">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-test (for mean) and Wilcoxon rank-sum test (for median) are conducted based on the difference between regime two and regime one. </w:t>
      </w:r>
      <w:r>
        <w:rPr>
          <w:rFonts w:ascii="Times New Roman" w:eastAsia="Times New Roman" w:hAnsi="Times New Roman" w:cs="Times New Roman"/>
          <w:color w:val="000000"/>
          <w:sz w:val="20"/>
          <w:szCs w:val="20"/>
        </w:rPr>
        <w:t xml:space="preserve">Probability values are reported in the final column, for two-tailed tests. The first column shows the independent variables. </w:t>
      </w:r>
      <w:r>
        <w:rPr>
          <w:rFonts w:ascii="Times New Roman" w:eastAsia="Times New Roman" w:hAnsi="Times New Roman" w:cs="Times New Roman"/>
          <w:i/>
          <w:color w:val="000000"/>
          <w:sz w:val="20"/>
          <w:szCs w:val="20"/>
        </w:rPr>
        <w:t>SPDUM1YR</w:t>
      </w:r>
      <w:r>
        <w:rPr>
          <w:rFonts w:ascii="Times New Roman" w:eastAsia="Times New Roman" w:hAnsi="Times New Roman" w:cs="Times New Roman"/>
          <w:color w:val="000000"/>
          <w:sz w:val="20"/>
          <w:szCs w:val="20"/>
        </w:rPr>
        <w:t xml:space="preserve"> is a dummy variable, coded 1 if the firm repurchases </w:t>
      </w:r>
      <w:r w:rsidRPr="007276F8">
        <w:rPr>
          <w:rFonts w:ascii="Times New Roman" w:eastAsia="Times New Roman" w:hAnsi="Times New Roman" w:cs="Times New Roman"/>
          <w:sz w:val="20"/>
          <w:szCs w:val="20"/>
        </w:rPr>
        <w:t xml:space="preserve">shares in the year, otherwise 0. </w:t>
      </w:r>
      <w:r w:rsidRPr="007276F8">
        <w:rPr>
          <w:rFonts w:ascii="Times New Roman" w:eastAsia="Times New Roman" w:hAnsi="Times New Roman" w:cs="Times New Roman"/>
          <w:i/>
          <w:sz w:val="20"/>
          <w:szCs w:val="20"/>
        </w:rPr>
        <w:t>SPDUM2YR</w:t>
      </w:r>
      <w:r w:rsidRPr="007276F8">
        <w:rPr>
          <w:rFonts w:ascii="Times New Roman" w:eastAsia="Times New Roman" w:hAnsi="Times New Roman" w:cs="Times New Roman"/>
          <w:sz w:val="20"/>
          <w:szCs w:val="20"/>
        </w:rPr>
        <w:t xml:space="preserve"> is a dummy variable, coded 1 if the firm repurchases shares in the year </w:t>
      </w:r>
      <w:r w:rsidRPr="007276F8">
        <w:rPr>
          <w:rFonts w:ascii="Times New Roman" w:eastAsia="Times New Roman" w:hAnsi="Times New Roman" w:cs="Times New Roman"/>
          <w:i/>
          <w:sz w:val="20"/>
          <w:szCs w:val="20"/>
        </w:rPr>
        <w:t>and</w:t>
      </w:r>
      <w:r w:rsidRPr="007276F8">
        <w:rPr>
          <w:rFonts w:ascii="Times New Roman" w:eastAsia="Times New Roman" w:hAnsi="Times New Roman" w:cs="Times New Roman"/>
          <w:sz w:val="20"/>
          <w:szCs w:val="20"/>
        </w:rPr>
        <w:t xml:space="preserve"> the year before, otherwise 0. </w:t>
      </w:r>
      <w:r w:rsidRPr="007276F8">
        <w:rPr>
          <w:rFonts w:ascii="Times New Roman" w:eastAsia="Times New Roman" w:hAnsi="Times New Roman" w:cs="Times New Roman"/>
          <w:i/>
          <w:sz w:val="20"/>
          <w:szCs w:val="20"/>
        </w:rPr>
        <w:t>SP/RE</w:t>
      </w:r>
      <w:r w:rsidRPr="007276F8">
        <w:rPr>
          <w:rFonts w:ascii="Times New Roman" w:eastAsia="Times New Roman" w:hAnsi="Times New Roman" w:cs="Times New Roman"/>
          <w:sz w:val="20"/>
          <w:szCs w:val="20"/>
        </w:rPr>
        <w:t xml:space="preserve"> is measured by aggregate value of shares repurchased (WC04751), divided by retained earnings (WC03495).   </w:t>
      </w:r>
      <w:r w:rsidRPr="007276F8">
        <w:rPr>
          <w:rFonts w:ascii="Times New Roman" w:eastAsia="Times New Roman" w:hAnsi="Times New Roman" w:cs="Times New Roman"/>
          <w:i/>
          <w:sz w:val="20"/>
          <w:szCs w:val="20"/>
        </w:rPr>
        <w:t>SP/NI</w:t>
      </w:r>
      <w:r w:rsidRPr="007276F8">
        <w:rPr>
          <w:rFonts w:ascii="Times New Roman" w:eastAsia="Times New Roman" w:hAnsi="Times New Roman" w:cs="Times New Roman"/>
          <w:sz w:val="20"/>
          <w:szCs w:val="20"/>
        </w:rPr>
        <w:t xml:space="preserve"> is measured by aggregate value of shares repurchased, divided by net income before extraordinary items and preference dividends (WC01551). </w:t>
      </w:r>
      <w:r w:rsidRPr="007276F8">
        <w:rPr>
          <w:rFonts w:ascii="Times New Roman" w:eastAsia="Times New Roman" w:hAnsi="Times New Roman" w:cs="Times New Roman"/>
          <w:i/>
          <w:sz w:val="20"/>
          <w:szCs w:val="20"/>
        </w:rPr>
        <w:t xml:space="preserve">SP/TOTALPAY </w:t>
      </w:r>
      <w:r w:rsidRPr="007276F8">
        <w:rPr>
          <w:rFonts w:ascii="Times New Roman" w:eastAsia="Times New Roman" w:hAnsi="Times New Roman" w:cs="Times New Roman"/>
          <w:sz w:val="20"/>
          <w:szCs w:val="20"/>
        </w:rPr>
        <w:t>is measured by aggregate value of shares repurchased</w:t>
      </w:r>
      <w:r>
        <w:rPr>
          <w:rFonts w:ascii="Times New Roman" w:eastAsia="Times New Roman" w:hAnsi="Times New Roman" w:cs="Times New Roman"/>
          <w:color w:val="000000"/>
          <w:sz w:val="20"/>
          <w:szCs w:val="20"/>
        </w:rPr>
        <w:t xml:space="preserve">, divided by the value of shares repurchased plus total cash common dividend paid (WC04751 + WC05376). </w:t>
      </w:r>
      <w:r>
        <w:rPr>
          <w:rFonts w:ascii="Times New Roman" w:eastAsia="Times New Roman" w:hAnsi="Times New Roman" w:cs="Times New Roman"/>
          <w:i/>
          <w:color w:val="000000"/>
          <w:sz w:val="20"/>
          <w:szCs w:val="20"/>
        </w:rPr>
        <w:t>DIVDUM1YR</w:t>
      </w:r>
      <w:r>
        <w:rPr>
          <w:rFonts w:ascii="Times New Roman" w:eastAsia="Times New Roman" w:hAnsi="Times New Roman" w:cs="Times New Roman"/>
          <w:color w:val="000000"/>
          <w:sz w:val="20"/>
          <w:szCs w:val="20"/>
        </w:rPr>
        <w:t xml:space="preserve"> is a dummy variable, coded 1 if the firm pays a dividend in the year, otherwise 0. </w:t>
      </w:r>
      <w:r>
        <w:rPr>
          <w:rFonts w:ascii="Times New Roman" w:eastAsia="Times New Roman" w:hAnsi="Times New Roman" w:cs="Times New Roman"/>
          <w:i/>
          <w:color w:val="000000"/>
          <w:sz w:val="20"/>
          <w:szCs w:val="20"/>
        </w:rPr>
        <w:t xml:space="preserve">DIVDUM2YR </w:t>
      </w:r>
      <w:r>
        <w:rPr>
          <w:rFonts w:ascii="Times New Roman" w:eastAsia="Times New Roman" w:hAnsi="Times New Roman" w:cs="Times New Roman"/>
          <w:color w:val="000000"/>
          <w:sz w:val="20"/>
          <w:szCs w:val="20"/>
        </w:rPr>
        <w:t>is</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a dummy variable, coded 1 if the firm pays a dividend in the year </w:t>
      </w:r>
      <w:r>
        <w:rPr>
          <w:rFonts w:ascii="Times New Roman" w:eastAsia="Times New Roman" w:hAnsi="Times New Roman" w:cs="Times New Roman"/>
          <w:i/>
          <w:color w:val="000000"/>
          <w:sz w:val="20"/>
          <w:szCs w:val="20"/>
        </w:rPr>
        <w:t>and</w:t>
      </w:r>
      <w:r>
        <w:rPr>
          <w:rFonts w:ascii="Times New Roman" w:eastAsia="Times New Roman" w:hAnsi="Times New Roman" w:cs="Times New Roman"/>
          <w:color w:val="000000"/>
          <w:sz w:val="20"/>
          <w:szCs w:val="20"/>
        </w:rPr>
        <w:t xml:space="preserve"> the year before, otherwise 0.</w:t>
      </w:r>
      <w:r>
        <w:rPr>
          <w:rFonts w:ascii="Times New Roman" w:eastAsia="Times New Roman" w:hAnsi="Times New Roman" w:cs="Times New Roman"/>
          <w:i/>
          <w:color w:val="000000"/>
          <w:sz w:val="20"/>
          <w:szCs w:val="20"/>
        </w:rPr>
        <w:t xml:space="preserve"> SP/RE</w:t>
      </w:r>
      <w:r>
        <w:rPr>
          <w:rFonts w:ascii="Times New Roman" w:eastAsia="Times New Roman" w:hAnsi="Times New Roman" w:cs="Times New Roman"/>
          <w:color w:val="000000"/>
          <w:sz w:val="20"/>
          <w:szCs w:val="20"/>
        </w:rPr>
        <w:t xml:space="preserve"> is measured by aggregate value of total cash common dividends (WC05376), divided by retained earnings (WC03495).   </w:t>
      </w:r>
      <w:r>
        <w:rPr>
          <w:rFonts w:ascii="Times New Roman" w:eastAsia="Times New Roman" w:hAnsi="Times New Roman" w:cs="Times New Roman"/>
          <w:i/>
          <w:color w:val="000000"/>
          <w:sz w:val="20"/>
          <w:szCs w:val="20"/>
        </w:rPr>
        <w:t>DIV/NI</w:t>
      </w:r>
      <w:r>
        <w:rPr>
          <w:rFonts w:ascii="Times New Roman" w:eastAsia="Times New Roman" w:hAnsi="Times New Roman" w:cs="Times New Roman"/>
          <w:color w:val="000000"/>
          <w:sz w:val="20"/>
          <w:szCs w:val="20"/>
        </w:rPr>
        <w:t xml:space="preserve"> is measured by aggregate value of total cash common dividends, divided by net income before extraordinary items and preference dividends (WC01551). </w:t>
      </w:r>
      <w:r>
        <w:rPr>
          <w:rFonts w:ascii="Times New Roman" w:eastAsia="Times New Roman" w:hAnsi="Times New Roman" w:cs="Times New Roman"/>
          <w:i/>
          <w:color w:val="000000"/>
          <w:sz w:val="20"/>
          <w:szCs w:val="20"/>
        </w:rPr>
        <w:t xml:space="preserve">DIV/TOTALPAY </w:t>
      </w:r>
      <w:r>
        <w:rPr>
          <w:rFonts w:ascii="Times New Roman" w:eastAsia="Times New Roman" w:hAnsi="Times New Roman" w:cs="Times New Roman"/>
          <w:color w:val="000000"/>
          <w:sz w:val="20"/>
          <w:szCs w:val="20"/>
        </w:rPr>
        <w:t xml:space="preserve">is measured by aggregate value of total cash common dividends (WC05376), divided by total </w:t>
      </w:r>
      <w:proofErr w:type="spellStart"/>
      <w:r>
        <w:rPr>
          <w:rFonts w:ascii="Times New Roman" w:eastAsia="Times New Roman" w:hAnsi="Times New Roman" w:cs="Times New Roman"/>
          <w:color w:val="000000"/>
          <w:sz w:val="20"/>
          <w:szCs w:val="20"/>
        </w:rPr>
        <w:t>payout</w:t>
      </w:r>
      <w:proofErr w:type="spellEnd"/>
      <w:r>
        <w:rPr>
          <w:rFonts w:ascii="Times New Roman" w:eastAsia="Times New Roman" w:hAnsi="Times New Roman" w:cs="Times New Roman"/>
          <w:color w:val="000000"/>
          <w:sz w:val="20"/>
          <w:szCs w:val="20"/>
        </w:rPr>
        <w:t xml:space="preserve"> (WC04751 + WC05376). A superscript with a plus/minus sign indicates the sign of difference in medians which are smaller than 0.000.</w:t>
      </w:r>
    </w:p>
    <w:p w14:paraId="4DA41FC7" w14:textId="77777777" w:rsidR="00A74F6E" w:rsidRDefault="00A74F6E" w:rsidP="00A74F6E">
      <w:pPr>
        <w:tabs>
          <w:tab w:val="left" w:pos="720"/>
          <w:tab w:val="left" w:pos="1440"/>
          <w:tab w:val="left" w:pos="2160"/>
          <w:tab w:val="left" w:pos="2880"/>
          <w:tab w:val="left" w:pos="3600"/>
          <w:tab w:val="left" w:pos="4320"/>
          <w:tab w:val="center" w:pos="4513"/>
          <w:tab w:val="left" w:pos="8280"/>
        </w:tabs>
        <w:jc w:val="both"/>
        <w:rPr>
          <w:rFonts w:ascii="Times New Roman" w:eastAsia="Times New Roman" w:hAnsi="Times New Roman" w:cs="Times New Roman"/>
        </w:rPr>
      </w:pPr>
    </w:p>
    <w:p w14:paraId="2C63F7C0" w14:textId="77777777" w:rsidR="00A74F6E" w:rsidRDefault="00A74F6E" w:rsidP="00A74F6E">
      <w:pPr>
        <w:tabs>
          <w:tab w:val="left" w:pos="720"/>
          <w:tab w:val="left" w:pos="1440"/>
          <w:tab w:val="left" w:pos="2160"/>
          <w:tab w:val="left" w:pos="2880"/>
          <w:tab w:val="left" w:pos="3600"/>
          <w:tab w:val="left" w:pos="4320"/>
          <w:tab w:val="center" w:pos="4513"/>
          <w:tab w:val="left" w:pos="8280"/>
        </w:tabs>
        <w:jc w:val="both"/>
        <w:rPr>
          <w:rFonts w:ascii="Times New Roman" w:eastAsia="Times New Roman" w:hAnsi="Times New Roman" w:cs="Times New Roman"/>
        </w:rPr>
        <w:sectPr w:rsidR="00A74F6E" w:rsidSect="00A54ECC">
          <w:type w:val="continuous"/>
          <w:pgSz w:w="11906" w:h="16838"/>
          <w:pgMar w:top="720" w:right="720" w:bottom="720" w:left="720" w:header="708" w:footer="708" w:gutter="0"/>
          <w:cols w:space="720"/>
          <w:docGrid w:linePitch="326"/>
        </w:sectPr>
      </w:pPr>
    </w:p>
    <w:p w14:paraId="12244E27" w14:textId="77777777" w:rsidR="00A74F6E" w:rsidRPr="00832E90" w:rsidRDefault="00A74F6E" w:rsidP="00A74F6E">
      <w:pPr>
        <w:ind w:firstLine="720"/>
        <w:jc w:val="center"/>
        <w:rPr>
          <w:rFonts w:ascii="Times New Roman" w:eastAsia="Times New Roman" w:hAnsi="Times New Roman" w:cs="Times New Roman"/>
          <w:b/>
        </w:rPr>
      </w:pPr>
      <w:r>
        <w:rPr>
          <w:rFonts w:ascii="Times New Roman" w:eastAsia="Times New Roman" w:hAnsi="Times New Roman" w:cs="Times New Roman"/>
          <w:b/>
        </w:rPr>
        <w:lastRenderedPageBreak/>
        <w:t>Table 4: Differences by Repurchase Choice</w:t>
      </w:r>
    </w:p>
    <w:tbl>
      <w:tblPr>
        <w:tblW w:w="9378" w:type="dxa"/>
        <w:tblInd w:w="-5" w:type="dxa"/>
        <w:tblLayout w:type="fixed"/>
        <w:tblLook w:val="0400" w:firstRow="0" w:lastRow="0" w:firstColumn="0" w:lastColumn="0" w:noHBand="0" w:noVBand="1"/>
      </w:tblPr>
      <w:tblGrid>
        <w:gridCol w:w="1701"/>
        <w:gridCol w:w="920"/>
        <w:gridCol w:w="2624"/>
        <w:gridCol w:w="2018"/>
        <w:gridCol w:w="1371"/>
        <w:gridCol w:w="744"/>
      </w:tblGrid>
      <w:tr w:rsidR="00A74F6E" w14:paraId="64AB274D" w14:textId="77777777" w:rsidTr="0010233B">
        <w:trPr>
          <w:trHeight w:val="30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6FA00" w14:textId="77777777" w:rsidR="00A74F6E" w:rsidRDefault="00A74F6E" w:rsidP="0010233B">
            <w:pPr>
              <w:spacing w:after="0"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UNIVARIATE</w:t>
            </w:r>
          </w:p>
        </w:tc>
        <w:tc>
          <w:tcPr>
            <w:tcW w:w="920" w:type="dxa"/>
            <w:tcBorders>
              <w:top w:val="single" w:sz="4" w:space="0" w:color="000000"/>
              <w:left w:val="single" w:sz="4" w:space="0" w:color="000000"/>
              <w:bottom w:val="single" w:sz="4" w:space="0" w:color="000000"/>
            </w:tcBorders>
            <w:vAlign w:val="center"/>
          </w:tcPr>
          <w:p w14:paraId="73417E94" w14:textId="77777777" w:rsidR="00A74F6E" w:rsidRDefault="00A74F6E" w:rsidP="0010233B">
            <w:pPr>
              <w:spacing w:after="0" w:line="240" w:lineRule="auto"/>
              <w:jc w:val="center"/>
              <w:rPr>
                <w:rFonts w:ascii="Times New Roman" w:eastAsia="Times New Roman" w:hAnsi="Times New Roman" w:cs="Times New Roman"/>
                <w:sz w:val="22"/>
                <w:szCs w:val="22"/>
              </w:rPr>
            </w:pPr>
          </w:p>
        </w:tc>
        <w:tc>
          <w:tcPr>
            <w:tcW w:w="2624" w:type="dxa"/>
            <w:tcBorders>
              <w:top w:val="single" w:sz="4" w:space="0" w:color="000000"/>
              <w:bottom w:val="single" w:sz="4" w:space="0" w:color="000000"/>
            </w:tcBorders>
            <w:shd w:val="clear" w:color="auto" w:fill="auto"/>
            <w:vAlign w:val="center"/>
          </w:tcPr>
          <w:p w14:paraId="32A1F6E4"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NON-</w:t>
            </w:r>
          </w:p>
          <w:p w14:paraId="0A895DE0"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REPURCHASE FIRMS (NR)</w:t>
            </w:r>
          </w:p>
        </w:tc>
        <w:tc>
          <w:tcPr>
            <w:tcW w:w="2018" w:type="dxa"/>
            <w:tcBorders>
              <w:top w:val="single" w:sz="4" w:space="0" w:color="000000"/>
              <w:bottom w:val="single" w:sz="4" w:space="0" w:color="000000"/>
            </w:tcBorders>
            <w:shd w:val="clear" w:color="auto" w:fill="auto"/>
            <w:vAlign w:val="center"/>
          </w:tcPr>
          <w:p w14:paraId="52E31412"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REPURCHASE</w:t>
            </w:r>
          </w:p>
          <w:p w14:paraId="6C85CB21"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FIRMS (R)</w:t>
            </w:r>
          </w:p>
        </w:tc>
        <w:tc>
          <w:tcPr>
            <w:tcW w:w="1371" w:type="dxa"/>
            <w:tcBorders>
              <w:top w:val="single" w:sz="4" w:space="0" w:color="000000"/>
              <w:bottom w:val="single" w:sz="4" w:space="0" w:color="000000"/>
            </w:tcBorders>
            <w:shd w:val="clear" w:color="auto" w:fill="auto"/>
            <w:vAlign w:val="center"/>
          </w:tcPr>
          <w:p w14:paraId="63CEB3F6"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Diff: R - NR</w:t>
            </w:r>
          </w:p>
        </w:tc>
        <w:tc>
          <w:tcPr>
            <w:tcW w:w="744" w:type="dxa"/>
            <w:tcBorders>
              <w:top w:val="single" w:sz="4" w:space="0" w:color="000000"/>
              <w:bottom w:val="single" w:sz="4" w:space="0" w:color="000000"/>
              <w:right w:val="single" w:sz="4" w:space="0" w:color="000000"/>
            </w:tcBorders>
            <w:vAlign w:val="center"/>
          </w:tcPr>
          <w:p w14:paraId="0BDAD1B1"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p</w:t>
            </w:r>
            <w:r>
              <w:rPr>
                <w:rFonts w:ascii="Times New Roman" w:eastAsia="Times New Roman" w:hAnsi="Times New Roman" w:cs="Times New Roman"/>
                <w:b/>
                <w:sz w:val="22"/>
                <w:szCs w:val="22"/>
              </w:rPr>
              <w:t>-value</w:t>
            </w:r>
          </w:p>
        </w:tc>
      </w:tr>
      <w:tr w:rsidR="00A74F6E" w14:paraId="3CDF7F31" w14:textId="77777777" w:rsidTr="0010233B">
        <w:trPr>
          <w:trHeight w:val="309"/>
        </w:trPr>
        <w:tc>
          <w:tcPr>
            <w:tcW w:w="1701" w:type="dxa"/>
            <w:tcBorders>
              <w:top w:val="single" w:sz="4" w:space="0" w:color="000000"/>
              <w:left w:val="single" w:sz="4" w:space="0" w:color="000000"/>
              <w:right w:val="single" w:sz="4" w:space="0" w:color="000000"/>
            </w:tcBorders>
            <w:shd w:val="clear" w:color="auto" w:fill="auto"/>
            <w:vAlign w:val="center"/>
          </w:tcPr>
          <w:p w14:paraId="150F9110"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vertAlign w:val="subscript"/>
              </w:rPr>
            </w:pPr>
            <w:r w:rsidRPr="008648F4">
              <w:rPr>
                <w:rFonts w:ascii="Times New Roman" w:hAnsi="Times New Roman" w:cs="Times New Roman"/>
                <w:i/>
                <w:iCs/>
                <w:color w:val="000000" w:themeColor="text1"/>
                <w:sz w:val="22"/>
                <w:szCs w:val="22"/>
              </w:rPr>
              <w:t>LEVIND</w:t>
            </w:r>
            <w:r w:rsidRPr="008648F4">
              <w:rPr>
                <w:rFonts w:ascii="Times New Roman" w:hAnsi="Times New Roman" w:cs="Times New Roman"/>
                <w:i/>
                <w:iCs/>
                <w:color w:val="000000" w:themeColor="text1"/>
                <w:sz w:val="22"/>
                <w:szCs w:val="22"/>
                <w:vertAlign w:val="subscript"/>
              </w:rPr>
              <w:t>t-1</w:t>
            </w:r>
          </w:p>
        </w:tc>
        <w:tc>
          <w:tcPr>
            <w:tcW w:w="920" w:type="dxa"/>
            <w:tcBorders>
              <w:top w:val="single" w:sz="4" w:space="0" w:color="000000"/>
              <w:left w:val="single" w:sz="4" w:space="0" w:color="000000"/>
            </w:tcBorders>
            <w:vAlign w:val="center"/>
          </w:tcPr>
          <w:p w14:paraId="113CCF5C"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tcBorders>
              <w:top w:val="single" w:sz="4" w:space="0" w:color="000000"/>
            </w:tcBorders>
            <w:shd w:val="clear" w:color="auto" w:fill="auto"/>
            <w:vAlign w:val="center"/>
          </w:tcPr>
          <w:p w14:paraId="64EBA6E7"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0.006</w:t>
            </w:r>
          </w:p>
        </w:tc>
        <w:tc>
          <w:tcPr>
            <w:tcW w:w="2018" w:type="dxa"/>
            <w:tcBorders>
              <w:top w:val="single" w:sz="4" w:space="0" w:color="000000"/>
            </w:tcBorders>
            <w:shd w:val="clear" w:color="auto" w:fill="auto"/>
            <w:vAlign w:val="center"/>
          </w:tcPr>
          <w:p w14:paraId="3F6EEBBF"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0.010</w:t>
            </w:r>
          </w:p>
        </w:tc>
        <w:tc>
          <w:tcPr>
            <w:tcW w:w="1371" w:type="dxa"/>
            <w:tcBorders>
              <w:top w:val="single" w:sz="4" w:space="0" w:color="000000"/>
              <w:left w:val="single" w:sz="4" w:space="0" w:color="000000"/>
            </w:tcBorders>
            <w:shd w:val="clear" w:color="auto" w:fill="auto"/>
            <w:vAlign w:val="center"/>
          </w:tcPr>
          <w:p w14:paraId="1D56D395"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0.005</w:t>
            </w:r>
          </w:p>
        </w:tc>
        <w:tc>
          <w:tcPr>
            <w:tcW w:w="744" w:type="dxa"/>
            <w:tcBorders>
              <w:top w:val="single" w:sz="4" w:space="0" w:color="000000"/>
              <w:left w:val="single" w:sz="4" w:space="0" w:color="000000"/>
              <w:right w:val="single" w:sz="4" w:space="0" w:color="000000"/>
            </w:tcBorders>
            <w:vAlign w:val="center"/>
          </w:tcPr>
          <w:p w14:paraId="26FFC2C3"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sz w:val="22"/>
                <w:szCs w:val="22"/>
              </w:rPr>
              <w:t>0.923</w:t>
            </w:r>
          </w:p>
        </w:tc>
      </w:tr>
      <w:tr w:rsidR="00A74F6E" w14:paraId="30F13D6A" w14:textId="77777777" w:rsidTr="0010233B">
        <w:trPr>
          <w:trHeight w:val="309"/>
        </w:trPr>
        <w:tc>
          <w:tcPr>
            <w:tcW w:w="1701" w:type="dxa"/>
            <w:tcBorders>
              <w:left w:val="single" w:sz="4" w:space="0" w:color="000000"/>
              <w:right w:val="single" w:sz="4" w:space="0" w:color="000000"/>
            </w:tcBorders>
            <w:shd w:val="clear" w:color="auto" w:fill="auto"/>
            <w:vAlign w:val="center"/>
          </w:tcPr>
          <w:p w14:paraId="651F5829"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7E86032B" w14:textId="77777777" w:rsidR="00A74F6E" w:rsidRPr="00F726C1" w:rsidRDefault="00A74F6E" w:rsidP="0010233B">
            <w:pPr>
              <w:spacing w:after="0" w:line="240" w:lineRule="auto"/>
              <w:rPr>
                <w:rFonts w:ascii="Times New Roman" w:eastAsia="Times New Roman" w:hAnsi="Times New Roman" w:cs="Times New Roman"/>
                <w:i/>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7634867F" w14:textId="77777777" w:rsidR="00A74F6E" w:rsidRPr="00FC2B4E" w:rsidRDefault="00A74F6E" w:rsidP="0010233B">
            <w:pPr>
              <w:spacing w:after="0" w:line="240" w:lineRule="auto"/>
              <w:jc w:val="center"/>
              <w:rPr>
                <w:rFonts w:ascii="Times New Roman" w:eastAsia="Times New Roman" w:hAnsi="Times New Roman" w:cs="Times New Roman"/>
                <w:i/>
                <w:sz w:val="22"/>
                <w:szCs w:val="22"/>
              </w:rPr>
            </w:pPr>
            <w:r w:rsidRPr="00FC2B4E">
              <w:rPr>
                <w:rFonts w:ascii="Times New Roman" w:hAnsi="Times New Roman" w:cs="Times New Roman"/>
                <w:sz w:val="22"/>
                <w:szCs w:val="22"/>
              </w:rPr>
              <w:t>-0.128</w:t>
            </w:r>
          </w:p>
        </w:tc>
        <w:tc>
          <w:tcPr>
            <w:tcW w:w="2018" w:type="dxa"/>
            <w:shd w:val="clear" w:color="auto" w:fill="auto"/>
            <w:vAlign w:val="center"/>
          </w:tcPr>
          <w:p w14:paraId="5818BC55" w14:textId="77777777" w:rsidR="00A74F6E" w:rsidRPr="00FC2B4E" w:rsidRDefault="00A74F6E" w:rsidP="0010233B">
            <w:pPr>
              <w:spacing w:after="0" w:line="240" w:lineRule="auto"/>
              <w:jc w:val="center"/>
              <w:rPr>
                <w:rFonts w:ascii="Times New Roman" w:eastAsia="Times New Roman" w:hAnsi="Times New Roman" w:cs="Times New Roman"/>
                <w:i/>
                <w:sz w:val="22"/>
                <w:szCs w:val="22"/>
              </w:rPr>
            </w:pPr>
            <w:r w:rsidRPr="00FC2B4E">
              <w:rPr>
                <w:rFonts w:ascii="Times New Roman" w:hAnsi="Times New Roman" w:cs="Times New Roman"/>
                <w:sz w:val="22"/>
                <w:szCs w:val="22"/>
              </w:rPr>
              <w:t>-0.106</w:t>
            </w:r>
          </w:p>
        </w:tc>
        <w:tc>
          <w:tcPr>
            <w:tcW w:w="1371" w:type="dxa"/>
            <w:tcBorders>
              <w:left w:val="single" w:sz="4" w:space="0" w:color="000000"/>
            </w:tcBorders>
            <w:shd w:val="clear" w:color="auto" w:fill="auto"/>
            <w:vAlign w:val="center"/>
          </w:tcPr>
          <w:p w14:paraId="47FDEF02" w14:textId="77777777" w:rsidR="00A74F6E" w:rsidRPr="00FC2B4E" w:rsidRDefault="00A74F6E" w:rsidP="0010233B">
            <w:pPr>
              <w:spacing w:after="0" w:line="240" w:lineRule="auto"/>
              <w:jc w:val="center"/>
              <w:rPr>
                <w:rFonts w:ascii="Times New Roman" w:eastAsia="Times New Roman" w:hAnsi="Times New Roman" w:cs="Times New Roman"/>
                <w:i/>
                <w:sz w:val="22"/>
                <w:szCs w:val="22"/>
              </w:rPr>
            </w:pPr>
            <w:r w:rsidRPr="00FC2B4E">
              <w:rPr>
                <w:rFonts w:ascii="Times New Roman" w:hAnsi="Times New Roman" w:cs="Times New Roman"/>
                <w:sz w:val="22"/>
                <w:szCs w:val="22"/>
              </w:rPr>
              <w:t>0.022</w:t>
            </w:r>
          </w:p>
        </w:tc>
        <w:tc>
          <w:tcPr>
            <w:tcW w:w="744" w:type="dxa"/>
            <w:tcBorders>
              <w:left w:val="single" w:sz="4" w:space="0" w:color="000000"/>
              <w:right w:val="single" w:sz="4" w:space="0" w:color="000000"/>
            </w:tcBorders>
            <w:vAlign w:val="center"/>
          </w:tcPr>
          <w:p w14:paraId="73C6E94E" w14:textId="77777777" w:rsidR="00A74F6E" w:rsidRPr="00FC2B4E" w:rsidRDefault="00A74F6E" w:rsidP="0010233B">
            <w:pPr>
              <w:spacing w:after="0" w:line="240" w:lineRule="auto"/>
              <w:jc w:val="center"/>
              <w:rPr>
                <w:rFonts w:ascii="Times New Roman" w:eastAsia="Times New Roman" w:hAnsi="Times New Roman" w:cs="Times New Roman"/>
                <w:b/>
                <w:i/>
                <w:sz w:val="22"/>
                <w:szCs w:val="22"/>
              </w:rPr>
            </w:pPr>
            <w:r w:rsidRPr="00FC2B4E">
              <w:rPr>
                <w:rFonts w:ascii="Times New Roman" w:hAnsi="Times New Roman" w:cs="Times New Roman"/>
                <w:sz w:val="22"/>
                <w:szCs w:val="22"/>
              </w:rPr>
              <w:t>0.730</w:t>
            </w:r>
          </w:p>
        </w:tc>
      </w:tr>
      <w:tr w:rsidR="00A74F6E" w14:paraId="477F06A4" w14:textId="77777777" w:rsidTr="0010233B">
        <w:trPr>
          <w:trHeight w:val="309"/>
        </w:trPr>
        <w:tc>
          <w:tcPr>
            <w:tcW w:w="1701" w:type="dxa"/>
            <w:tcBorders>
              <w:left w:val="single" w:sz="4" w:space="0" w:color="000000"/>
              <w:right w:val="single" w:sz="4" w:space="0" w:color="000000"/>
            </w:tcBorders>
            <w:shd w:val="clear" w:color="auto" w:fill="auto"/>
            <w:vAlign w:val="center"/>
          </w:tcPr>
          <w:p w14:paraId="31CDCA86"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XSCASH</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3EDF474E"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16BF3FE6"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-0.008</w:t>
            </w:r>
          </w:p>
        </w:tc>
        <w:tc>
          <w:tcPr>
            <w:tcW w:w="2018" w:type="dxa"/>
            <w:shd w:val="clear" w:color="auto" w:fill="auto"/>
            <w:vAlign w:val="center"/>
          </w:tcPr>
          <w:p w14:paraId="420315C0"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0.004</w:t>
            </w:r>
          </w:p>
        </w:tc>
        <w:tc>
          <w:tcPr>
            <w:tcW w:w="1371" w:type="dxa"/>
            <w:tcBorders>
              <w:left w:val="single" w:sz="4" w:space="0" w:color="000000"/>
            </w:tcBorders>
            <w:shd w:val="clear" w:color="auto" w:fill="auto"/>
            <w:vAlign w:val="center"/>
          </w:tcPr>
          <w:p w14:paraId="0B662D43"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0.012</w:t>
            </w:r>
          </w:p>
        </w:tc>
        <w:tc>
          <w:tcPr>
            <w:tcW w:w="744" w:type="dxa"/>
            <w:tcBorders>
              <w:left w:val="single" w:sz="4" w:space="0" w:color="000000"/>
              <w:right w:val="single" w:sz="4" w:space="0" w:color="000000"/>
            </w:tcBorders>
            <w:vAlign w:val="center"/>
          </w:tcPr>
          <w:p w14:paraId="69E313E4"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0.005</w:t>
            </w:r>
          </w:p>
        </w:tc>
      </w:tr>
      <w:tr w:rsidR="00A74F6E" w14:paraId="328B9B53" w14:textId="77777777" w:rsidTr="0010233B">
        <w:trPr>
          <w:trHeight w:val="309"/>
        </w:trPr>
        <w:tc>
          <w:tcPr>
            <w:tcW w:w="1701" w:type="dxa"/>
            <w:tcBorders>
              <w:left w:val="single" w:sz="4" w:space="0" w:color="000000"/>
              <w:right w:val="single" w:sz="4" w:space="0" w:color="000000"/>
            </w:tcBorders>
            <w:shd w:val="clear" w:color="auto" w:fill="auto"/>
            <w:vAlign w:val="center"/>
          </w:tcPr>
          <w:p w14:paraId="6F2EA23C"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6B12BDC6" w14:textId="77777777" w:rsidR="00A74F6E" w:rsidRPr="00F726C1" w:rsidRDefault="00A74F6E" w:rsidP="0010233B">
            <w:pPr>
              <w:spacing w:after="0" w:line="240" w:lineRule="auto"/>
              <w:rPr>
                <w:rFonts w:ascii="Times New Roman" w:eastAsia="Times New Roman" w:hAnsi="Times New Roman" w:cs="Times New Roman"/>
                <w:i/>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49073703" w14:textId="77777777" w:rsidR="00A74F6E" w:rsidRPr="00FC2B4E" w:rsidRDefault="00A74F6E" w:rsidP="0010233B">
            <w:pPr>
              <w:spacing w:after="0" w:line="240" w:lineRule="auto"/>
              <w:jc w:val="center"/>
              <w:rPr>
                <w:rFonts w:ascii="Times New Roman" w:eastAsia="Times New Roman" w:hAnsi="Times New Roman" w:cs="Times New Roman"/>
                <w:i/>
                <w:sz w:val="22"/>
                <w:szCs w:val="22"/>
              </w:rPr>
            </w:pPr>
            <w:r w:rsidRPr="00FC2B4E">
              <w:rPr>
                <w:rFonts w:ascii="Times New Roman" w:hAnsi="Times New Roman" w:cs="Times New Roman"/>
                <w:sz w:val="22"/>
                <w:szCs w:val="22"/>
              </w:rPr>
              <w:t>-0.058</w:t>
            </w:r>
          </w:p>
        </w:tc>
        <w:tc>
          <w:tcPr>
            <w:tcW w:w="2018" w:type="dxa"/>
            <w:shd w:val="clear" w:color="auto" w:fill="auto"/>
            <w:vAlign w:val="center"/>
          </w:tcPr>
          <w:p w14:paraId="34D63F17" w14:textId="77777777" w:rsidR="00A74F6E" w:rsidRPr="00FC2B4E" w:rsidRDefault="00A74F6E" w:rsidP="0010233B">
            <w:pPr>
              <w:spacing w:after="0" w:line="240" w:lineRule="auto"/>
              <w:jc w:val="center"/>
              <w:rPr>
                <w:rFonts w:ascii="Times New Roman" w:eastAsia="Times New Roman" w:hAnsi="Times New Roman" w:cs="Times New Roman"/>
                <w:i/>
                <w:sz w:val="22"/>
                <w:szCs w:val="22"/>
              </w:rPr>
            </w:pPr>
            <w:r w:rsidRPr="00FC2B4E">
              <w:rPr>
                <w:rFonts w:ascii="Times New Roman" w:hAnsi="Times New Roman" w:cs="Times New Roman"/>
                <w:sz w:val="22"/>
                <w:szCs w:val="22"/>
              </w:rPr>
              <w:t>-0.034</w:t>
            </w:r>
          </w:p>
        </w:tc>
        <w:tc>
          <w:tcPr>
            <w:tcW w:w="1371" w:type="dxa"/>
            <w:tcBorders>
              <w:left w:val="single" w:sz="4" w:space="0" w:color="000000"/>
            </w:tcBorders>
            <w:shd w:val="clear" w:color="auto" w:fill="auto"/>
            <w:vAlign w:val="center"/>
          </w:tcPr>
          <w:p w14:paraId="1A3F1665" w14:textId="77777777" w:rsidR="00A74F6E" w:rsidRPr="00FC2B4E" w:rsidRDefault="00A74F6E" w:rsidP="0010233B">
            <w:pPr>
              <w:spacing w:after="0" w:line="240" w:lineRule="auto"/>
              <w:jc w:val="center"/>
              <w:rPr>
                <w:rFonts w:ascii="Times New Roman" w:eastAsia="Times New Roman" w:hAnsi="Times New Roman" w:cs="Times New Roman"/>
                <w:b/>
                <w:i/>
                <w:sz w:val="22"/>
                <w:szCs w:val="22"/>
              </w:rPr>
            </w:pPr>
            <w:r w:rsidRPr="00FC2B4E">
              <w:rPr>
                <w:rFonts w:ascii="Times New Roman" w:hAnsi="Times New Roman" w:cs="Times New Roman"/>
                <w:b/>
                <w:bCs/>
                <w:sz w:val="22"/>
                <w:szCs w:val="22"/>
              </w:rPr>
              <w:t>0.024</w:t>
            </w:r>
          </w:p>
        </w:tc>
        <w:tc>
          <w:tcPr>
            <w:tcW w:w="744" w:type="dxa"/>
            <w:tcBorders>
              <w:left w:val="single" w:sz="4" w:space="0" w:color="000000"/>
              <w:right w:val="single" w:sz="4" w:space="0" w:color="000000"/>
            </w:tcBorders>
            <w:vAlign w:val="center"/>
          </w:tcPr>
          <w:p w14:paraId="014AEDA6" w14:textId="77777777" w:rsidR="00A74F6E" w:rsidRPr="00FC2B4E" w:rsidRDefault="00A74F6E" w:rsidP="0010233B">
            <w:pPr>
              <w:spacing w:after="0" w:line="240" w:lineRule="auto"/>
              <w:jc w:val="center"/>
              <w:rPr>
                <w:rFonts w:ascii="Times New Roman" w:eastAsia="Times New Roman" w:hAnsi="Times New Roman" w:cs="Times New Roman"/>
                <w:b/>
                <w:i/>
                <w:sz w:val="22"/>
                <w:szCs w:val="22"/>
              </w:rPr>
            </w:pPr>
            <w:r w:rsidRPr="00FC2B4E">
              <w:rPr>
                <w:rFonts w:ascii="Times New Roman" w:hAnsi="Times New Roman" w:cs="Times New Roman"/>
                <w:b/>
                <w:bCs/>
                <w:sz w:val="22"/>
                <w:szCs w:val="22"/>
              </w:rPr>
              <w:t>0.000</w:t>
            </w:r>
          </w:p>
        </w:tc>
      </w:tr>
      <w:tr w:rsidR="00A74F6E" w14:paraId="66A097EC" w14:textId="77777777" w:rsidTr="0010233B">
        <w:trPr>
          <w:trHeight w:val="309"/>
        </w:trPr>
        <w:tc>
          <w:tcPr>
            <w:tcW w:w="1701" w:type="dxa"/>
            <w:tcBorders>
              <w:left w:val="single" w:sz="4" w:space="0" w:color="000000"/>
              <w:right w:val="single" w:sz="4" w:space="0" w:color="000000"/>
            </w:tcBorders>
            <w:shd w:val="clear" w:color="auto" w:fill="auto"/>
            <w:vAlign w:val="center"/>
          </w:tcPr>
          <w:p w14:paraId="30D28477"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CFO/TA</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173088E3"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3C001869"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0.073</w:t>
            </w:r>
          </w:p>
        </w:tc>
        <w:tc>
          <w:tcPr>
            <w:tcW w:w="2018" w:type="dxa"/>
            <w:shd w:val="clear" w:color="auto" w:fill="auto"/>
            <w:vAlign w:val="center"/>
          </w:tcPr>
          <w:p w14:paraId="6AB54F38"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0.113</w:t>
            </w:r>
          </w:p>
        </w:tc>
        <w:tc>
          <w:tcPr>
            <w:tcW w:w="1371" w:type="dxa"/>
            <w:tcBorders>
              <w:left w:val="single" w:sz="4" w:space="0" w:color="000000"/>
            </w:tcBorders>
            <w:shd w:val="clear" w:color="auto" w:fill="auto"/>
            <w:vAlign w:val="center"/>
          </w:tcPr>
          <w:p w14:paraId="48ACFC0C"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0.039</w:t>
            </w:r>
          </w:p>
        </w:tc>
        <w:tc>
          <w:tcPr>
            <w:tcW w:w="744" w:type="dxa"/>
            <w:tcBorders>
              <w:left w:val="single" w:sz="4" w:space="0" w:color="000000"/>
              <w:right w:val="single" w:sz="4" w:space="0" w:color="000000"/>
            </w:tcBorders>
            <w:vAlign w:val="center"/>
          </w:tcPr>
          <w:p w14:paraId="2F4E36FF"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63D421C3" w14:textId="77777777" w:rsidTr="0010233B">
        <w:trPr>
          <w:trHeight w:val="309"/>
        </w:trPr>
        <w:tc>
          <w:tcPr>
            <w:tcW w:w="1701" w:type="dxa"/>
            <w:tcBorders>
              <w:left w:val="single" w:sz="4" w:space="0" w:color="000000"/>
              <w:right w:val="single" w:sz="4" w:space="0" w:color="000000"/>
            </w:tcBorders>
            <w:shd w:val="clear" w:color="auto" w:fill="auto"/>
            <w:vAlign w:val="center"/>
          </w:tcPr>
          <w:p w14:paraId="39F116EC"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71091B92"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0573A6F4"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0.078</w:t>
            </w:r>
          </w:p>
        </w:tc>
        <w:tc>
          <w:tcPr>
            <w:tcW w:w="2018" w:type="dxa"/>
            <w:shd w:val="clear" w:color="auto" w:fill="auto"/>
            <w:vAlign w:val="center"/>
          </w:tcPr>
          <w:p w14:paraId="40D89C4F"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0.103</w:t>
            </w:r>
          </w:p>
        </w:tc>
        <w:tc>
          <w:tcPr>
            <w:tcW w:w="1371" w:type="dxa"/>
            <w:tcBorders>
              <w:left w:val="single" w:sz="4" w:space="0" w:color="000000"/>
            </w:tcBorders>
            <w:shd w:val="clear" w:color="auto" w:fill="auto"/>
            <w:vAlign w:val="center"/>
          </w:tcPr>
          <w:p w14:paraId="50F148FB"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0.025</w:t>
            </w:r>
          </w:p>
        </w:tc>
        <w:tc>
          <w:tcPr>
            <w:tcW w:w="744" w:type="dxa"/>
            <w:tcBorders>
              <w:left w:val="single" w:sz="4" w:space="0" w:color="000000"/>
              <w:right w:val="single" w:sz="4" w:space="0" w:color="000000"/>
            </w:tcBorders>
            <w:vAlign w:val="center"/>
          </w:tcPr>
          <w:p w14:paraId="5389AD8F"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0F40FBFB" w14:textId="77777777" w:rsidTr="0010233B">
        <w:trPr>
          <w:trHeight w:val="309"/>
        </w:trPr>
        <w:tc>
          <w:tcPr>
            <w:tcW w:w="1701" w:type="dxa"/>
            <w:tcBorders>
              <w:left w:val="single" w:sz="4" w:space="0" w:color="000000"/>
              <w:right w:val="single" w:sz="4" w:space="0" w:color="000000"/>
            </w:tcBorders>
            <w:shd w:val="clear" w:color="auto" w:fill="auto"/>
            <w:vAlign w:val="center"/>
          </w:tcPr>
          <w:p w14:paraId="5C20155F"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MTBIND</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55E0CE0E"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2C4DC22F"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-0.015</w:t>
            </w:r>
          </w:p>
        </w:tc>
        <w:tc>
          <w:tcPr>
            <w:tcW w:w="2018" w:type="dxa"/>
            <w:shd w:val="clear" w:color="auto" w:fill="auto"/>
            <w:vAlign w:val="center"/>
          </w:tcPr>
          <w:p w14:paraId="3E1F4969"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0.095</w:t>
            </w:r>
          </w:p>
        </w:tc>
        <w:tc>
          <w:tcPr>
            <w:tcW w:w="1371" w:type="dxa"/>
            <w:tcBorders>
              <w:left w:val="single" w:sz="4" w:space="0" w:color="000000"/>
            </w:tcBorders>
            <w:shd w:val="clear" w:color="auto" w:fill="auto"/>
            <w:vAlign w:val="center"/>
          </w:tcPr>
          <w:p w14:paraId="51500DCC"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0.110</w:t>
            </w:r>
          </w:p>
        </w:tc>
        <w:tc>
          <w:tcPr>
            <w:tcW w:w="744" w:type="dxa"/>
            <w:tcBorders>
              <w:left w:val="single" w:sz="4" w:space="0" w:color="000000"/>
              <w:right w:val="single" w:sz="4" w:space="0" w:color="000000"/>
            </w:tcBorders>
            <w:vAlign w:val="center"/>
          </w:tcPr>
          <w:p w14:paraId="072E1DFC"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4CF88E20" w14:textId="77777777" w:rsidTr="0010233B">
        <w:trPr>
          <w:trHeight w:val="309"/>
        </w:trPr>
        <w:tc>
          <w:tcPr>
            <w:tcW w:w="1701" w:type="dxa"/>
            <w:tcBorders>
              <w:left w:val="single" w:sz="4" w:space="0" w:color="000000"/>
              <w:right w:val="single" w:sz="4" w:space="0" w:color="000000"/>
            </w:tcBorders>
            <w:shd w:val="clear" w:color="auto" w:fill="auto"/>
            <w:vAlign w:val="center"/>
          </w:tcPr>
          <w:p w14:paraId="4B0F7ED6"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2C81A97E"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055000C6"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-0.193</w:t>
            </w:r>
          </w:p>
        </w:tc>
        <w:tc>
          <w:tcPr>
            <w:tcW w:w="2018" w:type="dxa"/>
            <w:shd w:val="clear" w:color="auto" w:fill="auto"/>
            <w:vAlign w:val="center"/>
          </w:tcPr>
          <w:p w14:paraId="693A4FAB"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-0.075</w:t>
            </w:r>
          </w:p>
        </w:tc>
        <w:tc>
          <w:tcPr>
            <w:tcW w:w="1371" w:type="dxa"/>
            <w:tcBorders>
              <w:left w:val="single" w:sz="4" w:space="0" w:color="000000"/>
            </w:tcBorders>
            <w:shd w:val="clear" w:color="auto" w:fill="auto"/>
            <w:vAlign w:val="center"/>
          </w:tcPr>
          <w:p w14:paraId="7D0F459C"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0.119</w:t>
            </w:r>
          </w:p>
        </w:tc>
        <w:tc>
          <w:tcPr>
            <w:tcW w:w="744" w:type="dxa"/>
            <w:tcBorders>
              <w:left w:val="single" w:sz="4" w:space="0" w:color="000000"/>
              <w:right w:val="single" w:sz="4" w:space="0" w:color="000000"/>
            </w:tcBorders>
            <w:vAlign w:val="center"/>
          </w:tcPr>
          <w:p w14:paraId="4DEE607E"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18C1F5B3" w14:textId="77777777" w:rsidTr="0010233B">
        <w:trPr>
          <w:trHeight w:val="309"/>
        </w:trPr>
        <w:tc>
          <w:tcPr>
            <w:tcW w:w="1701" w:type="dxa"/>
            <w:tcBorders>
              <w:left w:val="single" w:sz="4" w:space="0" w:color="000000"/>
              <w:right w:val="single" w:sz="4" w:space="0" w:color="000000"/>
            </w:tcBorders>
            <w:shd w:val="clear" w:color="auto" w:fill="auto"/>
            <w:vAlign w:val="center"/>
          </w:tcPr>
          <w:p w14:paraId="76713EFC"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ABRET</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718A2FD2"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5D59893E"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0.116</w:t>
            </w:r>
          </w:p>
        </w:tc>
        <w:tc>
          <w:tcPr>
            <w:tcW w:w="2018" w:type="dxa"/>
            <w:shd w:val="clear" w:color="auto" w:fill="auto"/>
            <w:vAlign w:val="center"/>
          </w:tcPr>
          <w:p w14:paraId="4EF2F666"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0.100</w:t>
            </w:r>
          </w:p>
        </w:tc>
        <w:tc>
          <w:tcPr>
            <w:tcW w:w="1371" w:type="dxa"/>
            <w:tcBorders>
              <w:left w:val="single" w:sz="4" w:space="0" w:color="000000"/>
            </w:tcBorders>
            <w:shd w:val="clear" w:color="auto" w:fill="auto"/>
            <w:vAlign w:val="center"/>
          </w:tcPr>
          <w:p w14:paraId="59E38FF4"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sz w:val="22"/>
                <w:szCs w:val="22"/>
              </w:rPr>
              <w:t>-0.016</w:t>
            </w:r>
          </w:p>
        </w:tc>
        <w:tc>
          <w:tcPr>
            <w:tcW w:w="744" w:type="dxa"/>
            <w:tcBorders>
              <w:left w:val="single" w:sz="4" w:space="0" w:color="000000"/>
              <w:right w:val="single" w:sz="4" w:space="0" w:color="000000"/>
            </w:tcBorders>
            <w:vAlign w:val="center"/>
          </w:tcPr>
          <w:p w14:paraId="0A1668DF" w14:textId="77777777" w:rsidR="00A74F6E" w:rsidRPr="007276F8" w:rsidRDefault="00A74F6E" w:rsidP="0010233B">
            <w:pPr>
              <w:spacing w:after="0" w:line="240" w:lineRule="auto"/>
              <w:jc w:val="center"/>
              <w:rPr>
                <w:rFonts w:ascii="Times New Roman" w:eastAsia="Times New Roman" w:hAnsi="Times New Roman" w:cs="Times New Roman"/>
                <w:b/>
                <w:sz w:val="22"/>
                <w:szCs w:val="22"/>
              </w:rPr>
            </w:pPr>
            <w:r w:rsidRPr="007276F8">
              <w:rPr>
                <w:rFonts w:ascii="Times New Roman" w:hAnsi="Times New Roman" w:cs="Times New Roman"/>
                <w:sz w:val="22"/>
                <w:szCs w:val="22"/>
              </w:rPr>
              <w:t>0.172</w:t>
            </w:r>
          </w:p>
        </w:tc>
      </w:tr>
      <w:tr w:rsidR="00A74F6E" w14:paraId="00E6C80E" w14:textId="77777777" w:rsidTr="0010233B">
        <w:trPr>
          <w:trHeight w:val="309"/>
        </w:trPr>
        <w:tc>
          <w:tcPr>
            <w:tcW w:w="1701" w:type="dxa"/>
            <w:tcBorders>
              <w:left w:val="single" w:sz="4" w:space="0" w:color="000000"/>
              <w:right w:val="single" w:sz="4" w:space="0" w:color="000000"/>
            </w:tcBorders>
            <w:shd w:val="clear" w:color="auto" w:fill="auto"/>
            <w:vAlign w:val="center"/>
          </w:tcPr>
          <w:p w14:paraId="63FBA0D4"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4755C5D3"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4092FD34"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0.044</w:t>
            </w:r>
          </w:p>
        </w:tc>
        <w:tc>
          <w:tcPr>
            <w:tcW w:w="2018" w:type="dxa"/>
            <w:shd w:val="clear" w:color="auto" w:fill="auto"/>
            <w:vAlign w:val="center"/>
          </w:tcPr>
          <w:p w14:paraId="62088DA7"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0.061</w:t>
            </w:r>
          </w:p>
        </w:tc>
        <w:tc>
          <w:tcPr>
            <w:tcW w:w="1371" w:type="dxa"/>
            <w:tcBorders>
              <w:left w:val="single" w:sz="4" w:space="0" w:color="000000"/>
            </w:tcBorders>
            <w:shd w:val="clear" w:color="auto" w:fill="auto"/>
            <w:vAlign w:val="center"/>
          </w:tcPr>
          <w:p w14:paraId="7D2F30BB"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b/>
                <w:bCs/>
                <w:sz w:val="22"/>
                <w:szCs w:val="22"/>
              </w:rPr>
              <w:t>0.017</w:t>
            </w:r>
          </w:p>
        </w:tc>
        <w:tc>
          <w:tcPr>
            <w:tcW w:w="744" w:type="dxa"/>
            <w:tcBorders>
              <w:left w:val="single" w:sz="4" w:space="0" w:color="000000"/>
              <w:right w:val="single" w:sz="4" w:space="0" w:color="000000"/>
            </w:tcBorders>
            <w:vAlign w:val="center"/>
          </w:tcPr>
          <w:p w14:paraId="166D79CF" w14:textId="77777777" w:rsidR="00A74F6E" w:rsidRPr="007276F8" w:rsidRDefault="00A74F6E" w:rsidP="0010233B">
            <w:pPr>
              <w:spacing w:after="0" w:line="240" w:lineRule="auto"/>
              <w:jc w:val="center"/>
              <w:rPr>
                <w:rFonts w:ascii="Times New Roman" w:eastAsia="Times New Roman" w:hAnsi="Times New Roman" w:cs="Times New Roman"/>
                <w:b/>
                <w:sz w:val="22"/>
                <w:szCs w:val="22"/>
              </w:rPr>
            </w:pPr>
            <w:r w:rsidRPr="007276F8">
              <w:rPr>
                <w:rFonts w:ascii="Times New Roman" w:hAnsi="Times New Roman" w:cs="Times New Roman"/>
                <w:b/>
                <w:bCs/>
                <w:sz w:val="22"/>
                <w:szCs w:val="22"/>
              </w:rPr>
              <w:t>0.022</w:t>
            </w:r>
          </w:p>
        </w:tc>
      </w:tr>
      <w:tr w:rsidR="00A74F6E" w14:paraId="1899DFC6" w14:textId="77777777" w:rsidTr="0010233B">
        <w:trPr>
          <w:trHeight w:val="309"/>
        </w:trPr>
        <w:tc>
          <w:tcPr>
            <w:tcW w:w="1701" w:type="dxa"/>
            <w:tcBorders>
              <w:left w:val="single" w:sz="4" w:space="0" w:color="000000"/>
              <w:right w:val="single" w:sz="4" w:space="0" w:color="000000"/>
            </w:tcBorders>
            <w:shd w:val="clear" w:color="auto" w:fill="auto"/>
            <w:vAlign w:val="center"/>
          </w:tcPr>
          <w:p w14:paraId="30956A00" w14:textId="77777777" w:rsidR="00A74F6E" w:rsidRPr="008648F4" w:rsidRDefault="00A74F6E" w:rsidP="0010233B">
            <w:pPr>
              <w:spacing w:after="0" w:line="240" w:lineRule="auto"/>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DIV</w:t>
            </w:r>
            <w:r w:rsidRPr="008648F4">
              <w:rPr>
                <w:rFonts w:ascii="Times New Roman" w:hAnsi="Times New Roman" w:cs="Times New Roman"/>
                <w:i/>
                <w:iCs/>
                <w:color w:val="000000" w:themeColor="text1"/>
                <w:sz w:val="22"/>
                <w:szCs w:val="22"/>
              </w:rPr>
              <w:t>/NI</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6F103C38" w14:textId="77777777" w:rsidR="00A74F6E" w:rsidRPr="00F726C1" w:rsidRDefault="00A74F6E" w:rsidP="0010233B">
            <w:pPr>
              <w:spacing w:after="0" w:line="240" w:lineRule="auto"/>
              <w:rPr>
                <w:rFonts w:ascii="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5CE31ADA" w14:textId="77777777" w:rsidR="00A74F6E" w:rsidRPr="00FC2B4E" w:rsidRDefault="00A74F6E" w:rsidP="0010233B">
            <w:pPr>
              <w:spacing w:after="0" w:line="240" w:lineRule="auto"/>
              <w:jc w:val="center"/>
              <w:rPr>
                <w:rFonts w:ascii="Times New Roman" w:hAnsi="Times New Roman" w:cs="Times New Roman"/>
                <w:sz w:val="22"/>
                <w:szCs w:val="22"/>
              </w:rPr>
            </w:pPr>
            <w:r w:rsidRPr="00FC2B4E">
              <w:rPr>
                <w:rFonts w:ascii="Times New Roman" w:hAnsi="Times New Roman" w:cs="Times New Roman"/>
                <w:sz w:val="22"/>
                <w:szCs w:val="22"/>
              </w:rPr>
              <w:t>0.426</w:t>
            </w:r>
          </w:p>
        </w:tc>
        <w:tc>
          <w:tcPr>
            <w:tcW w:w="2018" w:type="dxa"/>
            <w:shd w:val="clear" w:color="auto" w:fill="auto"/>
            <w:vAlign w:val="center"/>
          </w:tcPr>
          <w:p w14:paraId="0F8A1203" w14:textId="77777777" w:rsidR="00A74F6E" w:rsidRPr="00FC2B4E" w:rsidRDefault="00A74F6E" w:rsidP="0010233B">
            <w:pPr>
              <w:spacing w:after="0" w:line="240" w:lineRule="auto"/>
              <w:jc w:val="center"/>
              <w:rPr>
                <w:rFonts w:ascii="Times New Roman" w:hAnsi="Times New Roman" w:cs="Times New Roman"/>
                <w:sz w:val="22"/>
                <w:szCs w:val="22"/>
              </w:rPr>
            </w:pPr>
            <w:r w:rsidRPr="00FC2B4E">
              <w:rPr>
                <w:rFonts w:ascii="Times New Roman" w:hAnsi="Times New Roman" w:cs="Times New Roman"/>
                <w:sz w:val="22"/>
                <w:szCs w:val="22"/>
              </w:rPr>
              <w:t>0.510</w:t>
            </w:r>
          </w:p>
        </w:tc>
        <w:tc>
          <w:tcPr>
            <w:tcW w:w="1371" w:type="dxa"/>
            <w:tcBorders>
              <w:left w:val="single" w:sz="4" w:space="0" w:color="000000"/>
            </w:tcBorders>
            <w:shd w:val="clear" w:color="auto" w:fill="auto"/>
            <w:vAlign w:val="center"/>
          </w:tcPr>
          <w:p w14:paraId="3EE1B762" w14:textId="77777777" w:rsidR="00A74F6E" w:rsidRPr="00FC2B4E" w:rsidRDefault="00A74F6E" w:rsidP="0010233B">
            <w:pPr>
              <w:spacing w:after="0" w:line="240" w:lineRule="auto"/>
              <w:jc w:val="center"/>
              <w:rPr>
                <w:rFonts w:ascii="Times New Roman" w:hAnsi="Times New Roman" w:cs="Times New Roman"/>
                <w:sz w:val="22"/>
                <w:szCs w:val="22"/>
              </w:rPr>
            </w:pPr>
            <w:r w:rsidRPr="00FC2B4E">
              <w:rPr>
                <w:rFonts w:ascii="Times New Roman" w:hAnsi="Times New Roman" w:cs="Times New Roman"/>
                <w:b/>
                <w:bCs/>
                <w:sz w:val="22"/>
                <w:szCs w:val="22"/>
              </w:rPr>
              <w:t>0.083</w:t>
            </w:r>
          </w:p>
        </w:tc>
        <w:tc>
          <w:tcPr>
            <w:tcW w:w="744" w:type="dxa"/>
            <w:tcBorders>
              <w:left w:val="single" w:sz="4" w:space="0" w:color="000000"/>
              <w:right w:val="single" w:sz="4" w:space="0" w:color="000000"/>
            </w:tcBorders>
            <w:vAlign w:val="center"/>
          </w:tcPr>
          <w:p w14:paraId="74451093" w14:textId="77777777" w:rsidR="00A74F6E" w:rsidRPr="00FC2B4E" w:rsidRDefault="00A74F6E" w:rsidP="0010233B">
            <w:pPr>
              <w:spacing w:after="0" w:line="240" w:lineRule="auto"/>
              <w:jc w:val="center"/>
              <w:rPr>
                <w:rFonts w:ascii="Times New Roman" w:hAnsi="Times New Roman" w:cs="Times New Roman"/>
                <w:b/>
                <w:bCs/>
                <w:sz w:val="22"/>
                <w:szCs w:val="22"/>
              </w:rPr>
            </w:pPr>
            <w:r w:rsidRPr="00FC2B4E">
              <w:rPr>
                <w:rFonts w:ascii="Times New Roman" w:hAnsi="Times New Roman" w:cs="Times New Roman"/>
                <w:b/>
                <w:bCs/>
                <w:sz w:val="22"/>
                <w:szCs w:val="22"/>
              </w:rPr>
              <w:t>0.029</w:t>
            </w:r>
          </w:p>
        </w:tc>
      </w:tr>
      <w:tr w:rsidR="00A74F6E" w14:paraId="6E4452BD" w14:textId="77777777" w:rsidTr="0010233B">
        <w:trPr>
          <w:trHeight w:val="309"/>
        </w:trPr>
        <w:tc>
          <w:tcPr>
            <w:tcW w:w="1701" w:type="dxa"/>
            <w:tcBorders>
              <w:left w:val="single" w:sz="4" w:space="0" w:color="000000"/>
              <w:right w:val="single" w:sz="4" w:space="0" w:color="000000"/>
            </w:tcBorders>
            <w:shd w:val="clear" w:color="auto" w:fill="auto"/>
            <w:vAlign w:val="center"/>
          </w:tcPr>
          <w:p w14:paraId="622A78E2" w14:textId="77777777" w:rsidR="00A74F6E" w:rsidRPr="008648F4" w:rsidRDefault="00A74F6E" w:rsidP="0010233B">
            <w:pPr>
              <w:spacing w:after="0" w:line="240" w:lineRule="auto"/>
              <w:rPr>
                <w:rFonts w:ascii="Times New Roman" w:hAnsi="Times New Roman" w:cs="Times New Roman"/>
                <w:i/>
                <w:iCs/>
                <w:color w:val="000000" w:themeColor="text1"/>
                <w:sz w:val="22"/>
                <w:szCs w:val="22"/>
              </w:rPr>
            </w:pPr>
          </w:p>
        </w:tc>
        <w:tc>
          <w:tcPr>
            <w:tcW w:w="920" w:type="dxa"/>
            <w:tcBorders>
              <w:left w:val="single" w:sz="4" w:space="0" w:color="000000"/>
            </w:tcBorders>
            <w:vAlign w:val="center"/>
          </w:tcPr>
          <w:p w14:paraId="126C5AA9" w14:textId="77777777" w:rsidR="00A74F6E" w:rsidRPr="00F726C1" w:rsidRDefault="00A74F6E" w:rsidP="0010233B">
            <w:pPr>
              <w:spacing w:after="0" w:line="240" w:lineRule="auto"/>
              <w:rPr>
                <w:rFonts w:ascii="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61DEAFBA" w14:textId="77777777" w:rsidR="00A74F6E" w:rsidRPr="00FC2B4E" w:rsidRDefault="00A74F6E" w:rsidP="0010233B">
            <w:pPr>
              <w:spacing w:after="0" w:line="240" w:lineRule="auto"/>
              <w:jc w:val="center"/>
              <w:rPr>
                <w:rFonts w:ascii="Times New Roman" w:hAnsi="Times New Roman" w:cs="Times New Roman"/>
                <w:sz w:val="22"/>
                <w:szCs w:val="22"/>
              </w:rPr>
            </w:pPr>
            <w:r w:rsidRPr="00FC2B4E">
              <w:rPr>
                <w:rFonts w:ascii="Times New Roman" w:hAnsi="Times New Roman" w:cs="Times New Roman"/>
                <w:sz w:val="22"/>
                <w:szCs w:val="22"/>
              </w:rPr>
              <w:t>0.271</w:t>
            </w:r>
          </w:p>
        </w:tc>
        <w:tc>
          <w:tcPr>
            <w:tcW w:w="2018" w:type="dxa"/>
            <w:shd w:val="clear" w:color="auto" w:fill="auto"/>
            <w:vAlign w:val="center"/>
          </w:tcPr>
          <w:p w14:paraId="37086476" w14:textId="77777777" w:rsidR="00A74F6E" w:rsidRPr="00FC2B4E" w:rsidRDefault="00A74F6E" w:rsidP="0010233B">
            <w:pPr>
              <w:spacing w:after="0" w:line="240" w:lineRule="auto"/>
              <w:jc w:val="center"/>
              <w:rPr>
                <w:rFonts w:ascii="Times New Roman" w:hAnsi="Times New Roman" w:cs="Times New Roman"/>
                <w:sz w:val="22"/>
                <w:szCs w:val="22"/>
              </w:rPr>
            </w:pPr>
            <w:r w:rsidRPr="00FC2B4E">
              <w:rPr>
                <w:rFonts w:ascii="Times New Roman" w:hAnsi="Times New Roman" w:cs="Times New Roman"/>
                <w:sz w:val="22"/>
                <w:szCs w:val="22"/>
              </w:rPr>
              <w:t>0.404</w:t>
            </w:r>
          </w:p>
        </w:tc>
        <w:tc>
          <w:tcPr>
            <w:tcW w:w="1371" w:type="dxa"/>
            <w:tcBorders>
              <w:left w:val="single" w:sz="4" w:space="0" w:color="000000"/>
            </w:tcBorders>
            <w:shd w:val="clear" w:color="auto" w:fill="auto"/>
            <w:vAlign w:val="center"/>
          </w:tcPr>
          <w:p w14:paraId="5802E04D" w14:textId="77777777" w:rsidR="00A74F6E" w:rsidRPr="00FC2B4E" w:rsidRDefault="00A74F6E" w:rsidP="0010233B">
            <w:pPr>
              <w:spacing w:after="0" w:line="240" w:lineRule="auto"/>
              <w:jc w:val="center"/>
              <w:rPr>
                <w:rFonts w:ascii="Times New Roman" w:hAnsi="Times New Roman" w:cs="Times New Roman"/>
                <w:sz w:val="22"/>
                <w:szCs w:val="22"/>
              </w:rPr>
            </w:pPr>
            <w:r w:rsidRPr="00FC2B4E">
              <w:rPr>
                <w:rFonts w:ascii="Times New Roman" w:hAnsi="Times New Roman" w:cs="Times New Roman"/>
                <w:b/>
                <w:bCs/>
                <w:sz w:val="22"/>
                <w:szCs w:val="22"/>
              </w:rPr>
              <w:t>0.133</w:t>
            </w:r>
          </w:p>
        </w:tc>
        <w:tc>
          <w:tcPr>
            <w:tcW w:w="744" w:type="dxa"/>
            <w:tcBorders>
              <w:left w:val="single" w:sz="4" w:space="0" w:color="000000"/>
              <w:right w:val="single" w:sz="4" w:space="0" w:color="000000"/>
            </w:tcBorders>
            <w:vAlign w:val="center"/>
          </w:tcPr>
          <w:p w14:paraId="0163D739" w14:textId="77777777" w:rsidR="00A74F6E" w:rsidRPr="00FC2B4E" w:rsidRDefault="00A74F6E" w:rsidP="0010233B">
            <w:pPr>
              <w:spacing w:after="0" w:line="240" w:lineRule="auto"/>
              <w:jc w:val="center"/>
              <w:rPr>
                <w:rFonts w:ascii="Times New Roman" w:hAnsi="Times New Roman" w:cs="Times New Roman"/>
                <w:b/>
                <w:bCs/>
                <w:sz w:val="22"/>
                <w:szCs w:val="22"/>
              </w:rPr>
            </w:pPr>
            <w:r w:rsidRPr="00FC2B4E">
              <w:rPr>
                <w:rFonts w:ascii="Times New Roman" w:hAnsi="Times New Roman" w:cs="Times New Roman"/>
                <w:b/>
                <w:bCs/>
                <w:sz w:val="22"/>
                <w:szCs w:val="22"/>
              </w:rPr>
              <w:t>0.000</w:t>
            </w:r>
          </w:p>
        </w:tc>
      </w:tr>
      <w:tr w:rsidR="00A74F6E" w14:paraId="6017915B" w14:textId="77777777" w:rsidTr="0010233B">
        <w:trPr>
          <w:trHeight w:val="309"/>
        </w:trPr>
        <w:tc>
          <w:tcPr>
            <w:tcW w:w="1701" w:type="dxa"/>
            <w:tcBorders>
              <w:left w:val="single" w:sz="4" w:space="0" w:color="000000"/>
              <w:right w:val="single" w:sz="4" w:space="0" w:color="000000"/>
            </w:tcBorders>
            <w:shd w:val="clear" w:color="auto" w:fill="auto"/>
            <w:vAlign w:val="center"/>
          </w:tcPr>
          <w:p w14:paraId="4E26FCDE" w14:textId="77777777" w:rsidR="00A74F6E" w:rsidRPr="008648F4" w:rsidRDefault="00A74F6E" w:rsidP="0010233B">
            <w:pPr>
              <w:spacing w:after="0" w:line="240" w:lineRule="auto"/>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CC/</w:t>
            </w:r>
            <w:r w:rsidRPr="008648F4">
              <w:rPr>
                <w:rFonts w:ascii="Times New Roman" w:hAnsi="Times New Roman" w:cs="Times New Roman"/>
                <w:i/>
                <w:iCs/>
                <w:color w:val="000000" w:themeColor="text1"/>
                <w:sz w:val="22"/>
                <w:szCs w:val="22"/>
              </w:rPr>
              <w:t>NI</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48BFBEB8" w14:textId="77777777" w:rsidR="00A74F6E" w:rsidRPr="00F726C1" w:rsidRDefault="00A74F6E" w:rsidP="0010233B">
            <w:pPr>
              <w:spacing w:after="0" w:line="240" w:lineRule="auto"/>
              <w:rPr>
                <w:rFonts w:ascii="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7F046C29" w14:textId="77777777" w:rsidR="00A74F6E" w:rsidRPr="00705CBF" w:rsidRDefault="00A74F6E" w:rsidP="0010233B">
            <w:pPr>
              <w:spacing w:after="0" w:line="240" w:lineRule="auto"/>
              <w:jc w:val="center"/>
              <w:rPr>
                <w:rFonts w:ascii="Times New Roman" w:hAnsi="Times New Roman" w:cs="Times New Roman"/>
                <w:sz w:val="22"/>
                <w:szCs w:val="22"/>
              </w:rPr>
            </w:pPr>
            <w:r w:rsidRPr="00705CBF">
              <w:rPr>
                <w:rFonts w:ascii="Times New Roman" w:hAnsi="Times New Roman" w:cs="Times New Roman"/>
                <w:sz w:val="22"/>
                <w:szCs w:val="22"/>
              </w:rPr>
              <w:t>0.223</w:t>
            </w:r>
          </w:p>
        </w:tc>
        <w:tc>
          <w:tcPr>
            <w:tcW w:w="2018" w:type="dxa"/>
            <w:shd w:val="clear" w:color="auto" w:fill="auto"/>
            <w:vAlign w:val="center"/>
          </w:tcPr>
          <w:p w14:paraId="67B6607F" w14:textId="77777777" w:rsidR="00A74F6E" w:rsidRPr="00705CBF" w:rsidRDefault="00A74F6E" w:rsidP="0010233B">
            <w:pPr>
              <w:spacing w:after="0" w:line="240" w:lineRule="auto"/>
              <w:jc w:val="center"/>
              <w:rPr>
                <w:rFonts w:ascii="Times New Roman" w:hAnsi="Times New Roman" w:cs="Times New Roman"/>
                <w:sz w:val="22"/>
                <w:szCs w:val="22"/>
              </w:rPr>
            </w:pPr>
            <w:r w:rsidRPr="00705CBF">
              <w:rPr>
                <w:rFonts w:ascii="Times New Roman" w:hAnsi="Times New Roman" w:cs="Times New Roman"/>
                <w:sz w:val="22"/>
                <w:szCs w:val="22"/>
              </w:rPr>
              <w:t>0.218</w:t>
            </w:r>
          </w:p>
        </w:tc>
        <w:tc>
          <w:tcPr>
            <w:tcW w:w="1371" w:type="dxa"/>
            <w:tcBorders>
              <w:left w:val="single" w:sz="4" w:space="0" w:color="000000"/>
            </w:tcBorders>
            <w:shd w:val="clear" w:color="auto" w:fill="auto"/>
            <w:vAlign w:val="center"/>
          </w:tcPr>
          <w:p w14:paraId="5AA0CEDD" w14:textId="77777777" w:rsidR="00A74F6E" w:rsidRPr="00705CBF" w:rsidRDefault="00A74F6E" w:rsidP="0010233B">
            <w:pPr>
              <w:spacing w:after="0" w:line="240" w:lineRule="auto"/>
              <w:jc w:val="center"/>
              <w:rPr>
                <w:rFonts w:ascii="Times New Roman" w:hAnsi="Times New Roman" w:cs="Times New Roman"/>
                <w:b/>
                <w:bCs/>
                <w:sz w:val="22"/>
                <w:szCs w:val="22"/>
              </w:rPr>
            </w:pPr>
            <w:r w:rsidRPr="00705CBF">
              <w:rPr>
                <w:rFonts w:ascii="Times New Roman" w:hAnsi="Times New Roman" w:cs="Times New Roman"/>
                <w:sz w:val="22"/>
                <w:szCs w:val="22"/>
              </w:rPr>
              <w:t>-0.005</w:t>
            </w:r>
          </w:p>
        </w:tc>
        <w:tc>
          <w:tcPr>
            <w:tcW w:w="744" w:type="dxa"/>
            <w:tcBorders>
              <w:left w:val="single" w:sz="4" w:space="0" w:color="000000"/>
              <w:right w:val="single" w:sz="4" w:space="0" w:color="000000"/>
            </w:tcBorders>
            <w:vAlign w:val="center"/>
          </w:tcPr>
          <w:p w14:paraId="662CCF3F" w14:textId="77777777" w:rsidR="00A74F6E" w:rsidRPr="00705CBF" w:rsidRDefault="00A74F6E" w:rsidP="0010233B">
            <w:pPr>
              <w:spacing w:after="0" w:line="240" w:lineRule="auto"/>
              <w:jc w:val="center"/>
              <w:rPr>
                <w:rFonts w:ascii="Times New Roman" w:hAnsi="Times New Roman" w:cs="Times New Roman"/>
                <w:b/>
                <w:bCs/>
                <w:sz w:val="22"/>
                <w:szCs w:val="22"/>
              </w:rPr>
            </w:pPr>
            <w:r w:rsidRPr="00705CBF">
              <w:rPr>
                <w:rFonts w:ascii="Times New Roman" w:hAnsi="Times New Roman" w:cs="Times New Roman"/>
                <w:sz w:val="22"/>
                <w:szCs w:val="22"/>
              </w:rPr>
              <w:t>0.921</w:t>
            </w:r>
          </w:p>
        </w:tc>
      </w:tr>
      <w:tr w:rsidR="00A74F6E" w14:paraId="6C855BF7" w14:textId="77777777" w:rsidTr="0010233B">
        <w:trPr>
          <w:trHeight w:val="309"/>
        </w:trPr>
        <w:tc>
          <w:tcPr>
            <w:tcW w:w="1701" w:type="dxa"/>
            <w:tcBorders>
              <w:left w:val="single" w:sz="4" w:space="0" w:color="000000"/>
              <w:right w:val="single" w:sz="4" w:space="0" w:color="000000"/>
            </w:tcBorders>
            <w:shd w:val="clear" w:color="auto" w:fill="auto"/>
            <w:vAlign w:val="center"/>
          </w:tcPr>
          <w:p w14:paraId="0330385D" w14:textId="77777777" w:rsidR="00A74F6E" w:rsidRPr="008648F4" w:rsidRDefault="00A74F6E" w:rsidP="0010233B">
            <w:pPr>
              <w:spacing w:after="0" w:line="240" w:lineRule="auto"/>
              <w:rPr>
                <w:rFonts w:ascii="Times New Roman" w:hAnsi="Times New Roman" w:cs="Times New Roman"/>
                <w:i/>
                <w:iCs/>
                <w:color w:val="000000" w:themeColor="text1"/>
                <w:sz w:val="22"/>
                <w:szCs w:val="22"/>
              </w:rPr>
            </w:pPr>
          </w:p>
        </w:tc>
        <w:tc>
          <w:tcPr>
            <w:tcW w:w="920" w:type="dxa"/>
            <w:tcBorders>
              <w:left w:val="single" w:sz="4" w:space="0" w:color="000000"/>
            </w:tcBorders>
            <w:vAlign w:val="center"/>
          </w:tcPr>
          <w:p w14:paraId="6BEEF544" w14:textId="77777777" w:rsidR="00A74F6E" w:rsidRPr="00F726C1" w:rsidRDefault="00A74F6E" w:rsidP="0010233B">
            <w:pPr>
              <w:spacing w:after="0" w:line="240" w:lineRule="auto"/>
              <w:rPr>
                <w:rFonts w:ascii="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4944155C" w14:textId="77777777" w:rsidR="00A74F6E" w:rsidRPr="00705CBF" w:rsidRDefault="00A74F6E" w:rsidP="0010233B">
            <w:pPr>
              <w:spacing w:after="0" w:line="240" w:lineRule="auto"/>
              <w:jc w:val="center"/>
              <w:rPr>
                <w:rFonts w:ascii="Times New Roman" w:hAnsi="Times New Roman" w:cs="Times New Roman"/>
                <w:sz w:val="22"/>
                <w:szCs w:val="22"/>
              </w:rPr>
            </w:pPr>
            <w:r w:rsidRPr="00705CBF">
              <w:rPr>
                <w:rFonts w:ascii="Times New Roman" w:hAnsi="Times New Roman" w:cs="Times New Roman"/>
                <w:sz w:val="22"/>
                <w:szCs w:val="22"/>
              </w:rPr>
              <w:t>0.003</w:t>
            </w:r>
          </w:p>
        </w:tc>
        <w:tc>
          <w:tcPr>
            <w:tcW w:w="2018" w:type="dxa"/>
            <w:shd w:val="clear" w:color="auto" w:fill="auto"/>
            <w:vAlign w:val="center"/>
          </w:tcPr>
          <w:p w14:paraId="53F44B4E" w14:textId="77777777" w:rsidR="00A74F6E" w:rsidRPr="00705CBF" w:rsidRDefault="00A74F6E" w:rsidP="0010233B">
            <w:pPr>
              <w:spacing w:after="0" w:line="240" w:lineRule="auto"/>
              <w:jc w:val="center"/>
              <w:rPr>
                <w:rFonts w:ascii="Times New Roman" w:hAnsi="Times New Roman" w:cs="Times New Roman"/>
                <w:sz w:val="22"/>
                <w:szCs w:val="22"/>
              </w:rPr>
            </w:pPr>
            <w:r w:rsidRPr="00705CBF">
              <w:rPr>
                <w:rFonts w:ascii="Times New Roman" w:hAnsi="Times New Roman" w:cs="Times New Roman"/>
                <w:sz w:val="22"/>
                <w:szCs w:val="22"/>
              </w:rPr>
              <w:t>0.012</w:t>
            </w:r>
          </w:p>
        </w:tc>
        <w:tc>
          <w:tcPr>
            <w:tcW w:w="1371" w:type="dxa"/>
            <w:tcBorders>
              <w:left w:val="single" w:sz="4" w:space="0" w:color="000000"/>
            </w:tcBorders>
            <w:shd w:val="clear" w:color="auto" w:fill="auto"/>
            <w:vAlign w:val="center"/>
          </w:tcPr>
          <w:p w14:paraId="5DF9C3DB" w14:textId="77777777" w:rsidR="00A74F6E" w:rsidRPr="005701F9" w:rsidRDefault="00A74F6E" w:rsidP="0010233B">
            <w:pPr>
              <w:spacing w:after="0" w:line="240" w:lineRule="auto"/>
              <w:jc w:val="center"/>
              <w:rPr>
                <w:rFonts w:ascii="Times New Roman" w:hAnsi="Times New Roman" w:cs="Times New Roman"/>
                <w:b/>
                <w:bCs/>
                <w:sz w:val="22"/>
                <w:szCs w:val="22"/>
              </w:rPr>
            </w:pPr>
            <w:r w:rsidRPr="005701F9">
              <w:rPr>
                <w:rFonts w:ascii="Times New Roman" w:hAnsi="Times New Roman" w:cs="Times New Roman"/>
                <w:b/>
                <w:bCs/>
                <w:sz w:val="22"/>
                <w:szCs w:val="22"/>
              </w:rPr>
              <w:t>0.008</w:t>
            </w:r>
          </w:p>
        </w:tc>
        <w:tc>
          <w:tcPr>
            <w:tcW w:w="744" w:type="dxa"/>
            <w:tcBorders>
              <w:left w:val="single" w:sz="4" w:space="0" w:color="000000"/>
              <w:right w:val="single" w:sz="4" w:space="0" w:color="000000"/>
            </w:tcBorders>
            <w:vAlign w:val="center"/>
          </w:tcPr>
          <w:p w14:paraId="51DB7E33" w14:textId="77777777" w:rsidR="00A74F6E" w:rsidRPr="00705CBF" w:rsidRDefault="00A74F6E" w:rsidP="0010233B">
            <w:pPr>
              <w:spacing w:after="0" w:line="240" w:lineRule="auto"/>
              <w:jc w:val="center"/>
              <w:rPr>
                <w:rFonts w:ascii="Times New Roman" w:hAnsi="Times New Roman" w:cs="Times New Roman"/>
                <w:b/>
                <w:bCs/>
                <w:sz w:val="22"/>
                <w:szCs w:val="22"/>
              </w:rPr>
            </w:pPr>
            <w:r w:rsidRPr="00705CBF">
              <w:rPr>
                <w:rFonts w:ascii="Times New Roman" w:hAnsi="Times New Roman" w:cs="Times New Roman"/>
                <w:b/>
                <w:bCs/>
                <w:sz w:val="22"/>
                <w:szCs w:val="22"/>
              </w:rPr>
              <w:t>0.000</w:t>
            </w:r>
          </w:p>
        </w:tc>
      </w:tr>
      <w:tr w:rsidR="00A74F6E" w14:paraId="42AD948B" w14:textId="77777777" w:rsidTr="0010233B">
        <w:trPr>
          <w:trHeight w:val="309"/>
        </w:trPr>
        <w:tc>
          <w:tcPr>
            <w:tcW w:w="1701" w:type="dxa"/>
            <w:tcBorders>
              <w:left w:val="single" w:sz="4" w:space="0" w:color="000000"/>
              <w:right w:val="single" w:sz="4" w:space="0" w:color="000000"/>
            </w:tcBorders>
            <w:shd w:val="clear" w:color="auto" w:fill="auto"/>
            <w:vAlign w:val="center"/>
          </w:tcPr>
          <w:p w14:paraId="53261315"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vertAlign w:val="subscript"/>
              </w:rPr>
            </w:pPr>
            <w:proofErr w:type="spellStart"/>
            <w:r w:rsidRPr="008648F4">
              <w:rPr>
                <w:rFonts w:ascii="Times New Roman" w:hAnsi="Times New Roman" w:cs="Times New Roman"/>
                <w:i/>
                <w:iCs/>
                <w:color w:val="000000" w:themeColor="text1"/>
                <w:sz w:val="22"/>
                <w:szCs w:val="22"/>
              </w:rPr>
              <w:t>ROA</w:t>
            </w:r>
            <w:r w:rsidRPr="008648F4">
              <w:rPr>
                <w:rFonts w:ascii="Times New Roman" w:hAnsi="Times New Roman" w:cs="Times New Roman"/>
                <w:i/>
                <w:iCs/>
                <w:color w:val="000000" w:themeColor="text1"/>
                <w:sz w:val="22"/>
                <w:szCs w:val="22"/>
                <w:vertAlign w:val="subscript"/>
              </w:rPr>
              <w:t>t</w:t>
            </w:r>
            <w:proofErr w:type="spellEnd"/>
          </w:p>
        </w:tc>
        <w:tc>
          <w:tcPr>
            <w:tcW w:w="920" w:type="dxa"/>
            <w:tcBorders>
              <w:left w:val="single" w:sz="4" w:space="0" w:color="000000"/>
            </w:tcBorders>
            <w:vAlign w:val="center"/>
          </w:tcPr>
          <w:p w14:paraId="76B6EC4F"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6294912D"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0.013</w:t>
            </w:r>
          </w:p>
        </w:tc>
        <w:tc>
          <w:tcPr>
            <w:tcW w:w="2018" w:type="dxa"/>
            <w:shd w:val="clear" w:color="auto" w:fill="auto"/>
            <w:vAlign w:val="center"/>
          </w:tcPr>
          <w:p w14:paraId="78925C90"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0.066</w:t>
            </w:r>
          </w:p>
        </w:tc>
        <w:tc>
          <w:tcPr>
            <w:tcW w:w="1371" w:type="dxa"/>
            <w:tcBorders>
              <w:left w:val="single" w:sz="4" w:space="0" w:color="000000"/>
            </w:tcBorders>
            <w:shd w:val="clear" w:color="auto" w:fill="auto"/>
            <w:vAlign w:val="center"/>
          </w:tcPr>
          <w:p w14:paraId="21F5EBC3"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0.054</w:t>
            </w:r>
          </w:p>
        </w:tc>
        <w:tc>
          <w:tcPr>
            <w:tcW w:w="744" w:type="dxa"/>
            <w:tcBorders>
              <w:left w:val="single" w:sz="4" w:space="0" w:color="000000"/>
              <w:right w:val="single" w:sz="4" w:space="0" w:color="000000"/>
            </w:tcBorders>
            <w:vAlign w:val="center"/>
          </w:tcPr>
          <w:p w14:paraId="72625D98"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7A460157" w14:textId="77777777" w:rsidTr="0010233B">
        <w:trPr>
          <w:trHeight w:val="309"/>
        </w:trPr>
        <w:tc>
          <w:tcPr>
            <w:tcW w:w="1701" w:type="dxa"/>
            <w:tcBorders>
              <w:left w:val="single" w:sz="4" w:space="0" w:color="000000"/>
              <w:right w:val="single" w:sz="4" w:space="0" w:color="000000"/>
            </w:tcBorders>
            <w:shd w:val="clear" w:color="auto" w:fill="auto"/>
            <w:vAlign w:val="center"/>
          </w:tcPr>
          <w:p w14:paraId="182869F2"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61752D66"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675B7CA4"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0.040</w:t>
            </w:r>
          </w:p>
        </w:tc>
        <w:tc>
          <w:tcPr>
            <w:tcW w:w="2018" w:type="dxa"/>
            <w:shd w:val="clear" w:color="auto" w:fill="auto"/>
            <w:vAlign w:val="center"/>
          </w:tcPr>
          <w:p w14:paraId="3BC99092"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0.061</w:t>
            </w:r>
          </w:p>
        </w:tc>
        <w:tc>
          <w:tcPr>
            <w:tcW w:w="1371" w:type="dxa"/>
            <w:tcBorders>
              <w:left w:val="single" w:sz="4" w:space="0" w:color="000000"/>
            </w:tcBorders>
            <w:shd w:val="clear" w:color="auto" w:fill="auto"/>
            <w:vAlign w:val="center"/>
          </w:tcPr>
          <w:p w14:paraId="3EBC0795"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0.021</w:t>
            </w:r>
          </w:p>
        </w:tc>
        <w:tc>
          <w:tcPr>
            <w:tcW w:w="744" w:type="dxa"/>
            <w:tcBorders>
              <w:left w:val="single" w:sz="4" w:space="0" w:color="000000"/>
              <w:right w:val="single" w:sz="4" w:space="0" w:color="000000"/>
            </w:tcBorders>
            <w:vAlign w:val="center"/>
          </w:tcPr>
          <w:p w14:paraId="4E7BB11A"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060917A0" w14:textId="77777777" w:rsidTr="0010233B">
        <w:trPr>
          <w:trHeight w:val="309"/>
        </w:trPr>
        <w:tc>
          <w:tcPr>
            <w:tcW w:w="1701" w:type="dxa"/>
            <w:tcBorders>
              <w:left w:val="single" w:sz="4" w:space="0" w:color="000000"/>
              <w:right w:val="single" w:sz="4" w:space="0" w:color="000000"/>
            </w:tcBorders>
            <w:shd w:val="clear" w:color="auto" w:fill="auto"/>
            <w:vAlign w:val="center"/>
          </w:tcPr>
          <w:p w14:paraId="6AAE7112"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PROPNED</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4134B327"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1DC9C36D"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0.553</w:t>
            </w:r>
          </w:p>
        </w:tc>
        <w:tc>
          <w:tcPr>
            <w:tcW w:w="2018" w:type="dxa"/>
            <w:shd w:val="clear" w:color="auto" w:fill="auto"/>
            <w:vAlign w:val="center"/>
          </w:tcPr>
          <w:p w14:paraId="605AE16C"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0.616</w:t>
            </w:r>
          </w:p>
        </w:tc>
        <w:tc>
          <w:tcPr>
            <w:tcW w:w="1371" w:type="dxa"/>
            <w:tcBorders>
              <w:left w:val="single" w:sz="4" w:space="0" w:color="000000"/>
            </w:tcBorders>
            <w:shd w:val="clear" w:color="auto" w:fill="auto"/>
            <w:vAlign w:val="center"/>
          </w:tcPr>
          <w:p w14:paraId="1986C840"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0.063</w:t>
            </w:r>
          </w:p>
        </w:tc>
        <w:tc>
          <w:tcPr>
            <w:tcW w:w="744" w:type="dxa"/>
            <w:tcBorders>
              <w:left w:val="single" w:sz="4" w:space="0" w:color="000000"/>
              <w:right w:val="single" w:sz="4" w:space="0" w:color="000000"/>
            </w:tcBorders>
            <w:vAlign w:val="center"/>
          </w:tcPr>
          <w:p w14:paraId="62BCF4D2"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067F7DBE" w14:textId="77777777" w:rsidTr="0010233B">
        <w:trPr>
          <w:trHeight w:val="309"/>
        </w:trPr>
        <w:tc>
          <w:tcPr>
            <w:tcW w:w="1701" w:type="dxa"/>
            <w:tcBorders>
              <w:left w:val="single" w:sz="4" w:space="0" w:color="000000"/>
              <w:right w:val="single" w:sz="4" w:space="0" w:color="000000"/>
            </w:tcBorders>
            <w:shd w:val="clear" w:color="auto" w:fill="auto"/>
            <w:vAlign w:val="center"/>
          </w:tcPr>
          <w:p w14:paraId="25DC07DA"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05260EEA"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2016DCE2"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0.571</w:t>
            </w:r>
          </w:p>
        </w:tc>
        <w:tc>
          <w:tcPr>
            <w:tcW w:w="2018" w:type="dxa"/>
            <w:shd w:val="clear" w:color="auto" w:fill="auto"/>
            <w:vAlign w:val="center"/>
          </w:tcPr>
          <w:p w14:paraId="28249495"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0.625</w:t>
            </w:r>
          </w:p>
        </w:tc>
        <w:tc>
          <w:tcPr>
            <w:tcW w:w="1371" w:type="dxa"/>
            <w:tcBorders>
              <w:left w:val="single" w:sz="4" w:space="0" w:color="000000"/>
            </w:tcBorders>
            <w:shd w:val="clear" w:color="auto" w:fill="auto"/>
            <w:vAlign w:val="center"/>
          </w:tcPr>
          <w:p w14:paraId="1E64E0BD"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0.054</w:t>
            </w:r>
          </w:p>
        </w:tc>
        <w:tc>
          <w:tcPr>
            <w:tcW w:w="744" w:type="dxa"/>
            <w:tcBorders>
              <w:left w:val="single" w:sz="4" w:space="0" w:color="000000"/>
              <w:right w:val="single" w:sz="4" w:space="0" w:color="000000"/>
            </w:tcBorders>
            <w:vAlign w:val="center"/>
          </w:tcPr>
          <w:p w14:paraId="1F0E6683"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5542056D" w14:textId="77777777" w:rsidTr="0010233B">
        <w:trPr>
          <w:trHeight w:val="309"/>
        </w:trPr>
        <w:tc>
          <w:tcPr>
            <w:tcW w:w="1701" w:type="dxa"/>
            <w:tcBorders>
              <w:left w:val="single" w:sz="4" w:space="0" w:color="000000"/>
              <w:right w:val="single" w:sz="4" w:space="0" w:color="000000"/>
            </w:tcBorders>
            <w:shd w:val="clear" w:color="auto" w:fill="auto"/>
            <w:vAlign w:val="center"/>
          </w:tcPr>
          <w:p w14:paraId="6407A6CE"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BOARDOWN</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1497234D"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0531FB1F"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0.111</w:t>
            </w:r>
          </w:p>
        </w:tc>
        <w:tc>
          <w:tcPr>
            <w:tcW w:w="2018" w:type="dxa"/>
            <w:shd w:val="clear" w:color="auto" w:fill="auto"/>
            <w:vAlign w:val="center"/>
          </w:tcPr>
          <w:p w14:paraId="697B85F0"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0.076</w:t>
            </w:r>
          </w:p>
        </w:tc>
        <w:tc>
          <w:tcPr>
            <w:tcW w:w="1371" w:type="dxa"/>
            <w:tcBorders>
              <w:left w:val="single" w:sz="4" w:space="0" w:color="000000"/>
            </w:tcBorders>
            <w:shd w:val="clear" w:color="auto" w:fill="auto"/>
            <w:vAlign w:val="center"/>
          </w:tcPr>
          <w:p w14:paraId="42CE3270"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-0.036</w:t>
            </w:r>
          </w:p>
        </w:tc>
        <w:tc>
          <w:tcPr>
            <w:tcW w:w="744" w:type="dxa"/>
            <w:tcBorders>
              <w:left w:val="single" w:sz="4" w:space="0" w:color="000000"/>
              <w:right w:val="single" w:sz="4" w:space="0" w:color="000000"/>
            </w:tcBorders>
            <w:vAlign w:val="center"/>
          </w:tcPr>
          <w:p w14:paraId="7B71BBE4"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688E0635" w14:textId="77777777" w:rsidTr="0010233B">
        <w:trPr>
          <w:trHeight w:val="309"/>
        </w:trPr>
        <w:tc>
          <w:tcPr>
            <w:tcW w:w="1701" w:type="dxa"/>
            <w:tcBorders>
              <w:left w:val="single" w:sz="4" w:space="0" w:color="000000"/>
              <w:right w:val="single" w:sz="4" w:space="0" w:color="000000"/>
            </w:tcBorders>
            <w:shd w:val="clear" w:color="auto" w:fill="auto"/>
            <w:vAlign w:val="center"/>
          </w:tcPr>
          <w:p w14:paraId="60D6FA24"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p>
        </w:tc>
        <w:tc>
          <w:tcPr>
            <w:tcW w:w="920" w:type="dxa"/>
            <w:tcBorders>
              <w:left w:val="single" w:sz="4" w:space="0" w:color="000000"/>
            </w:tcBorders>
            <w:vAlign w:val="center"/>
          </w:tcPr>
          <w:p w14:paraId="32472539"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shd w:val="clear" w:color="auto" w:fill="auto"/>
            <w:vAlign w:val="center"/>
          </w:tcPr>
          <w:p w14:paraId="6E6BD5FE"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0.016</w:t>
            </w:r>
          </w:p>
        </w:tc>
        <w:tc>
          <w:tcPr>
            <w:tcW w:w="2018" w:type="dxa"/>
            <w:shd w:val="clear" w:color="auto" w:fill="auto"/>
            <w:vAlign w:val="center"/>
          </w:tcPr>
          <w:p w14:paraId="39FD6CC2"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0.007</w:t>
            </w:r>
          </w:p>
        </w:tc>
        <w:tc>
          <w:tcPr>
            <w:tcW w:w="1371" w:type="dxa"/>
            <w:tcBorders>
              <w:left w:val="single" w:sz="4" w:space="0" w:color="000000"/>
            </w:tcBorders>
            <w:shd w:val="clear" w:color="auto" w:fill="auto"/>
            <w:vAlign w:val="center"/>
          </w:tcPr>
          <w:p w14:paraId="4A420F24"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-0.010</w:t>
            </w:r>
          </w:p>
        </w:tc>
        <w:tc>
          <w:tcPr>
            <w:tcW w:w="744" w:type="dxa"/>
            <w:tcBorders>
              <w:left w:val="single" w:sz="4" w:space="0" w:color="000000"/>
              <w:right w:val="single" w:sz="4" w:space="0" w:color="000000"/>
            </w:tcBorders>
            <w:vAlign w:val="center"/>
          </w:tcPr>
          <w:p w14:paraId="634BA88D"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r>
      <w:tr w:rsidR="00A74F6E" w14:paraId="2FB35CF8" w14:textId="77777777" w:rsidTr="0010233B">
        <w:trPr>
          <w:trHeight w:val="309"/>
        </w:trPr>
        <w:tc>
          <w:tcPr>
            <w:tcW w:w="1701" w:type="dxa"/>
            <w:tcBorders>
              <w:left w:val="single" w:sz="4" w:space="0" w:color="000000"/>
              <w:right w:val="single" w:sz="4" w:space="0" w:color="000000"/>
            </w:tcBorders>
            <w:shd w:val="clear" w:color="auto" w:fill="auto"/>
            <w:vAlign w:val="center"/>
          </w:tcPr>
          <w:p w14:paraId="2B91090E" w14:textId="77777777" w:rsidR="00A74F6E" w:rsidRPr="008648F4" w:rsidRDefault="00A74F6E" w:rsidP="0010233B">
            <w:pPr>
              <w:spacing w:after="0" w:line="240" w:lineRule="auto"/>
              <w:rPr>
                <w:rFonts w:ascii="Times New Roman" w:eastAsia="Times New Roman" w:hAnsi="Times New Roman" w:cs="Times New Roman"/>
                <w:i/>
                <w:color w:val="000000" w:themeColor="text1"/>
                <w:sz w:val="22"/>
                <w:szCs w:val="22"/>
              </w:rPr>
            </w:pPr>
            <w:r w:rsidRPr="008648F4">
              <w:rPr>
                <w:rFonts w:ascii="Times New Roman" w:hAnsi="Times New Roman" w:cs="Times New Roman"/>
                <w:i/>
                <w:iCs/>
                <w:color w:val="000000" w:themeColor="text1"/>
                <w:sz w:val="22"/>
                <w:szCs w:val="22"/>
              </w:rPr>
              <w:t>ESO</w:t>
            </w:r>
            <w:r w:rsidRPr="008648F4">
              <w:rPr>
                <w:rFonts w:ascii="Times New Roman" w:hAnsi="Times New Roman" w:cs="Times New Roman"/>
                <w:i/>
                <w:iCs/>
                <w:color w:val="000000" w:themeColor="text1"/>
                <w:sz w:val="22"/>
                <w:szCs w:val="22"/>
                <w:vertAlign w:val="subscript"/>
              </w:rPr>
              <w:t>t-1</w:t>
            </w:r>
          </w:p>
        </w:tc>
        <w:tc>
          <w:tcPr>
            <w:tcW w:w="920" w:type="dxa"/>
            <w:tcBorders>
              <w:left w:val="single" w:sz="4" w:space="0" w:color="000000"/>
            </w:tcBorders>
            <w:vAlign w:val="center"/>
          </w:tcPr>
          <w:p w14:paraId="761523D7"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mean</w:t>
            </w:r>
          </w:p>
        </w:tc>
        <w:tc>
          <w:tcPr>
            <w:tcW w:w="2624" w:type="dxa"/>
            <w:shd w:val="clear" w:color="auto" w:fill="auto"/>
            <w:vAlign w:val="center"/>
          </w:tcPr>
          <w:p w14:paraId="240CF36E"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0.171</w:t>
            </w:r>
          </w:p>
        </w:tc>
        <w:tc>
          <w:tcPr>
            <w:tcW w:w="2018" w:type="dxa"/>
            <w:shd w:val="clear" w:color="auto" w:fill="auto"/>
            <w:vAlign w:val="center"/>
          </w:tcPr>
          <w:p w14:paraId="1FE39469"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0.142</w:t>
            </w:r>
          </w:p>
        </w:tc>
        <w:tc>
          <w:tcPr>
            <w:tcW w:w="1371" w:type="dxa"/>
            <w:tcBorders>
              <w:left w:val="single" w:sz="4" w:space="0" w:color="000000"/>
            </w:tcBorders>
            <w:shd w:val="clear" w:color="auto" w:fill="auto"/>
            <w:vAlign w:val="center"/>
          </w:tcPr>
          <w:p w14:paraId="78C144A0"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-0.029</w:t>
            </w:r>
          </w:p>
        </w:tc>
        <w:tc>
          <w:tcPr>
            <w:tcW w:w="744" w:type="dxa"/>
            <w:tcBorders>
              <w:left w:val="single" w:sz="4" w:space="0" w:color="000000"/>
              <w:right w:val="single" w:sz="4" w:space="0" w:color="000000"/>
            </w:tcBorders>
            <w:vAlign w:val="center"/>
          </w:tcPr>
          <w:p w14:paraId="2972AF14"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0.003</w:t>
            </w:r>
          </w:p>
        </w:tc>
      </w:tr>
      <w:tr w:rsidR="00A74F6E" w14:paraId="4EBE8EA2" w14:textId="77777777" w:rsidTr="0010233B">
        <w:trPr>
          <w:trHeight w:val="309"/>
        </w:trPr>
        <w:tc>
          <w:tcPr>
            <w:tcW w:w="1701" w:type="dxa"/>
            <w:tcBorders>
              <w:left w:val="single" w:sz="4" w:space="0" w:color="000000"/>
              <w:bottom w:val="single" w:sz="4" w:space="0" w:color="000000"/>
              <w:right w:val="single" w:sz="4" w:space="0" w:color="000000"/>
            </w:tcBorders>
            <w:shd w:val="clear" w:color="auto" w:fill="auto"/>
            <w:vAlign w:val="center"/>
          </w:tcPr>
          <w:p w14:paraId="0F02739C" w14:textId="77777777" w:rsidR="00A74F6E" w:rsidRPr="008648F4" w:rsidRDefault="00A74F6E" w:rsidP="0010233B">
            <w:pPr>
              <w:spacing w:after="0" w:line="240" w:lineRule="auto"/>
              <w:jc w:val="center"/>
              <w:rPr>
                <w:rFonts w:ascii="Times New Roman" w:eastAsia="Times New Roman" w:hAnsi="Times New Roman" w:cs="Times New Roman"/>
                <w:i/>
                <w:color w:val="000000" w:themeColor="text1"/>
                <w:sz w:val="22"/>
                <w:szCs w:val="22"/>
              </w:rPr>
            </w:pPr>
          </w:p>
        </w:tc>
        <w:tc>
          <w:tcPr>
            <w:tcW w:w="920" w:type="dxa"/>
            <w:tcBorders>
              <w:left w:val="single" w:sz="4" w:space="0" w:color="000000"/>
              <w:bottom w:val="single" w:sz="4" w:space="0" w:color="000000"/>
            </w:tcBorders>
            <w:vAlign w:val="center"/>
          </w:tcPr>
          <w:p w14:paraId="6C19CF28" w14:textId="77777777" w:rsidR="00A74F6E" w:rsidRPr="00F726C1" w:rsidRDefault="00A74F6E" w:rsidP="0010233B">
            <w:pPr>
              <w:spacing w:after="0" w:line="240" w:lineRule="auto"/>
              <w:rPr>
                <w:rFonts w:ascii="Times New Roman" w:eastAsia="Times New Roman" w:hAnsi="Times New Roman" w:cs="Times New Roman"/>
                <w:sz w:val="22"/>
                <w:szCs w:val="22"/>
              </w:rPr>
            </w:pPr>
            <w:r w:rsidRPr="00F726C1">
              <w:rPr>
                <w:rFonts w:ascii="Times New Roman" w:hAnsi="Times New Roman" w:cs="Times New Roman"/>
                <w:sz w:val="22"/>
                <w:szCs w:val="22"/>
              </w:rPr>
              <w:t>median</w:t>
            </w:r>
          </w:p>
        </w:tc>
        <w:tc>
          <w:tcPr>
            <w:tcW w:w="2624" w:type="dxa"/>
            <w:tcBorders>
              <w:bottom w:val="single" w:sz="4" w:space="0" w:color="000000"/>
            </w:tcBorders>
            <w:shd w:val="clear" w:color="auto" w:fill="auto"/>
            <w:vAlign w:val="center"/>
          </w:tcPr>
          <w:p w14:paraId="352D272B"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0.000</w:t>
            </w:r>
          </w:p>
        </w:tc>
        <w:tc>
          <w:tcPr>
            <w:tcW w:w="2018" w:type="dxa"/>
            <w:tcBorders>
              <w:bottom w:val="single" w:sz="4" w:space="0" w:color="000000"/>
            </w:tcBorders>
            <w:shd w:val="clear" w:color="auto" w:fill="auto"/>
            <w:vAlign w:val="center"/>
          </w:tcPr>
          <w:p w14:paraId="20447D5B" w14:textId="77777777" w:rsidR="00A74F6E" w:rsidRPr="00FC2B4E" w:rsidRDefault="00A74F6E" w:rsidP="0010233B">
            <w:pPr>
              <w:spacing w:after="0" w:line="240" w:lineRule="auto"/>
              <w:jc w:val="center"/>
              <w:rPr>
                <w:rFonts w:ascii="Times New Roman" w:eastAsia="Times New Roman" w:hAnsi="Times New Roman" w:cs="Times New Roman"/>
                <w:sz w:val="22"/>
                <w:szCs w:val="22"/>
              </w:rPr>
            </w:pPr>
            <w:r w:rsidRPr="00FC2B4E">
              <w:rPr>
                <w:rFonts w:ascii="Times New Roman" w:hAnsi="Times New Roman" w:cs="Times New Roman"/>
                <w:sz w:val="22"/>
                <w:szCs w:val="22"/>
              </w:rPr>
              <w:t>0.000</w:t>
            </w:r>
          </w:p>
        </w:tc>
        <w:tc>
          <w:tcPr>
            <w:tcW w:w="1371" w:type="dxa"/>
            <w:tcBorders>
              <w:left w:val="single" w:sz="4" w:space="0" w:color="000000"/>
              <w:bottom w:val="single" w:sz="4" w:space="0" w:color="000000"/>
            </w:tcBorders>
            <w:shd w:val="clear" w:color="auto" w:fill="auto"/>
            <w:vAlign w:val="center"/>
          </w:tcPr>
          <w:p w14:paraId="7E89D2A3"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0.000</w:t>
            </w:r>
          </w:p>
        </w:tc>
        <w:tc>
          <w:tcPr>
            <w:tcW w:w="744" w:type="dxa"/>
            <w:tcBorders>
              <w:left w:val="single" w:sz="4" w:space="0" w:color="000000"/>
              <w:bottom w:val="single" w:sz="4" w:space="0" w:color="000000"/>
              <w:right w:val="single" w:sz="4" w:space="0" w:color="000000"/>
            </w:tcBorders>
            <w:vAlign w:val="center"/>
          </w:tcPr>
          <w:p w14:paraId="0862BB78" w14:textId="77777777" w:rsidR="00A74F6E" w:rsidRPr="00FC2B4E" w:rsidRDefault="00A74F6E" w:rsidP="0010233B">
            <w:pPr>
              <w:spacing w:after="0" w:line="240" w:lineRule="auto"/>
              <w:jc w:val="center"/>
              <w:rPr>
                <w:rFonts w:ascii="Times New Roman" w:eastAsia="Times New Roman" w:hAnsi="Times New Roman" w:cs="Times New Roman"/>
                <w:b/>
                <w:sz w:val="22"/>
                <w:szCs w:val="22"/>
              </w:rPr>
            </w:pPr>
            <w:r w:rsidRPr="00FC2B4E">
              <w:rPr>
                <w:rFonts w:ascii="Times New Roman" w:hAnsi="Times New Roman" w:cs="Times New Roman"/>
                <w:b/>
                <w:bCs/>
                <w:sz w:val="22"/>
                <w:szCs w:val="22"/>
              </w:rPr>
              <w:t>0.003</w:t>
            </w:r>
          </w:p>
        </w:tc>
      </w:tr>
    </w:tbl>
    <w:p w14:paraId="7F72C4D9" w14:textId="77777777" w:rsidR="00A74F6E" w:rsidRDefault="00A74F6E" w:rsidP="00A74F6E">
      <w:pPr>
        <w:tabs>
          <w:tab w:val="left" w:pos="720"/>
          <w:tab w:val="left" w:pos="1440"/>
          <w:tab w:val="left" w:pos="2160"/>
          <w:tab w:val="left" w:pos="2880"/>
          <w:tab w:val="left" w:pos="3600"/>
          <w:tab w:val="left" w:pos="4320"/>
          <w:tab w:val="center" w:pos="4513"/>
          <w:tab w:val="left" w:pos="8280"/>
        </w:tabs>
        <w:ind w:right="-450"/>
        <w:jc w:val="both"/>
        <w:rPr>
          <w:rFonts w:ascii="Times New Roman" w:eastAsia="Times New Roman" w:hAnsi="Times New Roman" w:cs="Times New Roman"/>
          <w:sz w:val="20"/>
          <w:szCs w:val="20"/>
        </w:rPr>
        <w:sectPr w:rsidR="00A74F6E">
          <w:pgSz w:w="11906" w:h="16838"/>
          <w:pgMar w:top="1440" w:right="1440" w:bottom="1440" w:left="1440" w:header="708" w:footer="708" w:gutter="0"/>
          <w:cols w:space="720"/>
        </w:sectPr>
      </w:pPr>
      <w:r>
        <w:rPr>
          <w:rFonts w:ascii="Times New Roman" w:eastAsia="Times New Roman" w:hAnsi="Times New Roman" w:cs="Times New Roman"/>
          <w:sz w:val="20"/>
          <w:szCs w:val="20"/>
        </w:rPr>
        <w:t>Tests for differences between non-repurchasers (R) and repurchasers (NR). T-tests (for mean) and Wilcoxon rank-sum tests (for median) are conducted.  Probability values are reported in the final column, for two-tailed tests. All</w:t>
      </w:r>
      <w:r>
        <w:rPr>
          <w:rFonts w:ascii="Times New Roman" w:eastAsia="Times New Roman" w:hAnsi="Times New Roman" w:cs="Times New Roman"/>
          <w:color w:val="000000"/>
          <w:sz w:val="20"/>
          <w:szCs w:val="20"/>
        </w:rPr>
        <w:t xml:space="preserve"> variables are defined in Table 2</w:t>
      </w:r>
      <w:r>
        <w:rPr>
          <w:rFonts w:ascii="Times New Roman" w:eastAsia="Times New Roman" w:hAnsi="Times New Roman" w:cs="Times New Roman"/>
          <w:sz w:val="20"/>
          <w:szCs w:val="20"/>
        </w:rPr>
        <w:t xml:space="preserve">. </w:t>
      </w:r>
      <w:r w:rsidRPr="007276F8">
        <w:rPr>
          <w:rFonts w:ascii="Times New Roman" w:eastAsia="Times New Roman" w:hAnsi="Times New Roman" w:cs="Times New Roman"/>
          <w:sz w:val="20"/>
          <w:szCs w:val="20"/>
        </w:rPr>
        <w:t xml:space="preserve">Total number of observations is 6199, of which 4181 are non-repurchasers, and 2018 are repurchasers. </w:t>
      </w:r>
    </w:p>
    <w:p w14:paraId="70F6BD87"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lastRenderedPageBreak/>
        <w:t>Table 5: Correlations</w:t>
      </w:r>
    </w:p>
    <w:tbl>
      <w:tblPr>
        <w:tblW w:w="0" w:type="auto"/>
        <w:tblInd w:w="-12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135"/>
        <w:gridCol w:w="709"/>
        <w:gridCol w:w="709"/>
        <w:gridCol w:w="708"/>
        <w:gridCol w:w="830"/>
        <w:gridCol w:w="871"/>
        <w:gridCol w:w="821"/>
        <w:gridCol w:w="880"/>
        <w:gridCol w:w="740"/>
        <w:gridCol w:w="670"/>
        <w:gridCol w:w="490"/>
        <w:gridCol w:w="810"/>
        <w:gridCol w:w="850"/>
        <w:gridCol w:w="692"/>
        <w:gridCol w:w="709"/>
        <w:gridCol w:w="567"/>
        <w:gridCol w:w="758"/>
        <w:gridCol w:w="567"/>
        <w:gridCol w:w="530"/>
        <w:gridCol w:w="690"/>
        <w:gridCol w:w="573"/>
        <w:gridCol w:w="709"/>
        <w:gridCol w:w="570"/>
      </w:tblGrid>
      <w:tr w:rsidR="00A74F6E" w:rsidRPr="005C4178" w14:paraId="44EDBAC5" w14:textId="77777777" w:rsidTr="0010233B">
        <w:trPr>
          <w:trHeight w:val="300"/>
        </w:trPr>
        <w:tc>
          <w:tcPr>
            <w:tcW w:w="1135" w:type="dxa"/>
            <w:shd w:val="clear" w:color="auto" w:fill="FFFFFF" w:themeFill="background1"/>
            <w:tcMar>
              <w:top w:w="0" w:type="dxa"/>
              <w:left w:w="45" w:type="dxa"/>
              <w:bottom w:w="0" w:type="dxa"/>
              <w:right w:w="45" w:type="dxa"/>
            </w:tcMar>
            <w:vAlign w:val="bottom"/>
            <w:hideMark/>
          </w:tcPr>
          <w:p w14:paraId="44D1D84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center"/>
            <w:hideMark/>
          </w:tcPr>
          <w:p w14:paraId="41622B53"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proofErr w:type="spellStart"/>
            <w:r w:rsidRPr="005C4178">
              <w:rPr>
                <w:rFonts w:ascii="Times New Roman" w:eastAsia="Times New Roman" w:hAnsi="Times New Roman" w:cs="Times New Roman"/>
                <w:i/>
                <w:iCs/>
                <w:color w:val="000000" w:themeColor="text1"/>
                <w:sz w:val="16"/>
                <w:szCs w:val="16"/>
              </w:rPr>
              <w:t>SPDUM</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9" w:type="dxa"/>
            <w:shd w:val="clear" w:color="auto" w:fill="FFFFFF" w:themeFill="background1"/>
            <w:tcMar>
              <w:top w:w="0" w:type="dxa"/>
              <w:left w:w="45" w:type="dxa"/>
              <w:bottom w:w="0" w:type="dxa"/>
              <w:right w:w="45" w:type="dxa"/>
            </w:tcMar>
            <w:vAlign w:val="center"/>
            <w:hideMark/>
          </w:tcPr>
          <w:p w14:paraId="6E24F6B3"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proofErr w:type="spellStart"/>
            <w:r w:rsidRPr="005C4178">
              <w:rPr>
                <w:rFonts w:ascii="Times New Roman" w:eastAsia="Times New Roman" w:hAnsi="Times New Roman" w:cs="Times New Roman"/>
                <w:i/>
                <w:iCs/>
                <w:color w:val="000000" w:themeColor="text1"/>
                <w:sz w:val="16"/>
                <w:szCs w:val="16"/>
              </w:rPr>
              <w:t>CCDUM</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8" w:type="dxa"/>
            <w:shd w:val="clear" w:color="auto" w:fill="FFFFFF" w:themeFill="background1"/>
            <w:tcMar>
              <w:top w:w="0" w:type="dxa"/>
              <w:left w:w="45" w:type="dxa"/>
              <w:bottom w:w="0" w:type="dxa"/>
              <w:right w:w="45" w:type="dxa"/>
            </w:tcMar>
            <w:vAlign w:val="center"/>
            <w:hideMark/>
          </w:tcPr>
          <w:p w14:paraId="1B193248"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SP/</w:t>
            </w:r>
            <w:proofErr w:type="spellStart"/>
            <w:r w:rsidRPr="005C4178">
              <w:rPr>
                <w:rFonts w:ascii="Times New Roman" w:eastAsia="Times New Roman" w:hAnsi="Times New Roman" w:cs="Times New Roman"/>
                <w:i/>
                <w:iCs/>
                <w:color w:val="000000" w:themeColor="text1"/>
                <w:sz w:val="16"/>
                <w:szCs w:val="16"/>
              </w:rPr>
              <w:t>NI</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830" w:type="dxa"/>
            <w:shd w:val="clear" w:color="auto" w:fill="FFFFFF" w:themeFill="background1"/>
            <w:tcMar>
              <w:top w:w="0" w:type="dxa"/>
              <w:left w:w="45" w:type="dxa"/>
              <w:bottom w:w="0" w:type="dxa"/>
              <w:right w:w="45" w:type="dxa"/>
            </w:tcMar>
            <w:vAlign w:val="center"/>
            <w:hideMark/>
          </w:tcPr>
          <w:p w14:paraId="30AAB45F"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LEVIND</w:t>
            </w:r>
            <w:r w:rsidRPr="005C4178">
              <w:rPr>
                <w:rFonts w:ascii="Times New Roman" w:eastAsia="Times New Roman" w:hAnsi="Times New Roman" w:cs="Times New Roman"/>
                <w:i/>
                <w:iCs/>
                <w:color w:val="000000" w:themeColor="text1"/>
                <w:sz w:val="16"/>
                <w:szCs w:val="16"/>
                <w:vertAlign w:val="subscript"/>
              </w:rPr>
              <w:t>t-1</w:t>
            </w:r>
          </w:p>
        </w:tc>
        <w:tc>
          <w:tcPr>
            <w:tcW w:w="871" w:type="dxa"/>
            <w:shd w:val="clear" w:color="auto" w:fill="FFFFFF" w:themeFill="background1"/>
            <w:tcMar>
              <w:top w:w="0" w:type="dxa"/>
              <w:left w:w="45" w:type="dxa"/>
              <w:bottom w:w="0" w:type="dxa"/>
              <w:right w:w="45" w:type="dxa"/>
            </w:tcMar>
            <w:vAlign w:val="center"/>
            <w:hideMark/>
          </w:tcPr>
          <w:p w14:paraId="1FD66D8A"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 xml:space="preserve">XSCASH </w:t>
            </w:r>
            <w:r w:rsidRPr="005C4178">
              <w:rPr>
                <w:rFonts w:ascii="Times New Roman" w:eastAsia="Times New Roman" w:hAnsi="Times New Roman" w:cs="Times New Roman"/>
                <w:i/>
                <w:iCs/>
                <w:color w:val="000000" w:themeColor="text1"/>
                <w:sz w:val="16"/>
                <w:szCs w:val="16"/>
                <w:vertAlign w:val="subscript"/>
              </w:rPr>
              <w:t>t-1</w:t>
            </w:r>
          </w:p>
        </w:tc>
        <w:tc>
          <w:tcPr>
            <w:tcW w:w="821" w:type="dxa"/>
            <w:shd w:val="clear" w:color="auto" w:fill="FFFFFF" w:themeFill="background1"/>
            <w:tcMar>
              <w:top w:w="0" w:type="dxa"/>
              <w:left w:w="45" w:type="dxa"/>
              <w:bottom w:w="0" w:type="dxa"/>
              <w:right w:w="45" w:type="dxa"/>
            </w:tcMar>
            <w:vAlign w:val="center"/>
            <w:hideMark/>
          </w:tcPr>
          <w:p w14:paraId="0035167C"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CFO/TA</w:t>
            </w:r>
            <w:r w:rsidRPr="005C4178">
              <w:rPr>
                <w:rFonts w:ascii="Times New Roman" w:eastAsia="Times New Roman" w:hAnsi="Times New Roman" w:cs="Times New Roman"/>
                <w:i/>
                <w:iCs/>
                <w:color w:val="000000" w:themeColor="text1"/>
                <w:sz w:val="16"/>
                <w:szCs w:val="16"/>
                <w:vertAlign w:val="subscript"/>
              </w:rPr>
              <w:t>t-1</w:t>
            </w:r>
          </w:p>
        </w:tc>
        <w:tc>
          <w:tcPr>
            <w:tcW w:w="880" w:type="dxa"/>
            <w:shd w:val="clear" w:color="auto" w:fill="FFFFFF" w:themeFill="background1"/>
            <w:tcMar>
              <w:top w:w="0" w:type="dxa"/>
              <w:left w:w="45" w:type="dxa"/>
              <w:bottom w:w="0" w:type="dxa"/>
              <w:right w:w="45" w:type="dxa"/>
            </w:tcMar>
            <w:vAlign w:val="center"/>
            <w:hideMark/>
          </w:tcPr>
          <w:p w14:paraId="0FAC543D"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MTBIND</w:t>
            </w:r>
            <w:r w:rsidRPr="005C4178">
              <w:rPr>
                <w:rFonts w:ascii="Times New Roman" w:eastAsia="Times New Roman" w:hAnsi="Times New Roman" w:cs="Times New Roman"/>
                <w:i/>
                <w:iCs/>
                <w:color w:val="000000" w:themeColor="text1"/>
                <w:sz w:val="16"/>
                <w:szCs w:val="16"/>
                <w:vertAlign w:val="subscript"/>
              </w:rPr>
              <w:t>t-1</w:t>
            </w:r>
          </w:p>
        </w:tc>
        <w:tc>
          <w:tcPr>
            <w:tcW w:w="740" w:type="dxa"/>
            <w:shd w:val="clear" w:color="auto" w:fill="FFFFFF" w:themeFill="background1"/>
            <w:tcMar>
              <w:top w:w="0" w:type="dxa"/>
              <w:left w:w="45" w:type="dxa"/>
              <w:bottom w:w="0" w:type="dxa"/>
              <w:right w:w="45" w:type="dxa"/>
            </w:tcMar>
            <w:vAlign w:val="center"/>
            <w:hideMark/>
          </w:tcPr>
          <w:p w14:paraId="61285CAF"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ABRET</w:t>
            </w:r>
            <w:r w:rsidRPr="005C4178">
              <w:rPr>
                <w:rFonts w:ascii="Times New Roman" w:eastAsia="Times New Roman" w:hAnsi="Times New Roman" w:cs="Times New Roman"/>
                <w:i/>
                <w:iCs/>
                <w:color w:val="000000" w:themeColor="text1"/>
                <w:sz w:val="16"/>
                <w:szCs w:val="16"/>
                <w:vertAlign w:val="subscript"/>
              </w:rPr>
              <w:t>t-1</w:t>
            </w:r>
          </w:p>
        </w:tc>
        <w:tc>
          <w:tcPr>
            <w:tcW w:w="670" w:type="dxa"/>
            <w:shd w:val="clear" w:color="auto" w:fill="FFFFFF" w:themeFill="background1"/>
            <w:tcMar>
              <w:top w:w="0" w:type="dxa"/>
              <w:left w:w="45" w:type="dxa"/>
              <w:bottom w:w="0" w:type="dxa"/>
              <w:right w:w="45" w:type="dxa"/>
            </w:tcMar>
            <w:vAlign w:val="center"/>
            <w:hideMark/>
          </w:tcPr>
          <w:p w14:paraId="64789A71"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DIV/</w:t>
            </w:r>
            <w:proofErr w:type="spellStart"/>
            <w:r w:rsidRPr="005C4178">
              <w:rPr>
                <w:rFonts w:ascii="Times New Roman" w:eastAsia="Times New Roman" w:hAnsi="Times New Roman" w:cs="Times New Roman"/>
                <w:i/>
                <w:iCs/>
                <w:color w:val="000000" w:themeColor="text1"/>
                <w:sz w:val="16"/>
                <w:szCs w:val="16"/>
              </w:rPr>
              <w:t>NI</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490" w:type="dxa"/>
            <w:shd w:val="clear" w:color="auto" w:fill="FFFFFF" w:themeFill="background1"/>
            <w:tcMar>
              <w:top w:w="0" w:type="dxa"/>
              <w:left w:w="45" w:type="dxa"/>
              <w:bottom w:w="0" w:type="dxa"/>
              <w:right w:w="45" w:type="dxa"/>
            </w:tcMar>
            <w:vAlign w:val="center"/>
            <w:hideMark/>
          </w:tcPr>
          <w:p w14:paraId="01C9D08C"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proofErr w:type="spellStart"/>
            <w:r w:rsidRPr="005C4178">
              <w:rPr>
                <w:rFonts w:ascii="Times New Roman" w:eastAsia="Times New Roman" w:hAnsi="Times New Roman" w:cs="Times New Roman"/>
                <w:i/>
                <w:iCs/>
                <w:color w:val="000000" w:themeColor="text1"/>
                <w:sz w:val="16"/>
                <w:szCs w:val="16"/>
              </w:rPr>
              <w:t>ROA</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810" w:type="dxa"/>
            <w:shd w:val="clear" w:color="auto" w:fill="FFFFFF" w:themeFill="background1"/>
            <w:tcMar>
              <w:top w:w="0" w:type="dxa"/>
              <w:left w:w="45" w:type="dxa"/>
              <w:bottom w:w="0" w:type="dxa"/>
              <w:right w:w="45" w:type="dxa"/>
            </w:tcMar>
            <w:vAlign w:val="center"/>
            <w:hideMark/>
          </w:tcPr>
          <w:p w14:paraId="36524920"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SPDUM</w:t>
            </w:r>
            <w:r w:rsidRPr="005C4178">
              <w:rPr>
                <w:rFonts w:ascii="Times New Roman" w:eastAsia="Times New Roman" w:hAnsi="Times New Roman" w:cs="Times New Roman"/>
                <w:i/>
                <w:iCs/>
                <w:color w:val="000000" w:themeColor="text1"/>
                <w:sz w:val="16"/>
                <w:szCs w:val="16"/>
                <w:vertAlign w:val="subscript"/>
              </w:rPr>
              <w:t>t-1</w:t>
            </w:r>
          </w:p>
        </w:tc>
        <w:tc>
          <w:tcPr>
            <w:tcW w:w="850" w:type="dxa"/>
            <w:shd w:val="clear" w:color="auto" w:fill="FFFFFF" w:themeFill="background1"/>
            <w:tcMar>
              <w:top w:w="0" w:type="dxa"/>
              <w:left w:w="45" w:type="dxa"/>
              <w:bottom w:w="0" w:type="dxa"/>
              <w:right w:w="45" w:type="dxa"/>
            </w:tcMar>
            <w:vAlign w:val="center"/>
            <w:hideMark/>
          </w:tcPr>
          <w:p w14:paraId="0DCC284C"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CCDUM</w:t>
            </w:r>
            <w:r w:rsidRPr="005C4178">
              <w:rPr>
                <w:rFonts w:ascii="Times New Roman" w:eastAsia="Times New Roman" w:hAnsi="Times New Roman" w:cs="Times New Roman"/>
                <w:i/>
                <w:iCs/>
                <w:color w:val="000000" w:themeColor="text1"/>
                <w:sz w:val="16"/>
                <w:szCs w:val="16"/>
                <w:vertAlign w:val="subscript"/>
              </w:rPr>
              <w:t>t-1</w:t>
            </w:r>
          </w:p>
        </w:tc>
        <w:tc>
          <w:tcPr>
            <w:tcW w:w="692" w:type="dxa"/>
            <w:shd w:val="clear" w:color="auto" w:fill="FFFFFF" w:themeFill="background1"/>
            <w:tcMar>
              <w:top w:w="0" w:type="dxa"/>
              <w:left w:w="45" w:type="dxa"/>
              <w:bottom w:w="0" w:type="dxa"/>
              <w:right w:w="45" w:type="dxa"/>
            </w:tcMar>
            <w:vAlign w:val="center"/>
            <w:hideMark/>
          </w:tcPr>
          <w:p w14:paraId="6C32A3A7"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SP/NI</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center"/>
            <w:hideMark/>
          </w:tcPr>
          <w:p w14:paraId="6DBD38C6"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CC/NI</w:t>
            </w:r>
            <w:r w:rsidRPr="005C4178">
              <w:rPr>
                <w:rFonts w:ascii="Times New Roman" w:eastAsia="Times New Roman" w:hAnsi="Times New Roman" w:cs="Times New Roman"/>
                <w:i/>
                <w:iCs/>
                <w:color w:val="000000" w:themeColor="text1"/>
                <w:sz w:val="16"/>
                <w:szCs w:val="16"/>
                <w:vertAlign w:val="subscript"/>
              </w:rPr>
              <w:t>t-1</w:t>
            </w:r>
          </w:p>
        </w:tc>
        <w:tc>
          <w:tcPr>
            <w:tcW w:w="567" w:type="dxa"/>
            <w:shd w:val="clear" w:color="auto" w:fill="FFFFFF" w:themeFill="background1"/>
            <w:tcMar>
              <w:top w:w="0" w:type="dxa"/>
              <w:left w:w="45" w:type="dxa"/>
              <w:bottom w:w="0" w:type="dxa"/>
              <w:right w:w="45" w:type="dxa"/>
            </w:tcMar>
            <w:vAlign w:val="center"/>
            <w:hideMark/>
          </w:tcPr>
          <w:p w14:paraId="0252AA71" w14:textId="77777777" w:rsidR="002119F3"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INST</w:t>
            </w:r>
          </w:p>
          <w:p w14:paraId="0F37EE8E" w14:textId="3ABD116F"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OWN</w:t>
            </w:r>
            <w:r w:rsidRPr="005C4178">
              <w:rPr>
                <w:rFonts w:ascii="Times New Roman" w:eastAsia="Times New Roman" w:hAnsi="Times New Roman" w:cs="Times New Roman"/>
                <w:i/>
                <w:iCs/>
                <w:color w:val="000000" w:themeColor="text1"/>
                <w:sz w:val="16"/>
                <w:szCs w:val="16"/>
                <w:vertAlign w:val="subscript"/>
              </w:rPr>
              <w:t>t-1</w:t>
            </w:r>
          </w:p>
        </w:tc>
        <w:tc>
          <w:tcPr>
            <w:tcW w:w="758" w:type="dxa"/>
            <w:shd w:val="clear" w:color="auto" w:fill="FFFFFF" w:themeFill="background1"/>
            <w:tcMar>
              <w:top w:w="0" w:type="dxa"/>
              <w:left w:w="45" w:type="dxa"/>
              <w:bottom w:w="0" w:type="dxa"/>
              <w:right w:w="45" w:type="dxa"/>
            </w:tcMar>
            <w:vAlign w:val="center"/>
            <w:hideMark/>
          </w:tcPr>
          <w:p w14:paraId="66E00217" w14:textId="77777777" w:rsidR="002119F3"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BOARD</w:t>
            </w:r>
          </w:p>
          <w:p w14:paraId="6FC78357" w14:textId="6B599618"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OWN</w:t>
            </w:r>
            <w:r w:rsidRPr="005C4178">
              <w:rPr>
                <w:rFonts w:ascii="Times New Roman" w:eastAsia="Times New Roman" w:hAnsi="Times New Roman" w:cs="Times New Roman"/>
                <w:i/>
                <w:iCs/>
                <w:color w:val="000000" w:themeColor="text1"/>
                <w:sz w:val="16"/>
                <w:szCs w:val="16"/>
                <w:vertAlign w:val="subscript"/>
              </w:rPr>
              <w:t>t-1</w:t>
            </w:r>
          </w:p>
        </w:tc>
        <w:tc>
          <w:tcPr>
            <w:tcW w:w="567" w:type="dxa"/>
            <w:shd w:val="clear" w:color="auto" w:fill="FFFFFF" w:themeFill="background1"/>
            <w:tcMar>
              <w:top w:w="0" w:type="dxa"/>
              <w:left w:w="45" w:type="dxa"/>
              <w:bottom w:w="0" w:type="dxa"/>
              <w:right w:w="45" w:type="dxa"/>
            </w:tcMar>
            <w:vAlign w:val="center"/>
            <w:hideMark/>
          </w:tcPr>
          <w:p w14:paraId="5406A4EE"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PROPNED</w:t>
            </w:r>
            <w:r w:rsidRPr="005C4178">
              <w:rPr>
                <w:rFonts w:ascii="Times New Roman" w:eastAsia="Times New Roman" w:hAnsi="Times New Roman" w:cs="Times New Roman"/>
                <w:i/>
                <w:iCs/>
                <w:color w:val="000000" w:themeColor="text1"/>
                <w:sz w:val="16"/>
                <w:szCs w:val="16"/>
                <w:vertAlign w:val="subscript"/>
              </w:rPr>
              <w:t>t-1</w:t>
            </w:r>
          </w:p>
        </w:tc>
        <w:tc>
          <w:tcPr>
            <w:tcW w:w="530" w:type="dxa"/>
            <w:shd w:val="clear" w:color="auto" w:fill="FFFFFF" w:themeFill="background1"/>
            <w:tcMar>
              <w:top w:w="0" w:type="dxa"/>
              <w:left w:w="45" w:type="dxa"/>
              <w:bottom w:w="0" w:type="dxa"/>
              <w:right w:w="45" w:type="dxa"/>
            </w:tcMar>
            <w:vAlign w:val="center"/>
            <w:hideMark/>
          </w:tcPr>
          <w:p w14:paraId="1DF20FE9"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ESO</w:t>
            </w:r>
            <w:r w:rsidRPr="005C4178">
              <w:rPr>
                <w:rFonts w:ascii="Times New Roman" w:eastAsia="Times New Roman" w:hAnsi="Times New Roman" w:cs="Times New Roman"/>
                <w:i/>
                <w:iCs/>
                <w:color w:val="000000" w:themeColor="text1"/>
                <w:sz w:val="16"/>
                <w:szCs w:val="16"/>
                <w:vertAlign w:val="subscript"/>
              </w:rPr>
              <w:t>t-1</w:t>
            </w:r>
          </w:p>
        </w:tc>
        <w:tc>
          <w:tcPr>
            <w:tcW w:w="690" w:type="dxa"/>
            <w:shd w:val="clear" w:color="auto" w:fill="FFFFFF" w:themeFill="background1"/>
            <w:tcMar>
              <w:top w:w="0" w:type="dxa"/>
              <w:left w:w="45" w:type="dxa"/>
              <w:bottom w:w="0" w:type="dxa"/>
              <w:right w:w="45" w:type="dxa"/>
            </w:tcMar>
            <w:vAlign w:val="center"/>
            <w:hideMark/>
          </w:tcPr>
          <w:p w14:paraId="6A592220"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MCAP</w:t>
            </w:r>
            <w:r w:rsidRPr="005C4178">
              <w:rPr>
                <w:rFonts w:ascii="Times New Roman" w:eastAsia="Times New Roman" w:hAnsi="Times New Roman" w:cs="Times New Roman"/>
                <w:i/>
                <w:iCs/>
                <w:color w:val="000000" w:themeColor="text1"/>
                <w:sz w:val="16"/>
                <w:szCs w:val="16"/>
                <w:vertAlign w:val="subscript"/>
              </w:rPr>
              <w:t>t-1</w:t>
            </w:r>
          </w:p>
        </w:tc>
        <w:tc>
          <w:tcPr>
            <w:tcW w:w="573" w:type="dxa"/>
            <w:shd w:val="clear" w:color="auto" w:fill="FFFFFF" w:themeFill="background1"/>
            <w:tcMar>
              <w:top w:w="0" w:type="dxa"/>
              <w:left w:w="45" w:type="dxa"/>
              <w:bottom w:w="0" w:type="dxa"/>
              <w:right w:w="45" w:type="dxa"/>
            </w:tcMar>
            <w:vAlign w:val="center"/>
            <w:hideMark/>
          </w:tcPr>
          <w:p w14:paraId="787F2693"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AGE</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center"/>
            <w:hideMark/>
          </w:tcPr>
          <w:p w14:paraId="40F7C665"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RE/TA</w:t>
            </w:r>
            <w:r w:rsidRPr="005C4178">
              <w:rPr>
                <w:rFonts w:ascii="Times New Roman" w:eastAsia="Times New Roman" w:hAnsi="Times New Roman" w:cs="Times New Roman"/>
                <w:i/>
                <w:iCs/>
                <w:color w:val="000000" w:themeColor="text1"/>
                <w:sz w:val="16"/>
                <w:szCs w:val="16"/>
                <w:vertAlign w:val="subscript"/>
              </w:rPr>
              <w:t>t-1</w:t>
            </w:r>
          </w:p>
        </w:tc>
        <w:tc>
          <w:tcPr>
            <w:tcW w:w="570" w:type="dxa"/>
            <w:shd w:val="clear" w:color="auto" w:fill="FFFFFF" w:themeFill="background1"/>
            <w:tcMar>
              <w:top w:w="0" w:type="dxa"/>
              <w:left w:w="45" w:type="dxa"/>
              <w:bottom w:w="0" w:type="dxa"/>
              <w:right w:w="45" w:type="dxa"/>
            </w:tcMar>
            <w:vAlign w:val="center"/>
            <w:hideMark/>
          </w:tcPr>
          <w:p w14:paraId="3D471767" w14:textId="77777777" w:rsidR="002119F3"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DIV</w:t>
            </w:r>
          </w:p>
          <w:p w14:paraId="7C82E73B" w14:textId="5756F021"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DUM</w:t>
            </w:r>
            <w:r w:rsidRPr="005C4178">
              <w:rPr>
                <w:rFonts w:ascii="Times New Roman" w:eastAsia="Times New Roman" w:hAnsi="Times New Roman" w:cs="Times New Roman"/>
                <w:i/>
                <w:iCs/>
                <w:color w:val="000000" w:themeColor="text1"/>
                <w:sz w:val="16"/>
                <w:szCs w:val="16"/>
                <w:vertAlign w:val="subscript"/>
              </w:rPr>
              <w:t>t-1</w:t>
            </w:r>
          </w:p>
        </w:tc>
      </w:tr>
      <w:tr w:rsidR="00A74F6E" w:rsidRPr="00EA618B" w14:paraId="2F6BBDE9"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6F22E69D"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proofErr w:type="spellStart"/>
            <w:r w:rsidRPr="005C4178">
              <w:rPr>
                <w:rFonts w:ascii="Times New Roman" w:eastAsia="Times New Roman" w:hAnsi="Times New Roman" w:cs="Times New Roman"/>
                <w:i/>
                <w:iCs/>
                <w:color w:val="000000" w:themeColor="text1"/>
                <w:sz w:val="16"/>
                <w:szCs w:val="16"/>
              </w:rPr>
              <w:t>SPDUM</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9" w:type="dxa"/>
            <w:shd w:val="clear" w:color="auto" w:fill="FFFFFF" w:themeFill="background1"/>
            <w:tcMar>
              <w:top w:w="0" w:type="dxa"/>
              <w:left w:w="45" w:type="dxa"/>
              <w:bottom w:w="0" w:type="dxa"/>
              <w:right w:w="45" w:type="dxa"/>
            </w:tcMar>
            <w:vAlign w:val="bottom"/>
            <w:hideMark/>
          </w:tcPr>
          <w:p w14:paraId="28F6071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709" w:type="dxa"/>
            <w:shd w:val="clear" w:color="auto" w:fill="FFFFFF" w:themeFill="background1"/>
            <w:tcMar>
              <w:top w:w="0" w:type="dxa"/>
              <w:left w:w="45" w:type="dxa"/>
              <w:bottom w:w="0" w:type="dxa"/>
              <w:right w:w="45" w:type="dxa"/>
            </w:tcMar>
            <w:vAlign w:val="bottom"/>
            <w:hideMark/>
          </w:tcPr>
          <w:p w14:paraId="017A4F6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708" w:type="dxa"/>
            <w:shd w:val="clear" w:color="auto" w:fill="FFFFFF" w:themeFill="background1"/>
            <w:tcMar>
              <w:top w:w="0" w:type="dxa"/>
              <w:left w:w="45" w:type="dxa"/>
              <w:bottom w:w="0" w:type="dxa"/>
              <w:right w:w="45" w:type="dxa"/>
            </w:tcMar>
            <w:vAlign w:val="bottom"/>
            <w:hideMark/>
          </w:tcPr>
          <w:p w14:paraId="4C45D52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30" w:type="dxa"/>
            <w:shd w:val="clear" w:color="auto" w:fill="FFFFFF" w:themeFill="background1"/>
            <w:tcMar>
              <w:top w:w="0" w:type="dxa"/>
              <w:left w:w="45" w:type="dxa"/>
              <w:bottom w:w="0" w:type="dxa"/>
              <w:right w:w="45" w:type="dxa"/>
            </w:tcMar>
            <w:vAlign w:val="bottom"/>
            <w:hideMark/>
          </w:tcPr>
          <w:p w14:paraId="2E0FEB4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71" w:type="dxa"/>
            <w:shd w:val="clear" w:color="auto" w:fill="FFFFFF" w:themeFill="background1"/>
            <w:tcMar>
              <w:top w:w="0" w:type="dxa"/>
              <w:left w:w="45" w:type="dxa"/>
              <w:bottom w:w="0" w:type="dxa"/>
              <w:right w:w="45" w:type="dxa"/>
            </w:tcMar>
            <w:vAlign w:val="bottom"/>
            <w:hideMark/>
          </w:tcPr>
          <w:p w14:paraId="33C0DBA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21" w:type="dxa"/>
            <w:shd w:val="clear" w:color="auto" w:fill="FFFFFF" w:themeFill="background1"/>
            <w:tcMar>
              <w:top w:w="0" w:type="dxa"/>
              <w:left w:w="45" w:type="dxa"/>
              <w:bottom w:w="0" w:type="dxa"/>
              <w:right w:w="45" w:type="dxa"/>
            </w:tcMar>
            <w:vAlign w:val="bottom"/>
            <w:hideMark/>
          </w:tcPr>
          <w:p w14:paraId="08B6801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80" w:type="dxa"/>
            <w:shd w:val="clear" w:color="auto" w:fill="FFFFFF" w:themeFill="background1"/>
            <w:tcMar>
              <w:top w:w="0" w:type="dxa"/>
              <w:left w:w="45" w:type="dxa"/>
              <w:bottom w:w="0" w:type="dxa"/>
              <w:right w:w="45" w:type="dxa"/>
            </w:tcMar>
            <w:vAlign w:val="bottom"/>
            <w:hideMark/>
          </w:tcPr>
          <w:p w14:paraId="5C5D9D1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40" w:type="dxa"/>
            <w:shd w:val="clear" w:color="auto" w:fill="FFFFFF" w:themeFill="background1"/>
            <w:tcMar>
              <w:top w:w="0" w:type="dxa"/>
              <w:left w:w="45" w:type="dxa"/>
              <w:bottom w:w="0" w:type="dxa"/>
              <w:right w:w="45" w:type="dxa"/>
            </w:tcMar>
            <w:vAlign w:val="bottom"/>
            <w:hideMark/>
          </w:tcPr>
          <w:p w14:paraId="0E60834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2799014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33D3BDE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5D28A24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7AE65E7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72C247C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2247993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2FCCE42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6259E04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2CFE909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3CFCACB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4479EDF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14AB43F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095B6B1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13293891"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582EC380"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53616611"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proofErr w:type="spellStart"/>
            <w:r w:rsidRPr="005C4178">
              <w:rPr>
                <w:rFonts w:ascii="Times New Roman" w:eastAsia="Times New Roman" w:hAnsi="Times New Roman" w:cs="Times New Roman"/>
                <w:i/>
                <w:iCs/>
                <w:color w:val="000000" w:themeColor="text1"/>
                <w:sz w:val="16"/>
                <w:szCs w:val="16"/>
              </w:rPr>
              <w:t>CCDUM</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9" w:type="dxa"/>
            <w:shd w:val="clear" w:color="auto" w:fill="FFFFFF" w:themeFill="background1"/>
            <w:tcMar>
              <w:top w:w="0" w:type="dxa"/>
              <w:left w:w="45" w:type="dxa"/>
              <w:bottom w:w="0" w:type="dxa"/>
              <w:right w:w="45" w:type="dxa"/>
            </w:tcMar>
            <w:vAlign w:val="bottom"/>
            <w:hideMark/>
          </w:tcPr>
          <w:p w14:paraId="5A956C85"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0.07</w:t>
            </w:r>
          </w:p>
        </w:tc>
        <w:tc>
          <w:tcPr>
            <w:tcW w:w="709" w:type="dxa"/>
            <w:shd w:val="clear" w:color="auto" w:fill="FFFFFF" w:themeFill="background1"/>
            <w:tcMar>
              <w:top w:w="0" w:type="dxa"/>
              <w:left w:w="45" w:type="dxa"/>
              <w:bottom w:w="0" w:type="dxa"/>
              <w:right w:w="45" w:type="dxa"/>
            </w:tcMar>
            <w:vAlign w:val="bottom"/>
            <w:hideMark/>
          </w:tcPr>
          <w:p w14:paraId="31711C0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708" w:type="dxa"/>
            <w:shd w:val="clear" w:color="auto" w:fill="FFFFFF" w:themeFill="background1"/>
            <w:tcMar>
              <w:top w:w="0" w:type="dxa"/>
              <w:left w:w="45" w:type="dxa"/>
              <w:bottom w:w="0" w:type="dxa"/>
              <w:right w:w="45" w:type="dxa"/>
            </w:tcMar>
            <w:vAlign w:val="bottom"/>
            <w:hideMark/>
          </w:tcPr>
          <w:p w14:paraId="5B4E3AF2"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830" w:type="dxa"/>
            <w:shd w:val="clear" w:color="auto" w:fill="FFFFFF" w:themeFill="background1"/>
            <w:tcMar>
              <w:top w:w="0" w:type="dxa"/>
              <w:left w:w="45" w:type="dxa"/>
              <w:bottom w:w="0" w:type="dxa"/>
              <w:right w:w="45" w:type="dxa"/>
            </w:tcMar>
            <w:vAlign w:val="bottom"/>
            <w:hideMark/>
          </w:tcPr>
          <w:p w14:paraId="63384B6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71" w:type="dxa"/>
            <w:shd w:val="clear" w:color="auto" w:fill="FFFFFF" w:themeFill="background1"/>
            <w:tcMar>
              <w:top w:w="0" w:type="dxa"/>
              <w:left w:w="45" w:type="dxa"/>
              <w:bottom w:w="0" w:type="dxa"/>
              <w:right w:w="45" w:type="dxa"/>
            </w:tcMar>
            <w:vAlign w:val="bottom"/>
            <w:hideMark/>
          </w:tcPr>
          <w:p w14:paraId="01B1811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21" w:type="dxa"/>
            <w:shd w:val="clear" w:color="auto" w:fill="FFFFFF" w:themeFill="background1"/>
            <w:tcMar>
              <w:top w:w="0" w:type="dxa"/>
              <w:left w:w="45" w:type="dxa"/>
              <w:bottom w:w="0" w:type="dxa"/>
              <w:right w:w="45" w:type="dxa"/>
            </w:tcMar>
            <w:vAlign w:val="bottom"/>
            <w:hideMark/>
          </w:tcPr>
          <w:p w14:paraId="11B12A1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80" w:type="dxa"/>
            <w:shd w:val="clear" w:color="auto" w:fill="FFFFFF" w:themeFill="background1"/>
            <w:tcMar>
              <w:top w:w="0" w:type="dxa"/>
              <w:left w:w="45" w:type="dxa"/>
              <w:bottom w:w="0" w:type="dxa"/>
              <w:right w:w="45" w:type="dxa"/>
            </w:tcMar>
            <w:vAlign w:val="bottom"/>
            <w:hideMark/>
          </w:tcPr>
          <w:p w14:paraId="54A78D3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40" w:type="dxa"/>
            <w:shd w:val="clear" w:color="auto" w:fill="FFFFFF" w:themeFill="background1"/>
            <w:tcMar>
              <w:top w:w="0" w:type="dxa"/>
              <w:left w:w="45" w:type="dxa"/>
              <w:bottom w:w="0" w:type="dxa"/>
              <w:right w:w="45" w:type="dxa"/>
            </w:tcMar>
            <w:vAlign w:val="bottom"/>
            <w:hideMark/>
          </w:tcPr>
          <w:p w14:paraId="3AE0786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5078CF7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45BB778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43E5161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468E267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5667359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5080CEA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7885D2B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40F1605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070ABE4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42338D1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4EB9055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2B0E03B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53B05C2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2FCCA04F"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4B930F70"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150EE64F"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SP/</w:t>
            </w:r>
            <w:proofErr w:type="spellStart"/>
            <w:r w:rsidRPr="005C4178">
              <w:rPr>
                <w:rFonts w:ascii="Times New Roman" w:eastAsia="Times New Roman" w:hAnsi="Times New Roman" w:cs="Times New Roman"/>
                <w:i/>
                <w:iCs/>
                <w:color w:val="000000" w:themeColor="text1"/>
                <w:sz w:val="16"/>
                <w:szCs w:val="16"/>
              </w:rPr>
              <w:t>NI</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9" w:type="dxa"/>
            <w:shd w:val="clear" w:color="auto" w:fill="FFFFFF" w:themeFill="background1"/>
            <w:tcMar>
              <w:top w:w="0" w:type="dxa"/>
              <w:left w:w="45" w:type="dxa"/>
              <w:bottom w:w="0" w:type="dxa"/>
              <w:right w:w="45" w:type="dxa"/>
            </w:tcMar>
            <w:vAlign w:val="bottom"/>
            <w:hideMark/>
          </w:tcPr>
          <w:p w14:paraId="77A6323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0.38</w:t>
            </w:r>
          </w:p>
        </w:tc>
        <w:tc>
          <w:tcPr>
            <w:tcW w:w="709" w:type="dxa"/>
            <w:shd w:val="clear" w:color="auto" w:fill="FFFFFF" w:themeFill="background1"/>
            <w:tcMar>
              <w:top w:w="0" w:type="dxa"/>
              <w:left w:w="45" w:type="dxa"/>
              <w:bottom w:w="0" w:type="dxa"/>
              <w:right w:w="45" w:type="dxa"/>
            </w:tcMar>
            <w:vAlign w:val="bottom"/>
            <w:hideMark/>
          </w:tcPr>
          <w:p w14:paraId="3DE29B0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08" w:type="dxa"/>
            <w:shd w:val="clear" w:color="auto" w:fill="FFFFFF" w:themeFill="background1"/>
            <w:tcMar>
              <w:top w:w="0" w:type="dxa"/>
              <w:left w:w="45" w:type="dxa"/>
              <w:bottom w:w="0" w:type="dxa"/>
              <w:right w:w="45" w:type="dxa"/>
            </w:tcMar>
            <w:vAlign w:val="bottom"/>
            <w:hideMark/>
          </w:tcPr>
          <w:p w14:paraId="3961B34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830" w:type="dxa"/>
            <w:shd w:val="clear" w:color="auto" w:fill="FFFFFF" w:themeFill="background1"/>
            <w:tcMar>
              <w:top w:w="0" w:type="dxa"/>
              <w:left w:w="45" w:type="dxa"/>
              <w:bottom w:w="0" w:type="dxa"/>
              <w:right w:w="45" w:type="dxa"/>
            </w:tcMar>
            <w:vAlign w:val="bottom"/>
            <w:hideMark/>
          </w:tcPr>
          <w:p w14:paraId="7428A2C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871" w:type="dxa"/>
            <w:shd w:val="clear" w:color="auto" w:fill="FFFFFF" w:themeFill="background1"/>
            <w:tcMar>
              <w:top w:w="0" w:type="dxa"/>
              <w:left w:w="45" w:type="dxa"/>
              <w:bottom w:w="0" w:type="dxa"/>
              <w:right w:w="45" w:type="dxa"/>
            </w:tcMar>
            <w:vAlign w:val="bottom"/>
            <w:hideMark/>
          </w:tcPr>
          <w:p w14:paraId="55F9BEA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21" w:type="dxa"/>
            <w:shd w:val="clear" w:color="auto" w:fill="FFFFFF" w:themeFill="background1"/>
            <w:tcMar>
              <w:top w:w="0" w:type="dxa"/>
              <w:left w:w="45" w:type="dxa"/>
              <w:bottom w:w="0" w:type="dxa"/>
              <w:right w:w="45" w:type="dxa"/>
            </w:tcMar>
            <w:vAlign w:val="bottom"/>
            <w:hideMark/>
          </w:tcPr>
          <w:p w14:paraId="6912F69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80" w:type="dxa"/>
            <w:shd w:val="clear" w:color="auto" w:fill="FFFFFF" w:themeFill="background1"/>
            <w:tcMar>
              <w:top w:w="0" w:type="dxa"/>
              <w:left w:w="45" w:type="dxa"/>
              <w:bottom w:w="0" w:type="dxa"/>
              <w:right w:w="45" w:type="dxa"/>
            </w:tcMar>
            <w:vAlign w:val="bottom"/>
            <w:hideMark/>
          </w:tcPr>
          <w:p w14:paraId="178AB90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40" w:type="dxa"/>
            <w:shd w:val="clear" w:color="auto" w:fill="FFFFFF" w:themeFill="background1"/>
            <w:tcMar>
              <w:top w:w="0" w:type="dxa"/>
              <w:left w:w="45" w:type="dxa"/>
              <w:bottom w:w="0" w:type="dxa"/>
              <w:right w:w="45" w:type="dxa"/>
            </w:tcMar>
            <w:vAlign w:val="bottom"/>
            <w:hideMark/>
          </w:tcPr>
          <w:p w14:paraId="3FE80D0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444922E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44CC014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615AF8E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7A0CBC5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55A3504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754C27A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059B47A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3117CA6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78BD706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168DA06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524F041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3C5D493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61CF834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70ECE827"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697ABF5C"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63C40B7C"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LEVIND</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72F97F0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709" w:type="dxa"/>
            <w:shd w:val="clear" w:color="auto" w:fill="FFFFFF" w:themeFill="background1"/>
            <w:tcMar>
              <w:top w:w="0" w:type="dxa"/>
              <w:left w:w="45" w:type="dxa"/>
              <w:bottom w:w="0" w:type="dxa"/>
              <w:right w:w="45" w:type="dxa"/>
            </w:tcMar>
            <w:vAlign w:val="bottom"/>
            <w:hideMark/>
          </w:tcPr>
          <w:p w14:paraId="688BB185"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-0.02</w:t>
            </w:r>
          </w:p>
        </w:tc>
        <w:tc>
          <w:tcPr>
            <w:tcW w:w="708" w:type="dxa"/>
            <w:shd w:val="clear" w:color="auto" w:fill="FFFFFF" w:themeFill="background1"/>
            <w:tcMar>
              <w:top w:w="0" w:type="dxa"/>
              <w:left w:w="45" w:type="dxa"/>
              <w:bottom w:w="0" w:type="dxa"/>
              <w:right w:w="45" w:type="dxa"/>
            </w:tcMar>
            <w:vAlign w:val="bottom"/>
            <w:hideMark/>
          </w:tcPr>
          <w:p w14:paraId="5226242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30" w:type="dxa"/>
            <w:shd w:val="clear" w:color="auto" w:fill="FFFFFF" w:themeFill="background1"/>
            <w:tcMar>
              <w:top w:w="0" w:type="dxa"/>
              <w:left w:w="45" w:type="dxa"/>
              <w:bottom w:w="0" w:type="dxa"/>
              <w:right w:w="45" w:type="dxa"/>
            </w:tcMar>
            <w:vAlign w:val="bottom"/>
            <w:hideMark/>
          </w:tcPr>
          <w:p w14:paraId="1C455757"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871" w:type="dxa"/>
            <w:shd w:val="clear" w:color="auto" w:fill="FFFFFF" w:themeFill="background1"/>
            <w:tcMar>
              <w:top w:w="0" w:type="dxa"/>
              <w:left w:w="45" w:type="dxa"/>
              <w:bottom w:w="0" w:type="dxa"/>
              <w:right w:w="45" w:type="dxa"/>
            </w:tcMar>
            <w:vAlign w:val="bottom"/>
            <w:hideMark/>
          </w:tcPr>
          <w:p w14:paraId="2B346B6A"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821" w:type="dxa"/>
            <w:shd w:val="clear" w:color="auto" w:fill="FFFFFF" w:themeFill="background1"/>
            <w:tcMar>
              <w:top w:w="0" w:type="dxa"/>
              <w:left w:w="45" w:type="dxa"/>
              <w:bottom w:w="0" w:type="dxa"/>
              <w:right w:w="45" w:type="dxa"/>
            </w:tcMar>
            <w:vAlign w:val="bottom"/>
            <w:hideMark/>
          </w:tcPr>
          <w:p w14:paraId="15098DF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80" w:type="dxa"/>
            <w:shd w:val="clear" w:color="auto" w:fill="FFFFFF" w:themeFill="background1"/>
            <w:tcMar>
              <w:top w:w="0" w:type="dxa"/>
              <w:left w:w="45" w:type="dxa"/>
              <w:bottom w:w="0" w:type="dxa"/>
              <w:right w:w="45" w:type="dxa"/>
            </w:tcMar>
            <w:vAlign w:val="bottom"/>
            <w:hideMark/>
          </w:tcPr>
          <w:p w14:paraId="2A96EE2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40" w:type="dxa"/>
            <w:shd w:val="clear" w:color="auto" w:fill="FFFFFF" w:themeFill="background1"/>
            <w:tcMar>
              <w:top w:w="0" w:type="dxa"/>
              <w:left w:w="45" w:type="dxa"/>
              <w:bottom w:w="0" w:type="dxa"/>
              <w:right w:w="45" w:type="dxa"/>
            </w:tcMar>
            <w:vAlign w:val="bottom"/>
            <w:hideMark/>
          </w:tcPr>
          <w:p w14:paraId="7B3B305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28B9B80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77D65A6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75563A0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07FC922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7F80C9B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0AC898D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4C9BBAF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0D61115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5FE30E7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24AFFA7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0E27DF3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2AAB788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0F3CBA2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27BF1AFA"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5426D2FB"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250C24C2"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XSCASH</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5DEAF560"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709" w:type="dxa"/>
            <w:shd w:val="clear" w:color="auto" w:fill="FFFFFF" w:themeFill="background1"/>
            <w:tcMar>
              <w:top w:w="0" w:type="dxa"/>
              <w:left w:w="45" w:type="dxa"/>
              <w:bottom w:w="0" w:type="dxa"/>
              <w:right w:w="45" w:type="dxa"/>
            </w:tcMar>
            <w:vAlign w:val="bottom"/>
            <w:hideMark/>
          </w:tcPr>
          <w:p w14:paraId="19D447F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08" w:type="dxa"/>
            <w:shd w:val="clear" w:color="auto" w:fill="FFFFFF" w:themeFill="background1"/>
            <w:tcMar>
              <w:top w:w="0" w:type="dxa"/>
              <w:left w:w="45" w:type="dxa"/>
              <w:bottom w:w="0" w:type="dxa"/>
              <w:right w:w="45" w:type="dxa"/>
            </w:tcMar>
            <w:vAlign w:val="bottom"/>
            <w:hideMark/>
          </w:tcPr>
          <w:p w14:paraId="7FDA356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30" w:type="dxa"/>
            <w:shd w:val="clear" w:color="auto" w:fill="FFFFFF" w:themeFill="background1"/>
            <w:tcMar>
              <w:top w:w="0" w:type="dxa"/>
              <w:left w:w="45" w:type="dxa"/>
              <w:bottom w:w="0" w:type="dxa"/>
              <w:right w:w="45" w:type="dxa"/>
            </w:tcMar>
            <w:vAlign w:val="bottom"/>
            <w:hideMark/>
          </w:tcPr>
          <w:p w14:paraId="7140C79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71" w:type="dxa"/>
            <w:shd w:val="clear" w:color="auto" w:fill="FFFFFF" w:themeFill="background1"/>
            <w:tcMar>
              <w:top w:w="0" w:type="dxa"/>
              <w:left w:w="45" w:type="dxa"/>
              <w:bottom w:w="0" w:type="dxa"/>
              <w:right w:w="45" w:type="dxa"/>
            </w:tcMar>
            <w:vAlign w:val="bottom"/>
            <w:hideMark/>
          </w:tcPr>
          <w:p w14:paraId="5D35541A"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821" w:type="dxa"/>
            <w:shd w:val="clear" w:color="auto" w:fill="FFFFFF" w:themeFill="background1"/>
            <w:tcMar>
              <w:top w:w="0" w:type="dxa"/>
              <w:left w:w="45" w:type="dxa"/>
              <w:bottom w:w="0" w:type="dxa"/>
              <w:right w:w="45" w:type="dxa"/>
            </w:tcMar>
            <w:vAlign w:val="bottom"/>
            <w:hideMark/>
          </w:tcPr>
          <w:p w14:paraId="61E8537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880" w:type="dxa"/>
            <w:shd w:val="clear" w:color="auto" w:fill="FFFFFF" w:themeFill="background1"/>
            <w:tcMar>
              <w:top w:w="0" w:type="dxa"/>
              <w:left w:w="45" w:type="dxa"/>
              <w:bottom w:w="0" w:type="dxa"/>
              <w:right w:w="45" w:type="dxa"/>
            </w:tcMar>
            <w:vAlign w:val="bottom"/>
            <w:hideMark/>
          </w:tcPr>
          <w:p w14:paraId="28D6FD4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40" w:type="dxa"/>
            <w:shd w:val="clear" w:color="auto" w:fill="FFFFFF" w:themeFill="background1"/>
            <w:tcMar>
              <w:top w:w="0" w:type="dxa"/>
              <w:left w:w="45" w:type="dxa"/>
              <w:bottom w:w="0" w:type="dxa"/>
              <w:right w:w="45" w:type="dxa"/>
            </w:tcMar>
            <w:vAlign w:val="bottom"/>
            <w:hideMark/>
          </w:tcPr>
          <w:p w14:paraId="5ABE9E9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5DD63FD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7F5B53F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6DB24F6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6C9C0BE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3980E09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2035456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36B3F82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3144B0F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3344B1D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6D66757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0EB54E9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5C93DFB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2FFAAE4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3EFB9242"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74763AF2"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7078BB53"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CFO/TA</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62B75EA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0.19</w:t>
            </w:r>
          </w:p>
        </w:tc>
        <w:tc>
          <w:tcPr>
            <w:tcW w:w="709" w:type="dxa"/>
            <w:shd w:val="clear" w:color="auto" w:fill="FFFFFF" w:themeFill="background1"/>
            <w:tcMar>
              <w:top w:w="0" w:type="dxa"/>
              <w:left w:w="45" w:type="dxa"/>
              <w:bottom w:w="0" w:type="dxa"/>
              <w:right w:w="45" w:type="dxa"/>
            </w:tcMar>
            <w:vAlign w:val="bottom"/>
            <w:hideMark/>
          </w:tcPr>
          <w:p w14:paraId="2FB8190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08" w:type="dxa"/>
            <w:shd w:val="clear" w:color="auto" w:fill="FFFFFF" w:themeFill="background1"/>
            <w:tcMar>
              <w:top w:w="0" w:type="dxa"/>
              <w:left w:w="45" w:type="dxa"/>
              <w:bottom w:w="0" w:type="dxa"/>
              <w:right w:w="45" w:type="dxa"/>
            </w:tcMar>
            <w:vAlign w:val="bottom"/>
            <w:hideMark/>
          </w:tcPr>
          <w:p w14:paraId="44A5A10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0.09</w:t>
            </w:r>
          </w:p>
        </w:tc>
        <w:tc>
          <w:tcPr>
            <w:tcW w:w="830" w:type="dxa"/>
            <w:shd w:val="clear" w:color="auto" w:fill="FFFFFF" w:themeFill="background1"/>
            <w:tcMar>
              <w:top w:w="0" w:type="dxa"/>
              <w:left w:w="45" w:type="dxa"/>
              <w:bottom w:w="0" w:type="dxa"/>
              <w:right w:w="45" w:type="dxa"/>
            </w:tcMar>
            <w:vAlign w:val="bottom"/>
            <w:hideMark/>
          </w:tcPr>
          <w:p w14:paraId="2120325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6B37D31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0.10</w:t>
            </w:r>
          </w:p>
        </w:tc>
        <w:tc>
          <w:tcPr>
            <w:tcW w:w="821" w:type="dxa"/>
            <w:shd w:val="clear" w:color="auto" w:fill="FFFFFF" w:themeFill="background1"/>
            <w:tcMar>
              <w:top w:w="0" w:type="dxa"/>
              <w:left w:w="45" w:type="dxa"/>
              <w:bottom w:w="0" w:type="dxa"/>
              <w:right w:w="45" w:type="dxa"/>
            </w:tcMar>
            <w:vAlign w:val="bottom"/>
            <w:hideMark/>
          </w:tcPr>
          <w:p w14:paraId="57A964D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880" w:type="dxa"/>
            <w:shd w:val="clear" w:color="auto" w:fill="FFFFFF" w:themeFill="background1"/>
            <w:tcMar>
              <w:top w:w="0" w:type="dxa"/>
              <w:left w:w="45" w:type="dxa"/>
              <w:bottom w:w="0" w:type="dxa"/>
              <w:right w:w="45" w:type="dxa"/>
            </w:tcMar>
            <w:vAlign w:val="bottom"/>
            <w:hideMark/>
          </w:tcPr>
          <w:p w14:paraId="188E0CA2"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740" w:type="dxa"/>
            <w:shd w:val="clear" w:color="auto" w:fill="FFFFFF" w:themeFill="background1"/>
            <w:tcMar>
              <w:top w:w="0" w:type="dxa"/>
              <w:left w:w="45" w:type="dxa"/>
              <w:bottom w:w="0" w:type="dxa"/>
              <w:right w:w="45" w:type="dxa"/>
            </w:tcMar>
            <w:vAlign w:val="bottom"/>
            <w:hideMark/>
          </w:tcPr>
          <w:p w14:paraId="1C8760B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1097343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13BAD7A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01EF176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4C62859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7AAAE4C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091722E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57A38AF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3817917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7B33F9E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140759A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7906443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0074AE5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1750A22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0B69C9FA"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76ACDDED"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76C0442B"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MTBIND</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49041D95"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709" w:type="dxa"/>
            <w:shd w:val="clear" w:color="auto" w:fill="FFFFFF" w:themeFill="background1"/>
            <w:tcMar>
              <w:top w:w="0" w:type="dxa"/>
              <w:left w:w="45" w:type="dxa"/>
              <w:bottom w:w="0" w:type="dxa"/>
              <w:right w:w="45" w:type="dxa"/>
            </w:tcMar>
            <w:vAlign w:val="bottom"/>
            <w:hideMark/>
          </w:tcPr>
          <w:p w14:paraId="3DEFAFA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0.13</w:t>
            </w:r>
          </w:p>
        </w:tc>
        <w:tc>
          <w:tcPr>
            <w:tcW w:w="708" w:type="dxa"/>
            <w:shd w:val="clear" w:color="auto" w:fill="FFFFFF" w:themeFill="background1"/>
            <w:tcMar>
              <w:top w:w="0" w:type="dxa"/>
              <w:left w:w="45" w:type="dxa"/>
              <w:bottom w:w="0" w:type="dxa"/>
              <w:right w:w="45" w:type="dxa"/>
            </w:tcMar>
            <w:vAlign w:val="bottom"/>
            <w:hideMark/>
          </w:tcPr>
          <w:p w14:paraId="2F31667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30" w:type="dxa"/>
            <w:shd w:val="clear" w:color="auto" w:fill="FFFFFF" w:themeFill="background1"/>
            <w:tcMar>
              <w:top w:w="0" w:type="dxa"/>
              <w:left w:w="45" w:type="dxa"/>
              <w:bottom w:w="0" w:type="dxa"/>
              <w:right w:w="45" w:type="dxa"/>
            </w:tcMar>
            <w:vAlign w:val="bottom"/>
            <w:hideMark/>
          </w:tcPr>
          <w:p w14:paraId="1533C44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71" w:type="dxa"/>
            <w:shd w:val="clear" w:color="auto" w:fill="FFFFFF" w:themeFill="background1"/>
            <w:tcMar>
              <w:top w:w="0" w:type="dxa"/>
              <w:left w:w="45" w:type="dxa"/>
              <w:bottom w:w="0" w:type="dxa"/>
              <w:right w:w="45" w:type="dxa"/>
            </w:tcMar>
            <w:vAlign w:val="bottom"/>
            <w:hideMark/>
          </w:tcPr>
          <w:p w14:paraId="7DFEDA9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0.15</w:t>
            </w:r>
          </w:p>
        </w:tc>
        <w:tc>
          <w:tcPr>
            <w:tcW w:w="821" w:type="dxa"/>
            <w:shd w:val="clear" w:color="auto" w:fill="FFFFFF" w:themeFill="background1"/>
            <w:tcMar>
              <w:top w:w="0" w:type="dxa"/>
              <w:left w:w="45" w:type="dxa"/>
              <w:bottom w:w="0" w:type="dxa"/>
              <w:right w:w="45" w:type="dxa"/>
            </w:tcMar>
            <w:vAlign w:val="bottom"/>
            <w:hideMark/>
          </w:tcPr>
          <w:p w14:paraId="3514050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0.19</w:t>
            </w:r>
          </w:p>
        </w:tc>
        <w:tc>
          <w:tcPr>
            <w:tcW w:w="880" w:type="dxa"/>
            <w:shd w:val="clear" w:color="auto" w:fill="FFFFFF" w:themeFill="background1"/>
            <w:tcMar>
              <w:top w:w="0" w:type="dxa"/>
              <w:left w:w="45" w:type="dxa"/>
              <w:bottom w:w="0" w:type="dxa"/>
              <w:right w:w="45" w:type="dxa"/>
            </w:tcMar>
            <w:vAlign w:val="bottom"/>
            <w:hideMark/>
          </w:tcPr>
          <w:p w14:paraId="5C10DBD7"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740" w:type="dxa"/>
            <w:shd w:val="clear" w:color="auto" w:fill="FFFFFF" w:themeFill="background1"/>
            <w:tcMar>
              <w:top w:w="0" w:type="dxa"/>
              <w:left w:w="45" w:type="dxa"/>
              <w:bottom w:w="0" w:type="dxa"/>
              <w:right w:w="45" w:type="dxa"/>
            </w:tcMar>
            <w:vAlign w:val="bottom"/>
            <w:hideMark/>
          </w:tcPr>
          <w:p w14:paraId="0DCEB73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670" w:type="dxa"/>
            <w:shd w:val="clear" w:color="auto" w:fill="FFFFFF" w:themeFill="background1"/>
            <w:tcMar>
              <w:top w:w="0" w:type="dxa"/>
              <w:left w:w="45" w:type="dxa"/>
              <w:bottom w:w="0" w:type="dxa"/>
              <w:right w:w="45" w:type="dxa"/>
            </w:tcMar>
            <w:vAlign w:val="bottom"/>
            <w:hideMark/>
          </w:tcPr>
          <w:p w14:paraId="4E56EF2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78226E6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5BF27C8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00A0EEF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38FB2C2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16D8B7A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130A091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030B6A2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67F4603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251BF61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3CBCFEF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398D1F9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7600EA7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1C2FF3E8"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40B00A3A"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60CAB459"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ABRET</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5B759FD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709" w:type="dxa"/>
            <w:shd w:val="clear" w:color="auto" w:fill="FFFFFF" w:themeFill="background1"/>
            <w:tcMar>
              <w:top w:w="0" w:type="dxa"/>
              <w:left w:w="45" w:type="dxa"/>
              <w:bottom w:w="0" w:type="dxa"/>
              <w:right w:w="45" w:type="dxa"/>
            </w:tcMar>
            <w:vAlign w:val="bottom"/>
            <w:hideMark/>
          </w:tcPr>
          <w:p w14:paraId="4A82997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0.10</w:t>
            </w:r>
          </w:p>
        </w:tc>
        <w:tc>
          <w:tcPr>
            <w:tcW w:w="708" w:type="dxa"/>
            <w:shd w:val="clear" w:color="auto" w:fill="FFFFFF" w:themeFill="background1"/>
            <w:tcMar>
              <w:top w:w="0" w:type="dxa"/>
              <w:left w:w="45" w:type="dxa"/>
              <w:bottom w:w="0" w:type="dxa"/>
              <w:right w:w="45" w:type="dxa"/>
            </w:tcMar>
            <w:vAlign w:val="bottom"/>
            <w:hideMark/>
          </w:tcPr>
          <w:p w14:paraId="0F46E65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30" w:type="dxa"/>
            <w:shd w:val="clear" w:color="auto" w:fill="FFFFFF" w:themeFill="background1"/>
            <w:tcMar>
              <w:top w:w="0" w:type="dxa"/>
              <w:left w:w="45" w:type="dxa"/>
              <w:bottom w:w="0" w:type="dxa"/>
              <w:right w:w="45" w:type="dxa"/>
            </w:tcMar>
            <w:vAlign w:val="bottom"/>
            <w:hideMark/>
          </w:tcPr>
          <w:p w14:paraId="2E00601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5F73382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0.09</w:t>
            </w:r>
          </w:p>
        </w:tc>
        <w:tc>
          <w:tcPr>
            <w:tcW w:w="821" w:type="dxa"/>
            <w:shd w:val="clear" w:color="auto" w:fill="FFFFFF" w:themeFill="background1"/>
            <w:tcMar>
              <w:top w:w="0" w:type="dxa"/>
              <w:left w:w="45" w:type="dxa"/>
              <w:bottom w:w="0" w:type="dxa"/>
              <w:right w:w="45" w:type="dxa"/>
            </w:tcMar>
            <w:vAlign w:val="bottom"/>
            <w:hideMark/>
          </w:tcPr>
          <w:p w14:paraId="623F372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0.11</w:t>
            </w:r>
          </w:p>
        </w:tc>
        <w:tc>
          <w:tcPr>
            <w:tcW w:w="880" w:type="dxa"/>
            <w:shd w:val="clear" w:color="auto" w:fill="FFFFFF" w:themeFill="background1"/>
            <w:tcMar>
              <w:top w:w="0" w:type="dxa"/>
              <w:left w:w="45" w:type="dxa"/>
              <w:bottom w:w="0" w:type="dxa"/>
              <w:right w:w="45" w:type="dxa"/>
            </w:tcMar>
            <w:vAlign w:val="bottom"/>
            <w:hideMark/>
          </w:tcPr>
          <w:p w14:paraId="2E3358A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0.18</w:t>
            </w:r>
          </w:p>
        </w:tc>
        <w:tc>
          <w:tcPr>
            <w:tcW w:w="740" w:type="dxa"/>
            <w:shd w:val="clear" w:color="auto" w:fill="FFFFFF" w:themeFill="background1"/>
            <w:tcMar>
              <w:top w:w="0" w:type="dxa"/>
              <w:left w:w="45" w:type="dxa"/>
              <w:bottom w:w="0" w:type="dxa"/>
              <w:right w:w="45" w:type="dxa"/>
            </w:tcMar>
            <w:vAlign w:val="bottom"/>
            <w:hideMark/>
          </w:tcPr>
          <w:p w14:paraId="02DC490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670" w:type="dxa"/>
            <w:shd w:val="clear" w:color="auto" w:fill="FFFFFF" w:themeFill="background1"/>
            <w:tcMar>
              <w:top w:w="0" w:type="dxa"/>
              <w:left w:w="45" w:type="dxa"/>
              <w:bottom w:w="0" w:type="dxa"/>
              <w:right w:w="45" w:type="dxa"/>
            </w:tcMar>
            <w:vAlign w:val="bottom"/>
            <w:hideMark/>
          </w:tcPr>
          <w:p w14:paraId="57EA1C8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490" w:type="dxa"/>
            <w:shd w:val="clear" w:color="auto" w:fill="FFFFFF" w:themeFill="background1"/>
            <w:tcMar>
              <w:top w:w="0" w:type="dxa"/>
              <w:left w:w="45" w:type="dxa"/>
              <w:bottom w:w="0" w:type="dxa"/>
              <w:right w:w="45" w:type="dxa"/>
            </w:tcMar>
            <w:vAlign w:val="bottom"/>
            <w:hideMark/>
          </w:tcPr>
          <w:p w14:paraId="4B56685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4CED28D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4144C78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06A65BF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3722936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447DC89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2885DB9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3247192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6C9D0EC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604D2D8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0BD78AB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66F0D0E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3F8A88D4"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44D4527D"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3C852B69"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DIV/</w:t>
            </w:r>
            <w:proofErr w:type="spellStart"/>
            <w:r w:rsidRPr="005C4178">
              <w:rPr>
                <w:rFonts w:ascii="Times New Roman" w:eastAsia="Times New Roman" w:hAnsi="Times New Roman" w:cs="Times New Roman"/>
                <w:i/>
                <w:iCs/>
                <w:color w:val="000000" w:themeColor="text1"/>
                <w:sz w:val="16"/>
                <w:szCs w:val="16"/>
              </w:rPr>
              <w:t>NI</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9" w:type="dxa"/>
            <w:shd w:val="clear" w:color="auto" w:fill="FFFFFF" w:themeFill="background1"/>
            <w:tcMar>
              <w:top w:w="0" w:type="dxa"/>
              <w:left w:w="45" w:type="dxa"/>
              <w:bottom w:w="0" w:type="dxa"/>
              <w:right w:w="45" w:type="dxa"/>
            </w:tcMar>
            <w:vAlign w:val="bottom"/>
            <w:hideMark/>
          </w:tcPr>
          <w:p w14:paraId="5BDF3AE7"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709" w:type="dxa"/>
            <w:shd w:val="clear" w:color="auto" w:fill="FFFFFF" w:themeFill="background1"/>
            <w:tcMar>
              <w:top w:w="0" w:type="dxa"/>
              <w:left w:w="45" w:type="dxa"/>
              <w:bottom w:w="0" w:type="dxa"/>
              <w:right w:w="45" w:type="dxa"/>
            </w:tcMar>
            <w:vAlign w:val="bottom"/>
            <w:hideMark/>
          </w:tcPr>
          <w:p w14:paraId="1DE38F0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708" w:type="dxa"/>
            <w:shd w:val="clear" w:color="auto" w:fill="FFFFFF" w:themeFill="background1"/>
            <w:tcMar>
              <w:top w:w="0" w:type="dxa"/>
              <w:left w:w="45" w:type="dxa"/>
              <w:bottom w:w="0" w:type="dxa"/>
              <w:right w:w="45" w:type="dxa"/>
            </w:tcMar>
            <w:vAlign w:val="bottom"/>
            <w:hideMark/>
          </w:tcPr>
          <w:p w14:paraId="3DF1E01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0.18</w:t>
            </w:r>
          </w:p>
        </w:tc>
        <w:tc>
          <w:tcPr>
            <w:tcW w:w="830" w:type="dxa"/>
            <w:shd w:val="clear" w:color="auto" w:fill="FFFFFF" w:themeFill="background1"/>
            <w:tcMar>
              <w:top w:w="0" w:type="dxa"/>
              <w:left w:w="45" w:type="dxa"/>
              <w:bottom w:w="0" w:type="dxa"/>
              <w:right w:w="45" w:type="dxa"/>
            </w:tcMar>
            <w:vAlign w:val="bottom"/>
            <w:hideMark/>
          </w:tcPr>
          <w:p w14:paraId="032EE48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871" w:type="dxa"/>
            <w:shd w:val="clear" w:color="auto" w:fill="FFFFFF" w:themeFill="background1"/>
            <w:tcMar>
              <w:top w:w="0" w:type="dxa"/>
              <w:left w:w="45" w:type="dxa"/>
              <w:bottom w:w="0" w:type="dxa"/>
              <w:right w:w="45" w:type="dxa"/>
            </w:tcMar>
            <w:vAlign w:val="bottom"/>
            <w:hideMark/>
          </w:tcPr>
          <w:p w14:paraId="39026A9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21" w:type="dxa"/>
            <w:shd w:val="clear" w:color="auto" w:fill="FFFFFF" w:themeFill="background1"/>
            <w:tcMar>
              <w:top w:w="0" w:type="dxa"/>
              <w:left w:w="45" w:type="dxa"/>
              <w:bottom w:w="0" w:type="dxa"/>
              <w:right w:w="45" w:type="dxa"/>
            </w:tcMar>
            <w:vAlign w:val="bottom"/>
            <w:hideMark/>
          </w:tcPr>
          <w:p w14:paraId="2CBFB7E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0.06</w:t>
            </w:r>
          </w:p>
        </w:tc>
        <w:tc>
          <w:tcPr>
            <w:tcW w:w="880" w:type="dxa"/>
            <w:shd w:val="clear" w:color="auto" w:fill="FFFFFF" w:themeFill="background1"/>
            <w:tcMar>
              <w:top w:w="0" w:type="dxa"/>
              <w:left w:w="45" w:type="dxa"/>
              <w:bottom w:w="0" w:type="dxa"/>
              <w:right w:w="45" w:type="dxa"/>
            </w:tcMar>
            <w:vAlign w:val="bottom"/>
            <w:hideMark/>
          </w:tcPr>
          <w:p w14:paraId="51FF580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740" w:type="dxa"/>
            <w:shd w:val="clear" w:color="auto" w:fill="FFFFFF" w:themeFill="background1"/>
            <w:tcMar>
              <w:top w:w="0" w:type="dxa"/>
              <w:left w:w="45" w:type="dxa"/>
              <w:bottom w:w="0" w:type="dxa"/>
              <w:right w:w="45" w:type="dxa"/>
            </w:tcMar>
            <w:vAlign w:val="bottom"/>
            <w:hideMark/>
          </w:tcPr>
          <w:p w14:paraId="4BE21F4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670" w:type="dxa"/>
            <w:shd w:val="clear" w:color="auto" w:fill="FFFFFF" w:themeFill="background1"/>
            <w:tcMar>
              <w:top w:w="0" w:type="dxa"/>
              <w:left w:w="45" w:type="dxa"/>
              <w:bottom w:w="0" w:type="dxa"/>
              <w:right w:w="45" w:type="dxa"/>
            </w:tcMar>
            <w:vAlign w:val="bottom"/>
            <w:hideMark/>
          </w:tcPr>
          <w:p w14:paraId="3CD79D5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490" w:type="dxa"/>
            <w:shd w:val="clear" w:color="auto" w:fill="FFFFFF" w:themeFill="background1"/>
            <w:tcMar>
              <w:top w:w="0" w:type="dxa"/>
              <w:left w:w="45" w:type="dxa"/>
              <w:bottom w:w="0" w:type="dxa"/>
              <w:right w:w="45" w:type="dxa"/>
            </w:tcMar>
            <w:vAlign w:val="bottom"/>
            <w:hideMark/>
          </w:tcPr>
          <w:p w14:paraId="36BD1B8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810" w:type="dxa"/>
            <w:shd w:val="clear" w:color="auto" w:fill="FFFFFF" w:themeFill="background1"/>
            <w:tcMar>
              <w:top w:w="0" w:type="dxa"/>
              <w:left w:w="45" w:type="dxa"/>
              <w:bottom w:w="0" w:type="dxa"/>
              <w:right w:w="45" w:type="dxa"/>
            </w:tcMar>
            <w:vAlign w:val="bottom"/>
            <w:hideMark/>
          </w:tcPr>
          <w:p w14:paraId="0FD5F7F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1E96841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0F572E0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1E8D355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2A44BF1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2A63F02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570112B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5F37A45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74A8575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792CD96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489E765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022E49DD"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5273DDE8"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206D6FE3"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proofErr w:type="spellStart"/>
            <w:r w:rsidRPr="005C4178">
              <w:rPr>
                <w:rFonts w:ascii="Times New Roman" w:eastAsia="Times New Roman" w:hAnsi="Times New Roman" w:cs="Times New Roman"/>
                <w:i/>
                <w:iCs/>
                <w:color w:val="000000" w:themeColor="text1"/>
                <w:sz w:val="16"/>
                <w:szCs w:val="16"/>
              </w:rPr>
              <w:t>ROA</w:t>
            </w:r>
            <w:r w:rsidRPr="005C4178">
              <w:rPr>
                <w:rFonts w:ascii="Times New Roman" w:eastAsia="Times New Roman" w:hAnsi="Times New Roman" w:cs="Times New Roman"/>
                <w:i/>
                <w:iCs/>
                <w:color w:val="000000" w:themeColor="text1"/>
                <w:sz w:val="16"/>
                <w:szCs w:val="16"/>
                <w:vertAlign w:val="subscript"/>
              </w:rPr>
              <w:t>t</w:t>
            </w:r>
            <w:proofErr w:type="spellEnd"/>
          </w:p>
        </w:tc>
        <w:tc>
          <w:tcPr>
            <w:tcW w:w="709" w:type="dxa"/>
            <w:shd w:val="clear" w:color="auto" w:fill="FFFFFF" w:themeFill="background1"/>
            <w:tcMar>
              <w:top w:w="0" w:type="dxa"/>
              <w:left w:w="45" w:type="dxa"/>
              <w:bottom w:w="0" w:type="dxa"/>
              <w:right w:w="45" w:type="dxa"/>
            </w:tcMar>
            <w:vAlign w:val="bottom"/>
            <w:hideMark/>
          </w:tcPr>
          <w:p w14:paraId="216A263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0.18</w:t>
            </w:r>
          </w:p>
        </w:tc>
        <w:tc>
          <w:tcPr>
            <w:tcW w:w="709" w:type="dxa"/>
            <w:shd w:val="clear" w:color="auto" w:fill="FFFFFF" w:themeFill="background1"/>
            <w:tcMar>
              <w:top w:w="0" w:type="dxa"/>
              <w:left w:w="45" w:type="dxa"/>
              <w:bottom w:w="0" w:type="dxa"/>
              <w:right w:w="45" w:type="dxa"/>
            </w:tcMar>
            <w:vAlign w:val="bottom"/>
            <w:hideMark/>
          </w:tcPr>
          <w:p w14:paraId="0048E22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0.07</w:t>
            </w:r>
          </w:p>
        </w:tc>
        <w:tc>
          <w:tcPr>
            <w:tcW w:w="708" w:type="dxa"/>
            <w:shd w:val="clear" w:color="auto" w:fill="FFFFFF" w:themeFill="background1"/>
            <w:tcMar>
              <w:top w:w="0" w:type="dxa"/>
              <w:left w:w="45" w:type="dxa"/>
              <w:bottom w:w="0" w:type="dxa"/>
              <w:right w:w="45" w:type="dxa"/>
            </w:tcMar>
            <w:vAlign w:val="bottom"/>
            <w:hideMark/>
          </w:tcPr>
          <w:p w14:paraId="0718A14D"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0.08</w:t>
            </w:r>
          </w:p>
        </w:tc>
        <w:tc>
          <w:tcPr>
            <w:tcW w:w="830" w:type="dxa"/>
            <w:shd w:val="clear" w:color="auto" w:fill="FFFFFF" w:themeFill="background1"/>
            <w:tcMar>
              <w:top w:w="0" w:type="dxa"/>
              <w:left w:w="45" w:type="dxa"/>
              <w:bottom w:w="0" w:type="dxa"/>
              <w:right w:w="45" w:type="dxa"/>
            </w:tcMar>
            <w:vAlign w:val="bottom"/>
            <w:hideMark/>
          </w:tcPr>
          <w:p w14:paraId="56F0C41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71" w:type="dxa"/>
            <w:shd w:val="clear" w:color="auto" w:fill="FFFFFF" w:themeFill="background1"/>
            <w:tcMar>
              <w:top w:w="0" w:type="dxa"/>
              <w:left w:w="45" w:type="dxa"/>
              <w:bottom w:w="0" w:type="dxa"/>
              <w:right w:w="45" w:type="dxa"/>
            </w:tcMar>
            <w:vAlign w:val="bottom"/>
            <w:hideMark/>
          </w:tcPr>
          <w:p w14:paraId="6DA07D2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21" w:type="dxa"/>
            <w:shd w:val="clear" w:color="auto" w:fill="FFFFFF" w:themeFill="background1"/>
            <w:tcMar>
              <w:top w:w="0" w:type="dxa"/>
              <w:left w:w="45" w:type="dxa"/>
              <w:bottom w:w="0" w:type="dxa"/>
              <w:right w:w="45" w:type="dxa"/>
            </w:tcMar>
            <w:vAlign w:val="bottom"/>
            <w:hideMark/>
          </w:tcPr>
          <w:p w14:paraId="40EDBF3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0.48</w:t>
            </w:r>
          </w:p>
        </w:tc>
        <w:tc>
          <w:tcPr>
            <w:tcW w:w="880" w:type="dxa"/>
            <w:shd w:val="clear" w:color="auto" w:fill="FFFFFF" w:themeFill="background1"/>
            <w:tcMar>
              <w:top w:w="0" w:type="dxa"/>
              <w:left w:w="45" w:type="dxa"/>
              <w:bottom w:w="0" w:type="dxa"/>
              <w:right w:w="45" w:type="dxa"/>
            </w:tcMar>
            <w:vAlign w:val="bottom"/>
            <w:hideMark/>
          </w:tcPr>
          <w:p w14:paraId="7BCDABF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0.14</w:t>
            </w:r>
          </w:p>
        </w:tc>
        <w:tc>
          <w:tcPr>
            <w:tcW w:w="740" w:type="dxa"/>
            <w:shd w:val="clear" w:color="auto" w:fill="FFFFFF" w:themeFill="background1"/>
            <w:tcMar>
              <w:top w:w="0" w:type="dxa"/>
              <w:left w:w="45" w:type="dxa"/>
              <w:bottom w:w="0" w:type="dxa"/>
              <w:right w:w="45" w:type="dxa"/>
            </w:tcMar>
            <w:vAlign w:val="bottom"/>
            <w:hideMark/>
          </w:tcPr>
          <w:p w14:paraId="1C4B472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0.19</w:t>
            </w:r>
          </w:p>
        </w:tc>
        <w:tc>
          <w:tcPr>
            <w:tcW w:w="670" w:type="dxa"/>
            <w:shd w:val="clear" w:color="auto" w:fill="FFFFFF" w:themeFill="background1"/>
            <w:tcMar>
              <w:top w:w="0" w:type="dxa"/>
              <w:left w:w="45" w:type="dxa"/>
              <w:bottom w:w="0" w:type="dxa"/>
              <w:right w:w="45" w:type="dxa"/>
            </w:tcMar>
            <w:vAlign w:val="bottom"/>
            <w:hideMark/>
          </w:tcPr>
          <w:p w14:paraId="0EF45E2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490" w:type="dxa"/>
            <w:shd w:val="clear" w:color="auto" w:fill="FFFFFF" w:themeFill="background1"/>
            <w:tcMar>
              <w:top w:w="0" w:type="dxa"/>
              <w:left w:w="45" w:type="dxa"/>
              <w:bottom w:w="0" w:type="dxa"/>
              <w:right w:w="45" w:type="dxa"/>
            </w:tcMar>
            <w:vAlign w:val="bottom"/>
            <w:hideMark/>
          </w:tcPr>
          <w:p w14:paraId="4FCDF67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810" w:type="dxa"/>
            <w:shd w:val="clear" w:color="auto" w:fill="FFFFFF" w:themeFill="background1"/>
            <w:tcMar>
              <w:top w:w="0" w:type="dxa"/>
              <w:left w:w="45" w:type="dxa"/>
              <w:bottom w:w="0" w:type="dxa"/>
              <w:right w:w="45" w:type="dxa"/>
            </w:tcMar>
            <w:vAlign w:val="bottom"/>
            <w:hideMark/>
          </w:tcPr>
          <w:p w14:paraId="2B74C7F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850" w:type="dxa"/>
            <w:shd w:val="clear" w:color="auto" w:fill="FFFFFF" w:themeFill="background1"/>
            <w:tcMar>
              <w:top w:w="0" w:type="dxa"/>
              <w:left w:w="45" w:type="dxa"/>
              <w:bottom w:w="0" w:type="dxa"/>
              <w:right w:w="45" w:type="dxa"/>
            </w:tcMar>
            <w:vAlign w:val="bottom"/>
            <w:hideMark/>
          </w:tcPr>
          <w:p w14:paraId="3A28F47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5036BAD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5EA9B20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2F1E8E2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42414EE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5E7DE09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1E1E02C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005D8B2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1FAFF82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3CCF2D8F"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73139CD0"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6F4588B7"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42150158"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SPDUM</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3AE174A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0.57</w:t>
            </w:r>
          </w:p>
        </w:tc>
        <w:tc>
          <w:tcPr>
            <w:tcW w:w="709" w:type="dxa"/>
            <w:shd w:val="clear" w:color="auto" w:fill="FFFFFF" w:themeFill="background1"/>
            <w:tcMar>
              <w:top w:w="0" w:type="dxa"/>
              <w:left w:w="45" w:type="dxa"/>
              <w:bottom w:w="0" w:type="dxa"/>
              <w:right w:w="45" w:type="dxa"/>
            </w:tcMar>
            <w:vAlign w:val="bottom"/>
            <w:hideMark/>
          </w:tcPr>
          <w:p w14:paraId="7645ACF1"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708" w:type="dxa"/>
            <w:shd w:val="clear" w:color="auto" w:fill="FFFFFF" w:themeFill="background1"/>
            <w:tcMar>
              <w:top w:w="0" w:type="dxa"/>
              <w:left w:w="45" w:type="dxa"/>
              <w:bottom w:w="0" w:type="dxa"/>
              <w:right w:w="45" w:type="dxa"/>
            </w:tcMar>
            <w:vAlign w:val="bottom"/>
            <w:hideMark/>
          </w:tcPr>
          <w:p w14:paraId="6A089E2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0.20</w:t>
            </w:r>
          </w:p>
        </w:tc>
        <w:tc>
          <w:tcPr>
            <w:tcW w:w="830" w:type="dxa"/>
            <w:shd w:val="clear" w:color="auto" w:fill="FFFFFF" w:themeFill="background1"/>
            <w:tcMar>
              <w:top w:w="0" w:type="dxa"/>
              <w:left w:w="45" w:type="dxa"/>
              <w:bottom w:w="0" w:type="dxa"/>
              <w:right w:w="45" w:type="dxa"/>
            </w:tcMar>
            <w:vAlign w:val="bottom"/>
            <w:hideMark/>
          </w:tcPr>
          <w:p w14:paraId="67A8EB4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871" w:type="dxa"/>
            <w:shd w:val="clear" w:color="auto" w:fill="FFFFFF" w:themeFill="background1"/>
            <w:tcMar>
              <w:top w:w="0" w:type="dxa"/>
              <w:left w:w="45" w:type="dxa"/>
              <w:bottom w:w="0" w:type="dxa"/>
              <w:right w:w="45" w:type="dxa"/>
            </w:tcMar>
            <w:vAlign w:val="bottom"/>
            <w:hideMark/>
          </w:tcPr>
          <w:p w14:paraId="5657E9B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21" w:type="dxa"/>
            <w:shd w:val="clear" w:color="auto" w:fill="FFFFFF" w:themeFill="background1"/>
            <w:tcMar>
              <w:top w:w="0" w:type="dxa"/>
              <w:left w:w="45" w:type="dxa"/>
              <w:bottom w:w="0" w:type="dxa"/>
              <w:right w:w="45" w:type="dxa"/>
            </w:tcMar>
            <w:vAlign w:val="bottom"/>
            <w:hideMark/>
          </w:tcPr>
          <w:p w14:paraId="05AD541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0.16</w:t>
            </w:r>
          </w:p>
        </w:tc>
        <w:tc>
          <w:tcPr>
            <w:tcW w:w="880" w:type="dxa"/>
            <w:shd w:val="clear" w:color="auto" w:fill="FFFFFF" w:themeFill="background1"/>
            <w:tcMar>
              <w:top w:w="0" w:type="dxa"/>
              <w:left w:w="45" w:type="dxa"/>
              <w:bottom w:w="0" w:type="dxa"/>
              <w:right w:w="45" w:type="dxa"/>
            </w:tcMar>
            <w:vAlign w:val="bottom"/>
            <w:hideMark/>
          </w:tcPr>
          <w:p w14:paraId="6580BF70"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40" w:type="dxa"/>
            <w:shd w:val="clear" w:color="auto" w:fill="FFFFFF" w:themeFill="background1"/>
            <w:tcMar>
              <w:top w:w="0" w:type="dxa"/>
              <w:left w:w="45" w:type="dxa"/>
              <w:bottom w:w="0" w:type="dxa"/>
              <w:right w:w="45" w:type="dxa"/>
            </w:tcMar>
            <w:vAlign w:val="bottom"/>
            <w:hideMark/>
          </w:tcPr>
          <w:p w14:paraId="173D22E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-0.05</w:t>
            </w:r>
          </w:p>
        </w:tc>
        <w:tc>
          <w:tcPr>
            <w:tcW w:w="670" w:type="dxa"/>
            <w:shd w:val="clear" w:color="auto" w:fill="FFFFFF" w:themeFill="background1"/>
            <w:tcMar>
              <w:top w:w="0" w:type="dxa"/>
              <w:left w:w="45" w:type="dxa"/>
              <w:bottom w:w="0" w:type="dxa"/>
              <w:right w:w="45" w:type="dxa"/>
            </w:tcMar>
            <w:vAlign w:val="bottom"/>
            <w:hideMark/>
          </w:tcPr>
          <w:p w14:paraId="1F70AB0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490" w:type="dxa"/>
            <w:shd w:val="clear" w:color="auto" w:fill="FFFFFF" w:themeFill="background1"/>
            <w:tcMar>
              <w:top w:w="0" w:type="dxa"/>
              <w:left w:w="45" w:type="dxa"/>
              <w:bottom w:w="0" w:type="dxa"/>
              <w:right w:w="45" w:type="dxa"/>
            </w:tcMar>
            <w:vAlign w:val="bottom"/>
            <w:hideMark/>
          </w:tcPr>
          <w:p w14:paraId="405DB40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0.13</w:t>
            </w:r>
          </w:p>
        </w:tc>
        <w:tc>
          <w:tcPr>
            <w:tcW w:w="810" w:type="dxa"/>
            <w:shd w:val="clear" w:color="auto" w:fill="FFFFFF" w:themeFill="background1"/>
            <w:tcMar>
              <w:top w:w="0" w:type="dxa"/>
              <w:left w:w="45" w:type="dxa"/>
              <w:bottom w:w="0" w:type="dxa"/>
              <w:right w:w="45" w:type="dxa"/>
            </w:tcMar>
            <w:vAlign w:val="bottom"/>
            <w:hideMark/>
          </w:tcPr>
          <w:p w14:paraId="65CF9EB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850" w:type="dxa"/>
            <w:shd w:val="clear" w:color="auto" w:fill="FFFFFF" w:themeFill="background1"/>
            <w:tcMar>
              <w:top w:w="0" w:type="dxa"/>
              <w:left w:w="45" w:type="dxa"/>
              <w:bottom w:w="0" w:type="dxa"/>
              <w:right w:w="45" w:type="dxa"/>
            </w:tcMar>
            <w:vAlign w:val="bottom"/>
            <w:hideMark/>
          </w:tcPr>
          <w:p w14:paraId="6908EB8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692" w:type="dxa"/>
            <w:shd w:val="clear" w:color="auto" w:fill="FFFFFF" w:themeFill="background1"/>
            <w:tcMar>
              <w:top w:w="0" w:type="dxa"/>
              <w:left w:w="45" w:type="dxa"/>
              <w:bottom w:w="0" w:type="dxa"/>
              <w:right w:w="45" w:type="dxa"/>
            </w:tcMar>
            <w:vAlign w:val="bottom"/>
            <w:hideMark/>
          </w:tcPr>
          <w:p w14:paraId="1641AA5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702F7EF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6927145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1B44071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1BD049F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20B1FE9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6781B93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76ABF15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3D5749F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58BD3FCD"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7533E41F"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599ACE3D"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CCDUM</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22E6DA72"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0.08</w:t>
            </w:r>
          </w:p>
        </w:tc>
        <w:tc>
          <w:tcPr>
            <w:tcW w:w="709" w:type="dxa"/>
            <w:shd w:val="clear" w:color="auto" w:fill="FFFFFF" w:themeFill="background1"/>
            <w:tcMar>
              <w:top w:w="0" w:type="dxa"/>
              <w:left w:w="45" w:type="dxa"/>
              <w:bottom w:w="0" w:type="dxa"/>
              <w:right w:w="45" w:type="dxa"/>
            </w:tcMar>
            <w:vAlign w:val="bottom"/>
            <w:hideMark/>
          </w:tcPr>
          <w:p w14:paraId="0D570A8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0.57</w:t>
            </w:r>
          </w:p>
        </w:tc>
        <w:tc>
          <w:tcPr>
            <w:tcW w:w="708" w:type="dxa"/>
            <w:shd w:val="clear" w:color="auto" w:fill="FFFFFF" w:themeFill="background1"/>
            <w:tcMar>
              <w:top w:w="0" w:type="dxa"/>
              <w:left w:w="45" w:type="dxa"/>
              <w:bottom w:w="0" w:type="dxa"/>
              <w:right w:w="45" w:type="dxa"/>
            </w:tcMar>
            <w:vAlign w:val="bottom"/>
            <w:hideMark/>
          </w:tcPr>
          <w:p w14:paraId="5F3C937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30" w:type="dxa"/>
            <w:shd w:val="clear" w:color="auto" w:fill="FFFFFF" w:themeFill="background1"/>
            <w:tcMar>
              <w:top w:w="0" w:type="dxa"/>
              <w:left w:w="45" w:type="dxa"/>
              <w:bottom w:w="0" w:type="dxa"/>
              <w:right w:w="45" w:type="dxa"/>
            </w:tcMar>
            <w:vAlign w:val="bottom"/>
            <w:hideMark/>
          </w:tcPr>
          <w:p w14:paraId="31F2510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-0.02</w:t>
            </w:r>
          </w:p>
        </w:tc>
        <w:tc>
          <w:tcPr>
            <w:tcW w:w="871" w:type="dxa"/>
            <w:shd w:val="clear" w:color="auto" w:fill="FFFFFF" w:themeFill="background1"/>
            <w:tcMar>
              <w:top w:w="0" w:type="dxa"/>
              <w:left w:w="45" w:type="dxa"/>
              <w:bottom w:w="0" w:type="dxa"/>
              <w:right w:w="45" w:type="dxa"/>
            </w:tcMar>
            <w:vAlign w:val="bottom"/>
            <w:hideMark/>
          </w:tcPr>
          <w:p w14:paraId="381BBC6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0.07</w:t>
            </w:r>
          </w:p>
        </w:tc>
        <w:tc>
          <w:tcPr>
            <w:tcW w:w="821" w:type="dxa"/>
            <w:shd w:val="clear" w:color="auto" w:fill="FFFFFF" w:themeFill="background1"/>
            <w:tcMar>
              <w:top w:w="0" w:type="dxa"/>
              <w:left w:w="45" w:type="dxa"/>
              <w:bottom w:w="0" w:type="dxa"/>
              <w:right w:w="45" w:type="dxa"/>
            </w:tcMar>
            <w:vAlign w:val="bottom"/>
            <w:hideMark/>
          </w:tcPr>
          <w:p w14:paraId="1B18B2F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80" w:type="dxa"/>
            <w:shd w:val="clear" w:color="auto" w:fill="FFFFFF" w:themeFill="background1"/>
            <w:tcMar>
              <w:top w:w="0" w:type="dxa"/>
              <w:left w:w="45" w:type="dxa"/>
              <w:bottom w:w="0" w:type="dxa"/>
              <w:right w:w="45" w:type="dxa"/>
            </w:tcMar>
            <w:vAlign w:val="bottom"/>
            <w:hideMark/>
          </w:tcPr>
          <w:p w14:paraId="1D96498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0.12</w:t>
            </w:r>
          </w:p>
        </w:tc>
        <w:tc>
          <w:tcPr>
            <w:tcW w:w="740" w:type="dxa"/>
            <w:shd w:val="clear" w:color="auto" w:fill="FFFFFF" w:themeFill="background1"/>
            <w:tcMar>
              <w:top w:w="0" w:type="dxa"/>
              <w:left w:w="45" w:type="dxa"/>
              <w:bottom w:w="0" w:type="dxa"/>
              <w:right w:w="45" w:type="dxa"/>
            </w:tcMar>
            <w:vAlign w:val="bottom"/>
            <w:hideMark/>
          </w:tcPr>
          <w:p w14:paraId="298FA8C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670" w:type="dxa"/>
            <w:shd w:val="clear" w:color="auto" w:fill="FFFFFF" w:themeFill="background1"/>
            <w:tcMar>
              <w:top w:w="0" w:type="dxa"/>
              <w:left w:w="45" w:type="dxa"/>
              <w:bottom w:w="0" w:type="dxa"/>
              <w:right w:w="45" w:type="dxa"/>
            </w:tcMar>
            <w:vAlign w:val="bottom"/>
            <w:hideMark/>
          </w:tcPr>
          <w:p w14:paraId="074B4B0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490" w:type="dxa"/>
            <w:shd w:val="clear" w:color="auto" w:fill="FFFFFF" w:themeFill="background1"/>
            <w:tcMar>
              <w:top w:w="0" w:type="dxa"/>
              <w:left w:w="45" w:type="dxa"/>
              <w:bottom w:w="0" w:type="dxa"/>
              <w:right w:w="45" w:type="dxa"/>
            </w:tcMar>
            <w:vAlign w:val="bottom"/>
            <w:hideMark/>
          </w:tcPr>
          <w:p w14:paraId="6E8A898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810" w:type="dxa"/>
            <w:shd w:val="clear" w:color="auto" w:fill="FFFFFF" w:themeFill="background1"/>
            <w:tcMar>
              <w:top w:w="0" w:type="dxa"/>
              <w:left w:w="45" w:type="dxa"/>
              <w:bottom w:w="0" w:type="dxa"/>
              <w:right w:w="45" w:type="dxa"/>
            </w:tcMar>
            <w:vAlign w:val="bottom"/>
            <w:hideMark/>
          </w:tcPr>
          <w:p w14:paraId="53CC255D"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850" w:type="dxa"/>
            <w:shd w:val="clear" w:color="auto" w:fill="FFFFFF" w:themeFill="background1"/>
            <w:tcMar>
              <w:top w:w="0" w:type="dxa"/>
              <w:left w:w="45" w:type="dxa"/>
              <w:bottom w:w="0" w:type="dxa"/>
              <w:right w:w="45" w:type="dxa"/>
            </w:tcMar>
            <w:vAlign w:val="bottom"/>
            <w:hideMark/>
          </w:tcPr>
          <w:p w14:paraId="59C248B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692" w:type="dxa"/>
            <w:shd w:val="clear" w:color="auto" w:fill="FFFFFF" w:themeFill="background1"/>
            <w:tcMar>
              <w:top w:w="0" w:type="dxa"/>
              <w:left w:w="45" w:type="dxa"/>
              <w:bottom w:w="0" w:type="dxa"/>
              <w:right w:w="45" w:type="dxa"/>
            </w:tcMar>
            <w:vAlign w:val="bottom"/>
            <w:hideMark/>
          </w:tcPr>
          <w:p w14:paraId="0D6C457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0DB277F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12B046D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0F9AB4B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3D12DD8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17C9DEE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36795A1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6881650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470E1E2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03A8939F"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5DB1C665"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62C35D4A"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SP/NI</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7BDECC9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0.21</w:t>
            </w:r>
          </w:p>
        </w:tc>
        <w:tc>
          <w:tcPr>
            <w:tcW w:w="709" w:type="dxa"/>
            <w:shd w:val="clear" w:color="auto" w:fill="FFFFFF" w:themeFill="background1"/>
            <w:tcMar>
              <w:top w:w="0" w:type="dxa"/>
              <w:left w:w="45" w:type="dxa"/>
              <w:bottom w:w="0" w:type="dxa"/>
              <w:right w:w="45" w:type="dxa"/>
            </w:tcMar>
            <w:vAlign w:val="bottom"/>
            <w:hideMark/>
          </w:tcPr>
          <w:p w14:paraId="2D5C1F4A"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708" w:type="dxa"/>
            <w:shd w:val="clear" w:color="auto" w:fill="FFFFFF" w:themeFill="background1"/>
            <w:tcMar>
              <w:top w:w="0" w:type="dxa"/>
              <w:left w:w="45" w:type="dxa"/>
              <w:bottom w:w="0" w:type="dxa"/>
              <w:right w:w="45" w:type="dxa"/>
            </w:tcMar>
            <w:vAlign w:val="bottom"/>
            <w:hideMark/>
          </w:tcPr>
          <w:p w14:paraId="422930B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0.19</w:t>
            </w:r>
          </w:p>
        </w:tc>
        <w:tc>
          <w:tcPr>
            <w:tcW w:w="830" w:type="dxa"/>
            <w:shd w:val="clear" w:color="auto" w:fill="FFFFFF" w:themeFill="background1"/>
            <w:tcMar>
              <w:top w:w="0" w:type="dxa"/>
              <w:left w:w="45" w:type="dxa"/>
              <w:bottom w:w="0" w:type="dxa"/>
              <w:right w:w="45" w:type="dxa"/>
            </w:tcMar>
            <w:vAlign w:val="bottom"/>
            <w:hideMark/>
          </w:tcPr>
          <w:p w14:paraId="413F170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71" w:type="dxa"/>
            <w:shd w:val="clear" w:color="auto" w:fill="FFFFFF" w:themeFill="background1"/>
            <w:tcMar>
              <w:top w:w="0" w:type="dxa"/>
              <w:left w:w="45" w:type="dxa"/>
              <w:bottom w:w="0" w:type="dxa"/>
              <w:right w:w="45" w:type="dxa"/>
            </w:tcMar>
            <w:vAlign w:val="bottom"/>
            <w:hideMark/>
          </w:tcPr>
          <w:p w14:paraId="2C64328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21" w:type="dxa"/>
            <w:shd w:val="clear" w:color="auto" w:fill="FFFFFF" w:themeFill="background1"/>
            <w:tcMar>
              <w:top w:w="0" w:type="dxa"/>
              <w:left w:w="45" w:type="dxa"/>
              <w:bottom w:w="0" w:type="dxa"/>
              <w:right w:w="45" w:type="dxa"/>
            </w:tcMar>
            <w:vAlign w:val="bottom"/>
            <w:hideMark/>
          </w:tcPr>
          <w:p w14:paraId="1AF23E1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0.08</w:t>
            </w:r>
          </w:p>
        </w:tc>
        <w:tc>
          <w:tcPr>
            <w:tcW w:w="880" w:type="dxa"/>
            <w:shd w:val="clear" w:color="auto" w:fill="FFFFFF" w:themeFill="background1"/>
            <w:tcMar>
              <w:top w:w="0" w:type="dxa"/>
              <w:left w:w="45" w:type="dxa"/>
              <w:bottom w:w="0" w:type="dxa"/>
              <w:right w:w="45" w:type="dxa"/>
            </w:tcMar>
            <w:vAlign w:val="bottom"/>
            <w:hideMark/>
          </w:tcPr>
          <w:p w14:paraId="5A4550F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740" w:type="dxa"/>
            <w:shd w:val="clear" w:color="auto" w:fill="FFFFFF" w:themeFill="background1"/>
            <w:tcMar>
              <w:top w:w="0" w:type="dxa"/>
              <w:left w:w="45" w:type="dxa"/>
              <w:bottom w:w="0" w:type="dxa"/>
              <w:right w:w="45" w:type="dxa"/>
            </w:tcMar>
            <w:vAlign w:val="bottom"/>
            <w:hideMark/>
          </w:tcPr>
          <w:p w14:paraId="30403F0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670" w:type="dxa"/>
            <w:shd w:val="clear" w:color="auto" w:fill="FFFFFF" w:themeFill="background1"/>
            <w:tcMar>
              <w:top w:w="0" w:type="dxa"/>
              <w:left w:w="45" w:type="dxa"/>
              <w:bottom w:w="0" w:type="dxa"/>
              <w:right w:w="45" w:type="dxa"/>
            </w:tcMar>
            <w:vAlign w:val="bottom"/>
            <w:hideMark/>
          </w:tcPr>
          <w:p w14:paraId="2BBE5F2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490" w:type="dxa"/>
            <w:shd w:val="clear" w:color="auto" w:fill="FFFFFF" w:themeFill="background1"/>
            <w:tcMar>
              <w:top w:w="0" w:type="dxa"/>
              <w:left w:w="45" w:type="dxa"/>
              <w:bottom w:w="0" w:type="dxa"/>
              <w:right w:w="45" w:type="dxa"/>
            </w:tcMar>
            <w:vAlign w:val="bottom"/>
            <w:hideMark/>
          </w:tcPr>
          <w:p w14:paraId="41547DA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810" w:type="dxa"/>
            <w:shd w:val="clear" w:color="auto" w:fill="FFFFFF" w:themeFill="background1"/>
            <w:tcMar>
              <w:top w:w="0" w:type="dxa"/>
              <w:left w:w="45" w:type="dxa"/>
              <w:bottom w:w="0" w:type="dxa"/>
              <w:right w:w="45" w:type="dxa"/>
            </w:tcMar>
            <w:vAlign w:val="bottom"/>
            <w:hideMark/>
          </w:tcPr>
          <w:p w14:paraId="61657BD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0.39</w:t>
            </w:r>
          </w:p>
        </w:tc>
        <w:tc>
          <w:tcPr>
            <w:tcW w:w="850" w:type="dxa"/>
            <w:shd w:val="clear" w:color="auto" w:fill="FFFFFF" w:themeFill="background1"/>
            <w:tcMar>
              <w:top w:w="0" w:type="dxa"/>
              <w:left w:w="45" w:type="dxa"/>
              <w:bottom w:w="0" w:type="dxa"/>
              <w:right w:w="45" w:type="dxa"/>
            </w:tcMar>
            <w:vAlign w:val="bottom"/>
            <w:hideMark/>
          </w:tcPr>
          <w:p w14:paraId="0D4D7AF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692" w:type="dxa"/>
            <w:shd w:val="clear" w:color="auto" w:fill="FFFFFF" w:themeFill="background1"/>
            <w:tcMar>
              <w:top w:w="0" w:type="dxa"/>
              <w:left w:w="45" w:type="dxa"/>
              <w:bottom w:w="0" w:type="dxa"/>
              <w:right w:w="45" w:type="dxa"/>
            </w:tcMar>
            <w:vAlign w:val="bottom"/>
            <w:hideMark/>
          </w:tcPr>
          <w:p w14:paraId="7074347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709" w:type="dxa"/>
            <w:shd w:val="clear" w:color="auto" w:fill="FFFFFF" w:themeFill="background1"/>
            <w:tcMar>
              <w:top w:w="0" w:type="dxa"/>
              <w:left w:w="45" w:type="dxa"/>
              <w:bottom w:w="0" w:type="dxa"/>
              <w:right w:w="45" w:type="dxa"/>
            </w:tcMar>
            <w:vAlign w:val="bottom"/>
            <w:hideMark/>
          </w:tcPr>
          <w:p w14:paraId="350DC36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6C0DF7C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6EE81B7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59733DE2"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3519FF3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41609AFA"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322632ED"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7E7C7A3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0869CB88"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40AC49C7"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0814EE0E"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CC/NI</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25FD4F00"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709" w:type="dxa"/>
            <w:shd w:val="clear" w:color="auto" w:fill="FFFFFF" w:themeFill="background1"/>
            <w:tcMar>
              <w:top w:w="0" w:type="dxa"/>
              <w:left w:w="45" w:type="dxa"/>
              <w:bottom w:w="0" w:type="dxa"/>
              <w:right w:w="45" w:type="dxa"/>
            </w:tcMar>
            <w:vAlign w:val="bottom"/>
            <w:hideMark/>
          </w:tcPr>
          <w:p w14:paraId="01CC8A85"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0.07</w:t>
            </w:r>
          </w:p>
        </w:tc>
        <w:tc>
          <w:tcPr>
            <w:tcW w:w="708" w:type="dxa"/>
            <w:shd w:val="clear" w:color="auto" w:fill="FFFFFF" w:themeFill="background1"/>
            <w:tcMar>
              <w:top w:w="0" w:type="dxa"/>
              <w:left w:w="45" w:type="dxa"/>
              <w:bottom w:w="0" w:type="dxa"/>
              <w:right w:w="45" w:type="dxa"/>
            </w:tcMar>
            <w:vAlign w:val="bottom"/>
            <w:hideMark/>
          </w:tcPr>
          <w:p w14:paraId="1EEAC9C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0.06</w:t>
            </w:r>
          </w:p>
        </w:tc>
        <w:tc>
          <w:tcPr>
            <w:tcW w:w="830" w:type="dxa"/>
            <w:shd w:val="clear" w:color="auto" w:fill="FFFFFF" w:themeFill="background1"/>
            <w:tcMar>
              <w:top w:w="0" w:type="dxa"/>
              <w:left w:w="45" w:type="dxa"/>
              <w:bottom w:w="0" w:type="dxa"/>
              <w:right w:w="45" w:type="dxa"/>
            </w:tcMar>
            <w:vAlign w:val="bottom"/>
            <w:hideMark/>
          </w:tcPr>
          <w:p w14:paraId="304C0A1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702B548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-0.03</w:t>
            </w:r>
          </w:p>
        </w:tc>
        <w:tc>
          <w:tcPr>
            <w:tcW w:w="821" w:type="dxa"/>
            <w:shd w:val="clear" w:color="auto" w:fill="FFFFFF" w:themeFill="background1"/>
            <w:tcMar>
              <w:top w:w="0" w:type="dxa"/>
              <w:left w:w="45" w:type="dxa"/>
              <w:bottom w:w="0" w:type="dxa"/>
              <w:right w:w="45" w:type="dxa"/>
            </w:tcMar>
            <w:vAlign w:val="bottom"/>
            <w:hideMark/>
          </w:tcPr>
          <w:p w14:paraId="49562F1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80" w:type="dxa"/>
            <w:shd w:val="clear" w:color="auto" w:fill="FFFFFF" w:themeFill="background1"/>
            <w:tcMar>
              <w:top w:w="0" w:type="dxa"/>
              <w:left w:w="45" w:type="dxa"/>
              <w:bottom w:w="0" w:type="dxa"/>
              <w:right w:w="45" w:type="dxa"/>
            </w:tcMar>
            <w:vAlign w:val="bottom"/>
            <w:hideMark/>
          </w:tcPr>
          <w:p w14:paraId="0A591E7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740" w:type="dxa"/>
            <w:shd w:val="clear" w:color="auto" w:fill="FFFFFF" w:themeFill="background1"/>
            <w:tcMar>
              <w:top w:w="0" w:type="dxa"/>
              <w:left w:w="45" w:type="dxa"/>
              <w:bottom w:w="0" w:type="dxa"/>
              <w:right w:w="45" w:type="dxa"/>
            </w:tcMar>
            <w:vAlign w:val="bottom"/>
            <w:hideMark/>
          </w:tcPr>
          <w:p w14:paraId="17F2429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670" w:type="dxa"/>
            <w:shd w:val="clear" w:color="auto" w:fill="FFFFFF" w:themeFill="background1"/>
            <w:tcMar>
              <w:top w:w="0" w:type="dxa"/>
              <w:left w:w="45" w:type="dxa"/>
              <w:bottom w:w="0" w:type="dxa"/>
              <w:right w:w="45" w:type="dxa"/>
            </w:tcMar>
            <w:vAlign w:val="bottom"/>
            <w:hideMark/>
          </w:tcPr>
          <w:p w14:paraId="43F0D39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0.17</w:t>
            </w:r>
          </w:p>
        </w:tc>
        <w:tc>
          <w:tcPr>
            <w:tcW w:w="490" w:type="dxa"/>
            <w:shd w:val="clear" w:color="auto" w:fill="FFFFFF" w:themeFill="background1"/>
            <w:tcMar>
              <w:top w:w="0" w:type="dxa"/>
              <w:left w:w="45" w:type="dxa"/>
              <w:bottom w:w="0" w:type="dxa"/>
              <w:right w:w="45" w:type="dxa"/>
            </w:tcMar>
            <w:vAlign w:val="bottom"/>
            <w:hideMark/>
          </w:tcPr>
          <w:p w14:paraId="08F2786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10" w:type="dxa"/>
            <w:shd w:val="clear" w:color="auto" w:fill="FFFFFF" w:themeFill="background1"/>
            <w:tcMar>
              <w:top w:w="0" w:type="dxa"/>
              <w:left w:w="45" w:type="dxa"/>
              <w:bottom w:w="0" w:type="dxa"/>
              <w:right w:w="45" w:type="dxa"/>
            </w:tcMar>
            <w:vAlign w:val="bottom"/>
            <w:hideMark/>
          </w:tcPr>
          <w:p w14:paraId="590145B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850" w:type="dxa"/>
            <w:shd w:val="clear" w:color="auto" w:fill="FFFFFF" w:themeFill="background1"/>
            <w:tcMar>
              <w:top w:w="0" w:type="dxa"/>
              <w:left w:w="45" w:type="dxa"/>
              <w:bottom w:w="0" w:type="dxa"/>
              <w:right w:w="45" w:type="dxa"/>
            </w:tcMar>
            <w:vAlign w:val="bottom"/>
            <w:hideMark/>
          </w:tcPr>
          <w:p w14:paraId="20DBFF2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0.02</w:t>
            </w:r>
          </w:p>
        </w:tc>
        <w:tc>
          <w:tcPr>
            <w:tcW w:w="692" w:type="dxa"/>
            <w:shd w:val="clear" w:color="auto" w:fill="FFFFFF" w:themeFill="background1"/>
            <w:tcMar>
              <w:top w:w="0" w:type="dxa"/>
              <w:left w:w="45" w:type="dxa"/>
              <w:bottom w:w="0" w:type="dxa"/>
              <w:right w:w="45" w:type="dxa"/>
            </w:tcMar>
            <w:vAlign w:val="bottom"/>
            <w:hideMark/>
          </w:tcPr>
          <w:p w14:paraId="32D76EA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709" w:type="dxa"/>
            <w:shd w:val="clear" w:color="auto" w:fill="FFFFFF" w:themeFill="background1"/>
            <w:tcMar>
              <w:top w:w="0" w:type="dxa"/>
              <w:left w:w="45" w:type="dxa"/>
              <w:bottom w:w="0" w:type="dxa"/>
              <w:right w:w="45" w:type="dxa"/>
            </w:tcMar>
            <w:vAlign w:val="bottom"/>
            <w:hideMark/>
          </w:tcPr>
          <w:p w14:paraId="0DBDCCF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567" w:type="dxa"/>
            <w:shd w:val="clear" w:color="auto" w:fill="FFFFFF" w:themeFill="background1"/>
            <w:tcMar>
              <w:top w:w="0" w:type="dxa"/>
              <w:left w:w="45" w:type="dxa"/>
              <w:bottom w:w="0" w:type="dxa"/>
              <w:right w:w="45" w:type="dxa"/>
            </w:tcMar>
            <w:vAlign w:val="bottom"/>
            <w:hideMark/>
          </w:tcPr>
          <w:p w14:paraId="456C418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758" w:type="dxa"/>
            <w:shd w:val="clear" w:color="auto" w:fill="FFFFFF" w:themeFill="background1"/>
            <w:tcMar>
              <w:top w:w="0" w:type="dxa"/>
              <w:left w:w="45" w:type="dxa"/>
              <w:bottom w:w="0" w:type="dxa"/>
              <w:right w:w="45" w:type="dxa"/>
            </w:tcMar>
            <w:vAlign w:val="bottom"/>
            <w:hideMark/>
          </w:tcPr>
          <w:p w14:paraId="651B655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670B670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3B7CB97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3AE39AA4"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48B056F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30048C28"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3981B93E"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2F4CE007"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2C97315C"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INSTOWN</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3F4D56A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0.09</w:t>
            </w:r>
          </w:p>
        </w:tc>
        <w:tc>
          <w:tcPr>
            <w:tcW w:w="709" w:type="dxa"/>
            <w:shd w:val="clear" w:color="auto" w:fill="FFFFFF" w:themeFill="background1"/>
            <w:tcMar>
              <w:top w:w="0" w:type="dxa"/>
              <w:left w:w="45" w:type="dxa"/>
              <w:bottom w:w="0" w:type="dxa"/>
              <w:right w:w="45" w:type="dxa"/>
            </w:tcMar>
            <w:vAlign w:val="bottom"/>
            <w:hideMark/>
          </w:tcPr>
          <w:p w14:paraId="1501783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0.12</w:t>
            </w:r>
          </w:p>
        </w:tc>
        <w:tc>
          <w:tcPr>
            <w:tcW w:w="708" w:type="dxa"/>
            <w:shd w:val="clear" w:color="auto" w:fill="FFFFFF" w:themeFill="background1"/>
            <w:tcMar>
              <w:top w:w="0" w:type="dxa"/>
              <w:left w:w="45" w:type="dxa"/>
              <w:bottom w:w="0" w:type="dxa"/>
              <w:right w:w="45" w:type="dxa"/>
            </w:tcMar>
            <w:vAlign w:val="bottom"/>
            <w:hideMark/>
          </w:tcPr>
          <w:p w14:paraId="746EB1D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830" w:type="dxa"/>
            <w:shd w:val="clear" w:color="auto" w:fill="FFFFFF" w:themeFill="background1"/>
            <w:tcMar>
              <w:top w:w="0" w:type="dxa"/>
              <w:left w:w="45" w:type="dxa"/>
              <w:bottom w:w="0" w:type="dxa"/>
              <w:right w:w="45" w:type="dxa"/>
            </w:tcMar>
            <w:vAlign w:val="bottom"/>
            <w:hideMark/>
          </w:tcPr>
          <w:p w14:paraId="55AA9F9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71" w:type="dxa"/>
            <w:shd w:val="clear" w:color="auto" w:fill="FFFFFF" w:themeFill="background1"/>
            <w:tcMar>
              <w:top w:w="0" w:type="dxa"/>
              <w:left w:w="45" w:type="dxa"/>
              <w:bottom w:w="0" w:type="dxa"/>
              <w:right w:w="45" w:type="dxa"/>
            </w:tcMar>
            <w:vAlign w:val="bottom"/>
            <w:hideMark/>
          </w:tcPr>
          <w:p w14:paraId="0DB8325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821" w:type="dxa"/>
            <w:shd w:val="clear" w:color="auto" w:fill="FFFFFF" w:themeFill="background1"/>
            <w:tcMar>
              <w:top w:w="0" w:type="dxa"/>
              <w:left w:w="45" w:type="dxa"/>
              <w:bottom w:w="0" w:type="dxa"/>
              <w:right w:w="45" w:type="dxa"/>
            </w:tcMar>
            <w:vAlign w:val="bottom"/>
            <w:hideMark/>
          </w:tcPr>
          <w:p w14:paraId="6E7074C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80" w:type="dxa"/>
            <w:shd w:val="clear" w:color="auto" w:fill="FFFFFF" w:themeFill="background1"/>
            <w:tcMar>
              <w:top w:w="0" w:type="dxa"/>
              <w:left w:w="45" w:type="dxa"/>
              <w:bottom w:w="0" w:type="dxa"/>
              <w:right w:w="45" w:type="dxa"/>
            </w:tcMar>
            <w:vAlign w:val="bottom"/>
            <w:hideMark/>
          </w:tcPr>
          <w:p w14:paraId="6B3C8DB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40" w:type="dxa"/>
            <w:shd w:val="clear" w:color="auto" w:fill="FFFFFF" w:themeFill="background1"/>
            <w:tcMar>
              <w:top w:w="0" w:type="dxa"/>
              <w:left w:w="45" w:type="dxa"/>
              <w:bottom w:w="0" w:type="dxa"/>
              <w:right w:w="45" w:type="dxa"/>
            </w:tcMar>
            <w:vAlign w:val="bottom"/>
            <w:hideMark/>
          </w:tcPr>
          <w:p w14:paraId="0D16ACA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-0.04</w:t>
            </w:r>
          </w:p>
        </w:tc>
        <w:tc>
          <w:tcPr>
            <w:tcW w:w="670" w:type="dxa"/>
            <w:shd w:val="clear" w:color="auto" w:fill="FFFFFF" w:themeFill="background1"/>
            <w:tcMar>
              <w:top w:w="0" w:type="dxa"/>
              <w:left w:w="45" w:type="dxa"/>
              <w:bottom w:w="0" w:type="dxa"/>
              <w:right w:w="45" w:type="dxa"/>
            </w:tcMar>
            <w:vAlign w:val="bottom"/>
            <w:hideMark/>
          </w:tcPr>
          <w:p w14:paraId="39EB766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490" w:type="dxa"/>
            <w:shd w:val="clear" w:color="auto" w:fill="FFFFFF" w:themeFill="background1"/>
            <w:tcMar>
              <w:top w:w="0" w:type="dxa"/>
              <w:left w:w="45" w:type="dxa"/>
              <w:bottom w:w="0" w:type="dxa"/>
              <w:right w:w="45" w:type="dxa"/>
            </w:tcMar>
            <w:vAlign w:val="bottom"/>
            <w:hideMark/>
          </w:tcPr>
          <w:p w14:paraId="1929926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10" w:type="dxa"/>
            <w:shd w:val="clear" w:color="auto" w:fill="FFFFFF" w:themeFill="background1"/>
            <w:tcMar>
              <w:top w:w="0" w:type="dxa"/>
              <w:left w:w="45" w:type="dxa"/>
              <w:bottom w:w="0" w:type="dxa"/>
              <w:right w:w="45" w:type="dxa"/>
            </w:tcMar>
            <w:vAlign w:val="bottom"/>
            <w:hideMark/>
          </w:tcPr>
          <w:p w14:paraId="6AE1419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0.09</w:t>
            </w:r>
          </w:p>
        </w:tc>
        <w:tc>
          <w:tcPr>
            <w:tcW w:w="850" w:type="dxa"/>
            <w:shd w:val="clear" w:color="auto" w:fill="FFFFFF" w:themeFill="background1"/>
            <w:tcMar>
              <w:top w:w="0" w:type="dxa"/>
              <w:left w:w="45" w:type="dxa"/>
              <w:bottom w:w="0" w:type="dxa"/>
              <w:right w:w="45" w:type="dxa"/>
            </w:tcMar>
            <w:vAlign w:val="bottom"/>
            <w:hideMark/>
          </w:tcPr>
          <w:p w14:paraId="5E9F34F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0.14</w:t>
            </w:r>
          </w:p>
        </w:tc>
        <w:tc>
          <w:tcPr>
            <w:tcW w:w="692" w:type="dxa"/>
            <w:shd w:val="clear" w:color="auto" w:fill="FFFFFF" w:themeFill="background1"/>
            <w:tcMar>
              <w:top w:w="0" w:type="dxa"/>
              <w:left w:w="45" w:type="dxa"/>
              <w:bottom w:w="0" w:type="dxa"/>
              <w:right w:w="45" w:type="dxa"/>
            </w:tcMar>
            <w:vAlign w:val="bottom"/>
            <w:hideMark/>
          </w:tcPr>
          <w:p w14:paraId="1CBF0D2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09" w:type="dxa"/>
            <w:shd w:val="clear" w:color="auto" w:fill="FFFFFF" w:themeFill="background1"/>
            <w:tcMar>
              <w:top w:w="0" w:type="dxa"/>
              <w:left w:w="45" w:type="dxa"/>
              <w:bottom w:w="0" w:type="dxa"/>
              <w:right w:w="45" w:type="dxa"/>
            </w:tcMar>
            <w:vAlign w:val="bottom"/>
            <w:hideMark/>
          </w:tcPr>
          <w:p w14:paraId="68680720"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67" w:type="dxa"/>
            <w:shd w:val="clear" w:color="auto" w:fill="FFFFFF" w:themeFill="background1"/>
            <w:tcMar>
              <w:top w:w="0" w:type="dxa"/>
              <w:left w:w="45" w:type="dxa"/>
              <w:bottom w:w="0" w:type="dxa"/>
              <w:right w:w="45" w:type="dxa"/>
            </w:tcMar>
            <w:vAlign w:val="bottom"/>
            <w:hideMark/>
          </w:tcPr>
          <w:p w14:paraId="79E649C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758" w:type="dxa"/>
            <w:shd w:val="clear" w:color="auto" w:fill="FFFFFF" w:themeFill="background1"/>
            <w:tcMar>
              <w:top w:w="0" w:type="dxa"/>
              <w:left w:w="45" w:type="dxa"/>
              <w:bottom w:w="0" w:type="dxa"/>
              <w:right w:w="45" w:type="dxa"/>
            </w:tcMar>
            <w:vAlign w:val="bottom"/>
            <w:hideMark/>
          </w:tcPr>
          <w:p w14:paraId="12A9AB3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567" w:type="dxa"/>
            <w:shd w:val="clear" w:color="auto" w:fill="FFFFFF" w:themeFill="background1"/>
            <w:tcMar>
              <w:top w:w="0" w:type="dxa"/>
              <w:left w:w="45" w:type="dxa"/>
              <w:bottom w:w="0" w:type="dxa"/>
              <w:right w:w="45" w:type="dxa"/>
            </w:tcMar>
            <w:vAlign w:val="bottom"/>
            <w:hideMark/>
          </w:tcPr>
          <w:p w14:paraId="1219445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6E600A7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757E1B9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01F48DA1"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1DEA080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364279F1"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6CB00F58"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333B3F57"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BOARDOWN</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02F9BB6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-0.09</w:t>
            </w:r>
          </w:p>
        </w:tc>
        <w:tc>
          <w:tcPr>
            <w:tcW w:w="709" w:type="dxa"/>
            <w:shd w:val="clear" w:color="auto" w:fill="FFFFFF" w:themeFill="background1"/>
            <w:tcMar>
              <w:top w:w="0" w:type="dxa"/>
              <w:left w:w="45" w:type="dxa"/>
              <w:bottom w:w="0" w:type="dxa"/>
              <w:right w:w="45" w:type="dxa"/>
            </w:tcMar>
            <w:vAlign w:val="bottom"/>
            <w:hideMark/>
          </w:tcPr>
          <w:p w14:paraId="4198481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-0.08</w:t>
            </w:r>
          </w:p>
        </w:tc>
        <w:tc>
          <w:tcPr>
            <w:tcW w:w="708" w:type="dxa"/>
            <w:shd w:val="clear" w:color="auto" w:fill="FFFFFF" w:themeFill="background1"/>
            <w:tcMar>
              <w:top w:w="0" w:type="dxa"/>
              <w:left w:w="45" w:type="dxa"/>
              <w:bottom w:w="0" w:type="dxa"/>
              <w:right w:w="45" w:type="dxa"/>
            </w:tcMar>
            <w:vAlign w:val="bottom"/>
            <w:hideMark/>
          </w:tcPr>
          <w:p w14:paraId="0A12B876"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30" w:type="dxa"/>
            <w:shd w:val="clear" w:color="auto" w:fill="FFFFFF" w:themeFill="background1"/>
            <w:tcMar>
              <w:top w:w="0" w:type="dxa"/>
              <w:left w:w="45" w:type="dxa"/>
              <w:bottom w:w="0" w:type="dxa"/>
              <w:right w:w="45" w:type="dxa"/>
            </w:tcMar>
            <w:vAlign w:val="bottom"/>
            <w:hideMark/>
          </w:tcPr>
          <w:p w14:paraId="0B3B3507"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796DFCD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21" w:type="dxa"/>
            <w:shd w:val="clear" w:color="auto" w:fill="FFFFFF" w:themeFill="background1"/>
            <w:tcMar>
              <w:top w:w="0" w:type="dxa"/>
              <w:left w:w="45" w:type="dxa"/>
              <w:bottom w:w="0" w:type="dxa"/>
              <w:right w:w="45" w:type="dxa"/>
            </w:tcMar>
            <w:vAlign w:val="bottom"/>
            <w:hideMark/>
          </w:tcPr>
          <w:p w14:paraId="0B88F5B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80" w:type="dxa"/>
            <w:shd w:val="clear" w:color="auto" w:fill="FFFFFF" w:themeFill="background1"/>
            <w:tcMar>
              <w:top w:w="0" w:type="dxa"/>
              <w:left w:w="45" w:type="dxa"/>
              <w:bottom w:w="0" w:type="dxa"/>
              <w:right w:w="45" w:type="dxa"/>
            </w:tcMar>
            <w:vAlign w:val="bottom"/>
            <w:hideMark/>
          </w:tcPr>
          <w:p w14:paraId="2047E11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740" w:type="dxa"/>
            <w:shd w:val="clear" w:color="auto" w:fill="FFFFFF" w:themeFill="background1"/>
            <w:tcMar>
              <w:top w:w="0" w:type="dxa"/>
              <w:left w:w="45" w:type="dxa"/>
              <w:bottom w:w="0" w:type="dxa"/>
              <w:right w:w="45" w:type="dxa"/>
            </w:tcMar>
            <w:vAlign w:val="bottom"/>
            <w:hideMark/>
          </w:tcPr>
          <w:p w14:paraId="00925D1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0.04</w:t>
            </w:r>
          </w:p>
        </w:tc>
        <w:tc>
          <w:tcPr>
            <w:tcW w:w="670" w:type="dxa"/>
            <w:shd w:val="clear" w:color="auto" w:fill="FFFFFF" w:themeFill="background1"/>
            <w:tcMar>
              <w:top w:w="0" w:type="dxa"/>
              <w:left w:w="45" w:type="dxa"/>
              <w:bottom w:w="0" w:type="dxa"/>
              <w:right w:w="45" w:type="dxa"/>
            </w:tcMar>
            <w:vAlign w:val="bottom"/>
            <w:hideMark/>
          </w:tcPr>
          <w:p w14:paraId="0A09DDE7"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490" w:type="dxa"/>
            <w:shd w:val="clear" w:color="auto" w:fill="FFFFFF" w:themeFill="background1"/>
            <w:tcMar>
              <w:top w:w="0" w:type="dxa"/>
              <w:left w:w="45" w:type="dxa"/>
              <w:bottom w:w="0" w:type="dxa"/>
              <w:right w:w="45" w:type="dxa"/>
            </w:tcMar>
            <w:vAlign w:val="bottom"/>
            <w:hideMark/>
          </w:tcPr>
          <w:p w14:paraId="3792904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10" w:type="dxa"/>
            <w:shd w:val="clear" w:color="auto" w:fill="FFFFFF" w:themeFill="background1"/>
            <w:tcMar>
              <w:top w:w="0" w:type="dxa"/>
              <w:left w:w="45" w:type="dxa"/>
              <w:bottom w:w="0" w:type="dxa"/>
              <w:right w:w="45" w:type="dxa"/>
            </w:tcMar>
            <w:vAlign w:val="bottom"/>
            <w:hideMark/>
          </w:tcPr>
          <w:p w14:paraId="0CB5E35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-0.10</w:t>
            </w:r>
          </w:p>
        </w:tc>
        <w:tc>
          <w:tcPr>
            <w:tcW w:w="850" w:type="dxa"/>
            <w:shd w:val="clear" w:color="auto" w:fill="FFFFFF" w:themeFill="background1"/>
            <w:tcMar>
              <w:top w:w="0" w:type="dxa"/>
              <w:left w:w="45" w:type="dxa"/>
              <w:bottom w:w="0" w:type="dxa"/>
              <w:right w:w="45" w:type="dxa"/>
            </w:tcMar>
            <w:vAlign w:val="bottom"/>
            <w:hideMark/>
          </w:tcPr>
          <w:p w14:paraId="38DEBC1F"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-0.10</w:t>
            </w:r>
          </w:p>
        </w:tc>
        <w:tc>
          <w:tcPr>
            <w:tcW w:w="692" w:type="dxa"/>
            <w:shd w:val="clear" w:color="auto" w:fill="FFFFFF" w:themeFill="background1"/>
            <w:tcMar>
              <w:top w:w="0" w:type="dxa"/>
              <w:left w:w="45" w:type="dxa"/>
              <w:bottom w:w="0" w:type="dxa"/>
              <w:right w:w="45" w:type="dxa"/>
            </w:tcMar>
            <w:vAlign w:val="bottom"/>
            <w:hideMark/>
          </w:tcPr>
          <w:p w14:paraId="53E3CA5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-0.02</w:t>
            </w:r>
          </w:p>
        </w:tc>
        <w:tc>
          <w:tcPr>
            <w:tcW w:w="709" w:type="dxa"/>
            <w:shd w:val="clear" w:color="auto" w:fill="FFFFFF" w:themeFill="background1"/>
            <w:tcMar>
              <w:top w:w="0" w:type="dxa"/>
              <w:left w:w="45" w:type="dxa"/>
              <w:bottom w:w="0" w:type="dxa"/>
              <w:right w:w="45" w:type="dxa"/>
            </w:tcMar>
            <w:vAlign w:val="bottom"/>
            <w:hideMark/>
          </w:tcPr>
          <w:p w14:paraId="64D6B76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67" w:type="dxa"/>
            <w:shd w:val="clear" w:color="auto" w:fill="FFFFFF" w:themeFill="background1"/>
            <w:tcMar>
              <w:top w:w="0" w:type="dxa"/>
              <w:left w:w="45" w:type="dxa"/>
              <w:bottom w:w="0" w:type="dxa"/>
              <w:right w:w="45" w:type="dxa"/>
            </w:tcMar>
            <w:vAlign w:val="bottom"/>
            <w:hideMark/>
          </w:tcPr>
          <w:p w14:paraId="1C47136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-0.28</w:t>
            </w:r>
          </w:p>
        </w:tc>
        <w:tc>
          <w:tcPr>
            <w:tcW w:w="758" w:type="dxa"/>
            <w:shd w:val="clear" w:color="auto" w:fill="FFFFFF" w:themeFill="background1"/>
            <w:tcMar>
              <w:top w:w="0" w:type="dxa"/>
              <w:left w:w="45" w:type="dxa"/>
              <w:bottom w:w="0" w:type="dxa"/>
              <w:right w:w="45" w:type="dxa"/>
            </w:tcMar>
            <w:vAlign w:val="bottom"/>
            <w:hideMark/>
          </w:tcPr>
          <w:p w14:paraId="6DBF611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567" w:type="dxa"/>
            <w:shd w:val="clear" w:color="auto" w:fill="FFFFFF" w:themeFill="background1"/>
            <w:tcMar>
              <w:top w:w="0" w:type="dxa"/>
              <w:left w:w="45" w:type="dxa"/>
              <w:bottom w:w="0" w:type="dxa"/>
              <w:right w:w="45" w:type="dxa"/>
            </w:tcMar>
            <w:vAlign w:val="bottom"/>
            <w:hideMark/>
          </w:tcPr>
          <w:p w14:paraId="61FC2B3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530" w:type="dxa"/>
            <w:shd w:val="clear" w:color="auto" w:fill="FFFFFF" w:themeFill="background1"/>
            <w:tcMar>
              <w:top w:w="0" w:type="dxa"/>
              <w:left w:w="45" w:type="dxa"/>
              <w:bottom w:w="0" w:type="dxa"/>
              <w:right w:w="45" w:type="dxa"/>
            </w:tcMar>
            <w:vAlign w:val="bottom"/>
            <w:hideMark/>
          </w:tcPr>
          <w:p w14:paraId="22137716"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5FCC5C1C"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3DF68533"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3560C60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5C98CAFC"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1C477225"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39498F17"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PROPNED</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5603436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0.20</w:t>
            </w:r>
          </w:p>
        </w:tc>
        <w:tc>
          <w:tcPr>
            <w:tcW w:w="709" w:type="dxa"/>
            <w:shd w:val="clear" w:color="auto" w:fill="FFFFFF" w:themeFill="background1"/>
            <w:tcMar>
              <w:top w:w="0" w:type="dxa"/>
              <w:left w:w="45" w:type="dxa"/>
              <w:bottom w:w="0" w:type="dxa"/>
              <w:right w:w="45" w:type="dxa"/>
            </w:tcMar>
            <w:vAlign w:val="bottom"/>
            <w:hideMark/>
          </w:tcPr>
          <w:p w14:paraId="563D2B9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0.03</w:t>
            </w:r>
          </w:p>
        </w:tc>
        <w:tc>
          <w:tcPr>
            <w:tcW w:w="708" w:type="dxa"/>
            <w:shd w:val="clear" w:color="auto" w:fill="FFFFFF" w:themeFill="background1"/>
            <w:tcMar>
              <w:top w:w="0" w:type="dxa"/>
              <w:left w:w="45" w:type="dxa"/>
              <w:bottom w:w="0" w:type="dxa"/>
              <w:right w:w="45" w:type="dxa"/>
            </w:tcMar>
            <w:vAlign w:val="bottom"/>
            <w:hideMark/>
          </w:tcPr>
          <w:p w14:paraId="03BE3F0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0.03</w:t>
            </w:r>
          </w:p>
        </w:tc>
        <w:tc>
          <w:tcPr>
            <w:tcW w:w="830" w:type="dxa"/>
            <w:shd w:val="clear" w:color="auto" w:fill="FFFFFF" w:themeFill="background1"/>
            <w:tcMar>
              <w:top w:w="0" w:type="dxa"/>
              <w:left w:w="45" w:type="dxa"/>
              <w:bottom w:w="0" w:type="dxa"/>
              <w:right w:w="45" w:type="dxa"/>
            </w:tcMar>
            <w:vAlign w:val="bottom"/>
            <w:hideMark/>
          </w:tcPr>
          <w:p w14:paraId="348412E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71" w:type="dxa"/>
            <w:shd w:val="clear" w:color="auto" w:fill="FFFFFF" w:themeFill="background1"/>
            <w:tcMar>
              <w:top w:w="0" w:type="dxa"/>
              <w:left w:w="45" w:type="dxa"/>
              <w:bottom w:w="0" w:type="dxa"/>
              <w:right w:w="45" w:type="dxa"/>
            </w:tcMar>
            <w:vAlign w:val="bottom"/>
            <w:hideMark/>
          </w:tcPr>
          <w:p w14:paraId="49D7212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21" w:type="dxa"/>
            <w:shd w:val="clear" w:color="auto" w:fill="FFFFFF" w:themeFill="background1"/>
            <w:tcMar>
              <w:top w:w="0" w:type="dxa"/>
              <w:left w:w="45" w:type="dxa"/>
              <w:bottom w:w="0" w:type="dxa"/>
              <w:right w:w="45" w:type="dxa"/>
            </w:tcMar>
            <w:vAlign w:val="bottom"/>
            <w:hideMark/>
          </w:tcPr>
          <w:p w14:paraId="5D20D10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0.05</w:t>
            </w:r>
          </w:p>
        </w:tc>
        <w:tc>
          <w:tcPr>
            <w:tcW w:w="880" w:type="dxa"/>
            <w:shd w:val="clear" w:color="auto" w:fill="FFFFFF" w:themeFill="background1"/>
            <w:tcMar>
              <w:top w:w="0" w:type="dxa"/>
              <w:left w:w="45" w:type="dxa"/>
              <w:bottom w:w="0" w:type="dxa"/>
              <w:right w:w="45" w:type="dxa"/>
            </w:tcMar>
            <w:vAlign w:val="bottom"/>
            <w:hideMark/>
          </w:tcPr>
          <w:p w14:paraId="4F00DCC7"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740" w:type="dxa"/>
            <w:shd w:val="clear" w:color="auto" w:fill="FFFFFF" w:themeFill="background1"/>
            <w:tcMar>
              <w:top w:w="0" w:type="dxa"/>
              <w:left w:w="45" w:type="dxa"/>
              <w:bottom w:w="0" w:type="dxa"/>
              <w:right w:w="45" w:type="dxa"/>
            </w:tcMar>
            <w:vAlign w:val="bottom"/>
            <w:hideMark/>
          </w:tcPr>
          <w:p w14:paraId="6F229E3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-0.05</w:t>
            </w:r>
          </w:p>
        </w:tc>
        <w:tc>
          <w:tcPr>
            <w:tcW w:w="670" w:type="dxa"/>
            <w:shd w:val="clear" w:color="auto" w:fill="FFFFFF" w:themeFill="background1"/>
            <w:tcMar>
              <w:top w:w="0" w:type="dxa"/>
              <w:left w:w="45" w:type="dxa"/>
              <w:bottom w:w="0" w:type="dxa"/>
              <w:right w:w="45" w:type="dxa"/>
            </w:tcMar>
            <w:vAlign w:val="bottom"/>
            <w:hideMark/>
          </w:tcPr>
          <w:p w14:paraId="1E1BF78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490" w:type="dxa"/>
            <w:shd w:val="clear" w:color="auto" w:fill="FFFFFF" w:themeFill="background1"/>
            <w:tcMar>
              <w:top w:w="0" w:type="dxa"/>
              <w:left w:w="45" w:type="dxa"/>
              <w:bottom w:w="0" w:type="dxa"/>
              <w:right w:w="45" w:type="dxa"/>
            </w:tcMar>
            <w:vAlign w:val="bottom"/>
            <w:hideMark/>
          </w:tcPr>
          <w:p w14:paraId="31F49ACA"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810" w:type="dxa"/>
            <w:shd w:val="clear" w:color="auto" w:fill="FFFFFF" w:themeFill="background1"/>
            <w:tcMar>
              <w:top w:w="0" w:type="dxa"/>
              <w:left w:w="45" w:type="dxa"/>
              <w:bottom w:w="0" w:type="dxa"/>
              <w:right w:w="45" w:type="dxa"/>
            </w:tcMar>
            <w:vAlign w:val="bottom"/>
            <w:hideMark/>
          </w:tcPr>
          <w:p w14:paraId="0FE3049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0.21</w:t>
            </w:r>
          </w:p>
        </w:tc>
        <w:tc>
          <w:tcPr>
            <w:tcW w:w="850" w:type="dxa"/>
            <w:shd w:val="clear" w:color="auto" w:fill="FFFFFF" w:themeFill="background1"/>
            <w:tcMar>
              <w:top w:w="0" w:type="dxa"/>
              <w:left w:w="45" w:type="dxa"/>
              <w:bottom w:w="0" w:type="dxa"/>
              <w:right w:w="45" w:type="dxa"/>
            </w:tcMar>
            <w:vAlign w:val="bottom"/>
            <w:hideMark/>
          </w:tcPr>
          <w:p w14:paraId="1332BF3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692" w:type="dxa"/>
            <w:shd w:val="clear" w:color="auto" w:fill="FFFFFF" w:themeFill="background1"/>
            <w:tcMar>
              <w:top w:w="0" w:type="dxa"/>
              <w:left w:w="45" w:type="dxa"/>
              <w:bottom w:w="0" w:type="dxa"/>
              <w:right w:w="45" w:type="dxa"/>
            </w:tcMar>
            <w:vAlign w:val="bottom"/>
            <w:hideMark/>
          </w:tcPr>
          <w:p w14:paraId="1CDF401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0.05</w:t>
            </w:r>
          </w:p>
        </w:tc>
        <w:tc>
          <w:tcPr>
            <w:tcW w:w="709" w:type="dxa"/>
            <w:shd w:val="clear" w:color="auto" w:fill="FFFFFF" w:themeFill="background1"/>
            <w:tcMar>
              <w:top w:w="0" w:type="dxa"/>
              <w:left w:w="45" w:type="dxa"/>
              <w:bottom w:w="0" w:type="dxa"/>
              <w:right w:w="45" w:type="dxa"/>
            </w:tcMar>
            <w:vAlign w:val="bottom"/>
            <w:hideMark/>
          </w:tcPr>
          <w:p w14:paraId="3BAB2772"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67" w:type="dxa"/>
            <w:shd w:val="clear" w:color="auto" w:fill="FFFFFF" w:themeFill="background1"/>
            <w:tcMar>
              <w:top w:w="0" w:type="dxa"/>
              <w:left w:w="45" w:type="dxa"/>
              <w:bottom w:w="0" w:type="dxa"/>
              <w:right w:w="45" w:type="dxa"/>
            </w:tcMar>
            <w:vAlign w:val="bottom"/>
            <w:hideMark/>
          </w:tcPr>
          <w:p w14:paraId="30151FE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0.14</w:t>
            </w:r>
          </w:p>
        </w:tc>
        <w:tc>
          <w:tcPr>
            <w:tcW w:w="758" w:type="dxa"/>
            <w:shd w:val="clear" w:color="auto" w:fill="FFFFFF" w:themeFill="background1"/>
            <w:tcMar>
              <w:top w:w="0" w:type="dxa"/>
              <w:left w:w="45" w:type="dxa"/>
              <w:bottom w:w="0" w:type="dxa"/>
              <w:right w:w="45" w:type="dxa"/>
            </w:tcMar>
            <w:vAlign w:val="bottom"/>
            <w:hideMark/>
          </w:tcPr>
          <w:p w14:paraId="35749796"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-0.24</w:t>
            </w:r>
          </w:p>
        </w:tc>
        <w:tc>
          <w:tcPr>
            <w:tcW w:w="567" w:type="dxa"/>
            <w:shd w:val="clear" w:color="auto" w:fill="FFFFFF" w:themeFill="background1"/>
            <w:tcMar>
              <w:top w:w="0" w:type="dxa"/>
              <w:left w:w="45" w:type="dxa"/>
              <w:bottom w:w="0" w:type="dxa"/>
              <w:right w:w="45" w:type="dxa"/>
            </w:tcMar>
            <w:vAlign w:val="bottom"/>
            <w:hideMark/>
          </w:tcPr>
          <w:p w14:paraId="54E82CB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530" w:type="dxa"/>
            <w:shd w:val="clear" w:color="auto" w:fill="FFFFFF" w:themeFill="background1"/>
            <w:tcMar>
              <w:top w:w="0" w:type="dxa"/>
              <w:left w:w="45" w:type="dxa"/>
              <w:bottom w:w="0" w:type="dxa"/>
              <w:right w:w="45" w:type="dxa"/>
            </w:tcMar>
            <w:vAlign w:val="bottom"/>
            <w:hideMark/>
          </w:tcPr>
          <w:p w14:paraId="6A08061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690" w:type="dxa"/>
            <w:shd w:val="clear" w:color="auto" w:fill="FFFFFF" w:themeFill="background1"/>
            <w:tcMar>
              <w:top w:w="0" w:type="dxa"/>
              <w:left w:w="45" w:type="dxa"/>
              <w:bottom w:w="0" w:type="dxa"/>
              <w:right w:w="45" w:type="dxa"/>
            </w:tcMar>
            <w:vAlign w:val="bottom"/>
            <w:hideMark/>
          </w:tcPr>
          <w:p w14:paraId="50DDFD70"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6F509929"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0210B42E"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55DD0CF8"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75B4D5EC"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7BF2BD12"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ESO</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2A4C4E42"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709" w:type="dxa"/>
            <w:shd w:val="clear" w:color="auto" w:fill="FFFFFF" w:themeFill="background1"/>
            <w:tcMar>
              <w:top w:w="0" w:type="dxa"/>
              <w:left w:w="45" w:type="dxa"/>
              <w:bottom w:w="0" w:type="dxa"/>
              <w:right w:w="45" w:type="dxa"/>
            </w:tcMar>
            <w:vAlign w:val="bottom"/>
            <w:hideMark/>
          </w:tcPr>
          <w:p w14:paraId="4C62F10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0.11</w:t>
            </w:r>
          </w:p>
        </w:tc>
        <w:tc>
          <w:tcPr>
            <w:tcW w:w="708" w:type="dxa"/>
            <w:shd w:val="clear" w:color="auto" w:fill="FFFFFF" w:themeFill="background1"/>
            <w:tcMar>
              <w:top w:w="0" w:type="dxa"/>
              <w:left w:w="45" w:type="dxa"/>
              <w:bottom w:w="0" w:type="dxa"/>
              <w:right w:w="45" w:type="dxa"/>
            </w:tcMar>
            <w:vAlign w:val="bottom"/>
            <w:hideMark/>
          </w:tcPr>
          <w:p w14:paraId="0AC6469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30" w:type="dxa"/>
            <w:shd w:val="clear" w:color="auto" w:fill="FFFFFF" w:themeFill="background1"/>
            <w:tcMar>
              <w:top w:w="0" w:type="dxa"/>
              <w:left w:w="45" w:type="dxa"/>
              <w:bottom w:w="0" w:type="dxa"/>
              <w:right w:w="45" w:type="dxa"/>
            </w:tcMar>
            <w:vAlign w:val="bottom"/>
            <w:hideMark/>
          </w:tcPr>
          <w:p w14:paraId="738F7BB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6289889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821" w:type="dxa"/>
            <w:shd w:val="clear" w:color="auto" w:fill="FFFFFF" w:themeFill="background1"/>
            <w:tcMar>
              <w:top w:w="0" w:type="dxa"/>
              <w:left w:w="45" w:type="dxa"/>
              <w:bottom w:w="0" w:type="dxa"/>
              <w:right w:w="45" w:type="dxa"/>
            </w:tcMar>
            <w:vAlign w:val="bottom"/>
            <w:hideMark/>
          </w:tcPr>
          <w:p w14:paraId="514A381D"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80" w:type="dxa"/>
            <w:shd w:val="clear" w:color="auto" w:fill="FFFFFF" w:themeFill="background1"/>
            <w:tcMar>
              <w:top w:w="0" w:type="dxa"/>
              <w:left w:w="45" w:type="dxa"/>
              <w:bottom w:w="0" w:type="dxa"/>
              <w:right w:w="45" w:type="dxa"/>
            </w:tcMar>
            <w:vAlign w:val="bottom"/>
            <w:hideMark/>
          </w:tcPr>
          <w:p w14:paraId="275784E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740" w:type="dxa"/>
            <w:shd w:val="clear" w:color="auto" w:fill="FFFFFF" w:themeFill="background1"/>
            <w:tcMar>
              <w:top w:w="0" w:type="dxa"/>
              <w:left w:w="45" w:type="dxa"/>
              <w:bottom w:w="0" w:type="dxa"/>
              <w:right w:w="45" w:type="dxa"/>
            </w:tcMar>
            <w:vAlign w:val="bottom"/>
            <w:hideMark/>
          </w:tcPr>
          <w:p w14:paraId="63927FF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670" w:type="dxa"/>
            <w:shd w:val="clear" w:color="auto" w:fill="FFFFFF" w:themeFill="background1"/>
            <w:tcMar>
              <w:top w:w="0" w:type="dxa"/>
              <w:left w:w="45" w:type="dxa"/>
              <w:bottom w:w="0" w:type="dxa"/>
              <w:right w:w="45" w:type="dxa"/>
            </w:tcMar>
            <w:vAlign w:val="bottom"/>
            <w:hideMark/>
          </w:tcPr>
          <w:p w14:paraId="0644E03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490" w:type="dxa"/>
            <w:shd w:val="clear" w:color="auto" w:fill="FFFFFF" w:themeFill="background1"/>
            <w:tcMar>
              <w:top w:w="0" w:type="dxa"/>
              <w:left w:w="45" w:type="dxa"/>
              <w:bottom w:w="0" w:type="dxa"/>
              <w:right w:w="45" w:type="dxa"/>
            </w:tcMar>
            <w:vAlign w:val="bottom"/>
            <w:hideMark/>
          </w:tcPr>
          <w:p w14:paraId="1B5B10AD"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810" w:type="dxa"/>
            <w:shd w:val="clear" w:color="auto" w:fill="FFFFFF" w:themeFill="background1"/>
            <w:tcMar>
              <w:top w:w="0" w:type="dxa"/>
              <w:left w:w="45" w:type="dxa"/>
              <w:bottom w:w="0" w:type="dxa"/>
              <w:right w:w="45" w:type="dxa"/>
            </w:tcMar>
            <w:vAlign w:val="bottom"/>
            <w:hideMark/>
          </w:tcPr>
          <w:p w14:paraId="0F9B7D2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-0.05</w:t>
            </w:r>
          </w:p>
        </w:tc>
        <w:tc>
          <w:tcPr>
            <w:tcW w:w="850" w:type="dxa"/>
            <w:shd w:val="clear" w:color="auto" w:fill="FFFFFF" w:themeFill="background1"/>
            <w:tcMar>
              <w:top w:w="0" w:type="dxa"/>
              <w:left w:w="45" w:type="dxa"/>
              <w:bottom w:w="0" w:type="dxa"/>
              <w:right w:w="45" w:type="dxa"/>
            </w:tcMar>
            <w:vAlign w:val="bottom"/>
            <w:hideMark/>
          </w:tcPr>
          <w:p w14:paraId="5B1C7BB5"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0.10</w:t>
            </w:r>
          </w:p>
        </w:tc>
        <w:tc>
          <w:tcPr>
            <w:tcW w:w="692" w:type="dxa"/>
            <w:shd w:val="clear" w:color="auto" w:fill="FFFFFF" w:themeFill="background1"/>
            <w:tcMar>
              <w:top w:w="0" w:type="dxa"/>
              <w:left w:w="45" w:type="dxa"/>
              <w:bottom w:w="0" w:type="dxa"/>
              <w:right w:w="45" w:type="dxa"/>
            </w:tcMar>
            <w:vAlign w:val="bottom"/>
            <w:hideMark/>
          </w:tcPr>
          <w:p w14:paraId="6EC2C058"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709" w:type="dxa"/>
            <w:shd w:val="clear" w:color="auto" w:fill="FFFFFF" w:themeFill="background1"/>
            <w:tcMar>
              <w:top w:w="0" w:type="dxa"/>
              <w:left w:w="45" w:type="dxa"/>
              <w:bottom w:w="0" w:type="dxa"/>
              <w:right w:w="45" w:type="dxa"/>
            </w:tcMar>
            <w:vAlign w:val="bottom"/>
            <w:hideMark/>
          </w:tcPr>
          <w:p w14:paraId="4059D7E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67" w:type="dxa"/>
            <w:shd w:val="clear" w:color="auto" w:fill="FFFFFF" w:themeFill="background1"/>
            <w:tcMar>
              <w:top w:w="0" w:type="dxa"/>
              <w:left w:w="45" w:type="dxa"/>
              <w:bottom w:w="0" w:type="dxa"/>
              <w:right w:w="45" w:type="dxa"/>
            </w:tcMar>
            <w:vAlign w:val="bottom"/>
            <w:hideMark/>
          </w:tcPr>
          <w:p w14:paraId="51BC43A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0.06</w:t>
            </w:r>
          </w:p>
        </w:tc>
        <w:tc>
          <w:tcPr>
            <w:tcW w:w="758" w:type="dxa"/>
            <w:shd w:val="clear" w:color="auto" w:fill="FFFFFF" w:themeFill="background1"/>
            <w:tcMar>
              <w:top w:w="0" w:type="dxa"/>
              <w:left w:w="45" w:type="dxa"/>
              <w:bottom w:w="0" w:type="dxa"/>
              <w:right w:w="45" w:type="dxa"/>
            </w:tcMar>
            <w:vAlign w:val="bottom"/>
            <w:hideMark/>
          </w:tcPr>
          <w:p w14:paraId="3E7B76B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-0.03</w:t>
            </w:r>
          </w:p>
        </w:tc>
        <w:tc>
          <w:tcPr>
            <w:tcW w:w="567" w:type="dxa"/>
            <w:shd w:val="clear" w:color="auto" w:fill="FFFFFF" w:themeFill="background1"/>
            <w:tcMar>
              <w:top w:w="0" w:type="dxa"/>
              <w:left w:w="45" w:type="dxa"/>
              <w:bottom w:w="0" w:type="dxa"/>
              <w:right w:w="45" w:type="dxa"/>
            </w:tcMar>
            <w:vAlign w:val="bottom"/>
            <w:hideMark/>
          </w:tcPr>
          <w:p w14:paraId="218634A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530" w:type="dxa"/>
            <w:shd w:val="clear" w:color="auto" w:fill="FFFFFF" w:themeFill="background1"/>
            <w:tcMar>
              <w:top w:w="0" w:type="dxa"/>
              <w:left w:w="45" w:type="dxa"/>
              <w:bottom w:w="0" w:type="dxa"/>
              <w:right w:w="45" w:type="dxa"/>
            </w:tcMar>
            <w:vAlign w:val="bottom"/>
            <w:hideMark/>
          </w:tcPr>
          <w:p w14:paraId="349ED34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690" w:type="dxa"/>
            <w:shd w:val="clear" w:color="auto" w:fill="FFFFFF" w:themeFill="background1"/>
            <w:tcMar>
              <w:top w:w="0" w:type="dxa"/>
              <w:left w:w="45" w:type="dxa"/>
              <w:bottom w:w="0" w:type="dxa"/>
              <w:right w:w="45" w:type="dxa"/>
            </w:tcMar>
            <w:vAlign w:val="bottom"/>
            <w:hideMark/>
          </w:tcPr>
          <w:p w14:paraId="4C1BC76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573" w:type="dxa"/>
            <w:shd w:val="clear" w:color="auto" w:fill="FFFFFF" w:themeFill="background1"/>
            <w:tcMar>
              <w:top w:w="0" w:type="dxa"/>
              <w:left w:w="45" w:type="dxa"/>
              <w:bottom w:w="0" w:type="dxa"/>
              <w:right w:w="45" w:type="dxa"/>
            </w:tcMar>
            <w:vAlign w:val="bottom"/>
            <w:hideMark/>
          </w:tcPr>
          <w:p w14:paraId="60BE4D67"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7FAC5A15"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1208C687"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2A26C89D"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357FB75F"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MCAP</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7FAA7C11"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0.33</w:t>
            </w:r>
          </w:p>
        </w:tc>
        <w:tc>
          <w:tcPr>
            <w:tcW w:w="709" w:type="dxa"/>
            <w:shd w:val="clear" w:color="auto" w:fill="FFFFFF" w:themeFill="background1"/>
            <w:tcMar>
              <w:top w:w="0" w:type="dxa"/>
              <w:left w:w="45" w:type="dxa"/>
              <w:bottom w:w="0" w:type="dxa"/>
              <w:right w:w="45" w:type="dxa"/>
            </w:tcMar>
            <w:vAlign w:val="bottom"/>
            <w:hideMark/>
          </w:tcPr>
          <w:p w14:paraId="4A66A01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0.25</w:t>
            </w:r>
          </w:p>
        </w:tc>
        <w:tc>
          <w:tcPr>
            <w:tcW w:w="708" w:type="dxa"/>
            <w:shd w:val="clear" w:color="auto" w:fill="FFFFFF" w:themeFill="background1"/>
            <w:tcMar>
              <w:top w:w="0" w:type="dxa"/>
              <w:left w:w="45" w:type="dxa"/>
              <w:bottom w:w="0" w:type="dxa"/>
              <w:right w:w="45" w:type="dxa"/>
            </w:tcMar>
            <w:vAlign w:val="bottom"/>
            <w:hideMark/>
          </w:tcPr>
          <w:p w14:paraId="5E18A5BD"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0.10</w:t>
            </w:r>
          </w:p>
        </w:tc>
        <w:tc>
          <w:tcPr>
            <w:tcW w:w="830" w:type="dxa"/>
            <w:shd w:val="clear" w:color="auto" w:fill="FFFFFF" w:themeFill="background1"/>
            <w:tcMar>
              <w:top w:w="0" w:type="dxa"/>
              <w:left w:w="45" w:type="dxa"/>
              <w:bottom w:w="0" w:type="dxa"/>
              <w:right w:w="45" w:type="dxa"/>
            </w:tcMar>
            <w:vAlign w:val="bottom"/>
            <w:hideMark/>
          </w:tcPr>
          <w:p w14:paraId="729B288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871" w:type="dxa"/>
            <w:shd w:val="clear" w:color="auto" w:fill="FFFFFF" w:themeFill="background1"/>
            <w:tcMar>
              <w:top w:w="0" w:type="dxa"/>
              <w:left w:w="45" w:type="dxa"/>
              <w:bottom w:w="0" w:type="dxa"/>
              <w:right w:w="45" w:type="dxa"/>
            </w:tcMar>
            <w:vAlign w:val="bottom"/>
            <w:hideMark/>
          </w:tcPr>
          <w:p w14:paraId="456E162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821" w:type="dxa"/>
            <w:shd w:val="clear" w:color="auto" w:fill="FFFFFF" w:themeFill="background1"/>
            <w:tcMar>
              <w:top w:w="0" w:type="dxa"/>
              <w:left w:w="45" w:type="dxa"/>
              <w:bottom w:w="0" w:type="dxa"/>
              <w:right w:w="45" w:type="dxa"/>
            </w:tcMar>
            <w:vAlign w:val="bottom"/>
            <w:hideMark/>
          </w:tcPr>
          <w:p w14:paraId="2B550461"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0.25</w:t>
            </w:r>
          </w:p>
        </w:tc>
        <w:tc>
          <w:tcPr>
            <w:tcW w:w="880" w:type="dxa"/>
            <w:shd w:val="clear" w:color="auto" w:fill="FFFFFF" w:themeFill="background1"/>
            <w:tcMar>
              <w:top w:w="0" w:type="dxa"/>
              <w:left w:w="45" w:type="dxa"/>
              <w:bottom w:w="0" w:type="dxa"/>
              <w:right w:w="45" w:type="dxa"/>
            </w:tcMar>
            <w:vAlign w:val="bottom"/>
            <w:hideMark/>
          </w:tcPr>
          <w:p w14:paraId="7795BCC6"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0.20</w:t>
            </w:r>
          </w:p>
        </w:tc>
        <w:tc>
          <w:tcPr>
            <w:tcW w:w="740" w:type="dxa"/>
            <w:shd w:val="clear" w:color="auto" w:fill="FFFFFF" w:themeFill="background1"/>
            <w:tcMar>
              <w:top w:w="0" w:type="dxa"/>
              <w:left w:w="45" w:type="dxa"/>
              <w:bottom w:w="0" w:type="dxa"/>
              <w:right w:w="45" w:type="dxa"/>
            </w:tcMar>
            <w:vAlign w:val="bottom"/>
            <w:hideMark/>
          </w:tcPr>
          <w:p w14:paraId="4677F95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670" w:type="dxa"/>
            <w:shd w:val="clear" w:color="auto" w:fill="FFFFFF" w:themeFill="background1"/>
            <w:tcMar>
              <w:top w:w="0" w:type="dxa"/>
              <w:left w:w="45" w:type="dxa"/>
              <w:bottom w:w="0" w:type="dxa"/>
              <w:right w:w="45" w:type="dxa"/>
            </w:tcMar>
            <w:vAlign w:val="bottom"/>
            <w:hideMark/>
          </w:tcPr>
          <w:p w14:paraId="03A5000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0.06</w:t>
            </w:r>
          </w:p>
        </w:tc>
        <w:tc>
          <w:tcPr>
            <w:tcW w:w="490" w:type="dxa"/>
            <w:shd w:val="clear" w:color="auto" w:fill="FFFFFF" w:themeFill="background1"/>
            <w:tcMar>
              <w:top w:w="0" w:type="dxa"/>
              <w:left w:w="45" w:type="dxa"/>
              <w:bottom w:w="0" w:type="dxa"/>
              <w:right w:w="45" w:type="dxa"/>
            </w:tcMar>
            <w:vAlign w:val="bottom"/>
            <w:hideMark/>
          </w:tcPr>
          <w:p w14:paraId="6BFEF7B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0.22</w:t>
            </w:r>
          </w:p>
        </w:tc>
        <w:tc>
          <w:tcPr>
            <w:tcW w:w="810" w:type="dxa"/>
            <w:shd w:val="clear" w:color="auto" w:fill="FFFFFF" w:themeFill="background1"/>
            <w:tcMar>
              <w:top w:w="0" w:type="dxa"/>
              <w:left w:w="45" w:type="dxa"/>
              <w:bottom w:w="0" w:type="dxa"/>
              <w:right w:w="45" w:type="dxa"/>
            </w:tcMar>
            <w:vAlign w:val="bottom"/>
            <w:hideMark/>
          </w:tcPr>
          <w:p w14:paraId="2F71116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0.32</w:t>
            </w:r>
          </w:p>
        </w:tc>
        <w:tc>
          <w:tcPr>
            <w:tcW w:w="850" w:type="dxa"/>
            <w:shd w:val="clear" w:color="auto" w:fill="FFFFFF" w:themeFill="background1"/>
            <w:tcMar>
              <w:top w:w="0" w:type="dxa"/>
              <w:left w:w="45" w:type="dxa"/>
              <w:bottom w:w="0" w:type="dxa"/>
              <w:right w:w="45" w:type="dxa"/>
            </w:tcMar>
            <w:vAlign w:val="bottom"/>
            <w:hideMark/>
          </w:tcPr>
          <w:p w14:paraId="1FB556A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0.27</w:t>
            </w:r>
          </w:p>
        </w:tc>
        <w:tc>
          <w:tcPr>
            <w:tcW w:w="692" w:type="dxa"/>
            <w:shd w:val="clear" w:color="auto" w:fill="FFFFFF" w:themeFill="background1"/>
            <w:tcMar>
              <w:top w:w="0" w:type="dxa"/>
              <w:left w:w="45" w:type="dxa"/>
              <w:bottom w:w="0" w:type="dxa"/>
              <w:right w:w="45" w:type="dxa"/>
            </w:tcMar>
            <w:vAlign w:val="bottom"/>
            <w:hideMark/>
          </w:tcPr>
          <w:p w14:paraId="0AC98A3A"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0.10</w:t>
            </w:r>
          </w:p>
        </w:tc>
        <w:tc>
          <w:tcPr>
            <w:tcW w:w="709" w:type="dxa"/>
            <w:shd w:val="clear" w:color="auto" w:fill="FFFFFF" w:themeFill="background1"/>
            <w:tcMar>
              <w:top w:w="0" w:type="dxa"/>
              <w:left w:w="45" w:type="dxa"/>
              <w:bottom w:w="0" w:type="dxa"/>
              <w:right w:w="45" w:type="dxa"/>
            </w:tcMar>
            <w:vAlign w:val="bottom"/>
            <w:hideMark/>
          </w:tcPr>
          <w:p w14:paraId="70C892D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67" w:type="dxa"/>
            <w:shd w:val="clear" w:color="auto" w:fill="FFFFFF" w:themeFill="background1"/>
            <w:tcMar>
              <w:top w:w="0" w:type="dxa"/>
              <w:left w:w="45" w:type="dxa"/>
              <w:bottom w:w="0" w:type="dxa"/>
              <w:right w:w="45" w:type="dxa"/>
            </w:tcMar>
            <w:vAlign w:val="bottom"/>
            <w:hideMark/>
          </w:tcPr>
          <w:p w14:paraId="59B5E55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0.26</w:t>
            </w:r>
          </w:p>
        </w:tc>
        <w:tc>
          <w:tcPr>
            <w:tcW w:w="758" w:type="dxa"/>
            <w:shd w:val="clear" w:color="auto" w:fill="FFFFFF" w:themeFill="background1"/>
            <w:tcMar>
              <w:top w:w="0" w:type="dxa"/>
              <w:left w:w="45" w:type="dxa"/>
              <w:bottom w:w="0" w:type="dxa"/>
              <w:right w:w="45" w:type="dxa"/>
            </w:tcMar>
            <w:vAlign w:val="bottom"/>
            <w:hideMark/>
          </w:tcPr>
          <w:p w14:paraId="322B630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-0.26</w:t>
            </w:r>
          </w:p>
        </w:tc>
        <w:tc>
          <w:tcPr>
            <w:tcW w:w="567" w:type="dxa"/>
            <w:shd w:val="clear" w:color="auto" w:fill="FFFFFF" w:themeFill="background1"/>
            <w:tcMar>
              <w:top w:w="0" w:type="dxa"/>
              <w:left w:w="45" w:type="dxa"/>
              <w:bottom w:w="0" w:type="dxa"/>
              <w:right w:w="45" w:type="dxa"/>
            </w:tcMar>
            <w:vAlign w:val="bottom"/>
            <w:hideMark/>
          </w:tcPr>
          <w:p w14:paraId="45825D5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0.37</w:t>
            </w:r>
          </w:p>
        </w:tc>
        <w:tc>
          <w:tcPr>
            <w:tcW w:w="530" w:type="dxa"/>
            <w:shd w:val="clear" w:color="auto" w:fill="FFFFFF" w:themeFill="background1"/>
            <w:tcMar>
              <w:top w:w="0" w:type="dxa"/>
              <w:left w:w="45" w:type="dxa"/>
              <w:bottom w:w="0" w:type="dxa"/>
              <w:right w:w="45" w:type="dxa"/>
            </w:tcMar>
            <w:vAlign w:val="bottom"/>
            <w:hideMark/>
          </w:tcPr>
          <w:p w14:paraId="3543474B"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690" w:type="dxa"/>
            <w:shd w:val="clear" w:color="auto" w:fill="FFFFFF" w:themeFill="background1"/>
            <w:tcMar>
              <w:top w:w="0" w:type="dxa"/>
              <w:left w:w="45" w:type="dxa"/>
              <w:bottom w:w="0" w:type="dxa"/>
              <w:right w:w="45" w:type="dxa"/>
            </w:tcMar>
            <w:vAlign w:val="bottom"/>
            <w:hideMark/>
          </w:tcPr>
          <w:p w14:paraId="7112D1A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573" w:type="dxa"/>
            <w:shd w:val="clear" w:color="auto" w:fill="FFFFFF" w:themeFill="background1"/>
            <w:tcMar>
              <w:top w:w="0" w:type="dxa"/>
              <w:left w:w="45" w:type="dxa"/>
              <w:bottom w:w="0" w:type="dxa"/>
              <w:right w:w="45" w:type="dxa"/>
            </w:tcMar>
            <w:vAlign w:val="bottom"/>
            <w:hideMark/>
          </w:tcPr>
          <w:p w14:paraId="7A02B3F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709" w:type="dxa"/>
            <w:shd w:val="clear" w:color="auto" w:fill="FFFFFF" w:themeFill="background1"/>
            <w:tcMar>
              <w:top w:w="0" w:type="dxa"/>
              <w:left w:w="45" w:type="dxa"/>
              <w:bottom w:w="0" w:type="dxa"/>
              <w:right w:w="45" w:type="dxa"/>
            </w:tcMar>
            <w:vAlign w:val="bottom"/>
            <w:hideMark/>
          </w:tcPr>
          <w:p w14:paraId="54BFB82B" w14:textId="77777777" w:rsidR="00A74F6E" w:rsidRPr="00EA618B" w:rsidRDefault="00A74F6E" w:rsidP="0010233B">
            <w:pPr>
              <w:spacing w:after="0" w:line="240" w:lineRule="auto"/>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5A091991"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025E305C"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2CEAE8F5"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AGE</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4AF7C22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0.07</w:t>
            </w:r>
          </w:p>
        </w:tc>
        <w:tc>
          <w:tcPr>
            <w:tcW w:w="709" w:type="dxa"/>
            <w:shd w:val="clear" w:color="auto" w:fill="FFFFFF" w:themeFill="background1"/>
            <w:tcMar>
              <w:top w:w="0" w:type="dxa"/>
              <w:left w:w="45" w:type="dxa"/>
              <w:bottom w:w="0" w:type="dxa"/>
              <w:right w:w="45" w:type="dxa"/>
            </w:tcMar>
            <w:vAlign w:val="bottom"/>
            <w:hideMark/>
          </w:tcPr>
          <w:p w14:paraId="1DDFAF5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708" w:type="dxa"/>
            <w:shd w:val="clear" w:color="auto" w:fill="FFFFFF" w:themeFill="background1"/>
            <w:tcMar>
              <w:top w:w="0" w:type="dxa"/>
              <w:left w:w="45" w:type="dxa"/>
              <w:bottom w:w="0" w:type="dxa"/>
              <w:right w:w="45" w:type="dxa"/>
            </w:tcMar>
            <w:vAlign w:val="bottom"/>
            <w:hideMark/>
          </w:tcPr>
          <w:p w14:paraId="2955F19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0.00</w:t>
            </w:r>
          </w:p>
        </w:tc>
        <w:tc>
          <w:tcPr>
            <w:tcW w:w="830" w:type="dxa"/>
            <w:shd w:val="clear" w:color="auto" w:fill="FFFFFF" w:themeFill="background1"/>
            <w:tcMar>
              <w:top w:w="0" w:type="dxa"/>
              <w:left w:w="45" w:type="dxa"/>
              <w:bottom w:w="0" w:type="dxa"/>
              <w:right w:w="45" w:type="dxa"/>
            </w:tcMar>
            <w:vAlign w:val="bottom"/>
            <w:hideMark/>
          </w:tcPr>
          <w:p w14:paraId="61224A6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871" w:type="dxa"/>
            <w:shd w:val="clear" w:color="auto" w:fill="FFFFFF" w:themeFill="background1"/>
            <w:tcMar>
              <w:top w:w="0" w:type="dxa"/>
              <w:left w:w="45" w:type="dxa"/>
              <w:bottom w:w="0" w:type="dxa"/>
              <w:right w:w="45" w:type="dxa"/>
            </w:tcMar>
            <w:vAlign w:val="bottom"/>
            <w:hideMark/>
          </w:tcPr>
          <w:p w14:paraId="7B8C563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-0.19</w:t>
            </w:r>
          </w:p>
        </w:tc>
        <w:tc>
          <w:tcPr>
            <w:tcW w:w="821" w:type="dxa"/>
            <w:shd w:val="clear" w:color="auto" w:fill="FFFFFF" w:themeFill="background1"/>
            <w:tcMar>
              <w:top w:w="0" w:type="dxa"/>
              <w:left w:w="45" w:type="dxa"/>
              <w:bottom w:w="0" w:type="dxa"/>
              <w:right w:w="45" w:type="dxa"/>
            </w:tcMar>
            <w:vAlign w:val="bottom"/>
            <w:hideMark/>
          </w:tcPr>
          <w:p w14:paraId="51D5245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0.01</w:t>
            </w:r>
          </w:p>
        </w:tc>
        <w:tc>
          <w:tcPr>
            <w:tcW w:w="880" w:type="dxa"/>
            <w:shd w:val="clear" w:color="auto" w:fill="FFFFFF" w:themeFill="background1"/>
            <w:tcMar>
              <w:top w:w="0" w:type="dxa"/>
              <w:left w:w="45" w:type="dxa"/>
              <w:bottom w:w="0" w:type="dxa"/>
              <w:right w:w="45" w:type="dxa"/>
            </w:tcMar>
            <w:vAlign w:val="bottom"/>
            <w:hideMark/>
          </w:tcPr>
          <w:p w14:paraId="78DF469C"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-0.12</w:t>
            </w:r>
          </w:p>
        </w:tc>
        <w:tc>
          <w:tcPr>
            <w:tcW w:w="740" w:type="dxa"/>
            <w:shd w:val="clear" w:color="auto" w:fill="FFFFFF" w:themeFill="background1"/>
            <w:tcMar>
              <w:top w:w="0" w:type="dxa"/>
              <w:left w:w="45" w:type="dxa"/>
              <w:bottom w:w="0" w:type="dxa"/>
              <w:right w:w="45" w:type="dxa"/>
            </w:tcMar>
            <w:vAlign w:val="bottom"/>
            <w:hideMark/>
          </w:tcPr>
          <w:p w14:paraId="28A4D34C"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670" w:type="dxa"/>
            <w:shd w:val="clear" w:color="auto" w:fill="FFFFFF" w:themeFill="background1"/>
            <w:tcMar>
              <w:top w:w="0" w:type="dxa"/>
              <w:left w:w="45" w:type="dxa"/>
              <w:bottom w:w="0" w:type="dxa"/>
              <w:right w:w="45" w:type="dxa"/>
            </w:tcMar>
            <w:vAlign w:val="bottom"/>
            <w:hideMark/>
          </w:tcPr>
          <w:p w14:paraId="564AD19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490" w:type="dxa"/>
            <w:shd w:val="clear" w:color="auto" w:fill="FFFFFF" w:themeFill="background1"/>
            <w:tcMar>
              <w:top w:w="0" w:type="dxa"/>
              <w:left w:w="45" w:type="dxa"/>
              <w:bottom w:w="0" w:type="dxa"/>
              <w:right w:w="45" w:type="dxa"/>
            </w:tcMar>
            <w:vAlign w:val="bottom"/>
            <w:hideMark/>
          </w:tcPr>
          <w:p w14:paraId="0F56820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0.06</w:t>
            </w:r>
          </w:p>
        </w:tc>
        <w:tc>
          <w:tcPr>
            <w:tcW w:w="810" w:type="dxa"/>
            <w:shd w:val="clear" w:color="auto" w:fill="FFFFFF" w:themeFill="background1"/>
            <w:tcMar>
              <w:top w:w="0" w:type="dxa"/>
              <w:left w:w="45" w:type="dxa"/>
              <w:bottom w:w="0" w:type="dxa"/>
              <w:right w:w="45" w:type="dxa"/>
            </w:tcMar>
            <w:vAlign w:val="bottom"/>
            <w:hideMark/>
          </w:tcPr>
          <w:p w14:paraId="04C795B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0.08</w:t>
            </w:r>
          </w:p>
        </w:tc>
        <w:tc>
          <w:tcPr>
            <w:tcW w:w="850" w:type="dxa"/>
            <w:shd w:val="clear" w:color="auto" w:fill="FFFFFF" w:themeFill="background1"/>
            <w:tcMar>
              <w:top w:w="0" w:type="dxa"/>
              <w:left w:w="45" w:type="dxa"/>
              <w:bottom w:w="0" w:type="dxa"/>
              <w:right w:w="45" w:type="dxa"/>
            </w:tcMar>
            <w:vAlign w:val="bottom"/>
            <w:hideMark/>
          </w:tcPr>
          <w:p w14:paraId="77C796B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692" w:type="dxa"/>
            <w:shd w:val="clear" w:color="auto" w:fill="FFFFFF" w:themeFill="background1"/>
            <w:tcMar>
              <w:top w:w="0" w:type="dxa"/>
              <w:left w:w="45" w:type="dxa"/>
              <w:bottom w:w="0" w:type="dxa"/>
              <w:right w:w="45" w:type="dxa"/>
            </w:tcMar>
            <w:vAlign w:val="bottom"/>
            <w:hideMark/>
          </w:tcPr>
          <w:p w14:paraId="3EEF149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0.02</w:t>
            </w:r>
          </w:p>
        </w:tc>
        <w:tc>
          <w:tcPr>
            <w:tcW w:w="709" w:type="dxa"/>
            <w:shd w:val="clear" w:color="auto" w:fill="FFFFFF" w:themeFill="background1"/>
            <w:tcMar>
              <w:top w:w="0" w:type="dxa"/>
              <w:left w:w="45" w:type="dxa"/>
              <w:bottom w:w="0" w:type="dxa"/>
              <w:right w:w="45" w:type="dxa"/>
            </w:tcMar>
            <w:vAlign w:val="bottom"/>
            <w:hideMark/>
          </w:tcPr>
          <w:p w14:paraId="74F60B1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67" w:type="dxa"/>
            <w:shd w:val="clear" w:color="auto" w:fill="FFFFFF" w:themeFill="background1"/>
            <w:tcMar>
              <w:top w:w="0" w:type="dxa"/>
              <w:left w:w="45" w:type="dxa"/>
              <w:bottom w:w="0" w:type="dxa"/>
              <w:right w:w="45" w:type="dxa"/>
            </w:tcMar>
            <w:vAlign w:val="bottom"/>
            <w:hideMark/>
          </w:tcPr>
          <w:p w14:paraId="1E15806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758" w:type="dxa"/>
            <w:shd w:val="clear" w:color="auto" w:fill="FFFFFF" w:themeFill="background1"/>
            <w:tcMar>
              <w:top w:w="0" w:type="dxa"/>
              <w:left w:w="45" w:type="dxa"/>
              <w:bottom w:w="0" w:type="dxa"/>
              <w:right w:w="45" w:type="dxa"/>
            </w:tcMar>
            <w:vAlign w:val="bottom"/>
            <w:hideMark/>
          </w:tcPr>
          <w:p w14:paraId="39EC9942"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-0.14</w:t>
            </w:r>
          </w:p>
        </w:tc>
        <w:tc>
          <w:tcPr>
            <w:tcW w:w="567" w:type="dxa"/>
            <w:shd w:val="clear" w:color="auto" w:fill="FFFFFF" w:themeFill="background1"/>
            <w:tcMar>
              <w:top w:w="0" w:type="dxa"/>
              <w:left w:w="45" w:type="dxa"/>
              <w:bottom w:w="0" w:type="dxa"/>
              <w:right w:w="45" w:type="dxa"/>
            </w:tcMar>
            <w:vAlign w:val="bottom"/>
            <w:hideMark/>
          </w:tcPr>
          <w:p w14:paraId="44C053A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30" w:type="dxa"/>
            <w:shd w:val="clear" w:color="auto" w:fill="FFFFFF" w:themeFill="background1"/>
            <w:tcMar>
              <w:top w:w="0" w:type="dxa"/>
              <w:left w:w="45" w:type="dxa"/>
              <w:bottom w:w="0" w:type="dxa"/>
              <w:right w:w="45" w:type="dxa"/>
            </w:tcMar>
            <w:vAlign w:val="bottom"/>
            <w:hideMark/>
          </w:tcPr>
          <w:p w14:paraId="21558C2D"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690" w:type="dxa"/>
            <w:shd w:val="clear" w:color="auto" w:fill="FFFFFF" w:themeFill="background1"/>
            <w:tcMar>
              <w:top w:w="0" w:type="dxa"/>
              <w:left w:w="45" w:type="dxa"/>
              <w:bottom w:w="0" w:type="dxa"/>
              <w:right w:w="45" w:type="dxa"/>
            </w:tcMar>
            <w:vAlign w:val="bottom"/>
            <w:hideMark/>
          </w:tcPr>
          <w:p w14:paraId="69EF6CC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573" w:type="dxa"/>
            <w:shd w:val="clear" w:color="auto" w:fill="FFFFFF" w:themeFill="background1"/>
            <w:tcMar>
              <w:top w:w="0" w:type="dxa"/>
              <w:left w:w="45" w:type="dxa"/>
              <w:bottom w:w="0" w:type="dxa"/>
              <w:right w:w="45" w:type="dxa"/>
            </w:tcMar>
            <w:vAlign w:val="bottom"/>
            <w:hideMark/>
          </w:tcPr>
          <w:p w14:paraId="212C93EA"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709" w:type="dxa"/>
            <w:shd w:val="clear" w:color="auto" w:fill="FFFFFF" w:themeFill="background1"/>
            <w:tcMar>
              <w:top w:w="0" w:type="dxa"/>
              <w:left w:w="45" w:type="dxa"/>
              <w:bottom w:w="0" w:type="dxa"/>
              <w:right w:w="45" w:type="dxa"/>
            </w:tcMar>
            <w:vAlign w:val="bottom"/>
            <w:hideMark/>
          </w:tcPr>
          <w:p w14:paraId="46334363"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p>
        </w:tc>
        <w:tc>
          <w:tcPr>
            <w:tcW w:w="570" w:type="dxa"/>
            <w:shd w:val="clear" w:color="auto" w:fill="FFFFFF" w:themeFill="background1"/>
            <w:tcMar>
              <w:top w:w="0" w:type="dxa"/>
              <w:left w:w="45" w:type="dxa"/>
              <w:bottom w:w="0" w:type="dxa"/>
              <w:right w:w="45" w:type="dxa"/>
            </w:tcMar>
            <w:vAlign w:val="bottom"/>
            <w:hideMark/>
          </w:tcPr>
          <w:p w14:paraId="37ACFC77" w14:textId="77777777" w:rsidR="00A74F6E" w:rsidRPr="00EA618B" w:rsidRDefault="00A74F6E" w:rsidP="0010233B">
            <w:pPr>
              <w:spacing w:after="0" w:line="240" w:lineRule="auto"/>
              <w:rPr>
                <w:rFonts w:ascii="Times New Roman" w:eastAsia="Times New Roman" w:hAnsi="Times New Roman" w:cs="Times New Roman"/>
                <w:sz w:val="20"/>
                <w:szCs w:val="20"/>
              </w:rPr>
            </w:pPr>
          </w:p>
        </w:tc>
      </w:tr>
      <w:tr w:rsidR="00A74F6E" w:rsidRPr="00EA618B" w14:paraId="3A7F7161"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7271E5B4"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RE/TA</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168611A6"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0.13</w:t>
            </w:r>
          </w:p>
        </w:tc>
        <w:tc>
          <w:tcPr>
            <w:tcW w:w="709" w:type="dxa"/>
            <w:shd w:val="clear" w:color="auto" w:fill="FFFFFF" w:themeFill="background1"/>
            <w:tcMar>
              <w:top w:w="0" w:type="dxa"/>
              <w:left w:w="45" w:type="dxa"/>
              <w:bottom w:w="0" w:type="dxa"/>
              <w:right w:w="45" w:type="dxa"/>
            </w:tcMar>
            <w:vAlign w:val="bottom"/>
            <w:hideMark/>
          </w:tcPr>
          <w:p w14:paraId="305FBD09"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708" w:type="dxa"/>
            <w:shd w:val="clear" w:color="auto" w:fill="FFFFFF" w:themeFill="background1"/>
            <w:tcMar>
              <w:top w:w="0" w:type="dxa"/>
              <w:left w:w="45" w:type="dxa"/>
              <w:bottom w:w="0" w:type="dxa"/>
              <w:right w:w="45" w:type="dxa"/>
            </w:tcMar>
            <w:vAlign w:val="bottom"/>
            <w:hideMark/>
          </w:tcPr>
          <w:p w14:paraId="63E3D0C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0.05</w:t>
            </w:r>
          </w:p>
        </w:tc>
        <w:tc>
          <w:tcPr>
            <w:tcW w:w="830" w:type="dxa"/>
            <w:shd w:val="clear" w:color="auto" w:fill="FFFFFF" w:themeFill="background1"/>
            <w:tcMar>
              <w:top w:w="0" w:type="dxa"/>
              <w:left w:w="45" w:type="dxa"/>
              <w:bottom w:w="0" w:type="dxa"/>
              <w:right w:w="45" w:type="dxa"/>
            </w:tcMar>
            <w:vAlign w:val="bottom"/>
            <w:hideMark/>
          </w:tcPr>
          <w:p w14:paraId="35CDE35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3698955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21" w:type="dxa"/>
            <w:shd w:val="clear" w:color="auto" w:fill="FFFFFF" w:themeFill="background1"/>
            <w:tcMar>
              <w:top w:w="0" w:type="dxa"/>
              <w:left w:w="45" w:type="dxa"/>
              <w:bottom w:w="0" w:type="dxa"/>
              <w:right w:w="45" w:type="dxa"/>
            </w:tcMar>
            <w:vAlign w:val="bottom"/>
            <w:hideMark/>
          </w:tcPr>
          <w:p w14:paraId="16A7198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0.42</w:t>
            </w:r>
          </w:p>
        </w:tc>
        <w:tc>
          <w:tcPr>
            <w:tcW w:w="880" w:type="dxa"/>
            <w:shd w:val="clear" w:color="auto" w:fill="FFFFFF" w:themeFill="background1"/>
            <w:tcMar>
              <w:top w:w="0" w:type="dxa"/>
              <w:left w:w="45" w:type="dxa"/>
              <w:bottom w:w="0" w:type="dxa"/>
              <w:right w:w="45" w:type="dxa"/>
            </w:tcMar>
            <w:vAlign w:val="bottom"/>
            <w:hideMark/>
          </w:tcPr>
          <w:p w14:paraId="238B3CD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-0.15</w:t>
            </w:r>
          </w:p>
        </w:tc>
        <w:tc>
          <w:tcPr>
            <w:tcW w:w="740" w:type="dxa"/>
            <w:shd w:val="clear" w:color="auto" w:fill="FFFFFF" w:themeFill="background1"/>
            <w:tcMar>
              <w:top w:w="0" w:type="dxa"/>
              <w:left w:w="45" w:type="dxa"/>
              <w:bottom w:w="0" w:type="dxa"/>
              <w:right w:w="45" w:type="dxa"/>
            </w:tcMar>
            <w:vAlign w:val="bottom"/>
            <w:hideMark/>
          </w:tcPr>
          <w:p w14:paraId="2FA9D40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670" w:type="dxa"/>
            <w:shd w:val="clear" w:color="auto" w:fill="FFFFFF" w:themeFill="background1"/>
            <w:tcMar>
              <w:top w:w="0" w:type="dxa"/>
              <w:left w:w="45" w:type="dxa"/>
              <w:bottom w:w="0" w:type="dxa"/>
              <w:right w:w="45" w:type="dxa"/>
            </w:tcMar>
            <w:vAlign w:val="bottom"/>
            <w:hideMark/>
          </w:tcPr>
          <w:p w14:paraId="2138EFA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490" w:type="dxa"/>
            <w:shd w:val="clear" w:color="auto" w:fill="FFFFFF" w:themeFill="background1"/>
            <w:tcMar>
              <w:top w:w="0" w:type="dxa"/>
              <w:left w:w="45" w:type="dxa"/>
              <w:bottom w:w="0" w:type="dxa"/>
              <w:right w:w="45" w:type="dxa"/>
            </w:tcMar>
            <w:vAlign w:val="bottom"/>
            <w:hideMark/>
          </w:tcPr>
          <w:p w14:paraId="204EE051"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0.35</w:t>
            </w:r>
          </w:p>
        </w:tc>
        <w:tc>
          <w:tcPr>
            <w:tcW w:w="810" w:type="dxa"/>
            <w:shd w:val="clear" w:color="auto" w:fill="FFFFFF" w:themeFill="background1"/>
            <w:tcMar>
              <w:top w:w="0" w:type="dxa"/>
              <w:left w:w="45" w:type="dxa"/>
              <w:bottom w:w="0" w:type="dxa"/>
              <w:right w:w="45" w:type="dxa"/>
            </w:tcMar>
            <w:vAlign w:val="bottom"/>
            <w:hideMark/>
          </w:tcPr>
          <w:p w14:paraId="0D004691"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0.13</w:t>
            </w:r>
          </w:p>
        </w:tc>
        <w:tc>
          <w:tcPr>
            <w:tcW w:w="850" w:type="dxa"/>
            <w:shd w:val="clear" w:color="auto" w:fill="FFFFFF" w:themeFill="background1"/>
            <w:tcMar>
              <w:top w:w="0" w:type="dxa"/>
              <w:left w:w="45" w:type="dxa"/>
              <w:bottom w:w="0" w:type="dxa"/>
              <w:right w:w="45" w:type="dxa"/>
            </w:tcMar>
            <w:vAlign w:val="bottom"/>
            <w:hideMark/>
          </w:tcPr>
          <w:p w14:paraId="5E9FD28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692" w:type="dxa"/>
            <w:shd w:val="clear" w:color="auto" w:fill="FFFFFF" w:themeFill="background1"/>
            <w:tcMar>
              <w:top w:w="0" w:type="dxa"/>
              <w:left w:w="45" w:type="dxa"/>
              <w:bottom w:w="0" w:type="dxa"/>
              <w:right w:w="45" w:type="dxa"/>
            </w:tcMar>
            <w:vAlign w:val="bottom"/>
            <w:hideMark/>
          </w:tcPr>
          <w:p w14:paraId="345DA665"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0.05</w:t>
            </w:r>
          </w:p>
        </w:tc>
        <w:tc>
          <w:tcPr>
            <w:tcW w:w="709" w:type="dxa"/>
            <w:shd w:val="clear" w:color="auto" w:fill="FFFFFF" w:themeFill="background1"/>
            <w:tcMar>
              <w:top w:w="0" w:type="dxa"/>
              <w:left w:w="45" w:type="dxa"/>
              <w:bottom w:w="0" w:type="dxa"/>
              <w:right w:w="45" w:type="dxa"/>
            </w:tcMar>
            <w:vAlign w:val="bottom"/>
            <w:hideMark/>
          </w:tcPr>
          <w:p w14:paraId="07C5407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567" w:type="dxa"/>
            <w:shd w:val="clear" w:color="auto" w:fill="FFFFFF" w:themeFill="background1"/>
            <w:tcMar>
              <w:top w:w="0" w:type="dxa"/>
              <w:left w:w="45" w:type="dxa"/>
              <w:bottom w:w="0" w:type="dxa"/>
              <w:right w:w="45" w:type="dxa"/>
            </w:tcMar>
            <w:vAlign w:val="bottom"/>
            <w:hideMark/>
          </w:tcPr>
          <w:p w14:paraId="3547E66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0.06</w:t>
            </w:r>
          </w:p>
        </w:tc>
        <w:tc>
          <w:tcPr>
            <w:tcW w:w="758" w:type="dxa"/>
            <w:shd w:val="clear" w:color="auto" w:fill="FFFFFF" w:themeFill="background1"/>
            <w:tcMar>
              <w:top w:w="0" w:type="dxa"/>
              <w:left w:w="45" w:type="dxa"/>
              <w:bottom w:w="0" w:type="dxa"/>
              <w:right w:w="45" w:type="dxa"/>
            </w:tcMar>
            <w:vAlign w:val="bottom"/>
            <w:hideMark/>
          </w:tcPr>
          <w:p w14:paraId="225F0C4F"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0.04</w:t>
            </w:r>
          </w:p>
        </w:tc>
        <w:tc>
          <w:tcPr>
            <w:tcW w:w="567" w:type="dxa"/>
            <w:shd w:val="clear" w:color="auto" w:fill="FFFFFF" w:themeFill="background1"/>
            <w:tcMar>
              <w:top w:w="0" w:type="dxa"/>
              <w:left w:w="45" w:type="dxa"/>
              <w:bottom w:w="0" w:type="dxa"/>
              <w:right w:w="45" w:type="dxa"/>
            </w:tcMar>
            <w:vAlign w:val="bottom"/>
            <w:hideMark/>
          </w:tcPr>
          <w:p w14:paraId="3367F516"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0.04</w:t>
            </w:r>
          </w:p>
        </w:tc>
        <w:tc>
          <w:tcPr>
            <w:tcW w:w="530" w:type="dxa"/>
            <w:shd w:val="clear" w:color="auto" w:fill="FFFFFF" w:themeFill="background1"/>
            <w:tcMar>
              <w:top w:w="0" w:type="dxa"/>
              <w:left w:w="45" w:type="dxa"/>
              <w:bottom w:w="0" w:type="dxa"/>
              <w:right w:w="45" w:type="dxa"/>
            </w:tcMar>
            <w:vAlign w:val="bottom"/>
            <w:hideMark/>
          </w:tcPr>
          <w:p w14:paraId="3632244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690" w:type="dxa"/>
            <w:shd w:val="clear" w:color="auto" w:fill="FFFFFF" w:themeFill="background1"/>
            <w:tcMar>
              <w:top w:w="0" w:type="dxa"/>
              <w:left w:w="45" w:type="dxa"/>
              <w:bottom w:w="0" w:type="dxa"/>
              <w:right w:w="45" w:type="dxa"/>
            </w:tcMar>
            <w:vAlign w:val="bottom"/>
            <w:hideMark/>
          </w:tcPr>
          <w:p w14:paraId="3CA6CF7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0.24</w:t>
            </w:r>
          </w:p>
        </w:tc>
        <w:tc>
          <w:tcPr>
            <w:tcW w:w="573" w:type="dxa"/>
            <w:shd w:val="clear" w:color="auto" w:fill="FFFFFF" w:themeFill="background1"/>
            <w:tcMar>
              <w:top w:w="0" w:type="dxa"/>
              <w:left w:w="45" w:type="dxa"/>
              <w:bottom w:w="0" w:type="dxa"/>
              <w:right w:w="45" w:type="dxa"/>
            </w:tcMar>
            <w:vAlign w:val="bottom"/>
            <w:hideMark/>
          </w:tcPr>
          <w:p w14:paraId="66713AD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0.09</w:t>
            </w:r>
          </w:p>
        </w:tc>
        <w:tc>
          <w:tcPr>
            <w:tcW w:w="709" w:type="dxa"/>
            <w:shd w:val="clear" w:color="auto" w:fill="FFFFFF" w:themeFill="background1"/>
            <w:tcMar>
              <w:top w:w="0" w:type="dxa"/>
              <w:left w:w="45" w:type="dxa"/>
              <w:bottom w:w="0" w:type="dxa"/>
              <w:right w:w="45" w:type="dxa"/>
            </w:tcMar>
            <w:vAlign w:val="bottom"/>
            <w:hideMark/>
          </w:tcPr>
          <w:p w14:paraId="20EABED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1</w:t>
            </w:r>
          </w:p>
        </w:tc>
        <w:tc>
          <w:tcPr>
            <w:tcW w:w="570" w:type="dxa"/>
            <w:shd w:val="clear" w:color="auto" w:fill="FFFFFF" w:themeFill="background1"/>
            <w:tcMar>
              <w:top w:w="0" w:type="dxa"/>
              <w:left w:w="45" w:type="dxa"/>
              <w:bottom w:w="0" w:type="dxa"/>
              <w:right w:w="45" w:type="dxa"/>
            </w:tcMar>
            <w:vAlign w:val="bottom"/>
            <w:hideMark/>
          </w:tcPr>
          <w:p w14:paraId="68A91B0B" w14:textId="77777777" w:rsidR="00A74F6E" w:rsidRPr="00EA618B" w:rsidRDefault="00A74F6E" w:rsidP="0010233B">
            <w:pPr>
              <w:spacing w:after="0" w:line="240" w:lineRule="auto"/>
              <w:jc w:val="right"/>
              <w:rPr>
                <w:rFonts w:ascii="Times New Roman" w:eastAsia="Times New Roman" w:hAnsi="Times New Roman" w:cs="Times New Roman"/>
                <w:sz w:val="20"/>
                <w:szCs w:val="20"/>
              </w:rPr>
            </w:pPr>
          </w:p>
        </w:tc>
      </w:tr>
      <w:tr w:rsidR="00A74F6E" w:rsidRPr="00EA618B" w14:paraId="1BFAAD63" w14:textId="77777777" w:rsidTr="0010233B">
        <w:trPr>
          <w:trHeight w:val="300"/>
        </w:trPr>
        <w:tc>
          <w:tcPr>
            <w:tcW w:w="1135" w:type="dxa"/>
            <w:shd w:val="clear" w:color="auto" w:fill="FFFFFF" w:themeFill="background1"/>
            <w:tcMar>
              <w:top w:w="0" w:type="dxa"/>
              <w:left w:w="45" w:type="dxa"/>
              <w:bottom w:w="0" w:type="dxa"/>
              <w:right w:w="45" w:type="dxa"/>
            </w:tcMar>
            <w:vAlign w:val="center"/>
            <w:hideMark/>
          </w:tcPr>
          <w:p w14:paraId="462D5DCB" w14:textId="77777777" w:rsidR="00A74F6E" w:rsidRPr="005C4178" w:rsidRDefault="00A74F6E" w:rsidP="0010233B">
            <w:pPr>
              <w:spacing w:after="0" w:line="240" w:lineRule="auto"/>
              <w:rPr>
                <w:rFonts w:ascii="Times New Roman" w:eastAsia="Times New Roman" w:hAnsi="Times New Roman" w:cs="Times New Roman"/>
                <w:i/>
                <w:iCs/>
                <w:color w:val="000000" w:themeColor="text1"/>
                <w:sz w:val="16"/>
                <w:szCs w:val="16"/>
              </w:rPr>
            </w:pPr>
            <w:r w:rsidRPr="005C4178">
              <w:rPr>
                <w:rFonts w:ascii="Times New Roman" w:eastAsia="Times New Roman" w:hAnsi="Times New Roman" w:cs="Times New Roman"/>
                <w:i/>
                <w:iCs/>
                <w:color w:val="000000" w:themeColor="text1"/>
                <w:sz w:val="16"/>
                <w:szCs w:val="16"/>
              </w:rPr>
              <w:t>DIVDUM</w:t>
            </w:r>
            <w:r w:rsidRPr="005C4178">
              <w:rPr>
                <w:rFonts w:ascii="Times New Roman" w:eastAsia="Times New Roman" w:hAnsi="Times New Roman" w:cs="Times New Roman"/>
                <w:i/>
                <w:iCs/>
                <w:color w:val="000000" w:themeColor="text1"/>
                <w:sz w:val="16"/>
                <w:szCs w:val="16"/>
                <w:vertAlign w:val="subscript"/>
              </w:rPr>
              <w:t>t-1</w:t>
            </w:r>
          </w:p>
        </w:tc>
        <w:tc>
          <w:tcPr>
            <w:tcW w:w="709" w:type="dxa"/>
            <w:shd w:val="clear" w:color="auto" w:fill="FFFFFF" w:themeFill="background1"/>
            <w:tcMar>
              <w:top w:w="0" w:type="dxa"/>
              <w:left w:w="45" w:type="dxa"/>
              <w:bottom w:w="0" w:type="dxa"/>
              <w:right w:w="45" w:type="dxa"/>
            </w:tcMar>
            <w:vAlign w:val="bottom"/>
            <w:hideMark/>
          </w:tcPr>
          <w:p w14:paraId="5574207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0.18</w:t>
            </w:r>
          </w:p>
        </w:tc>
        <w:tc>
          <w:tcPr>
            <w:tcW w:w="709" w:type="dxa"/>
            <w:shd w:val="clear" w:color="auto" w:fill="FFFFFF" w:themeFill="background1"/>
            <w:tcMar>
              <w:top w:w="0" w:type="dxa"/>
              <w:left w:w="45" w:type="dxa"/>
              <w:bottom w:w="0" w:type="dxa"/>
              <w:right w:w="45" w:type="dxa"/>
            </w:tcMar>
            <w:vAlign w:val="bottom"/>
            <w:hideMark/>
          </w:tcPr>
          <w:p w14:paraId="630F6341"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0.07</w:t>
            </w:r>
          </w:p>
        </w:tc>
        <w:tc>
          <w:tcPr>
            <w:tcW w:w="708" w:type="dxa"/>
            <w:shd w:val="clear" w:color="auto" w:fill="FFFFFF" w:themeFill="background1"/>
            <w:tcMar>
              <w:top w:w="0" w:type="dxa"/>
              <w:left w:w="45" w:type="dxa"/>
              <w:bottom w:w="0" w:type="dxa"/>
              <w:right w:w="45" w:type="dxa"/>
            </w:tcMar>
            <w:vAlign w:val="bottom"/>
            <w:hideMark/>
          </w:tcPr>
          <w:p w14:paraId="605F9A84"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0.06</w:t>
            </w:r>
          </w:p>
        </w:tc>
        <w:tc>
          <w:tcPr>
            <w:tcW w:w="830" w:type="dxa"/>
            <w:shd w:val="clear" w:color="auto" w:fill="FFFFFF" w:themeFill="background1"/>
            <w:tcMar>
              <w:top w:w="0" w:type="dxa"/>
              <w:left w:w="45" w:type="dxa"/>
              <w:bottom w:w="0" w:type="dxa"/>
              <w:right w:w="45" w:type="dxa"/>
            </w:tcMar>
            <w:vAlign w:val="bottom"/>
            <w:hideMark/>
          </w:tcPr>
          <w:p w14:paraId="4EB794FE"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-0.01</w:t>
            </w:r>
          </w:p>
        </w:tc>
        <w:tc>
          <w:tcPr>
            <w:tcW w:w="871" w:type="dxa"/>
            <w:shd w:val="clear" w:color="auto" w:fill="FFFFFF" w:themeFill="background1"/>
            <w:tcMar>
              <w:top w:w="0" w:type="dxa"/>
              <w:left w:w="45" w:type="dxa"/>
              <w:bottom w:w="0" w:type="dxa"/>
              <w:right w:w="45" w:type="dxa"/>
            </w:tcMar>
            <w:vAlign w:val="bottom"/>
            <w:hideMark/>
          </w:tcPr>
          <w:p w14:paraId="73DBA259"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-0.08</w:t>
            </w:r>
          </w:p>
        </w:tc>
        <w:tc>
          <w:tcPr>
            <w:tcW w:w="821" w:type="dxa"/>
            <w:shd w:val="clear" w:color="auto" w:fill="FFFFFF" w:themeFill="background1"/>
            <w:tcMar>
              <w:top w:w="0" w:type="dxa"/>
              <w:left w:w="45" w:type="dxa"/>
              <w:bottom w:w="0" w:type="dxa"/>
              <w:right w:w="45" w:type="dxa"/>
            </w:tcMar>
            <w:vAlign w:val="bottom"/>
            <w:hideMark/>
          </w:tcPr>
          <w:p w14:paraId="4BF0148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b/>
                <w:bCs/>
                <w:color w:val="000000"/>
                <w:sz w:val="18"/>
                <w:szCs w:val="18"/>
              </w:rPr>
              <w:t>0.37</w:t>
            </w:r>
          </w:p>
        </w:tc>
        <w:tc>
          <w:tcPr>
            <w:tcW w:w="880" w:type="dxa"/>
            <w:shd w:val="clear" w:color="auto" w:fill="FFFFFF" w:themeFill="background1"/>
            <w:tcMar>
              <w:top w:w="0" w:type="dxa"/>
              <w:left w:w="45" w:type="dxa"/>
              <w:bottom w:w="0" w:type="dxa"/>
              <w:right w:w="45" w:type="dxa"/>
            </w:tcMar>
            <w:vAlign w:val="bottom"/>
            <w:hideMark/>
          </w:tcPr>
          <w:p w14:paraId="544FB9E2"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740" w:type="dxa"/>
            <w:shd w:val="clear" w:color="auto" w:fill="FFFFFF" w:themeFill="background1"/>
            <w:tcMar>
              <w:top w:w="0" w:type="dxa"/>
              <w:left w:w="45" w:type="dxa"/>
              <w:bottom w:w="0" w:type="dxa"/>
              <w:right w:w="45" w:type="dxa"/>
            </w:tcMar>
            <w:vAlign w:val="bottom"/>
            <w:hideMark/>
          </w:tcPr>
          <w:p w14:paraId="119AFA35"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0.03</w:t>
            </w:r>
          </w:p>
        </w:tc>
        <w:tc>
          <w:tcPr>
            <w:tcW w:w="670" w:type="dxa"/>
            <w:shd w:val="clear" w:color="auto" w:fill="FFFFFF" w:themeFill="background1"/>
            <w:tcMar>
              <w:top w:w="0" w:type="dxa"/>
              <w:left w:w="45" w:type="dxa"/>
              <w:bottom w:w="0" w:type="dxa"/>
              <w:right w:w="45" w:type="dxa"/>
            </w:tcMar>
            <w:vAlign w:val="bottom"/>
            <w:hideMark/>
          </w:tcPr>
          <w:p w14:paraId="017D7456"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0.15</w:t>
            </w:r>
          </w:p>
        </w:tc>
        <w:tc>
          <w:tcPr>
            <w:tcW w:w="490" w:type="dxa"/>
            <w:shd w:val="clear" w:color="auto" w:fill="FFFFFF" w:themeFill="background1"/>
            <w:tcMar>
              <w:top w:w="0" w:type="dxa"/>
              <w:left w:w="45" w:type="dxa"/>
              <w:bottom w:w="0" w:type="dxa"/>
              <w:right w:w="45" w:type="dxa"/>
            </w:tcMar>
            <w:vAlign w:val="bottom"/>
            <w:hideMark/>
          </w:tcPr>
          <w:p w14:paraId="44E4B9BE"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0.34</w:t>
            </w:r>
          </w:p>
        </w:tc>
        <w:tc>
          <w:tcPr>
            <w:tcW w:w="810" w:type="dxa"/>
            <w:shd w:val="clear" w:color="auto" w:fill="FFFFFF" w:themeFill="background1"/>
            <w:tcMar>
              <w:top w:w="0" w:type="dxa"/>
              <w:left w:w="45" w:type="dxa"/>
              <w:bottom w:w="0" w:type="dxa"/>
              <w:right w:w="45" w:type="dxa"/>
            </w:tcMar>
            <w:vAlign w:val="bottom"/>
            <w:hideMark/>
          </w:tcPr>
          <w:p w14:paraId="15B69833"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0.16</w:t>
            </w:r>
          </w:p>
        </w:tc>
        <w:tc>
          <w:tcPr>
            <w:tcW w:w="850" w:type="dxa"/>
            <w:shd w:val="clear" w:color="auto" w:fill="FFFFFF" w:themeFill="background1"/>
            <w:tcMar>
              <w:top w:w="0" w:type="dxa"/>
              <w:left w:w="45" w:type="dxa"/>
              <w:bottom w:w="0" w:type="dxa"/>
              <w:right w:w="45" w:type="dxa"/>
            </w:tcMar>
            <w:vAlign w:val="bottom"/>
            <w:hideMark/>
          </w:tcPr>
          <w:p w14:paraId="18F9AA3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692" w:type="dxa"/>
            <w:shd w:val="clear" w:color="auto" w:fill="FFFFFF" w:themeFill="background1"/>
            <w:tcMar>
              <w:top w:w="0" w:type="dxa"/>
              <w:left w:w="45" w:type="dxa"/>
              <w:bottom w:w="0" w:type="dxa"/>
              <w:right w:w="45" w:type="dxa"/>
            </w:tcMar>
            <w:vAlign w:val="bottom"/>
            <w:hideMark/>
          </w:tcPr>
          <w:p w14:paraId="3D045AC6"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0.07</w:t>
            </w:r>
          </w:p>
        </w:tc>
        <w:tc>
          <w:tcPr>
            <w:tcW w:w="709" w:type="dxa"/>
            <w:shd w:val="clear" w:color="auto" w:fill="FFFFFF" w:themeFill="background1"/>
            <w:tcMar>
              <w:top w:w="0" w:type="dxa"/>
              <w:left w:w="45" w:type="dxa"/>
              <w:bottom w:w="0" w:type="dxa"/>
              <w:right w:w="45" w:type="dxa"/>
            </w:tcMar>
            <w:vAlign w:val="bottom"/>
            <w:hideMark/>
          </w:tcPr>
          <w:p w14:paraId="6B1B2064"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567" w:type="dxa"/>
            <w:shd w:val="clear" w:color="auto" w:fill="FFFFFF" w:themeFill="background1"/>
            <w:tcMar>
              <w:top w:w="0" w:type="dxa"/>
              <w:left w:w="45" w:type="dxa"/>
              <w:bottom w:w="0" w:type="dxa"/>
              <w:right w:w="45" w:type="dxa"/>
            </w:tcMar>
            <w:vAlign w:val="bottom"/>
            <w:hideMark/>
          </w:tcPr>
          <w:p w14:paraId="0AB67A97"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0.06</w:t>
            </w:r>
          </w:p>
        </w:tc>
        <w:tc>
          <w:tcPr>
            <w:tcW w:w="758" w:type="dxa"/>
            <w:shd w:val="clear" w:color="auto" w:fill="FFFFFF" w:themeFill="background1"/>
            <w:tcMar>
              <w:top w:w="0" w:type="dxa"/>
              <w:left w:w="45" w:type="dxa"/>
              <w:bottom w:w="0" w:type="dxa"/>
              <w:right w:w="45" w:type="dxa"/>
            </w:tcMar>
            <w:vAlign w:val="bottom"/>
            <w:hideMark/>
          </w:tcPr>
          <w:p w14:paraId="1589B9D1" w14:textId="77777777" w:rsidR="00A74F6E" w:rsidRPr="00EA618B" w:rsidRDefault="00A74F6E" w:rsidP="0010233B">
            <w:pPr>
              <w:spacing w:after="0" w:line="240" w:lineRule="auto"/>
              <w:jc w:val="right"/>
              <w:rPr>
                <w:rFonts w:ascii="Times New Roman" w:eastAsia="Times New Roman" w:hAnsi="Times New Roman" w:cs="Times New Roman"/>
                <w:sz w:val="18"/>
                <w:szCs w:val="18"/>
              </w:rPr>
            </w:pPr>
            <w:r w:rsidRPr="00B62D19">
              <w:rPr>
                <w:rFonts w:ascii="Times New Roman" w:hAnsi="Times New Roman" w:cs="Times New Roman"/>
                <w:color w:val="000000"/>
                <w:sz w:val="18"/>
                <w:szCs w:val="18"/>
              </w:rPr>
              <w:t>-0.02</w:t>
            </w:r>
          </w:p>
        </w:tc>
        <w:tc>
          <w:tcPr>
            <w:tcW w:w="567" w:type="dxa"/>
            <w:shd w:val="clear" w:color="auto" w:fill="FFFFFF" w:themeFill="background1"/>
            <w:tcMar>
              <w:top w:w="0" w:type="dxa"/>
              <w:left w:w="45" w:type="dxa"/>
              <w:bottom w:w="0" w:type="dxa"/>
              <w:right w:w="45" w:type="dxa"/>
            </w:tcMar>
            <w:vAlign w:val="bottom"/>
            <w:hideMark/>
          </w:tcPr>
          <w:p w14:paraId="5FAA3AED"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B62D19">
              <w:rPr>
                <w:rFonts w:ascii="Times New Roman" w:hAnsi="Times New Roman" w:cs="Times New Roman"/>
                <w:color w:val="000000"/>
                <w:sz w:val="18"/>
                <w:szCs w:val="18"/>
              </w:rPr>
              <w:t>-0.02</w:t>
            </w:r>
          </w:p>
        </w:tc>
        <w:tc>
          <w:tcPr>
            <w:tcW w:w="530" w:type="dxa"/>
            <w:shd w:val="clear" w:color="auto" w:fill="FFFFFF" w:themeFill="background1"/>
            <w:tcMar>
              <w:top w:w="0" w:type="dxa"/>
              <w:left w:w="45" w:type="dxa"/>
              <w:bottom w:w="0" w:type="dxa"/>
              <w:right w:w="45" w:type="dxa"/>
            </w:tcMar>
            <w:vAlign w:val="bottom"/>
            <w:hideMark/>
          </w:tcPr>
          <w:p w14:paraId="20A3723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-0.05</w:t>
            </w:r>
          </w:p>
        </w:tc>
        <w:tc>
          <w:tcPr>
            <w:tcW w:w="690" w:type="dxa"/>
            <w:shd w:val="clear" w:color="auto" w:fill="FFFFFF" w:themeFill="background1"/>
            <w:tcMar>
              <w:top w:w="0" w:type="dxa"/>
              <w:left w:w="45" w:type="dxa"/>
              <w:bottom w:w="0" w:type="dxa"/>
              <w:right w:w="45" w:type="dxa"/>
            </w:tcMar>
            <w:vAlign w:val="bottom"/>
            <w:hideMark/>
          </w:tcPr>
          <w:p w14:paraId="396057FB"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0.29</w:t>
            </w:r>
          </w:p>
        </w:tc>
        <w:tc>
          <w:tcPr>
            <w:tcW w:w="573" w:type="dxa"/>
            <w:shd w:val="clear" w:color="auto" w:fill="FFFFFF" w:themeFill="background1"/>
            <w:tcMar>
              <w:top w:w="0" w:type="dxa"/>
              <w:left w:w="45" w:type="dxa"/>
              <w:bottom w:w="0" w:type="dxa"/>
              <w:right w:w="45" w:type="dxa"/>
            </w:tcMar>
            <w:vAlign w:val="bottom"/>
            <w:hideMark/>
          </w:tcPr>
          <w:p w14:paraId="401C0908"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0.18</w:t>
            </w:r>
          </w:p>
        </w:tc>
        <w:tc>
          <w:tcPr>
            <w:tcW w:w="709" w:type="dxa"/>
            <w:shd w:val="clear" w:color="auto" w:fill="FFFFFF" w:themeFill="background1"/>
            <w:tcMar>
              <w:top w:w="0" w:type="dxa"/>
              <w:left w:w="45" w:type="dxa"/>
              <w:bottom w:w="0" w:type="dxa"/>
              <w:right w:w="45" w:type="dxa"/>
            </w:tcMar>
            <w:vAlign w:val="bottom"/>
            <w:hideMark/>
          </w:tcPr>
          <w:p w14:paraId="0E935160" w14:textId="77777777" w:rsidR="00A74F6E" w:rsidRPr="00EA618B" w:rsidRDefault="00A74F6E" w:rsidP="0010233B">
            <w:pPr>
              <w:spacing w:after="0" w:line="240" w:lineRule="auto"/>
              <w:jc w:val="right"/>
              <w:rPr>
                <w:rFonts w:ascii="Times New Roman" w:eastAsia="Times New Roman" w:hAnsi="Times New Roman" w:cs="Times New Roman"/>
                <w:b/>
                <w:bCs/>
                <w:sz w:val="18"/>
                <w:szCs w:val="18"/>
              </w:rPr>
            </w:pPr>
            <w:r w:rsidRPr="007A3B16">
              <w:rPr>
                <w:rFonts w:ascii="Times New Roman" w:hAnsi="Times New Roman" w:cs="Times New Roman"/>
                <w:b/>
                <w:bCs/>
                <w:color w:val="000000"/>
                <w:sz w:val="18"/>
                <w:szCs w:val="18"/>
              </w:rPr>
              <w:t>0.42</w:t>
            </w:r>
          </w:p>
        </w:tc>
        <w:tc>
          <w:tcPr>
            <w:tcW w:w="570" w:type="dxa"/>
            <w:shd w:val="clear" w:color="auto" w:fill="FFFFFF" w:themeFill="background1"/>
            <w:tcMar>
              <w:top w:w="0" w:type="dxa"/>
              <w:left w:w="45" w:type="dxa"/>
              <w:bottom w:w="0" w:type="dxa"/>
              <w:right w:w="45" w:type="dxa"/>
            </w:tcMar>
            <w:vAlign w:val="bottom"/>
            <w:hideMark/>
          </w:tcPr>
          <w:p w14:paraId="44A57EB5" w14:textId="77777777" w:rsidR="00A74F6E" w:rsidRPr="00EA618B" w:rsidRDefault="00A74F6E" w:rsidP="0010233B">
            <w:pPr>
              <w:spacing w:after="0" w:line="240" w:lineRule="auto"/>
              <w:jc w:val="right"/>
              <w:rPr>
                <w:rFonts w:ascii="Times New Roman" w:eastAsia="Times New Roman" w:hAnsi="Times New Roman" w:cs="Times New Roman"/>
                <w:sz w:val="20"/>
                <w:szCs w:val="20"/>
              </w:rPr>
            </w:pPr>
            <w:r w:rsidRPr="00B62D19">
              <w:rPr>
                <w:rFonts w:ascii="Times New Roman" w:hAnsi="Times New Roman" w:cs="Times New Roman"/>
                <w:color w:val="000000"/>
                <w:sz w:val="18"/>
                <w:szCs w:val="18"/>
              </w:rPr>
              <w:t>1</w:t>
            </w:r>
          </w:p>
        </w:tc>
      </w:tr>
    </w:tbl>
    <w:p w14:paraId="7ADA7B50" w14:textId="77777777" w:rsidR="00A74F6E" w:rsidRDefault="00A74F6E" w:rsidP="00A74F6E">
      <w:pPr>
        <w:tabs>
          <w:tab w:val="left" w:pos="720"/>
          <w:tab w:val="left" w:pos="1440"/>
          <w:tab w:val="left" w:pos="2160"/>
          <w:tab w:val="left" w:pos="2880"/>
          <w:tab w:val="left" w:pos="3600"/>
          <w:tab w:val="left" w:pos="4320"/>
          <w:tab w:val="center" w:pos="4513"/>
          <w:tab w:val="left" w:pos="8280"/>
        </w:tabs>
        <w:ind w:left="-1276"/>
        <w:rPr>
          <w:rFonts w:ascii="Times New Roman" w:eastAsia="Times New Roman" w:hAnsi="Times New Roman" w:cs="Times New Roman"/>
          <w:sz w:val="20"/>
          <w:szCs w:val="20"/>
        </w:rPr>
        <w:sectPr w:rsidR="00A74F6E">
          <w:pgSz w:w="16838" w:h="11906" w:orient="landscape"/>
          <w:pgMar w:top="1418" w:right="1440" w:bottom="1440" w:left="1440" w:header="708" w:footer="708" w:gutter="0"/>
          <w:cols w:space="720"/>
        </w:sectPr>
      </w:pPr>
      <w:r>
        <w:rPr>
          <w:rFonts w:ascii="Times New Roman" w:eastAsia="Times New Roman" w:hAnsi="Times New Roman" w:cs="Times New Roman"/>
          <w:i/>
          <w:sz w:val="20"/>
          <w:szCs w:val="20"/>
        </w:rPr>
        <w:t>Notes:</w:t>
      </w:r>
      <w:r>
        <w:rPr>
          <w:rFonts w:ascii="Times New Roman" w:eastAsia="Times New Roman" w:hAnsi="Times New Roman" w:cs="Times New Roman"/>
          <w:sz w:val="20"/>
          <w:szCs w:val="20"/>
        </w:rPr>
        <w:t xml:space="preserve"> Correlation between all variable for sample from </w:t>
      </w:r>
      <w:r w:rsidRPr="007276F8">
        <w:rPr>
          <w:rFonts w:ascii="Times New Roman" w:eastAsia="Times New Roman" w:hAnsi="Times New Roman" w:cs="Times New Roman"/>
          <w:sz w:val="20"/>
          <w:szCs w:val="20"/>
        </w:rPr>
        <w:t>2000-2016</w:t>
      </w:r>
      <w:r w:rsidRPr="007276F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 first column shows the independent variables. Variables are defined in Table 2</w:t>
      </w:r>
      <w:r>
        <w:rPr>
          <w:rFonts w:ascii="Times New Roman" w:eastAsia="Times New Roman" w:hAnsi="Times New Roman" w:cs="Times New Roman"/>
          <w:sz w:val="20"/>
          <w:szCs w:val="20"/>
        </w:rPr>
        <w:t>. Total firm-year observations = 6199.</w:t>
      </w:r>
    </w:p>
    <w:p w14:paraId="2AB9AFCA"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lastRenderedPageBreak/>
        <w:t>Table 6: Determinants of UK Share Repurchases (Pooled Sample)</w:t>
      </w:r>
    </w:p>
    <w:tbl>
      <w:tblPr>
        <w:tblW w:w="7223"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592"/>
        <w:gridCol w:w="1089"/>
        <w:gridCol w:w="995"/>
        <w:gridCol w:w="849"/>
        <w:gridCol w:w="851"/>
        <w:gridCol w:w="847"/>
      </w:tblGrid>
      <w:tr w:rsidR="00A74F6E" w14:paraId="13444F4C" w14:textId="77777777" w:rsidTr="0010233B">
        <w:trPr>
          <w:trHeight w:val="300"/>
          <w:jc w:val="center"/>
        </w:trPr>
        <w:tc>
          <w:tcPr>
            <w:tcW w:w="2592" w:type="dxa"/>
            <w:shd w:val="clear" w:color="auto" w:fill="auto"/>
          </w:tcPr>
          <w:p w14:paraId="30999873" w14:textId="77777777" w:rsidR="00A74F6E" w:rsidRDefault="00A74F6E" w:rsidP="0010233B">
            <w:pPr>
              <w:spacing w:after="0" w:line="240" w:lineRule="auto"/>
              <w:rPr>
                <w:rFonts w:ascii="Times New Roman" w:eastAsia="Times New Roman" w:hAnsi="Times New Roman" w:cs="Times New Roman"/>
                <w:b/>
                <w:sz w:val="22"/>
                <w:szCs w:val="22"/>
              </w:rPr>
            </w:pPr>
          </w:p>
        </w:tc>
        <w:tc>
          <w:tcPr>
            <w:tcW w:w="1089" w:type="dxa"/>
          </w:tcPr>
          <w:p w14:paraId="0F7A32DF" w14:textId="77777777" w:rsidR="00A74F6E" w:rsidRDefault="00A74F6E" w:rsidP="0010233B">
            <w:pPr>
              <w:spacing w:after="0" w:line="240" w:lineRule="auto"/>
              <w:ind w:right="-11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Predicted</w:t>
            </w:r>
          </w:p>
          <w:p w14:paraId="5DFE463D"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Sign</w:t>
            </w:r>
          </w:p>
        </w:tc>
        <w:tc>
          <w:tcPr>
            <w:tcW w:w="1844" w:type="dxa"/>
            <w:gridSpan w:val="2"/>
            <w:shd w:val="clear" w:color="auto" w:fill="auto"/>
          </w:tcPr>
          <w:p w14:paraId="7ED978F5"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Logit</w:t>
            </w:r>
          </w:p>
          <w:p w14:paraId="7802574C" w14:textId="77777777" w:rsidR="00A74F6E" w:rsidRDefault="00A74F6E" w:rsidP="0010233B">
            <w:pPr>
              <w:spacing w:after="0" w:line="240" w:lineRule="auto"/>
              <w:ind w:lef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Full Sample</w:t>
            </w:r>
          </w:p>
        </w:tc>
        <w:tc>
          <w:tcPr>
            <w:tcW w:w="1698" w:type="dxa"/>
            <w:gridSpan w:val="2"/>
            <w:shd w:val="clear" w:color="auto" w:fill="auto"/>
          </w:tcPr>
          <w:p w14:paraId="0CDBE809"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Tobit</w:t>
            </w:r>
          </w:p>
          <w:p w14:paraId="6B616A9F" w14:textId="77777777" w:rsidR="00A74F6E" w:rsidRDefault="00A74F6E" w:rsidP="0010233B">
            <w:pPr>
              <w:spacing w:after="0" w:line="240" w:lineRule="auto"/>
              <w:ind w:lef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Full Sample</w:t>
            </w:r>
          </w:p>
        </w:tc>
      </w:tr>
      <w:tr w:rsidR="00A74F6E" w14:paraId="6D4BB5B0" w14:textId="77777777" w:rsidTr="0010233B">
        <w:trPr>
          <w:trHeight w:val="300"/>
          <w:jc w:val="center"/>
        </w:trPr>
        <w:tc>
          <w:tcPr>
            <w:tcW w:w="2592" w:type="dxa"/>
            <w:tcBorders>
              <w:top w:val="single" w:sz="4" w:space="0" w:color="000000"/>
              <w:bottom w:val="nil"/>
            </w:tcBorders>
            <w:shd w:val="clear" w:color="auto" w:fill="auto"/>
            <w:vAlign w:val="bottom"/>
          </w:tcPr>
          <w:p w14:paraId="3EA2E210"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LEVIND</w:t>
            </w:r>
            <w:r>
              <w:rPr>
                <w:rFonts w:ascii="Times New Roman" w:eastAsia="Times New Roman" w:hAnsi="Times New Roman" w:cs="Times New Roman"/>
                <w:i/>
                <w:sz w:val="22"/>
                <w:szCs w:val="22"/>
                <w:vertAlign w:val="subscript"/>
              </w:rPr>
              <w:t>t-1</w:t>
            </w:r>
          </w:p>
        </w:tc>
        <w:tc>
          <w:tcPr>
            <w:tcW w:w="1089" w:type="dxa"/>
            <w:tcBorders>
              <w:top w:val="single" w:sz="4" w:space="0" w:color="000000"/>
              <w:bottom w:val="nil"/>
            </w:tcBorders>
          </w:tcPr>
          <w:p w14:paraId="09C75649"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p>
        </w:tc>
        <w:tc>
          <w:tcPr>
            <w:tcW w:w="995" w:type="dxa"/>
            <w:tcBorders>
              <w:top w:val="single" w:sz="4" w:space="0" w:color="000000"/>
              <w:bottom w:val="nil"/>
            </w:tcBorders>
            <w:shd w:val="clear" w:color="auto" w:fill="auto"/>
            <w:vAlign w:val="bottom"/>
          </w:tcPr>
          <w:p w14:paraId="3F45D329"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0.007</w:t>
            </w:r>
          </w:p>
        </w:tc>
        <w:tc>
          <w:tcPr>
            <w:tcW w:w="849" w:type="dxa"/>
            <w:tcBorders>
              <w:top w:val="single" w:sz="4" w:space="0" w:color="000000"/>
              <w:bottom w:val="nil"/>
            </w:tcBorders>
            <w:shd w:val="clear" w:color="auto" w:fill="auto"/>
            <w:vAlign w:val="bottom"/>
          </w:tcPr>
          <w:p w14:paraId="74C29EEA"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851" w:type="dxa"/>
            <w:tcBorders>
              <w:top w:val="single" w:sz="4" w:space="0" w:color="000000"/>
              <w:bottom w:val="nil"/>
            </w:tcBorders>
            <w:shd w:val="clear" w:color="auto" w:fill="auto"/>
            <w:vAlign w:val="bottom"/>
          </w:tcPr>
          <w:p w14:paraId="69575ABC"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-0.001</w:t>
            </w:r>
          </w:p>
        </w:tc>
        <w:tc>
          <w:tcPr>
            <w:tcW w:w="847" w:type="dxa"/>
            <w:tcBorders>
              <w:top w:val="single" w:sz="4" w:space="0" w:color="000000"/>
              <w:bottom w:val="nil"/>
            </w:tcBorders>
            <w:shd w:val="clear" w:color="auto" w:fill="auto"/>
            <w:vAlign w:val="bottom"/>
          </w:tcPr>
          <w:p w14:paraId="5740D582"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r>
      <w:tr w:rsidR="00A74F6E" w14:paraId="40ED498E" w14:textId="77777777" w:rsidTr="0010233B">
        <w:trPr>
          <w:trHeight w:val="300"/>
          <w:jc w:val="center"/>
        </w:trPr>
        <w:tc>
          <w:tcPr>
            <w:tcW w:w="2592" w:type="dxa"/>
            <w:tcBorders>
              <w:top w:val="nil"/>
            </w:tcBorders>
            <w:shd w:val="clear" w:color="auto" w:fill="auto"/>
            <w:vAlign w:val="bottom"/>
          </w:tcPr>
          <w:p w14:paraId="0C861C7F" w14:textId="77777777" w:rsidR="00A74F6E" w:rsidRDefault="00A74F6E" w:rsidP="0010233B">
            <w:pPr>
              <w:spacing w:after="0" w:line="240" w:lineRule="auto"/>
              <w:rPr>
                <w:rFonts w:ascii="Times New Roman" w:eastAsia="Times New Roman" w:hAnsi="Times New Roman" w:cs="Times New Roman"/>
                <w:i/>
                <w:sz w:val="22"/>
                <w:szCs w:val="22"/>
              </w:rPr>
            </w:pPr>
          </w:p>
        </w:tc>
        <w:tc>
          <w:tcPr>
            <w:tcW w:w="1089" w:type="dxa"/>
            <w:tcBorders>
              <w:top w:val="nil"/>
            </w:tcBorders>
          </w:tcPr>
          <w:p w14:paraId="0FFFFBD9"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tcBorders>
              <w:top w:val="nil"/>
            </w:tcBorders>
            <w:shd w:val="clear" w:color="auto" w:fill="auto"/>
            <w:vAlign w:val="bottom"/>
          </w:tcPr>
          <w:p w14:paraId="6A6D60C9"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0.722</w:t>
            </w:r>
          </w:p>
        </w:tc>
        <w:tc>
          <w:tcPr>
            <w:tcW w:w="849" w:type="dxa"/>
            <w:tcBorders>
              <w:top w:val="nil"/>
            </w:tcBorders>
            <w:shd w:val="clear" w:color="auto" w:fill="auto"/>
            <w:vAlign w:val="bottom"/>
          </w:tcPr>
          <w:p w14:paraId="0126FEA0"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851" w:type="dxa"/>
            <w:tcBorders>
              <w:top w:val="nil"/>
            </w:tcBorders>
            <w:shd w:val="clear" w:color="auto" w:fill="auto"/>
            <w:vAlign w:val="bottom"/>
          </w:tcPr>
          <w:p w14:paraId="5003006A"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0.864</w:t>
            </w:r>
          </w:p>
        </w:tc>
        <w:tc>
          <w:tcPr>
            <w:tcW w:w="847" w:type="dxa"/>
            <w:tcBorders>
              <w:top w:val="nil"/>
            </w:tcBorders>
            <w:shd w:val="clear" w:color="auto" w:fill="auto"/>
            <w:vAlign w:val="bottom"/>
          </w:tcPr>
          <w:p w14:paraId="1E33B682"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r>
      <w:tr w:rsidR="00A74F6E" w14:paraId="4580A567" w14:textId="77777777" w:rsidTr="0010233B">
        <w:trPr>
          <w:trHeight w:val="300"/>
          <w:jc w:val="center"/>
        </w:trPr>
        <w:tc>
          <w:tcPr>
            <w:tcW w:w="2592" w:type="dxa"/>
            <w:shd w:val="clear" w:color="auto" w:fill="auto"/>
            <w:vAlign w:val="bottom"/>
          </w:tcPr>
          <w:p w14:paraId="6A2BAC7E"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XSCASH</w:t>
            </w:r>
            <w:r>
              <w:rPr>
                <w:rFonts w:ascii="Times New Roman" w:eastAsia="Times New Roman" w:hAnsi="Times New Roman" w:cs="Times New Roman"/>
                <w:i/>
                <w:sz w:val="22"/>
                <w:szCs w:val="22"/>
                <w:vertAlign w:val="subscript"/>
              </w:rPr>
              <w:t xml:space="preserve"> t-1</w:t>
            </w:r>
          </w:p>
        </w:tc>
        <w:tc>
          <w:tcPr>
            <w:tcW w:w="1089" w:type="dxa"/>
          </w:tcPr>
          <w:p w14:paraId="28854ACC"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995" w:type="dxa"/>
            <w:shd w:val="clear" w:color="auto" w:fill="auto"/>
            <w:vAlign w:val="bottom"/>
          </w:tcPr>
          <w:p w14:paraId="1C93329A"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0.633</w:t>
            </w:r>
          </w:p>
        </w:tc>
        <w:tc>
          <w:tcPr>
            <w:tcW w:w="849" w:type="dxa"/>
            <w:shd w:val="clear" w:color="auto" w:fill="auto"/>
            <w:vAlign w:val="bottom"/>
          </w:tcPr>
          <w:p w14:paraId="5609042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32F12D93"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0.386</w:t>
            </w:r>
          </w:p>
        </w:tc>
        <w:tc>
          <w:tcPr>
            <w:tcW w:w="847" w:type="dxa"/>
            <w:shd w:val="clear" w:color="auto" w:fill="auto"/>
            <w:vAlign w:val="bottom"/>
          </w:tcPr>
          <w:p w14:paraId="696E3F56"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77BF9F89" w14:textId="77777777" w:rsidTr="0010233B">
        <w:trPr>
          <w:trHeight w:val="300"/>
          <w:jc w:val="center"/>
        </w:trPr>
        <w:tc>
          <w:tcPr>
            <w:tcW w:w="2592" w:type="dxa"/>
            <w:shd w:val="clear" w:color="auto" w:fill="auto"/>
            <w:vAlign w:val="bottom"/>
          </w:tcPr>
          <w:p w14:paraId="73562E1E" w14:textId="77777777" w:rsidR="00A74F6E" w:rsidRDefault="00A74F6E" w:rsidP="0010233B">
            <w:pPr>
              <w:spacing w:after="0" w:line="240" w:lineRule="auto"/>
              <w:rPr>
                <w:rFonts w:ascii="Times New Roman" w:eastAsia="Times New Roman" w:hAnsi="Times New Roman" w:cs="Times New Roman"/>
                <w:i/>
                <w:sz w:val="22"/>
                <w:szCs w:val="22"/>
              </w:rPr>
            </w:pPr>
          </w:p>
        </w:tc>
        <w:tc>
          <w:tcPr>
            <w:tcW w:w="1089" w:type="dxa"/>
          </w:tcPr>
          <w:p w14:paraId="4C341C99"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063A0269"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0.003</w:t>
            </w:r>
          </w:p>
        </w:tc>
        <w:tc>
          <w:tcPr>
            <w:tcW w:w="849" w:type="dxa"/>
            <w:shd w:val="clear" w:color="auto" w:fill="auto"/>
            <w:vAlign w:val="bottom"/>
          </w:tcPr>
          <w:p w14:paraId="7A7B2E0A"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62A222CD"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0.003</w:t>
            </w:r>
          </w:p>
        </w:tc>
        <w:tc>
          <w:tcPr>
            <w:tcW w:w="847" w:type="dxa"/>
            <w:shd w:val="clear" w:color="auto" w:fill="auto"/>
            <w:vAlign w:val="bottom"/>
          </w:tcPr>
          <w:p w14:paraId="011E0558"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46749F9A" w14:textId="77777777" w:rsidTr="0010233B">
        <w:trPr>
          <w:trHeight w:val="300"/>
          <w:jc w:val="center"/>
        </w:trPr>
        <w:tc>
          <w:tcPr>
            <w:tcW w:w="2592" w:type="dxa"/>
            <w:shd w:val="clear" w:color="auto" w:fill="auto"/>
            <w:vAlign w:val="bottom"/>
          </w:tcPr>
          <w:p w14:paraId="0D584F2C"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CFO/TA</w:t>
            </w:r>
            <w:r>
              <w:rPr>
                <w:rFonts w:ascii="Times New Roman" w:eastAsia="Times New Roman" w:hAnsi="Times New Roman" w:cs="Times New Roman"/>
                <w:i/>
                <w:sz w:val="22"/>
                <w:szCs w:val="22"/>
                <w:vertAlign w:val="subscript"/>
              </w:rPr>
              <w:t>t-1</w:t>
            </w:r>
          </w:p>
        </w:tc>
        <w:tc>
          <w:tcPr>
            <w:tcW w:w="1089" w:type="dxa"/>
          </w:tcPr>
          <w:p w14:paraId="0FE20881"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995" w:type="dxa"/>
            <w:shd w:val="clear" w:color="auto" w:fill="auto"/>
            <w:vAlign w:val="bottom"/>
          </w:tcPr>
          <w:p w14:paraId="6D6CF535"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2.561</w:t>
            </w:r>
          </w:p>
        </w:tc>
        <w:tc>
          <w:tcPr>
            <w:tcW w:w="849" w:type="dxa"/>
            <w:shd w:val="clear" w:color="auto" w:fill="auto"/>
            <w:vAlign w:val="bottom"/>
          </w:tcPr>
          <w:p w14:paraId="0807E2E0"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31975F2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0.955</w:t>
            </w:r>
          </w:p>
        </w:tc>
        <w:tc>
          <w:tcPr>
            <w:tcW w:w="847" w:type="dxa"/>
            <w:shd w:val="clear" w:color="auto" w:fill="auto"/>
            <w:vAlign w:val="bottom"/>
          </w:tcPr>
          <w:p w14:paraId="172A225A"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0A2D5525" w14:textId="77777777" w:rsidTr="0010233B">
        <w:trPr>
          <w:trHeight w:val="300"/>
          <w:jc w:val="center"/>
        </w:trPr>
        <w:tc>
          <w:tcPr>
            <w:tcW w:w="2592" w:type="dxa"/>
            <w:shd w:val="clear" w:color="auto" w:fill="auto"/>
            <w:vAlign w:val="bottom"/>
          </w:tcPr>
          <w:p w14:paraId="031BA6AC"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56D5D226"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63EBE87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9" w:type="dxa"/>
            <w:shd w:val="clear" w:color="auto" w:fill="auto"/>
            <w:vAlign w:val="bottom"/>
          </w:tcPr>
          <w:p w14:paraId="6C41832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8516748"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0.002</w:t>
            </w:r>
          </w:p>
        </w:tc>
        <w:tc>
          <w:tcPr>
            <w:tcW w:w="847" w:type="dxa"/>
            <w:shd w:val="clear" w:color="auto" w:fill="auto"/>
            <w:vAlign w:val="bottom"/>
          </w:tcPr>
          <w:p w14:paraId="55F3EF3A"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26F9C085" w14:textId="77777777" w:rsidTr="0010233B">
        <w:trPr>
          <w:trHeight w:val="300"/>
          <w:jc w:val="center"/>
        </w:trPr>
        <w:tc>
          <w:tcPr>
            <w:tcW w:w="2592" w:type="dxa"/>
            <w:shd w:val="clear" w:color="auto" w:fill="auto"/>
            <w:vAlign w:val="bottom"/>
          </w:tcPr>
          <w:p w14:paraId="08283474"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MTBIND</w:t>
            </w:r>
            <w:r>
              <w:rPr>
                <w:rFonts w:ascii="Times New Roman" w:eastAsia="Times New Roman" w:hAnsi="Times New Roman" w:cs="Times New Roman"/>
                <w:i/>
                <w:sz w:val="22"/>
                <w:szCs w:val="22"/>
                <w:vertAlign w:val="subscript"/>
              </w:rPr>
              <w:t xml:space="preserve"> t-1</w:t>
            </w:r>
          </w:p>
        </w:tc>
        <w:tc>
          <w:tcPr>
            <w:tcW w:w="1089" w:type="dxa"/>
          </w:tcPr>
          <w:p w14:paraId="0970E89C"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995" w:type="dxa"/>
            <w:shd w:val="clear" w:color="auto" w:fill="auto"/>
            <w:vAlign w:val="bottom"/>
          </w:tcPr>
          <w:p w14:paraId="4B98716D"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-0.214</w:t>
            </w:r>
          </w:p>
        </w:tc>
        <w:tc>
          <w:tcPr>
            <w:tcW w:w="849" w:type="dxa"/>
            <w:shd w:val="clear" w:color="auto" w:fill="auto"/>
            <w:vAlign w:val="bottom"/>
          </w:tcPr>
          <w:p w14:paraId="32444AC0"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00F46DAA"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-0.134</w:t>
            </w:r>
          </w:p>
        </w:tc>
        <w:tc>
          <w:tcPr>
            <w:tcW w:w="847" w:type="dxa"/>
            <w:shd w:val="clear" w:color="auto" w:fill="auto"/>
            <w:vAlign w:val="bottom"/>
          </w:tcPr>
          <w:p w14:paraId="3C1FB1E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0134A495" w14:textId="77777777" w:rsidTr="0010233B">
        <w:trPr>
          <w:trHeight w:val="300"/>
          <w:jc w:val="center"/>
        </w:trPr>
        <w:tc>
          <w:tcPr>
            <w:tcW w:w="2592" w:type="dxa"/>
            <w:shd w:val="clear" w:color="auto" w:fill="auto"/>
            <w:vAlign w:val="bottom"/>
          </w:tcPr>
          <w:p w14:paraId="565B7114"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0D0DE00A"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685895F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9" w:type="dxa"/>
            <w:shd w:val="clear" w:color="auto" w:fill="auto"/>
            <w:vAlign w:val="bottom"/>
          </w:tcPr>
          <w:p w14:paraId="297DA5E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545371B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7" w:type="dxa"/>
            <w:shd w:val="clear" w:color="auto" w:fill="auto"/>
            <w:vAlign w:val="bottom"/>
          </w:tcPr>
          <w:p w14:paraId="203DE2DB"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2B0D6790" w14:textId="77777777" w:rsidTr="0010233B">
        <w:trPr>
          <w:trHeight w:val="300"/>
          <w:jc w:val="center"/>
        </w:trPr>
        <w:tc>
          <w:tcPr>
            <w:tcW w:w="2592" w:type="dxa"/>
            <w:shd w:val="clear" w:color="auto" w:fill="auto"/>
            <w:vAlign w:val="bottom"/>
          </w:tcPr>
          <w:p w14:paraId="5B9AA45F"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ABRET</w:t>
            </w:r>
            <w:r>
              <w:rPr>
                <w:rFonts w:ascii="Times New Roman" w:eastAsia="Times New Roman" w:hAnsi="Times New Roman" w:cs="Times New Roman"/>
                <w:i/>
                <w:sz w:val="22"/>
                <w:szCs w:val="22"/>
                <w:vertAlign w:val="subscript"/>
              </w:rPr>
              <w:t>t-1</w:t>
            </w:r>
          </w:p>
        </w:tc>
        <w:tc>
          <w:tcPr>
            <w:tcW w:w="1089" w:type="dxa"/>
          </w:tcPr>
          <w:p w14:paraId="56A0ABD9"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p>
        </w:tc>
        <w:tc>
          <w:tcPr>
            <w:tcW w:w="995" w:type="dxa"/>
            <w:shd w:val="clear" w:color="auto" w:fill="auto"/>
            <w:vAlign w:val="bottom"/>
          </w:tcPr>
          <w:p w14:paraId="6CED993E"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-0.038</w:t>
            </w:r>
          </w:p>
        </w:tc>
        <w:tc>
          <w:tcPr>
            <w:tcW w:w="849" w:type="dxa"/>
            <w:shd w:val="clear" w:color="auto" w:fill="auto"/>
            <w:vAlign w:val="bottom"/>
          </w:tcPr>
          <w:p w14:paraId="721CD190"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851" w:type="dxa"/>
            <w:shd w:val="clear" w:color="auto" w:fill="auto"/>
            <w:vAlign w:val="bottom"/>
          </w:tcPr>
          <w:p w14:paraId="56A06CD5"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-0.073</w:t>
            </w:r>
          </w:p>
        </w:tc>
        <w:tc>
          <w:tcPr>
            <w:tcW w:w="847" w:type="dxa"/>
            <w:shd w:val="clear" w:color="auto" w:fill="auto"/>
            <w:vAlign w:val="bottom"/>
          </w:tcPr>
          <w:p w14:paraId="637C1A64"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2B0138A5" w14:textId="77777777" w:rsidTr="0010233B">
        <w:trPr>
          <w:trHeight w:val="300"/>
          <w:jc w:val="center"/>
        </w:trPr>
        <w:tc>
          <w:tcPr>
            <w:tcW w:w="2592" w:type="dxa"/>
            <w:shd w:val="clear" w:color="auto" w:fill="auto"/>
            <w:vAlign w:val="bottom"/>
          </w:tcPr>
          <w:p w14:paraId="3C4AD51B"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1DDE45D3"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73298165"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0.652</w:t>
            </w:r>
          </w:p>
        </w:tc>
        <w:tc>
          <w:tcPr>
            <w:tcW w:w="849" w:type="dxa"/>
            <w:shd w:val="clear" w:color="auto" w:fill="auto"/>
            <w:vAlign w:val="bottom"/>
          </w:tcPr>
          <w:p w14:paraId="1A56066A"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851" w:type="dxa"/>
            <w:shd w:val="clear" w:color="auto" w:fill="auto"/>
            <w:vAlign w:val="bottom"/>
          </w:tcPr>
          <w:p w14:paraId="7140DAC2"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0.046</w:t>
            </w:r>
          </w:p>
        </w:tc>
        <w:tc>
          <w:tcPr>
            <w:tcW w:w="847" w:type="dxa"/>
            <w:shd w:val="clear" w:color="auto" w:fill="auto"/>
            <w:vAlign w:val="bottom"/>
          </w:tcPr>
          <w:p w14:paraId="601544E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0D583AFD" w14:textId="77777777" w:rsidTr="0010233B">
        <w:trPr>
          <w:trHeight w:val="300"/>
          <w:jc w:val="center"/>
        </w:trPr>
        <w:tc>
          <w:tcPr>
            <w:tcW w:w="2592" w:type="dxa"/>
            <w:shd w:val="clear" w:color="auto" w:fill="auto"/>
            <w:vAlign w:val="bottom"/>
          </w:tcPr>
          <w:p w14:paraId="68E6ECE7" w14:textId="77777777" w:rsidR="00A74F6E" w:rsidRDefault="00A74F6E" w:rsidP="0010233B">
            <w:pPr>
              <w:spacing w:after="0" w:line="240" w:lineRule="auto"/>
              <w:rPr>
                <w:rFonts w:ascii="Times New Roman" w:eastAsia="Times New Roman" w:hAnsi="Times New Roman" w:cs="Times New Roman"/>
                <w:b/>
                <w:i/>
                <w:color w:val="000000"/>
                <w:sz w:val="22"/>
                <w:szCs w:val="22"/>
                <w:vertAlign w:val="subscript"/>
              </w:rPr>
            </w:pPr>
            <w:r>
              <w:rPr>
                <w:rFonts w:ascii="Times New Roman" w:eastAsia="Times New Roman" w:hAnsi="Times New Roman" w:cs="Times New Roman"/>
                <w:i/>
                <w:color w:val="000000"/>
                <w:sz w:val="22"/>
                <w:szCs w:val="22"/>
              </w:rPr>
              <w:t>DIV/</w:t>
            </w:r>
            <w:proofErr w:type="spellStart"/>
            <w:r>
              <w:rPr>
                <w:rFonts w:ascii="Times New Roman" w:eastAsia="Times New Roman" w:hAnsi="Times New Roman" w:cs="Times New Roman"/>
                <w:i/>
                <w:color w:val="000000"/>
                <w:sz w:val="22"/>
                <w:szCs w:val="22"/>
              </w:rPr>
              <w:t>NI</w:t>
            </w:r>
            <w:r>
              <w:rPr>
                <w:rFonts w:ascii="Times New Roman" w:eastAsia="Times New Roman" w:hAnsi="Times New Roman" w:cs="Times New Roman"/>
                <w:i/>
                <w:color w:val="000000"/>
                <w:sz w:val="22"/>
                <w:szCs w:val="22"/>
                <w:vertAlign w:val="subscript"/>
              </w:rPr>
              <w:t>t</w:t>
            </w:r>
            <w:proofErr w:type="spellEnd"/>
          </w:p>
        </w:tc>
        <w:tc>
          <w:tcPr>
            <w:tcW w:w="1089" w:type="dxa"/>
          </w:tcPr>
          <w:p w14:paraId="7E1B4762"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p>
        </w:tc>
        <w:tc>
          <w:tcPr>
            <w:tcW w:w="995" w:type="dxa"/>
            <w:shd w:val="clear" w:color="auto" w:fill="auto"/>
            <w:vAlign w:val="bottom"/>
          </w:tcPr>
          <w:p w14:paraId="778E8943"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color w:val="000000"/>
                <w:sz w:val="22"/>
                <w:szCs w:val="22"/>
              </w:rPr>
              <w:t>-0.019</w:t>
            </w:r>
          </w:p>
        </w:tc>
        <w:tc>
          <w:tcPr>
            <w:tcW w:w="849" w:type="dxa"/>
            <w:shd w:val="clear" w:color="auto" w:fill="auto"/>
            <w:vAlign w:val="bottom"/>
          </w:tcPr>
          <w:p w14:paraId="3234C98D"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E24E39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0.099</w:t>
            </w:r>
          </w:p>
        </w:tc>
        <w:tc>
          <w:tcPr>
            <w:tcW w:w="847" w:type="dxa"/>
            <w:shd w:val="clear" w:color="auto" w:fill="auto"/>
            <w:vAlign w:val="bottom"/>
          </w:tcPr>
          <w:p w14:paraId="583BE8A1"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10A557D6" w14:textId="77777777" w:rsidTr="0010233B">
        <w:trPr>
          <w:trHeight w:val="300"/>
          <w:jc w:val="center"/>
        </w:trPr>
        <w:tc>
          <w:tcPr>
            <w:tcW w:w="2592" w:type="dxa"/>
            <w:shd w:val="clear" w:color="auto" w:fill="auto"/>
            <w:vAlign w:val="bottom"/>
          </w:tcPr>
          <w:p w14:paraId="0CDBAEDD"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089" w:type="dxa"/>
          </w:tcPr>
          <w:p w14:paraId="62D01B8A"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64BD735E"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color w:val="000000"/>
                <w:sz w:val="22"/>
                <w:szCs w:val="22"/>
              </w:rPr>
              <w:t>0.605</w:t>
            </w:r>
          </w:p>
        </w:tc>
        <w:tc>
          <w:tcPr>
            <w:tcW w:w="849" w:type="dxa"/>
            <w:shd w:val="clear" w:color="auto" w:fill="auto"/>
            <w:vAlign w:val="bottom"/>
          </w:tcPr>
          <w:p w14:paraId="52FFCF1D"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3AB96FF1"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7" w:type="dxa"/>
            <w:shd w:val="clear" w:color="auto" w:fill="auto"/>
            <w:vAlign w:val="bottom"/>
          </w:tcPr>
          <w:p w14:paraId="7708334F"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682EF3E4" w14:textId="77777777" w:rsidTr="0010233B">
        <w:trPr>
          <w:trHeight w:val="300"/>
          <w:jc w:val="center"/>
        </w:trPr>
        <w:tc>
          <w:tcPr>
            <w:tcW w:w="2592" w:type="dxa"/>
            <w:shd w:val="clear" w:color="auto" w:fill="auto"/>
            <w:vAlign w:val="bottom"/>
          </w:tcPr>
          <w:p w14:paraId="32276337" w14:textId="77777777" w:rsidR="00A74F6E" w:rsidRDefault="00A74F6E" w:rsidP="0010233B">
            <w:pPr>
              <w:spacing w:after="0" w:line="240" w:lineRule="auto"/>
              <w:rPr>
                <w:rFonts w:ascii="Times New Roman" w:eastAsia="Times New Roman" w:hAnsi="Times New Roman" w:cs="Times New Roman"/>
                <w:b/>
                <w:i/>
                <w:color w:val="000000"/>
                <w:sz w:val="22"/>
                <w:szCs w:val="22"/>
                <w:vertAlign w:val="subscript"/>
              </w:rPr>
            </w:pPr>
            <w:proofErr w:type="spellStart"/>
            <w:r>
              <w:rPr>
                <w:rFonts w:ascii="Times New Roman" w:eastAsia="Times New Roman" w:hAnsi="Times New Roman" w:cs="Times New Roman"/>
                <w:i/>
                <w:color w:val="000000"/>
                <w:sz w:val="22"/>
                <w:szCs w:val="22"/>
              </w:rPr>
              <w:t>ROA</w:t>
            </w:r>
            <w:r>
              <w:rPr>
                <w:rFonts w:ascii="Times New Roman" w:eastAsia="Times New Roman" w:hAnsi="Times New Roman" w:cs="Times New Roman"/>
                <w:i/>
                <w:color w:val="000000"/>
                <w:sz w:val="22"/>
                <w:szCs w:val="22"/>
                <w:vertAlign w:val="subscript"/>
              </w:rPr>
              <w:t>t</w:t>
            </w:r>
            <w:proofErr w:type="spellEnd"/>
          </w:p>
        </w:tc>
        <w:tc>
          <w:tcPr>
            <w:tcW w:w="1089" w:type="dxa"/>
          </w:tcPr>
          <w:p w14:paraId="2C1610D8"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995" w:type="dxa"/>
            <w:shd w:val="clear" w:color="auto" w:fill="auto"/>
            <w:vAlign w:val="bottom"/>
          </w:tcPr>
          <w:p w14:paraId="6590FC78"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3.670</w:t>
            </w:r>
          </w:p>
        </w:tc>
        <w:tc>
          <w:tcPr>
            <w:tcW w:w="849" w:type="dxa"/>
            <w:shd w:val="clear" w:color="auto" w:fill="auto"/>
            <w:vAlign w:val="bottom"/>
          </w:tcPr>
          <w:p w14:paraId="063264CF"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56520B2D"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3.603</w:t>
            </w:r>
          </w:p>
        </w:tc>
        <w:tc>
          <w:tcPr>
            <w:tcW w:w="847" w:type="dxa"/>
            <w:shd w:val="clear" w:color="auto" w:fill="auto"/>
            <w:vAlign w:val="bottom"/>
          </w:tcPr>
          <w:p w14:paraId="24839D1C"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33E5EECB" w14:textId="77777777" w:rsidTr="0010233B">
        <w:trPr>
          <w:trHeight w:val="300"/>
          <w:jc w:val="center"/>
        </w:trPr>
        <w:tc>
          <w:tcPr>
            <w:tcW w:w="2592" w:type="dxa"/>
            <w:shd w:val="clear" w:color="auto" w:fill="auto"/>
            <w:vAlign w:val="bottom"/>
          </w:tcPr>
          <w:p w14:paraId="6C4F5EEC"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089" w:type="dxa"/>
          </w:tcPr>
          <w:p w14:paraId="3BF96F8F"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6B39831C"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9" w:type="dxa"/>
            <w:shd w:val="clear" w:color="auto" w:fill="auto"/>
            <w:vAlign w:val="bottom"/>
          </w:tcPr>
          <w:p w14:paraId="1867B1ED"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5D21822D"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7" w:type="dxa"/>
            <w:shd w:val="clear" w:color="auto" w:fill="auto"/>
            <w:vAlign w:val="bottom"/>
          </w:tcPr>
          <w:p w14:paraId="698BD136"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74E369A5" w14:textId="77777777" w:rsidTr="0010233B">
        <w:trPr>
          <w:trHeight w:val="300"/>
          <w:jc w:val="center"/>
        </w:trPr>
        <w:tc>
          <w:tcPr>
            <w:tcW w:w="2592" w:type="dxa"/>
            <w:shd w:val="clear" w:color="auto" w:fill="auto"/>
            <w:vAlign w:val="bottom"/>
          </w:tcPr>
          <w:p w14:paraId="1706A3FC"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SPDUM</w:t>
            </w:r>
            <w:r>
              <w:rPr>
                <w:rFonts w:ascii="Times New Roman" w:eastAsia="Times New Roman" w:hAnsi="Times New Roman" w:cs="Times New Roman"/>
                <w:i/>
                <w:sz w:val="22"/>
                <w:szCs w:val="22"/>
                <w:vertAlign w:val="subscript"/>
              </w:rPr>
              <w:t>t-1</w:t>
            </w:r>
          </w:p>
        </w:tc>
        <w:tc>
          <w:tcPr>
            <w:tcW w:w="1089" w:type="dxa"/>
          </w:tcPr>
          <w:p w14:paraId="74CDC3E6"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14E1481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2.334</w:t>
            </w:r>
          </w:p>
        </w:tc>
        <w:tc>
          <w:tcPr>
            <w:tcW w:w="849" w:type="dxa"/>
            <w:shd w:val="clear" w:color="auto" w:fill="auto"/>
            <w:vAlign w:val="bottom"/>
          </w:tcPr>
          <w:p w14:paraId="219765CF"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48298CAB"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847" w:type="dxa"/>
            <w:shd w:val="clear" w:color="auto" w:fill="auto"/>
            <w:vAlign w:val="bottom"/>
          </w:tcPr>
          <w:p w14:paraId="7D06471F"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04A0EB13" w14:textId="77777777" w:rsidTr="0010233B">
        <w:trPr>
          <w:trHeight w:val="300"/>
          <w:jc w:val="center"/>
        </w:trPr>
        <w:tc>
          <w:tcPr>
            <w:tcW w:w="2592" w:type="dxa"/>
            <w:shd w:val="clear" w:color="auto" w:fill="auto"/>
            <w:vAlign w:val="bottom"/>
          </w:tcPr>
          <w:p w14:paraId="5358C2AC"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0F311156"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6872C35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9" w:type="dxa"/>
            <w:shd w:val="clear" w:color="auto" w:fill="auto"/>
            <w:vAlign w:val="bottom"/>
          </w:tcPr>
          <w:p w14:paraId="15BCDC2A"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0956FEE5"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847" w:type="dxa"/>
            <w:shd w:val="clear" w:color="auto" w:fill="auto"/>
            <w:vAlign w:val="bottom"/>
          </w:tcPr>
          <w:p w14:paraId="697D3D2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05F86E5D" w14:textId="77777777" w:rsidTr="0010233B">
        <w:trPr>
          <w:trHeight w:val="300"/>
          <w:jc w:val="center"/>
        </w:trPr>
        <w:tc>
          <w:tcPr>
            <w:tcW w:w="2592" w:type="dxa"/>
            <w:shd w:val="clear" w:color="auto" w:fill="auto"/>
            <w:vAlign w:val="bottom"/>
          </w:tcPr>
          <w:p w14:paraId="2C66F7D1"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SP/NI</w:t>
            </w:r>
            <w:r>
              <w:rPr>
                <w:rFonts w:ascii="Times New Roman" w:eastAsia="Times New Roman" w:hAnsi="Times New Roman" w:cs="Times New Roman"/>
                <w:i/>
                <w:sz w:val="22"/>
                <w:szCs w:val="22"/>
                <w:vertAlign w:val="subscript"/>
              </w:rPr>
              <w:t>t-1</w:t>
            </w:r>
          </w:p>
        </w:tc>
        <w:tc>
          <w:tcPr>
            <w:tcW w:w="1089" w:type="dxa"/>
          </w:tcPr>
          <w:p w14:paraId="053DE472"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3271A2E3"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849" w:type="dxa"/>
            <w:shd w:val="clear" w:color="auto" w:fill="auto"/>
            <w:vAlign w:val="bottom"/>
          </w:tcPr>
          <w:p w14:paraId="4C829E2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49FA2724"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b/>
                <w:bCs/>
                <w:color w:val="000000"/>
                <w:sz w:val="22"/>
                <w:szCs w:val="22"/>
              </w:rPr>
              <w:t>0.375</w:t>
            </w:r>
          </w:p>
        </w:tc>
        <w:tc>
          <w:tcPr>
            <w:tcW w:w="847" w:type="dxa"/>
            <w:shd w:val="clear" w:color="auto" w:fill="auto"/>
            <w:vAlign w:val="bottom"/>
          </w:tcPr>
          <w:p w14:paraId="1CBC7C47" w14:textId="77777777" w:rsidR="00A74F6E" w:rsidRPr="00076BC7" w:rsidRDefault="00A74F6E" w:rsidP="0010233B">
            <w:pPr>
              <w:spacing w:after="0" w:line="240" w:lineRule="auto"/>
              <w:ind w:left="-113" w:right="-113"/>
              <w:rPr>
                <w:rFonts w:ascii="Times New Roman" w:eastAsia="Times New Roman" w:hAnsi="Times New Roman" w:cs="Times New Roman"/>
                <w:b/>
                <w:sz w:val="22"/>
                <w:szCs w:val="22"/>
              </w:rPr>
            </w:pPr>
            <w:r w:rsidRPr="00076BC7">
              <w:rPr>
                <w:rFonts w:ascii="Times New Roman" w:hAnsi="Times New Roman" w:cs="Times New Roman"/>
                <w:b/>
                <w:bCs/>
                <w:color w:val="000000"/>
                <w:sz w:val="22"/>
                <w:szCs w:val="22"/>
              </w:rPr>
              <w:t>***</w:t>
            </w:r>
          </w:p>
        </w:tc>
      </w:tr>
      <w:tr w:rsidR="00A74F6E" w14:paraId="00C8FF95" w14:textId="77777777" w:rsidTr="0010233B">
        <w:trPr>
          <w:trHeight w:val="300"/>
          <w:jc w:val="center"/>
        </w:trPr>
        <w:tc>
          <w:tcPr>
            <w:tcW w:w="2592" w:type="dxa"/>
            <w:shd w:val="clear" w:color="auto" w:fill="auto"/>
            <w:vAlign w:val="bottom"/>
          </w:tcPr>
          <w:p w14:paraId="26AE8C9A"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1154A6DF"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779271F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849" w:type="dxa"/>
            <w:shd w:val="clear" w:color="auto" w:fill="auto"/>
            <w:vAlign w:val="bottom"/>
          </w:tcPr>
          <w:p w14:paraId="482A9FA4"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63B361D"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b/>
                <w:bCs/>
                <w:color w:val="000000"/>
                <w:sz w:val="22"/>
                <w:szCs w:val="22"/>
              </w:rPr>
              <w:t>0.000</w:t>
            </w:r>
          </w:p>
        </w:tc>
        <w:tc>
          <w:tcPr>
            <w:tcW w:w="847" w:type="dxa"/>
            <w:shd w:val="clear" w:color="auto" w:fill="auto"/>
            <w:vAlign w:val="bottom"/>
          </w:tcPr>
          <w:p w14:paraId="4897C0B7" w14:textId="77777777" w:rsidR="00A74F6E" w:rsidRPr="00076BC7" w:rsidRDefault="00A74F6E" w:rsidP="0010233B">
            <w:pPr>
              <w:spacing w:after="0" w:line="240" w:lineRule="auto"/>
              <w:ind w:left="-113" w:right="-113"/>
              <w:rPr>
                <w:rFonts w:ascii="Times New Roman" w:eastAsia="Times New Roman" w:hAnsi="Times New Roman" w:cs="Times New Roman"/>
                <w:b/>
                <w:sz w:val="22"/>
                <w:szCs w:val="22"/>
              </w:rPr>
            </w:pPr>
          </w:p>
        </w:tc>
      </w:tr>
      <w:tr w:rsidR="00A74F6E" w14:paraId="5101CC61" w14:textId="77777777" w:rsidTr="0010233B">
        <w:trPr>
          <w:trHeight w:val="300"/>
          <w:jc w:val="center"/>
        </w:trPr>
        <w:tc>
          <w:tcPr>
            <w:tcW w:w="2592" w:type="dxa"/>
            <w:shd w:val="clear" w:color="auto" w:fill="auto"/>
            <w:vAlign w:val="bottom"/>
          </w:tcPr>
          <w:p w14:paraId="3A01951A"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BOARDOWN</w:t>
            </w:r>
            <w:r>
              <w:rPr>
                <w:rFonts w:ascii="Times New Roman" w:eastAsia="Times New Roman" w:hAnsi="Times New Roman" w:cs="Times New Roman"/>
                <w:i/>
                <w:sz w:val="22"/>
                <w:szCs w:val="22"/>
                <w:vertAlign w:val="subscript"/>
              </w:rPr>
              <w:t>t-1</w:t>
            </w:r>
          </w:p>
        </w:tc>
        <w:tc>
          <w:tcPr>
            <w:tcW w:w="1089" w:type="dxa"/>
          </w:tcPr>
          <w:p w14:paraId="69C1D319"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995" w:type="dxa"/>
            <w:shd w:val="clear" w:color="auto" w:fill="auto"/>
            <w:vAlign w:val="bottom"/>
          </w:tcPr>
          <w:p w14:paraId="4BCC446B"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0.034</w:t>
            </w:r>
          </w:p>
        </w:tc>
        <w:tc>
          <w:tcPr>
            <w:tcW w:w="849" w:type="dxa"/>
            <w:shd w:val="clear" w:color="auto" w:fill="auto"/>
            <w:vAlign w:val="bottom"/>
          </w:tcPr>
          <w:p w14:paraId="76698AA5"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851" w:type="dxa"/>
            <w:shd w:val="clear" w:color="auto" w:fill="auto"/>
            <w:vAlign w:val="bottom"/>
          </w:tcPr>
          <w:p w14:paraId="49F8CA9C"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-0.022</w:t>
            </w:r>
          </w:p>
        </w:tc>
        <w:tc>
          <w:tcPr>
            <w:tcW w:w="847" w:type="dxa"/>
            <w:shd w:val="clear" w:color="auto" w:fill="auto"/>
            <w:vAlign w:val="bottom"/>
          </w:tcPr>
          <w:p w14:paraId="6881A773"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r>
      <w:tr w:rsidR="00A74F6E" w14:paraId="2F22C94C" w14:textId="77777777" w:rsidTr="0010233B">
        <w:trPr>
          <w:trHeight w:val="300"/>
          <w:jc w:val="center"/>
        </w:trPr>
        <w:tc>
          <w:tcPr>
            <w:tcW w:w="2592" w:type="dxa"/>
            <w:shd w:val="clear" w:color="auto" w:fill="auto"/>
            <w:vAlign w:val="bottom"/>
          </w:tcPr>
          <w:p w14:paraId="4D0A8AC4"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287A5FC4"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79B89E84"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0.891</w:t>
            </w:r>
          </w:p>
        </w:tc>
        <w:tc>
          <w:tcPr>
            <w:tcW w:w="849" w:type="dxa"/>
            <w:shd w:val="clear" w:color="auto" w:fill="auto"/>
            <w:vAlign w:val="bottom"/>
          </w:tcPr>
          <w:p w14:paraId="3AA6369F"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851" w:type="dxa"/>
            <w:shd w:val="clear" w:color="auto" w:fill="auto"/>
            <w:vAlign w:val="bottom"/>
          </w:tcPr>
          <w:p w14:paraId="158A5798"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0.862</w:t>
            </w:r>
          </w:p>
        </w:tc>
        <w:tc>
          <w:tcPr>
            <w:tcW w:w="847" w:type="dxa"/>
            <w:shd w:val="clear" w:color="auto" w:fill="auto"/>
            <w:vAlign w:val="bottom"/>
          </w:tcPr>
          <w:p w14:paraId="774F0FEC" w14:textId="77777777" w:rsidR="00A74F6E" w:rsidRPr="00076BC7" w:rsidRDefault="00A74F6E" w:rsidP="0010233B">
            <w:pPr>
              <w:spacing w:after="0" w:line="240" w:lineRule="auto"/>
              <w:ind w:left="-113" w:right="-113"/>
              <w:rPr>
                <w:rFonts w:ascii="Times New Roman" w:eastAsia="Times New Roman" w:hAnsi="Times New Roman" w:cs="Times New Roman"/>
                <w:color w:val="000000"/>
                <w:sz w:val="22"/>
                <w:szCs w:val="22"/>
              </w:rPr>
            </w:pPr>
          </w:p>
        </w:tc>
      </w:tr>
      <w:tr w:rsidR="00A74F6E" w14:paraId="711B3B17" w14:textId="77777777" w:rsidTr="0010233B">
        <w:trPr>
          <w:trHeight w:val="300"/>
          <w:jc w:val="center"/>
        </w:trPr>
        <w:tc>
          <w:tcPr>
            <w:tcW w:w="2592" w:type="dxa"/>
            <w:shd w:val="clear" w:color="auto" w:fill="auto"/>
            <w:vAlign w:val="bottom"/>
          </w:tcPr>
          <w:p w14:paraId="64912620"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PROPNED</w:t>
            </w:r>
            <w:r>
              <w:rPr>
                <w:rFonts w:ascii="Times New Roman" w:eastAsia="Times New Roman" w:hAnsi="Times New Roman" w:cs="Times New Roman"/>
                <w:i/>
                <w:sz w:val="22"/>
                <w:szCs w:val="22"/>
                <w:vertAlign w:val="subscript"/>
              </w:rPr>
              <w:t>t-1</w:t>
            </w:r>
          </w:p>
        </w:tc>
        <w:tc>
          <w:tcPr>
            <w:tcW w:w="1089" w:type="dxa"/>
          </w:tcPr>
          <w:p w14:paraId="2F707856"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995" w:type="dxa"/>
            <w:shd w:val="clear" w:color="auto" w:fill="auto"/>
            <w:vAlign w:val="bottom"/>
          </w:tcPr>
          <w:p w14:paraId="08C54580"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0.802</w:t>
            </w:r>
          </w:p>
        </w:tc>
        <w:tc>
          <w:tcPr>
            <w:tcW w:w="849" w:type="dxa"/>
            <w:shd w:val="clear" w:color="auto" w:fill="auto"/>
            <w:vAlign w:val="bottom"/>
          </w:tcPr>
          <w:p w14:paraId="1307F334"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3309D21B"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0.280</w:t>
            </w:r>
          </w:p>
        </w:tc>
        <w:tc>
          <w:tcPr>
            <w:tcW w:w="847" w:type="dxa"/>
            <w:shd w:val="clear" w:color="auto" w:fill="auto"/>
            <w:vAlign w:val="bottom"/>
          </w:tcPr>
          <w:p w14:paraId="1ACE22D6"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375FD235" w14:textId="77777777" w:rsidTr="0010233B">
        <w:trPr>
          <w:trHeight w:val="300"/>
          <w:jc w:val="center"/>
        </w:trPr>
        <w:tc>
          <w:tcPr>
            <w:tcW w:w="2592" w:type="dxa"/>
            <w:shd w:val="clear" w:color="auto" w:fill="auto"/>
            <w:vAlign w:val="bottom"/>
          </w:tcPr>
          <w:p w14:paraId="3CB6C8E8"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4B464752"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622AE2DD"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0.016</w:t>
            </w:r>
          </w:p>
        </w:tc>
        <w:tc>
          <w:tcPr>
            <w:tcW w:w="849" w:type="dxa"/>
            <w:shd w:val="clear" w:color="auto" w:fill="auto"/>
            <w:vAlign w:val="bottom"/>
          </w:tcPr>
          <w:p w14:paraId="224E1C7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9A6D57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0.075</w:t>
            </w:r>
          </w:p>
        </w:tc>
        <w:tc>
          <w:tcPr>
            <w:tcW w:w="847" w:type="dxa"/>
            <w:shd w:val="clear" w:color="auto" w:fill="auto"/>
            <w:vAlign w:val="bottom"/>
          </w:tcPr>
          <w:p w14:paraId="00577CEA"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1E89930D" w14:textId="77777777" w:rsidTr="0010233B">
        <w:trPr>
          <w:trHeight w:val="300"/>
          <w:jc w:val="center"/>
        </w:trPr>
        <w:tc>
          <w:tcPr>
            <w:tcW w:w="2592" w:type="dxa"/>
            <w:shd w:val="clear" w:color="auto" w:fill="auto"/>
            <w:vAlign w:val="bottom"/>
          </w:tcPr>
          <w:p w14:paraId="721013BE"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ESO</w:t>
            </w:r>
            <w:r>
              <w:rPr>
                <w:rFonts w:ascii="Times New Roman" w:eastAsia="Times New Roman" w:hAnsi="Times New Roman" w:cs="Times New Roman"/>
                <w:i/>
                <w:sz w:val="22"/>
                <w:szCs w:val="22"/>
                <w:vertAlign w:val="subscript"/>
              </w:rPr>
              <w:t>t-1</w:t>
            </w:r>
          </w:p>
        </w:tc>
        <w:tc>
          <w:tcPr>
            <w:tcW w:w="1089" w:type="dxa"/>
          </w:tcPr>
          <w:p w14:paraId="6DD25C1A" w14:textId="77777777" w:rsidR="00A74F6E" w:rsidRDefault="00A74F6E" w:rsidP="0010233B">
            <w:pPr>
              <w:spacing w:after="0" w:line="240" w:lineRule="auto"/>
              <w:ind w:right="-113"/>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p>
        </w:tc>
        <w:tc>
          <w:tcPr>
            <w:tcW w:w="995" w:type="dxa"/>
            <w:shd w:val="clear" w:color="auto" w:fill="auto"/>
            <w:vAlign w:val="bottom"/>
          </w:tcPr>
          <w:p w14:paraId="3A2449DB"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0.092</w:t>
            </w:r>
          </w:p>
        </w:tc>
        <w:tc>
          <w:tcPr>
            <w:tcW w:w="849" w:type="dxa"/>
            <w:shd w:val="clear" w:color="auto" w:fill="auto"/>
            <w:vAlign w:val="bottom"/>
          </w:tcPr>
          <w:p w14:paraId="1D322C81"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8E21174"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0.046</w:t>
            </w:r>
          </w:p>
        </w:tc>
        <w:tc>
          <w:tcPr>
            <w:tcW w:w="847" w:type="dxa"/>
            <w:shd w:val="clear" w:color="auto" w:fill="auto"/>
            <w:vAlign w:val="bottom"/>
          </w:tcPr>
          <w:p w14:paraId="03C458A6"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2A4BE25B" w14:textId="77777777" w:rsidTr="0010233B">
        <w:trPr>
          <w:trHeight w:val="300"/>
          <w:jc w:val="center"/>
        </w:trPr>
        <w:tc>
          <w:tcPr>
            <w:tcW w:w="2592" w:type="dxa"/>
            <w:shd w:val="clear" w:color="auto" w:fill="auto"/>
            <w:vAlign w:val="bottom"/>
          </w:tcPr>
          <w:p w14:paraId="1EDB1CC9"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56EC144C"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39D39A2D"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0.413</w:t>
            </w:r>
          </w:p>
        </w:tc>
        <w:tc>
          <w:tcPr>
            <w:tcW w:w="849" w:type="dxa"/>
            <w:shd w:val="clear" w:color="auto" w:fill="auto"/>
            <w:vAlign w:val="bottom"/>
          </w:tcPr>
          <w:p w14:paraId="05CE7FC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5E089716"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0.388</w:t>
            </w:r>
          </w:p>
        </w:tc>
        <w:tc>
          <w:tcPr>
            <w:tcW w:w="847" w:type="dxa"/>
            <w:shd w:val="clear" w:color="auto" w:fill="auto"/>
            <w:vAlign w:val="bottom"/>
          </w:tcPr>
          <w:p w14:paraId="0A98FDC3"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5F2434BE" w14:textId="77777777" w:rsidTr="0010233B">
        <w:trPr>
          <w:trHeight w:val="300"/>
          <w:jc w:val="center"/>
        </w:trPr>
        <w:tc>
          <w:tcPr>
            <w:tcW w:w="2592" w:type="dxa"/>
            <w:shd w:val="clear" w:color="auto" w:fill="auto"/>
            <w:vAlign w:val="bottom"/>
          </w:tcPr>
          <w:p w14:paraId="3C377F98"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INSTOWN</w:t>
            </w:r>
            <w:r>
              <w:rPr>
                <w:rFonts w:ascii="Times New Roman" w:eastAsia="Times New Roman" w:hAnsi="Times New Roman" w:cs="Times New Roman"/>
                <w:i/>
                <w:sz w:val="22"/>
                <w:szCs w:val="22"/>
                <w:vertAlign w:val="subscript"/>
              </w:rPr>
              <w:t>t-1</w:t>
            </w:r>
          </w:p>
        </w:tc>
        <w:tc>
          <w:tcPr>
            <w:tcW w:w="1089" w:type="dxa"/>
          </w:tcPr>
          <w:p w14:paraId="3826CF73"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43F13177"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-0.061</w:t>
            </w:r>
          </w:p>
        </w:tc>
        <w:tc>
          <w:tcPr>
            <w:tcW w:w="849" w:type="dxa"/>
            <w:shd w:val="clear" w:color="auto" w:fill="auto"/>
            <w:vAlign w:val="bottom"/>
          </w:tcPr>
          <w:p w14:paraId="17036F09"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79C766B6"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0.043</w:t>
            </w:r>
          </w:p>
        </w:tc>
        <w:tc>
          <w:tcPr>
            <w:tcW w:w="847" w:type="dxa"/>
            <w:shd w:val="clear" w:color="auto" w:fill="auto"/>
            <w:vAlign w:val="bottom"/>
          </w:tcPr>
          <w:p w14:paraId="71BC480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45C4323A" w14:textId="77777777" w:rsidTr="0010233B">
        <w:trPr>
          <w:trHeight w:val="300"/>
          <w:jc w:val="center"/>
        </w:trPr>
        <w:tc>
          <w:tcPr>
            <w:tcW w:w="2592" w:type="dxa"/>
            <w:shd w:val="clear" w:color="auto" w:fill="auto"/>
            <w:vAlign w:val="bottom"/>
          </w:tcPr>
          <w:p w14:paraId="0B085523"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59B6D9B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56CAE538"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0.825</w:t>
            </w:r>
          </w:p>
        </w:tc>
        <w:tc>
          <w:tcPr>
            <w:tcW w:w="849" w:type="dxa"/>
            <w:shd w:val="clear" w:color="auto" w:fill="auto"/>
            <w:vAlign w:val="bottom"/>
          </w:tcPr>
          <w:p w14:paraId="40C887D6"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680FE532" w14:textId="77777777" w:rsidR="00A74F6E" w:rsidRPr="00076BC7" w:rsidRDefault="00A74F6E" w:rsidP="0010233B">
            <w:pPr>
              <w:spacing w:after="0" w:line="240" w:lineRule="auto"/>
              <w:ind w:right="-113"/>
              <w:jc w:val="right"/>
              <w:rPr>
                <w:rFonts w:ascii="Times New Roman" w:eastAsia="Times New Roman" w:hAnsi="Times New Roman" w:cs="Times New Roman"/>
                <w:sz w:val="22"/>
                <w:szCs w:val="22"/>
              </w:rPr>
            </w:pPr>
            <w:r w:rsidRPr="00076BC7">
              <w:rPr>
                <w:rFonts w:ascii="Times New Roman" w:hAnsi="Times New Roman" w:cs="Times New Roman"/>
                <w:color w:val="000000"/>
                <w:sz w:val="22"/>
                <w:szCs w:val="22"/>
              </w:rPr>
              <w:t>0.741</w:t>
            </w:r>
          </w:p>
        </w:tc>
        <w:tc>
          <w:tcPr>
            <w:tcW w:w="847" w:type="dxa"/>
            <w:shd w:val="clear" w:color="auto" w:fill="auto"/>
            <w:vAlign w:val="bottom"/>
          </w:tcPr>
          <w:p w14:paraId="44D8A1C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2E47E536" w14:textId="77777777" w:rsidTr="0010233B">
        <w:trPr>
          <w:trHeight w:val="300"/>
          <w:jc w:val="center"/>
        </w:trPr>
        <w:tc>
          <w:tcPr>
            <w:tcW w:w="2592" w:type="dxa"/>
            <w:shd w:val="clear" w:color="auto" w:fill="auto"/>
            <w:vAlign w:val="bottom"/>
          </w:tcPr>
          <w:p w14:paraId="12C7C579" w14:textId="77777777" w:rsidR="00A74F6E" w:rsidRDefault="00A74F6E" w:rsidP="0010233B">
            <w:pPr>
              <w:spacing w:after="0" w:line="240" w:lineRule="auto"/>
              <w:rPr>
                <w:rFonts w:ascii="Times New Roman" w:eastAsia="Times New Roman" w:hAnsi="Times New Roman" w:cs="Times New Roman"/>
                <w:i/>
                <w:color w:val="000000"/>
                <w:sz w:val="22"/>
                <w:szCs w:val="22"/>
              </w:rPr>
            </w:pPr>
            <w:proofErr w:type="spellStart"/>
            <w:r>
              <w:rPr>
                <w:rFonts w:ascii="Times New Roman" w:eastAsia="Times New Roman" w:hAnsi="Times New Roman" w:cs="Times New Roman"/>
                <w:i/>
                <w:color w:val="000000"/>
                <w:sz w:val="22"/>
                <w:szCs w:val="22"/>
              </w:rPr>
              <w:t>CCDUM</w:t>
            </w:r>
            <w:r>
              <w:rPr>
                <w:rFonts w:ascii="Times New Roman" w:eastAsia="Times New Roman" w:hAnsi="Times New Roman" w:cs="Times New Roman"/>
                <w:i/>
                <w:sz w:val="22"/>
                <w:szCs w:val="22"/>
                <w:vertAlign w:val="subscript"/>
              </w:rPr>
              <w:t>t</w:t>
            </w:r>
            <w:proofErr w:type="spellEnd"/>
          </w:p>
        </w:tc>
        <w:tc>
          <w:tcPr>
            <w:tcW w:w="1089" w:type="dxa"/>
          </w:tcPr>
          <w:p w14:paraId="14EF63BD"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3ED206A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color w:val="000000"/>
                <w:sz w:val="22"/>
                <w:szCs w:val="22"/>
              </w:rPr>
              <w:t>0.147</w:t>
            </w:r>
          </w:p>
        </w:tc>
        <w:tc>
          <w:tcPr>
            <w:tcW w:w="849" w:type="dxa"/>
            <w:shd w:val="clear" w:color="auto" w:fill="auto"/>
            <w:vAlign w:val="bottom"/>
          </w:tcPr>
          <w:p w14:paraId="1A5608F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71A2AC77"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p>
        </w:tc>
        <w:tc>
          <w:tcPr>
            <w:tcW w:w="847" w:type="dxa"/>
            <w:shd w:val="clear" w:color="auto" w:fill="auto"/>
            <w:vAlign w:val="bottom"/>
          </w:tcPr>
          <w:p w14:paraId="08BF4F0A" w14:textId="77777777" w:rsidR="00A74F6E" w:rsidRPr="00076BC7" w:rsidRDefault="00A74F6E" w:rsidP="0010233B">
            <w:pPr>
              <w:spacing w:after="0" w:line="240" w:lineRule="auto"/>
              <w:ind w:left="-113" w:right="-113"/>
              <w:rPr>
                <w:rFonts w:ascii="Times New Roman" w:eastAsia="Times New Roman" w:hAnsi="Times New Roman" w:cs="Times New Roman"/>
                <w:b/>
                <w:sz w:val="22"/>
                <w:szCs w:val="22"/>
              </w:rPr>
            </w:pPr>
          </w:p>
        </w:tc>
      </w:tr>
      <w:tr w:rsidR="00A74F6E" w14:paraId="5B22565E" w14:textId="77777777" w:rsidTr="0010233B">
        <w:trPr>
          <w:trHeight w:val="300"/>
          <w:jc w:val="center"/>
        </w:trPr>
        <w:tc>
          <w:tcPr>
            <w:tcW w:w="2592" w:type="dxa"/>
            <w:shd w:val="clear" w:color="auto" w:fill="auto"/>
            <w:vAlign w:val="bottom"/>
          </w:tcPr>
          <w:p w14:paraId="17311366"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50C1EE2B"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995" w:type="dxa"/>
            <w:shd w:val="clear" w:color="auto" w:fill="auto"/>
            <w:vAlign w:val="bottom"/>
          </w:tcPr>
          <w:p w14:paraId="3ADAD7B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color w:val="000000"/>
                <w:sz w:val="22"/>
                <w:szCs w:val="22"/>
              </w:rPr>
              <w:t>0.143</w:t>
            </w:r>
          </w:p>
        </w:tc>
        <w:tc>
          <w:tcPr>
            <w:tcW w:w="849" w:type="dxa"/>
            <w:shd w:val="clear" w:color="auto" w:fill="auto"/>
            <w:vAlign w:val="bottom"/>
          </w:tcPr>
          <w:p w14:paraId="78925720"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1256A0D"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p>
        </w:tc>
        <w:tc>
          <w:tcPr>
            <w:tcW w:w="847" w:type="dxa"/>
            <w:shd w:val="clear" w:color="auto" w:fill="auto"/>
            <w:vAlign w:val="bottom"/>
          </w:tcPr>
          <w:p w14:paraId="33623F47" w14:textId="77777777" w:rsidR="00A74F6E" w:rsidRPr="00076BC7" w:rsidRDefault="00A74F6E" w:rsidP="0010233B">
            <w:pPr>
              <w:spacing w:after="0" w:line="240" w:lineRule="auto"/>
              <w:ind w:left="-113" w:right="-113"/>
              <w:rPr>
                <w:rFonts w:ascii="Times New Roman" w:eastAsia="Times New Roman" w:hAnsi="Times New Roman" w:cs="Times New Roman"/>
                <w:b/>
                <w:sz w:val="22"/>
                <w:szCs w:val="22"/>
              </w:rPr>
            </w:pPr>
          </w:p>
        </w:tc>
      </w:tr>
      <w:tr w:rsidR="00A74F6E" w14:paraId="63BD6202" w14:textId="77777777" w:rsidTr="0010233B">
        <w:trPr>
          <w:trHeight w:val="300"/>
          <w:jc w:val="center"/>
        </w:trPr>
        <w:tc>
          <w:tcPr>
            <w:tcW w:w="2592" w:type="dxa"/>
            <w:shd w:val="clear" w:color="auto" w:fill="auto"/>
            <w:vAlign w:val="bottom"/>
          </w:tcPr>
          <w:p w14:paraId="4F582A3E"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CC/</w:t>
            </w:r>
            <w:proofErr w:type="spellStart"/>
            <w:r>
              <w:rPr>
                <w:rFonts w:ascii="Times New Roman" w:eastAsia="Times New Roman" w:hAnsi="Times New Roman" w:cs="Times New Roman"/>
                <w:i/>
                <w:color w:val="000000"/>
                <w:sz w:val="22"/>
                <w:szCs w:val="22"/>
              </w:rPr>
              <w:t>NI</w:t>
            </w:r>
            <w:r>
              <w:rPr>
                <w:rFonts w:ascii="Times New Roman" w:eastAsia="Times New Roman" w:hAnsi="Times New Roman" w:cs="Times New Roman"/>
                <w:i/>
                <w:sz w:val="22"/>
                <w:szCs w:val="22"/>
                <w:vertAlign w:val="subscript"/>
              </w:rPr>
              <w:t>t</w:t>
            </w:r>
            <w:proofErr w:type="spellEnd"/>
          </w:p>
        </w:tc>
        <w:tc>
          <w:tcPr>
            <w:tcW w:w="1089" w:type="dxa"/>
          </w:tcPr>
          <w:p w14:paraId="04595B0D"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7306C2FB" w14:textId="77777777" w:rsidR="00A74F6E" w:rsidRPr="00076BC7" w:rsidRDefault="00A74F6E" w:rsidP="0010233B">
            <w:pPr>
              <w:spacing w:after="0" w:line="240" w:lineRule="auto"/>
              <w:ind w:right="-113"/>
              <w:jc w:val="right"/>
              <w:rPr>
                <w:rFonts w:ascii="Times New Roman" w:hAnsi="Times New Roman" w:cs="Times New Roman"/>
                <w:color w:val="000000"/>
                <w:sz w:val="22"/>
                <w:szCs w:val="22"/>
              </w:rPr>
            </w:pPr>
          </w:p>
        </w:tc>
        <w:tc>
          <w:tcPr>
            <w:tcW w:w="849" w:type="dxa"/>
            <w:shd w:val="clear" w:color="auto" w:fill="auto"/>
            <w:vAlign w:val="bottom"/>
          </w:tcPr>
          <w:p w14:paraId="65731F6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0C8894F4" w14:textId="77777777" w:rsidR="00A74F6E" w:rsidRPr="00076BC7" w:rsidRDefault="00A74F6E" w:rsidP="0010233B">
            <w:pPr>
              <w:spacing w:after="0" w:line="240" w:lineRule="auto"/>
              <w:ind w:right="-113"/>
              <w:jc w:val="right"/>
              <w:rPr>
                <w:rFonts w:ascii="Times New Roman" w:hAnsi="Times New Roman" w:cs="Times New Roman"/>
                <w:color w:val="000000"/>
                <w:sz w:val="22"/>
                <w:szCs w:val="22"/>
              </w:rPr>
            </w:pPr>
            <w:r w:rsidRPr="00076BC7">
              <w:rPr>
                <w:rFonts w:ascii="Times New Roman" w:hAnsi="Times New Roman" w:cs="Times New Roman"/>
                <w:b/>
                <w:bCs/>
                <w:color w:val="000000"/>
                <w:sz w:val="22"/>
                <w:szCs w:val="22"/>
              </w:rPr>
              <w:t>0.025</w:t>
            </w:r>
          </w:p>
        </w:tc>
        <w:tc>
          <w:tcPr>
            <w:tcW w:w="847" w:type="dxa"/>
            <w:shd w:val="clear" w:color="auto" w:fill="auto"/>
            <w:vAlign w:val="bottom"/>
          </w:tcPr>
          <w:p w14:paraId="6EC702A5"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05156835" w14:textId="77777777" w:rsidTr="0010233B">
        <w:trPr>
          <w:trHeight w:val="300"/>
          <w:jc w:val="center"/>
        </w:trPr>
        <w:tc>
          <w:tcPr>
            <w:tcW w:w="2592" w:type="dxa"/>
            <w:shd w:val="clear" w:color="auto" w:fill="auto"/>
            <w:vAlign w:val="bottom"/>
          </w:tcPr>
          <w:p w14:paraId="7365E07B"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089" w:type="dxa"/>
          </w:tcPr>
          <w:p w14:paraId="2661D542"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123F0126" w14:textId="77777777" w:rsidR="00A74F6E" w:rsidRPr="00076BC7" w:rsidRDefault="00A74F6E" w:rsidP="0010233B">
            <w:pPr>
              <w:spacing w:after="0" w:line="240" w:lineRule="auto"/>
              <w:ind w:right="-113"/>
              <w:jc w:val="right"/>
              <w:rPr>
                <w:rFonts w:ascii="Times New Roman" w:hAnsi="Times New Roman" w:cs="Times New Roman"/>
                <w:color w:val="000000"/>
                <w:sz w:val="22"/>
                <w:szCs w:val="22"/>
              </w:rPr>
            </w:pPr>
          </w:p>
        </w:tc>
        <w:tc>
          <w:tcPr>
            <w:tcW w:w="849" w:type="dxa"/>
            <w:shd w:val="clear" w:color="auto" w:fill="auto"/>
            <w:vAlign w:val="bottom"/>
          </w:tcPr>
          <w:p w14:paraId="161BBCD0"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41273F45" w14:textId="77777777" w:rsidR="00A74F6E" w:rsidRPr="00076BC7" w:rsidRDefault="00A74F6E" w:rsidP="0010233B">
            <w:pPr>
              <w:spacing w:after="0" w:line="240" w:lineRule="auto"/>
              <w:ind w:right="-113"/>
              <w:jc w:val="right"/>
              <w:rPr>
                <w:rFonts w:ascii="Times New Roman" w:hAnsi="Times New Roman" w:cs="Times New Roman"/>
                <w:color w:val="000000"/>
                <w:sz w:val="22"/>
                <w:szCs w:val="22"/>
              </w:rPr>
            </w:pPr>
            <w:r w:rsidRPr="00076BC7">
              <w:rPr>
                <w:rFonts w:ascii="Times New Roman" w:hAnsi="Times New Roman" w:cs="Times New Roman"/>
                <w:b/>
                <w:bCs/>
                <w:color w:val="000000"/>
                <w:sz w:val="22"/>
                <w:szCs w:val="22"/>
              </w:rPr>
              <w:t>0.023</w:t>
            </w:r>
          </w:p>
        </w:tc>
        <w:tc>
          <w:tcPr>
            <w:tcW w:w="847" w:type="dxa"/>
            <w:shd w:val="clear" w:color="auto" w:fill="auto"/>
            <w:vAlign w:val="bottom"/>
          </w:tcPr>
          <w:p w14:paraId="19B30D64"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6C91B0A9" w14:textId="77777777" w:rsidTr="0010233B">
        <w:trPr>
          <w:trHeight w:val="300"/>
          <w:jc w:val="center"/>
        </w:trPr>
        <w:tc>
          <w:tcPr>
            <w:tcW w:w="2592" w:type="dxa"/>
            <w:shd w:val="clear" w:color="auto" w:fill="auto"/>
            <w:vAlign w:val="bottom"/>
          </w:tcPr>
          <w:p w14:paraId="214B798B"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MCAP</w:t>
            </w:r>
            <w:r>
              <w:rPr>
                <w:rFonts w:ascii="Times New Roman" w:eastAsia="Times New Roman" w:hAnsi="Times New Roman" w:cs="Times New Roman"/>
                <w:i/>
                <w:sz w:val="22"/>
                <w:szCs w:val="22"/>
                <w:vertAlign w:val="subscript"/>
              </w:rPr>
              <w:t>t-1</w:t>
            </w:r>
          </w:p>
        </w:tc>
        <w:tc>
          <w:tcPr>
            <w:tcW w:w="1089" w:type="dxa"/>
          </w:tcPr>
          <w:p w14:paraId="67829D7D"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18E0B601"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0.241</w:t>
            </w:r>
          </w:p>
        </w:tc>
        <w:tc>
          <w:tcPr>
            <w:tcW w:w="849" w:type="dxa"/>
            <w:shd w:val="clear" w:color="auto" w:fill="auto"/>
            <w:vAlign w:val="bottom"/>
          </w:tcPr>
          <w:p w14:paraId="7FB305EC"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11F72C78"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0.104</w:t>
            </w:r>
          </w:p>
        </w:tc>
        <w:tc>
          <w:tcPr>
            <w:tcW w:w="847" w:type="dxa"/>
            <w:shd w:val="clear" w:color="auto" w:fill="auto"/>
            <w:vAlign w:val="bottom"/>
          </w:tcPr>
          <w:p w14:paraId="5271A34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39C972AD" w14:textId="77777777" w:rsidTr="0010233B">
        <w:trPr>
          <w:trHeight w:val="300"/>
          <w:jc w:val="center"/>
        </w:trPr>
        <w:tc>
          <w:tcPr>
            <w:tcW w:w="2592" w:type="dxa"/>
            <w:shd w:val="clear" w:color="auto" w:fill="auto"/>
            <w:vAlign w:val="bottom"/>
          </w:tcPr>
          <w:p w14:paraId="2C332361"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089" w:type="dxa"/>
          </w:tcPr>
          <w:p w14:paraId="40E10DF0"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14E097E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9" w:type="dxa"/>
            <w:shd w:val="clear" w:color="auto" w:fill="auto"/>
            <w:vAlign w:val="bottom"/>
          </w:tcPr>
          <w:p w14:paraId="072FC84B"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4F239D24"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7" w:type="dxa"/>
            <w:shd w:val="clear" w:color="auto" w:fill="auto"/>
            <w:vAlign w:val="bottom"/>
          </w:tcPr>
          <w:p w14:paraId="24505B40"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7DC7E5DB" w14:textId="77777777" w:rsidTr="0010233B">
        <w:trPr>
          <w:trHeight w:val="300"/>
          <w:jc w:val="center"/>
        </w:trPr>
        <w:tc>
          <w:tcPr>
            <w:tcW w:w="2592" w:type="dxa"/>
            <w:shd w:val="clear" w:color="auto" w:fill="auto"/>
            <w:vAlign w:val="bottom"/>
          </w:tcPr>
          <w:p w14:paraId="00413B2E"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AGE</w:t>
            </w:r>
            <w:r>
              <w:rPr>
                <w:rFonts w:ascii="Times New Roman" w:eastAsia="Times New Roman" w:hAnsi="Times New Roman" w:cs="Times New Roman"/>
                <w:i/>
                <w:sz w:val="22"/>
                <w:szCs w:val="22"/>
                <w:vertAlign w:val="subscript"/>
              </w:rPr>
              <w:t xml:space="preserve"> t-1</w:t>
            </w:r>
          </w:p>
        </w:tc>
        <w:tc>
          <w:tcPr>
            <w:tcW w:w="1089" w:type="dxa"/>
          </w:tcPr>
          <w:p w14:paraId="61880F81"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3BC79FC2"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0.033</w:t>
            </w:r>
          </w:p>
        </w:tc>
        <w:tc>
          <w:tcPr>
            <w:tcW w:w="849" w:type="dxa"/>
            <w:shd w:val="clear" w:color="auto" w:fill="auto"/>
            <w:vAlign w:val="bottom"/>
          </w:tcPr>
          <w:p w14:paraId="744899CF"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20418D37"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0.030</w:t>
            </w:r>
          </w:p>
        </w:tc>
        <w:tc>
          <w:tcPr>
            <w:tcW w:w="847" w:type="dxa"/>
            <w:shd w:val="clear" w:color="auto" w:fill="auto"/>
            <w:vAlign w:val="bottom"/>
          </w:tcPr>
          <w:p w14:paraId="0DD349E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04149D94" w14:textId="77777777" w:rsidTr="0010233B">
        <w:trPr>
          <w:trHeight w:val="300"/>
          <w:jc w:val="center"/>
        </w:trPr>
        <w:tc>
          <w:tcPr>
            <w:tcW w:w="2592" w:type="dxa"/>
            <w:shd w:val="clear" w:color="auto" w:fill="auto"/>
            <w:vAlign w:val="bottom"/>
          </w:tcPr>
          <w:p w14:paraId="78C9FDD0"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089" w:type="dxa"/>
          </w:tcPr>
          <w:p w14:paraId="781B0D1E"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40D34224"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0.469</w:t>
            </w:r>
          </w:p>
        </w:tc>
        <w:tc>
          <w:tcPr>
            <w:tcW w:w="849" w:type="dxa"/>
            <w:shd w:val="clear" w:color="auto" w:fill="auto"/>
            <w:vAlign w:val="bottom"/>
          </w:tcPr>
          <w:p w14:paraId="039D3DD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425B1882" w14:textId="77777777" w:rsidR="00A74F6E" w:rsidRPr="00076BC7" w:rsidRDefault="00A74F6E" w:rsidP="0010233B">
            <w:pPr>
              <w:spacing w:after="0" w:line="240" w:lineRule="auto"/>
              <w:ind w:right="-113"/>
              <w:jc w:val="right"/>
              <w:rPr>
                <w:rFonts w:ascii="Times New Roman" w:eastAsia="Times New Roman" w:hAnsi="Times New Roman" w:cs="Times New Roman"/>
                <w:b/>
                <w:sz w:val="22"/>
                <w:szCs w:val="22"/>
              </w:rPr>
            </w:pPr>
            <w:r w:rsidRPr="00076BC7">
              <w:rPr>
                <w:rFonts w:ascii="Times New Roman" w:hAnsi="Times New Roman" w:cs="Times New Roman"/>
                <w:color w:val="000000"/>
                <w:sz w:val="22"/>
                <w:szCs w:val="22"/>
              </w:rPr>
              <w:t>0.159</w:t>
            </w:r>
          </w:p>
        </w:tc>
        <w:tc>
          <w:tcPr>
            <w:tcW w:w="847" w:type="dxa"/>
            <w:shd w:val="clear" w:color="auto" w:fill="auto"/>
            <w:vAlign w:val="bottom"/>
          </w:tcPr>
          <w:p w14:paraId="3BC8092B"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78EBA6A0" w14:textId="77777777" w:rsidTr="0010233B">
        <w:trPr>
          <w:trHeight w:val="300"/>
          <w:jc w:val="center"/>
        </w:trPr>
        <w:tc>
          <w:tcPr>
            <w:tcW w:w="2592" w:type="dxa"/>
            <w:shd w:val="clear" w:color="auto" w:fill="auto"/>
            <w:vAlign w:val="bottom"/>
          </w:tcPr>
          <w:p w14:paraId="25EDD9E9"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RE/TA</w:t>
            </w:r>
            <w:r>
              <w:rPr>
                <w:rFonts w:ascii="Times New Roman" w:eastAsia="Times New Roman" w:hAnsi="Times New Roman" w:cs="Times New Roman"/>
                <w:i/>
                <w:sz w:val="22"/>
                <w:szCs w:val="22"/>
                <w:vertAlign w:val="subscript"/>
              </w:rPr>
              <w:t xml:space="preserve"> t-1</w:t>
            </w:r>
          </w:p>
        </w:tc>
        <w:tc>
          <w:tcPr>
            <w:tcW w:w="1089" w:type="dxa"/>
          </w:tcPr>
          <w:p w14:paraId="30CD7A64"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55DD1163"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0.231</w:t>
            </w:r>
          </w:p>
        </w:tc>
        <w:tc>
          <w:tcPr>
            <w:tcW w:w="849" w:type="dxa"/>
            <w:shd w:val="clear" w:color="auto" w:fill="auto"/>
            <w:vAlign w:val="bottom"/>
          </w:tcPr>
          <w:p w14:paraId="1CF0F29C"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629816DF"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0.128</w:t>
            </w:r>
          </w:p>
        </w:tc>
        <w:tc>
          <w:tcPr>
            <w:tcW w:w="847" w:type="dxa"/>
            <w:shd w:val="clear" w:color="auto" w:fill="auto"/>
            <w:vAlign w:val="bottom"/>
          </w:tcPr>
          <w:p w14:paraId="7FB25ECC"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0C2E952E" w14:textId="77777777" w:rsidTr="0010233B">
        <w:trPr>
          <w:trHeight w:val="300"/>
          <w:jc w:val="center"/>
        </w:trPr>
        <w:tc>
          <w:tcPr>
            <w:tcW w:w="2592" w:type="dxa"/>
            <w:shd w:val="clear" w:color="auto" w:fill="auto"/>
            <w:vAlign w:val="bottom"/>
          </w:tcPr>
          <w:p w14:paraId="03644556" w14:textId="77777777" w:rsidR="00A74F6E" w:rsidRDefault="00A74F6E" w:rsidP="0010233B">
            <w:pPr>
              <w:spacing w:after="0" w:line="240" w:lineRule="auto"/>
              <w:rPr>
                <w:rFonts w:ascii="Times New Roman" w:eastAsia="Times New Roman" w:hAnsi="Times New Roman" w:cs="Times New Roman"/>
                <w:b/>
                <w:i/>
                <w:sz w:val="22"/>
                <w:szCs w:val="22"/>
              </w:rPr>
            </w:pPr>
          </w:p>
        </w:tc>
        <w:tc>
          <w:tcPr>
            <w:tcW w:w="1089" w:type="dxa"/>
          </w:tcPr>
          <w:p w14:paraId="38C49570"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68A5AF12"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0.042</w:t>
            </w:r>
          </w:p>
        </w:tc>
        <w:tc>
          <w:tcPr>
            <w:tcW w:w="849" w:type="dxa"/>
            <w:shd w:val="clear" w:color="auto" w:fill="auto"/>
            <w:vAlign w:val="bottom"/>
          </w:tcPr>
          <w:p w14:paraId="373A2706"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shd w:val="clear" w:color="auto" w:fill="auto"/>
            <w:vAlign w:val="bottom"/>
          </w:tcPr>
          <w:p w14:paraId="4CF7D0B8"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0.023</w:t>
            </w:r>
          </w:p>
        </w:tc>
        <w:tc>
          <w:tcPr>
            <w:tcW w:w="847" w:type="dxa"/>
            <w:shd w:val="clear" w:color="auto" w:fill="auto"/>
            <w:vAlign w:val="bottom"/>
          </w:tcPr>
          <w:p w14:paraId="5A0EFDE1"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37E64D37" w14:textId="77777777" w:rsidTr="0010233B">
        <w:trPr>
          <w:trHeight w:val="300"/>
          <w:jc w:val="center"/>
        </w:trPr>
        <w:tc>
          <w:tcPr>
            <w:tcW w:w="2592" w:type="dxa"/>
            <w:shd w:val="clear" w:color="auto" w:fill="auto"/>
            <w:vAlign w:val="bottom"/>
          </w:tcPr>
          <w:p w14:paraId="721DC386"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Constant</w:t>
            </w:r>
          </w:p>
        </w:tc>
        <w:tc>
          <w:tcPr>
            <w:tcW w:w="1089" w:type="dxa"/>
          </w:tcPr>
          <w:p w14:paraId="7AE2E642"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shd w:val="clear" w:color="auto" w:fill="auto"/>
            <w:vAlign w:val="bottom"/>
          </w:tcPr>
          <w:p w14:paraId="6DA87878"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-5.608</w:t>
            </w:r>
          </w:p>
        </w:tc>
        <w:tc>
          <w:tcPr>
            <w:tcW w:w="849" w:type="dxa"/>
            <w:shd w:val="clear" w:color="auto" w:fill="auto"/>
            <w:vAlign w:val="bottom"/>
          </w:tcPr>
          <w:p w14:paraId="73229597"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c>
          <w:tcPr>
            <w:tcW w:w="851" w:type="dxa"/>
            <w:shd w:val="clear" w:color="auto" w:fill="auto"/>
            <w:vAlign w:val="bottom"/>
          </w:tcPr>
          <w:p w14:paraId="10D1C7C1"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-2.612</w:t>
            </w:r>
          </w:p>
        </w:tc>
        <w:tc>
          <w:tcPr>
            <w:tcW w:w="847" w:type="dxa"/>
            <w:shd w:val="clear" w:color="auto" w:fill="auto"/>
            <w:vAlign w:val="bottom"/>
          </w:tcPr>
          <w:p w14:paraId="5AE9015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w:t>
            </w:r>
          </w:p>
        </w:tc>
      </w:tr>
      <w:tr w:rsidR="00A74F6E" w14:paraId="6991E821" w14:textId="77777777" w:rsidTr="0010233B">
        <w:trPr>
          <w:trHeight w:val="300"/>
          <w:jc w:val="center"/>
        </w:trPr>
        <w:tc>
          <w:tcPr>
            <w:tcW w:w="2592" w:type="dxa"/>
            <w:tcBorders>
              <w:bottom w:val="nil"/>
            </w:tcBorders>
            <w:shd w:val="clear" w:color="auto" w:fill="auto"/>
            <w:vAlign w:val="bottom"/>
          </w:tcPr>
          <w:p w14:paraId="192CF732" w14:textId="77777777" w:rsidR="00A74F6E" w:rsidRDefault="00A74F6E" w:rsidP="0010233B">
            <w:pPr>
              <w:spacing w:after="0" w:line="240" w:lineRule="auto"/>
              <w:jc w:val="right"/>
              <w:rPr>
                <w:rFonts w:ascii="Times New Roman" w:eastAsia="Times New Roman" w:hAnsi="Times New Roman" w:cs="Times New Roman"/>
                <w:b/>
                <w:i/>
                <w:color w:val="000000"/>
                <w:sz w:val="22"/>
                <w:szCs w:val="22"/>
              </w:rPr>
            </w:pPr>
          </w:p>
        </w:tc>
        <w:tc>
          <w:tcPr>
            <w:tcW w:w="1089" w:type="dxa"/>
            <w:tcBorders>
              <w:bottom w:val="nil"/>
            </w:tcBorders>
          </w:tcPr>
          <w:p w14:paraId="6D140630"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995" w:type="dxa"/>
            <w:tcBorders>
              <w:bottom w:val="nil"/>
            </w:tcBorders>
            <w:shd w:val="clear" w:color="auto" w:fill="auto"/>
            <w:vAlign w:val="bottom"/>
          </w:tcPr>
          <w:p w14:paraId="343E5527"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9" w:type="dxa"/>
            <w:tcBorders>
              <w:bottom w:val="nil"/>
            </w:tcBorders>
            <w:shd w:val="clear" w:color="auto" w:fill="auto"/>
            <w:vAlign w:val="bottom"/>
          </w:tcPr>
          <w:p w14:paraId="56557A6E"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851" w:type="dxa"/>
            <w:tcBorders>
              <w:bottom w:val="nil"/>
            </w:tcBorders>
            <w:shd w:val="clear" w:color="auto" w:fill="auto"/>
            <w:vAlign w:val="bottom"/>
          </w:tcPr>
          <w:p w14:paraId="2846AFD2" w14:textId="77777777" w:rsidR="00A74F6E" w:rsidRPr="00076BC7"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076BC7">
              <w:rPr>
                <w:rFonts w:ascii="Times New Roman" w:hAnsi="Times New Roman" w:cs="Times New Roman"/>
                <w:b/>
                <w:bCs/>
                <w:color w:val="000000"/>
                <w:sz w:val="22"/>
                <w:szCs w:val="22"/>
              </w:rPr>
              <w:t>0.000</w:t>
            </w:r>
          </w:p>
        </w:tc>
        <w:tc>
          <w:tcPr>
            <w:tcW w:w="847" w:type="dxa"/>
            <w:tcBorders>
              <w:bottom w:val="nil"/>
            </w:tcBorders>
            <w:shd w:val="clear" w:color="auto" w:fill="auto"/>
            <w:vAlign w:val="bottom"/>
          </w:tcPr>
          <w:p w14:paraId="3AD3C74F" w14:textId="77777777" w:rsidR="00A74F6E" w:rsidRPr="00076BC7" w:rsidRDefault="00A74F6E" w:rsidP="0010233B">
            <w:pPr>
              <w:spacing w:after="0" w:line="240" w:lineRule="auto"/>
              <w:ind w:left="-113" w:right="-113"/>
              <w:rPr>
                <w:rFonts w:ascii="Times New Roman" w:eastAsia="Times New Roman" w:hAnsi="Times New Roman" w:cs="Times New Roman"/>
                <w:b/>
                <w:color w:val="000000"/>
                <w:sz w:val="22"/>
                <w:szCs w:val="22"/>
              </w:rPr>
            </w:pPr>
          </w:p>
        </w:tc>
      </w:tr>
      <w:tr w:rsidR="00A74F6E" w14:paraId="7DB05282" w14:textId="77777777" w:rsidTr="0010233B">
        <w:trPr>
          <w:trHeight w:val="300"/>
          <w:jc w:val="center"/>
        </w:trPr>
        <w:tc>
          <w:tcPr>
            <w:tcW w:w="2592" w:type="dxa"/>
            <w:tcBorders>
              <w:top w:val="single" w:sz="4" w:space="0" w:color="000000"/>
              <w:bottom w:val="nil"/>
            </w:tcBorders>
            <w:shd w:val="clear" w:color="auto" w:fill="auto"/>
          </w:tcPr>
          <w:p w14:paraId="1D83304D" w14:textId="77777777" w:rsidR="00A74F6E" w:rsidRDefault="00A74F6E" w:rsidP="0010233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p>
        </w:tc>
        <w:tc>
          <w:tcPr>
            <w:tcW w:w="1089" w:type="dxa"/>
            <w:tcBorders>
              <w:top w:val="single" w:sz="4" w:space="0" w:color="000000"/>
              <w:bottom w:val="nil"/>
            </w:tcBorders>
          </w:tcPr>
          <w:p w14:paraId="4CE0CC8B" w14:textId="77777777" w:rsidR="00A74F6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995" w:type="dxa"/>
            <w:tcBorders>
              <w:top w:val="single" w:sz="4" w:space="0" w:color="000000"/>
              <w:bottom w:val="nil"/>
            </w:tcBorders>
            <w:shd w:val="clear" w:color="auto" w:fill="auto"/>
            <w:vAlign w:val="bottom"/>
          </w:tcPr>
          <w:p w14:paraId="6713D0C7"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6180</w:t>
            </w:r>
          </w:p>
        </w:tc>
        <w:tc>
          <w:tcPr>
            <w:tcW w:w="849" w:type="dxa"/>
            <w:tcBorders>
              <w:top w:val="single" w:sz="4" w:space="0" w:color="000000"/>
              <w:bottom w:val="nil"/>
            </w:tcBorders>
            <w:shd w:val="clear" w:color="auto" w:fill="auto"/>
            <w:vAlign w:val="bottom"/>
          </w:tcPr>
          <w:p w14:paraId="7E3D4BCA" w14:textId="77777777" w:rsidR="00A74F6E" w:rsidRPr="00076BC7" w:rsidRDefault="00A74F6E" w:rsidP="0010233B">
            <w:pPr>
              <w:spacing w:after="0" w:line="240" w:lineRule="auto"/>
              <w:ind w:left="-113"/>
              <w:jc w:val="right"/>
              <w:rPr>
                <w:rFonts w:ascii="Times New Roman" w:eastAsia="Times New Roman" w:hAnsi="Times New Roman" w:cs="Times New Roman"/>
                <w:color w:val="000000"/>
                <w:sz w:val="22"/>
                <w:szCs w:val="22"/>
              </w:rPr>
            </w:pPr>
          </w:p>
        </w:tc>
        <w:tc>
          <w:tcPr>
            <w:tcW w:w="851" w:type="dxa"/>
            <w:tcBorders>
              <w:top w:val="single" w:sz="4" w:space="0" w:color="000000"/>
              <w:bottom w:val="nil"/>
            </w:tcBorders>
            <w:shd w:val="clear" w:color="auto" w:fill="auto"/>
            <w:vAlign w:val="bottom"/>
          </w:tcPr>
          <w:p w14:paraId="10917AFF"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6199</w:t>
            </w:r>
          </w:p>
        </w:tc>
        <w:tc>
          <w:tcPr>
            <w:tcW w:w="847" w:type="dxa"/>
            <w:tcBorders>
              <w:top w:val="single" w:sz="4" w:space="0" w:color="000000"/>
              <w:bottom w:val="nil"/>
            </w:tcBorders>
            <w:shd w:val="clear" w:color="auto" w:fill="auto"/>
            <w:vAlign w:val="bottom"/>
          </w:tcPr>
          <w:p w14:paraId="382850CB" w14:textId="77777777" w:rsidR="00A74F6E" w:rsidRPr="00076BC7" w:rsidRDefault="00A74F6E" w:rsidP="0010233B">
            <w:pPr>
              <w:spacing w:after="0" w:line="240" w:lineRule="auto"/>
              <w:ind w:left="-113"/>
              <w:jc w:val="right"/>
              <w:rPr>
                <w:rFonts w:ascii="Times New Roman" w:eastAsia="Times New Roman" w:hAnsi="Times New Roman" w:cs="Times New Roman"/>
                <w:color w:val="000000"/>
                <w:sz w:val="22"/>
                <w:szCs w:val="22"/>
              </w:rPr>
            </w:pPr>
          </w:p>
        </w:tc>
      </w:tr>
      <w:tr w:rsidR="00A74F6E" w14:paraId="2E54E524" w14:textId="77777777" w:rsidTr="0010233B">
        <w:trPr>
          <w:trHeight w:val="300"/>
          <w:jc w:val="center"/>
        </w:trPr>
        <w:tc>
          <w:tcPr>
            <w:tcW w:w="2592" w:type="dxa"/>
            <w:tcBorders>
              <w:top w:val="nil"/>
              <w:bottom w:val="nil"/>
            </w:tcBorders>
            <w:shd w:val="clear" w:color="auto" w:fill="auto"/>
          </w:tcPr>
          <w:p w14:paraId="705A5277" w14:textId="77777777" w:rsidR="00A74F6E" w:rsidRDefault="00A74F6E" w:rsidP="0010233B">
            <w:pPr>
              <w:spacing w:after="0" w:line="240" w:lineRule="auto"/>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Pseudo R</w:t>
            </w:r>
            <w:r>
              <w:rPr>
                <w:rFonts w:ascii="Times New Roman" w:eastAsia="Times New Roman" w:hAnsi="Times New Roman" w:cs="Times New Roman"/>
                <w:color w:val="000000"/>
                <w:sz w:val="22"/>
                <w:szCs w:val="22"/>
                <w:vertAlign w:val="superscript"/>
              </w:rPr>
              <w:t>2</w:t>
            </w:r>
          </w:p>
        </w:tc>
        <w:tc>
          <w:tcPr>
            <w:tcW w:w="1089" w:type="dxa"/>
            <w:tcBorders>
              <w:top w:val="nil"/>
              <w:bottom w:val="nil"/>
            </w:tcBorders>
          </w:tcPr>
          <w:p w14:paraId="541A8834" w14:textId="77777777" w:rsidR="00A74F6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995" w:type="dxa"/>
            <w:tcBorders>
              <w:top w:val="nil"/>
              <w:bottom w:val="nil"/>
            </w:tcBorders>
            <w:shd w:val="clear" w:color="auto" w:fill="auto"/>
            <w:vAlign w:val="bottom"/>
          </w:tcPr>
          <w:p w14:paraId="18E81F2A"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0.333</w:t>
            </w:r>
          </w:p>
        </w:tc>
        <w:tc>
          <w:tcPr>
            <w:tcW w:w="849" w:type="dxa"/>
            <w:tcBorders>
              <w:top w:val="nil"/>
              <w:bottom w:val="nil"/>
            </w:tcBorders>
            <w:shd w:val="clear" w:color="auto" w:fill="auto"/>
            <w:vAlign w:val="bottom"/>
          </w:tcPr>
          <w:p w14:paraId="1C0053CB" w14:textId="77777777" w:rsidR="00A74F6E" w:rsidRPr="00076BC7" w:rsidRDefault="00A74F6E" w:rsidP="0010233B">
            <w:pPr>
              <w:spacing w:after="0" w:line="240" w:lineRule="auto"/>
              <w:ind w:left="-113"/>
              <w:jc w:val="right"/>
              <w:rPr>
                <w:rFonts w:ascii="Times New Roman" w:eastAsia="Times New Roman" w:hAnsi="Times New Roman" w:cs="Times New Roman"/>
                <w:color w:val="000000"/>
                <w:sz w:val="22"/>
                <w:szCs w:val="22"/>
              </w:rPr>
            </w:pPr>
          </w:p>
        </w:tc>
        <w:tc>
          <w:tcPr>
            <w:tcW w:w="851" w:type="dxa"/>
            <w:tcBorders>
              <w:top w:val="nil"/>
              <w:bottom w:val="nil"/>
            </w:tcBorders>
            <w:shd w:val="clear" w:color="auto" w:fill="auto"/>
            <w:vAlign w:val="bottom"/>
          </w:tcPr>
          <w:p w14:paraId="539B5BCD" w14:textId="77777777" w:rsidR="00A74F6E" w:rsidRPr="00076BC7" w:rsidRDefault="00A74F6E" w:rsidP="0010233B">
            <w:pPr>
              <w:spacing w:after="0" w:line="240" w:lineRule="auto"/>
              <w:ind w:right="-113"/>
              <w:jc w:val="right"/>
              <w:rPr>
                <w:rFonts w:ascii="Times New Roman" w:eastAsia="Times New Roman" w:hAnsi="Times New Roman" w:cs="Times New Roman"/>
                <w:color w:val="000000"/>
                <w:sz w:val="22"/>
                <w:szCs w:val="22"/>
              </w:rPr>
            </w:pPr>
            <w:r w:rsidRPr="00076BC7">
              <w:rPr>
                <w:rFonts w:ascii="Times New Roman" w:hAnsi="Times New Roman" w:cs="Times New Roman"/>
                <w:color w:val="000000"/>
                <w:sz w:val="22"/>
                <w:szCs w:val="22"/>
              </w:rPr>
              <w:t>0.165</w:t>
            </w:r>
          </w:p>
        </w:tc>
        <w:tc>
          <w:tcPr>
            <w:tcW w:w="847" w:type="dxa"/>
            <w:tcBorders>
              <w:top w:val="nil"/>
              <w:bottom w:val="nil"/>
            </w:tcBorders>
            <w:shd w:val="clear" w:color="auto" w:fill="auto"/>
            <w:vAlign w:val="bottom"/>
          </w:tcPr>
          <w:p w14:paraId="0A1DA523" w14:textId="77777777" w:rsidR="00A74F6E" w:rsidRPr="00076BC7" w:rsidRDefault="00A74F6E" w:rsidP="0010233B">
            <w:pPr>
              <w:spacing w:after="0" w:line="240" w:lineRule="auto"/>
              <w:ind w:left="-113"/>
              <w:jc w:val="right"/>
              <w:rPr>
                <w:rFonts w:ascii="Times New Roman" w:eastAsia="Times New Roman" w:hAnsi="Times New Roman" w:cs="Times New Roman"/>
                <w:color w:val="000000"/>
                <w:sz w:val="22"/>
                <w:szCs w:val="22"/>
              </w:rPr>
            </w:pPr>
          </w:p>
        </w:tc>
      </w:tr>
      <w:tr w:rsidR="00A74F6E" w14:paraId="3F486BEB" w14:textId="77777777" w:rsidTr="0010233B">
        <w:trPr>
          <w:trHeight w:val="300"/>
          <w:jc w:val="center"/>
        </w:trPr>
        <w:tc>
          <w:tcPr>
            <w:tcW w:w="3681" w:type="dxa"/>
            <w:gridSpan w:val="2"/>
            <w:tcBorders>
              <w:top w:val="nil"/>
            </w:tcBorders>
            <w:shd w:val="clear" w:color="auto" w:fill="auto"/>
          </w:tcPr>
          <w:p w14:paraId="09E75D1D" w14:textId="77777777" w:rsidR="00A74F6E" w:rsidRDefault="00A74F6E" w:rsidP="0010233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YEAR CONTROLS</w:t>
            </w:r>
          </w:p>
        </w:tc>
        <w:tc>
          <w:tcPr>
            <w:tcW w:w="995" w:type="dxa"/>
            <w:tcBorders>
              <w:top w:val="nil"/>
            </w:tcBorders>
            <w:shd w:val="clear" w:color="auto" w:fill="auto"/>
            <w:vAlign w:val="bottom"/>
          </w:tcPr>
          <w:p w14:paraId="0BEBDC82" w14:textId="77777777" w:rsidR="00A74F6E" w:rsidRPr="00636896" w:rsidRDefault="00A74F6E" w:rsidP="0010233B">
            <w:pPr>
              <w:spacing w:after="0" w:line="240" w:lineRule="auto"/>
              <w:ind w:right="-113"/>
              <w:jc w:val="right"/>
              <w:rPr>
                <w:rFonts w:ascii="Times New Roman" w:eastAsia="Times New Roman" w:hAnsi="Times New Roman" w:cs="Times New Roman"/>
                <w:color w:val="000000"/>
                <w:sz w:val="22"/>
                <w:szCs w:val="22"/>
              </w:rPr>
            </w:pPr>
            <w:r w:rsidRPr="00636896">
              <w:rPr>
                <w:rFonts w:ascii="Times New Roman" w:eastAsia="Times New Roman" w:hAnsi="Times New Roman" w:cs="Times New Roman"/>
                <w:color w:val="000000"/>
                <w:sz w:val="22"/>
                <w:szCs w:val="22"/>
              </w:rPr>
              <w:t>YES</w:t>
            </w:r>
          </w:p>
        </w:tc>
        <w:tc>
          <w:tcPr>
            <w:tcW w:w="849" w:type="dxa"/>
            <w:tcBorders>
              <w:top w:val="nil"/>
            </w:tcBorders>
            <w:shd w:val="clear" w:color="auto" w:fill="auto"/>
            <w:vAlign w:val="bottom"/>
          </w:tcPr>
          <w:p w14:paraId="727718D4" w14:textId="77777777" w:rsidR="00A74F6E" w:rsidRPr="00636896" w:rsidRDefault="00A74F6E" w:rsidP="0010233B">
            <w:pPr>
              <w:spacing w:after="0" w:line="240" w:lineRule="auto"/>
              <w:ind w:left="-113"/>
              <w:jc w:val="right"/>
              <w:rPr>
                <w:rFonts w:ascii="Times New Roman" w:eastAsia="Times New Roman" w:hAnsi="Times New Roman" w:cs="Times New Roman"/>
                <w:color w:val="000000"/>
                <w:sz w:val="22"/>
                <w:szCs w:val="22"/>
              </w:rPr>
            </w:pPr>
          </w:p>
        </w:tc>
        <w:tc>
          <w:tcPr>
            <w:tcW w:w="851" w:type="dxa"/>
            <w:tcBorders>
              <w:top w:val="nil"/>
            </w:tcBorders>
            <w:shd w:val="clear" w:color="auto" w:fill="auto"/>
            <w:vAlign w:val="bottom"/>
          </w:tcPr>
          <w:p w14:paraId="5E00604B" w14:textId="77777777" w:rsidR="00A74F6E" w:rsidRPr="00636896" w:rsidRDefault="00A74F6E" w:rsidP="0010233B">
            <w:pPr>
              <w:spacing w:after="0" w:line="240" w:lineRule="auto"/>
              <w:ind w:right="-113"/>
              <w:jc w:val="right"/>
              <w:rPr>
                <w:rFonts w:ascii="Times New Roman" w:eastAsia="Times New Roman" w:hAnsi="Times New Roman" w:cs="Times New Roman"/>
                <w:color w:val="000000"/>
                <w:sz w:val="22"/>
                <w:szCs w:val="22"/>
              </w:rPr>
            </w:pPr>
            <w:r w:rsidRPr="00636896">
              <w:rPr>
                <w:rFonts w:ascii="Times New Roman" w:eastAsia="Times New Roman" w:hAnsi="Times New Roman" w:cs="Times New Roman"/>
                <w:color w:val="000000"/>
                <w:sz w:val="22"/>
                <w:szCs w:val="22"/>
              </w:rPr>
              <w:t>YES</w:t>
            </w:r>
          </w:p>
        </w:tc>
        <w:tc>
          <w:tcPr>
            <w:tcW w:w="847" w:type="dxa"/>
            <w:tcBorders>
              <w:top w:val="nil"/>
            </w:tcBorders>
            <w:shd w:val="clear" w:color="auto" w:fill="auto"/>
            <w:vAlign w:val="bottom"/>
          </w:tcPr>
          <w:p w14:paraId="4F7B1102" w14:textId="77777777" w:rsidR="00A74F6E" w:rsidRPr="00636896" w:rsidRDefault="00A74F6E" w:rsidP="0010233B">
            <w:pPr>
              <w:spacing w:after="0" w:line="240" w:lineRule="auto"/>
              <w:ind w:left="-113"/>
              <w:jc w:val="right"/>
              <w:rPr>
                <w:rFonts w:ascii="Times New Roman" w:eastAsia="Times New Roman" w:hAnsi="Times New Roman" w:cs="Times New Roman"/>
                <w:color w:val="000000"/>
                <w:sz w:val="22"/>
                <w:szCs w:val="22"/>
              </w:rPr>
            </w:pPr>
          </w:p>
        </w:tc>
      </w:tr>
      <w:tr w:rsidR="00A74F6E" w14:paraId="5575F39A" w14:textId="77777777" w:rsidTr="0010233B">
        <w:trPr>
          <w:trHeight w:val="300"/>
          <w:jc w:val="center"/>
        </w:trPr>
        <w:tc>
          <w:tcPr>
            <w:tcW w:w="3681" w:type="dxa"/>
            <w:gridSpan w:val="2"/>
            <w:tcBorders>
              <w:top w:val="nil"/>
            </w:tcBorders>
            <w:shd w:val="clear" w:color="auto" w:fill="auto"/>
          </w:tcPr>
          <w:p w14:paraId="5860E951" w14:textId="77777777" w:rsidR="00A74F6E" w:rsidRDefault="00A74F6E" w:rsidP="0010233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INDUSTRY CONTROLS</w:t>
            </w:r>
          </w:p>
        </w:tc>
        <w:tc>
          <w:tcPr>
            <w:tcW w:w="995" w:type="dxa"/>
            <w:tcBorders>
              <w:top w:val="nil"/>
            </w:tcBorders>
            <w:shd w:val="clear" w:color="auto" w:fill="auto"/>
            <w:vAlign w:val="bottom"/>
          </w:tcPr>
          <w:p w14:paraId="18E3A531" w14:textId="77777777" w:rsidR="00A74F6E" w:rsidRPr="00636896" w:rsidRDefault="00A74F6E" w:rsidP="0010233B">
            <w:pPr>
              <w:spacing w:after="0" w:line="240" w:lineRule="auto"/>
              <w:ind w:right="-113"/>
              <w:jc w:val="right"/>
              <w:rPr>
                <w:rFonts w:ascii="Times New Roman" w:eastAsia="Times New Roman" w:hAnsi="Times New Roman" w:cs="Times New Roman"/>
                <w:color w:val="000000"/>
                <w:sz w:val="22"/>
                <w:szCs w:val="22"/>
              </w:rPr>
            </w:pPr>
            <w:r w:rsidRPr="00636896">
              <w:rPr>
                <w:rFonts w:ascii="Times New Roman" w:eastAsia="Times New Roman" w:hAnsi="Times New Roman" w:cs="Times New Roman"/>
                <w:color w:val="000000"/>
                <w:sz w:val="22"/>
                <w:szCs w:val="22"/>
              </w:rPr>
              <w:t>YES</w:t>
            </w:r>
          </w:p>
        </w:tc>
        <w:tc>
          <w:tcPr>
            <w:tcW w:w="849" w:type="dxa"/>
            <w:tcBorders>
              <w:top w:val="nil"/>
            </w:tcBorders>
            <w:shd w:val="clear" w:color="auto" w:fill="auto"/>
            <w:vAlign w:val="bottom"/>
          </w:tcPr>
          <w:p w14:paraId="7044F754" w14:textId="77777777" w:rsidR="00A74F6E" w:rsidRPr="00636896" w:rsidRDefault="00A74F6E" w:rsidP="0010233B">
            <w:pPr>
              <w:spacing w:after="0" w:line="240" w:lineRule="auto"/>
              <w:ind w:left="-113"/>
              <w:jc w:val="right"/>
              <w:rPr>
                <w:rFonts w:ascii="Times New Roman" w:eastAsia="Times New Roman" w:hAnsi="Times New Roman" w:cs="Times New Roman"/>
                <w:color w:val="000000"/>
                <w:sz w:val="22"/>
                <w:szCs w:val="22"/>
              </w:rPr>
            </w:pPr>
          </w:p>
        </w:tc>
        <w:tc>
          <w:tcPr>
            <w:tcW w:w="851" w:type="dxa"/>
            <w:tcBorders>
              <w:top w:val="nil"/>
            </w:tcBorders>
            <w:shd w:val="clear" w:color="auto" w:fill="auto"/>
            <w:vAlign w:val="bottom"/>
          </w:tcPr>
          <w:p w14:paraId="20D14A01" w14:textId="77777777" w:rsidR="00A74F6E" w:rsidRPr="00636896" w:rsidRDefault="00A74F6E" w:rsidP="0010233B">
            <w:pPr>
              <w:spacing w:after="0" w:line="240" w:lineRule="auto"/>
              <w:ind w:right="-113"/>
              <w:jc w:val="right"/>
              <w:rPr>
                <w:rFonts w:ascii="Times New Roman" w:eastAsia="Times New Roman" w:hAnsi="Times New Roman" w:cs="Times New Roman"/>
                <w:color w:val="000000"/>
                <w:sz w:val="22"/>
                <w:szCs w:val="22"/>
              </w:rPr>
            </w:pPr>
            <w:r w:rsidRPr="00636896">
              <w:rPr>
                <w:rFonts w:ascii="Times New Roman" w:eastAsia="Times New Roman" w:hAnsi="Times New Roman" w:cs="Times New Roman"/>
                <w:color w:val="000000"/>
                <w:sz w:val="22"/>
                <w:szCs w:val="22"/>
              </w:rPr>
              <w:t>YES</w:t>
            </w:r>
          </w:p>
        </w:tc>
        <w:tc>
          <w:tcPr>
            <w:tcW w:w="847" w:type="dxa"/>
            <w:tcBorders>
              <w:top w:val="nil"/>
            </w:tcBorders>
            <w:shd w:val="clear" w:color="auto" w:fill="auto"/>
            <w:vAlign w:val="bottom"/>
          </w:tcPr>
          <w:p w14:paraId="1810BED7" w14:textId="77777777" w:rsidR="00A74F6E" w:rsidRPr="00636896" w:rsidRDefault="00A74F6E" w:rsidP="0010233B">
            <w:pPr>
              <w:spacing w:after="0" w:line="240" w:lineRule="auto"/>
              <w:ind w:left="-113"/>
              <w:jc w:val="right"/>
              <w:rPr>
                <w:rFonts w:ascii="Times New Roman" w:eastAsia="Times New Roman" w:hAnsi="Times New Roman" w:cs="Times New Roman"/>
                <w:color w:val="000000"/>
                <w:sz w:val="22"/>
                <w:szCs w:val="22"/>
              </w:rPr>
            </w:pPr>
          </w:p>
        </w:tc>
      </w:tr>
    </w:tbl>
    <w:p w14:paraId="290F4F50" w14:textId="77777777" w:rsidR="00A74F6E" w:rsidRDefault="00A74F6E" w:rsidP="00A74F6E">
      <w:pPr>
        <w:tabs>
          <w:tab w:val="left" w:pos="720"/>
          <w:tab w:val="left" w:pos="1440"/>
          <w:tab w:val="left" w:pos="2160"/>
          <w:tab w:val="left" w:pos="2880"/>
          <w:tab w:val="left" w:pos="3600"/>
          <w:tab w:val="left" w:pos="4320"/>
          <w:tab w:val="center" w:pos="4513"/>
          <w:tab w:val="left" w:pos="8280"/>
        </w:tabs>
        <w:ind w:right="-926"/>
        <w:jc w:val="both"/>
        <w:rPr>
          <w:rFonts w:ascii="Times New Roman" w:eastAsia="Times New Roman" w:hAnsi="Times New Roman" w:cs="Times New Roman"/>
          <w:sz w:val="18"/>
          <w:szCs w:val="18"/>
        </w:rPr>
      </w:pPr>
    </w:p>
    <w:p w14:paraId="4B6266E9" w14:textId="77777777" w:rsidR="00A74F6E" w:rsidRDefault="00A74F6E" w:rsidP="00A74F6E">
      <w:pPr>
        <w:jc w:val="both"/>
        <w:rPr>
          <w:rFonts w:ascii="Times New Roman" w:eastAsia="Times New Roman" w:hAnsi="Times New Roman" w:cs="Times New Roman"/>
          <w:sz w:val="22"/>
          <w:szCs w:val="22"/>
        </w:rPr>
        <w:sectPr w:rsidR="00A74F6E" w:rsidSect="00A54ECC">
          <w:pgSz w:w="11906" w:h="16838"/>
          <w:pgMar w:top="720" w:right="720" w:bottom="720" w:left="720" w:header="708" w:footer="708" w:gutter="0"/>
          <w:cols w:space="720"/>
          <w:docGrid w:linePitch="326"/>
        </w:sectPr>
      </w:pPr>
      <w:r>
        <w:rPr>
          <w:rFonts w:ascii="Times New Roman" w:eastAsia="Times New Roman" w:hAnsi="Times New Roman" w:cs="Times New Roman"/>
          <w:i/>
          <w:sz w:val="22"/>
          <w:szCs w:val="22"/>
        </w:rPr>
        <w:t>Notes:</w:t>
      </w:r>
      <w:r>
        <w:rPr>
          <w:rFonts w:ascii="Times New Roman" w:eastAsia="Times New Roman" w:hAnsi="Times New Roman" w:cs="Times New Roman"/>
          <w:sz w:val="22"/>
          <w:szCs w:val="22"/>
        </w:rPr>
        <w:t xml:space="preserve"> This table presents the results for Models (5) and (6) for the entire sample period. </w:t>
      </w:r>
      <w:r>
        <w:rPr>
          <w:rFonts w:ascii="Times New Roman" w:eastAsia="Times New Roman" w:hAnsi="Times New Roman" w:cs="Times New Roman"/>
          <w:color w:val="000000"/>
          <w:sz w:val="22"/>
          <w:szCs w:val="22"/>
        </w:rPr>
        <w:t>All other variables are defined in Table 2</w:t>
      </w:r>
      <w:r>
        <w:rPr>
          <w:rFonts w:ascii="Times New Roman" w:eastAsia="Times New Roman" w:hAnsi="Times New Roman" w:cs="Times New Roman"/>
          <w:sz w:val="22"/>
          <w:szCs w:val="22"/>
        </w:rPr>
        <w:t>. Coefficient estimates that are statistically significant at 10%, 5% or 1% indicated by *, ** and *** (two-tailed).</w:t>
      </w:r>
    </w:p>
    <w:p w14:paraId="1912D0FD" w14:textId="77777777" w:rsidR="00A74F6E" w:rsidRPr="006C535A"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lastRenderedPageBreak/>
        <w:t>Table 7: Determinants of UK Share Repurchases by Regulatory Regime</w:t>
      </w:r>
    </w:p>
    <w:tbl>
      <w:tblPr>
        <w:tblW w:w="10349"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838"/>
        <w:gridCol w:w="1276"/>
        <w:gridCol w:w="785"/>
        <w:gridCol w:w="544"/>
        <w:gridCol w:w="785"/>
        <w:gridCol w:w="451"/>
        <w:gridCol w:w="1126"/>
        <w:gridCol w:w="799"/>
        <w:gridCol w:w="477"/>
        <w:gridCol w:w="778"/>
        <w:gridCol w:w="356"/>
        <w:gridCol w:w="1134"/>
      </w:tblGrid>
      <w:tr w:rsidR="00A74F6E" w14:paraId="3A40ED95" w14:textId="77777777" w:rsidTr="0010233B">
        <w:trPr>
          <w:trHeight w:val="300"/>
        </w:trPr>
        <w:tc>
          <w:tcPr>
            <w:tcW w:w="1838" w:type="dxa"/>
            <w:shd w:val="clear" w:color="auto" w:fill="auto"/>
          </w:tcPr>
          <w:p w14:paraId="01E8334F" w14:textId="77777777" w:rsidR="00A74F6E" w:rsidRDefault="00A74F6E" w:rsidP="0010233B">
            <w:pPr>
              <w:spacing w:after="0" w:line="240" w:lineRule="auto"/>
              <w:jc w:val="right"/>
              <w:rPr>
                <w:rFonts w:ascii="Times New Roman" w:eastAsia="Times New Roman" w:hAnsi="Times New Roman" w:cs="Times New Roman"/>
                <w:b/>
                <w:sz w:val="22"/>
                <w:szCs w:val="22"/>
              </w:rPr>
            </w:pPr>
          </w:p>
        </w:tc>
        <w:tc>
          <w:tcPr>
            <w:tcW w:w="1276" w:type="dxa"/>
            <w:vAlign w:val="center"/>
          </w:tcPr>
          <w:p w14:paraId="4405166C" w14:textId="77777777" w:rsidR="00A74F6E" w:rsidRDefault="00A74F6E" w:rsidP="0010233B">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Predicted</w:t>
            </w:r>
          </w:p>
          <w:p w14:paraId="1239F3F9"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Sign</w:t>
            </w:r>
          </w:p>
        </w:tc>
        <w:tc>
          <w:tcPr>
            <w:tcW w:w="1329" w:type="dxa"/>
            <w:gridSpan w:val="2"/>
            <w:shd w:val="clear" w:color="auto" w:fill="auto"/>
            <w:vAlign w:val="center"/>
          </w:tcPr>
          <w:p w14:paraId="54514D8E"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Logit</w:t>
            </w:r>
          </w:p>
          <w:p w14:paraId="4E191FF8"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Regime 1</w:t>
            </w:r>
          </w:p>
        </w:tc>
        <w:tc>
          <w:tcPr>
            <w:tcW w:w="1236" w:type="dxa"/>
            <w:gridSpan w:val="2"/>
            <w:shd w:val="clear" w:color="auto" w:fill="auto"/>
            <w:vAlign w:val="center"/>
          </w:tcPr>
          <w:p w14:paraId="34EC4FB3"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Logit</w:t>
            </w:r>
          </w:p>
          <w:p w14:paraId="68BA615D"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Regime 2</w:t>
            </w:r>
          </w:p>
        </w:tc>
        <w:tc>
          <w:tcPr>
            <w:tcW w:w="1126" w:type="dxa"/>
            <w:vAlign w:val="center"/>
          </w:tcPr>
          <w:p w14:paraId="513616BC"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p</w:t>
            </w:r>
            <w:r>
              <w:rPr>
                <w:rFonts w:ascii="Times New Roman" w:eastAsia="Times New Roman" w:hAnsi="Times New Roman" w:cs="Times New Roman"/>
                <w:b/>
                <w:color w:val="000000"/>
                <w:sz w:val="22"/>
                <w:szCs w:val="22"/>
              </w:rPr>
              <w:t>-values</w:t>
            </w:r>
          </w:p>
          <w:p w14:paraId="2312FDFE"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for </w:t>
            </w:r>
            <w:proofErr w:type="spellStart"/>
            <w:r>
              <w:rPr>
                <w:rFonts w:ascii="Times New Roman" w:eastAsia="Times New Roman" w:hAnsi="Times New Roman" w:cs="Times New Roman"/>
                <w:b/>
                <w:color w:val="000000"/>
                <w:sz w:val="22"/>
                <w:szCs w:val="22"/>
              </w:rPr>
              <w:t>diff.s</w:t>
            </w:r>
            <w:proofErr w:type="spellEnd"/>
          </w:p>
        </w:tc>
        <w:tc>
          <w:tcPr>
            <w:tcW w:w="1276" w:type="dxa"/>
            <w:gridSpan w:val="2"/>
            <w:shd w:val="clear" w:color="auto" w:fill="auto"/>
            <w:vAlign w:val="center"/>
          </w:tcPr>
          <w:p w14:paraId="2AA6CEFE"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Tobit</w:t>
            </w:r>
          </w:p>
          <w:p w14:paraId="5C5FB852"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Regime 1</w:t>
            </w:r>
          </w:p>
        </w:tc>
        <w:tc>
          <w:tcPr>
            <w:tcW w:w="1134" w:type="dxa"/>
            <w:gridSpan w:val="2"/>
            <w:vAlign w:val="center"/>
          </w:tcPr>
          <w:p w14:paraId="5F2EF7A8"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Tobit</w:t>
            </w:r>
          </w:p>
          <w:p w14:paraId="27DFC804"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Regime 2</w:t>
            </w:r>
          </w:p>
        </w:tc>
        <w:tc>
          <w:tcPr>
            <w:tcW w:w="1134" w:type="dxa"/>
            <w:vAlign w:val="center"/>
          </w:tcPr>
          <w:p w14:paraId="4F090F14"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p</w:t>
            </w:r>
            <w:r>
              <w:rPr>
                <w:rFonts w:ascii="Times New Roman" w:eastAsia="Times New Roman" w:hAnsi="Times New Roman" w:cs="Times New Roman"/>
                <w:b/>
                <w:color w:val="000000"/>
                <w:sz w:val="22"/>
                <w:szCs w:val="22"/>
              </w:rPr>
              <w:t>-values</w:t>
            </w:r>
          </w:p>
          <w:p w14:paraId="29945300"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for </w:t>
            </w:r>
            <w:proofErr w:type="spellStart"/>
            <w:r>
              <w:rPr>
                <w:rFonts w:ascii="Times New Roman" w:eastAsia="Times New Roman" w:hAnsi="Times New Roman" w:cs="Times New Roman"/>
                <w:b/>
                <w:color w:val="000000"/>
                <w:sz w:val="22"/>
                <w:szCs w:val="22"/>
              </w:rPr>
              <w:t>diff.s</w:t>
            </w:r>
            <w:proofErr w:type="spellEnd"/>
          </w:p>
        </w:tc>
      </w:tr>
      <w:tr w:rsidR="00A74F6E" w:rsidRPr="00EA4C2C" w14:paraId="08F434CC" w14:textId="77777777" w:rsidTr="0010233B">
        <w:trPr>
          <w:trHeight w:val="300"/>
        </w:trPr>
        <w:tc>
          <w:tcPr>
            <w:tcW w:w="1838" w:type="dxa"/>
            <w:tcBorders>
              <w:top w:val="single" w:sz="4" w:space="0" w:color="000000"/>
              <w:bottom w:val="nil"/>
            </w:tcBorders>
            <w:shd w:val="clear" w:color="auto" w:fill="auto"/>
            <w:vAlign w:val="bottom"/>
          </w:tcPr>
          <w:p w14:paraId="67E74B03"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LEVIND</w:t>
            </w:r>
            <w:r>
              <w:rPr>
                <w:rFonts w:ascii="Times New Roman" w:eastAsia="Times New Roman" w:hAnsi="Times New Roman" w:cs="Times New Roman"/>
                <w:i/>
                <w:sz w:val="22"/>
                <w:szCs w:val="22"/>
                <w:vertAlign w:val="subscript"/>
              </w:rPr>
              <w:t>t-1</w:t>
            </w:r>
          </w:p>
        </w:tc>
        <w:tc>
          <w:tcPr>
            <w:tcW w:w="1276" w:type="dxa"/>
            <w:tcBorders>
              <w:top w:val="single" w:sz="4" w:space="0" w:color="000000"/>
              <w:bottom w:val="nil"/>
            </w:tcBorders>
            <w:vAlign w:val="center"/>
          </w:tcPr>
          <w:p w14:paraId="2F35A2C9"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w:t>
            </w:r>
          </w:p>
        </w:tc>
        <w:tc>
          <w:tcPr>
            <w:tcW w:w="785" w:type="dxa"/>
            <w:tcBorders>
              <w:top w:val="single" w:sz="4" w:space="0" w:color="000000"/>
              <w:bottom w:val="nil"/>
            </w:tcBorders>
            <w:shd w:val="clear" w:color="auto" w:fill="auto"/>
            <w:vAlign w:val="bottom"/>
          </w:tcPr>
          <w:p w14:paraId="37B2B3B0"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-0.191</w:t>
            </w:r>
          </w:p>
        </w:tc>
        <w:tc>
          <w:tcPr>
            <w:tcW w:w="544" w:type="dxa"/>
            <w:tcBorders>
              <w:top w:val="single" w:sz="4" w:space="0" w:color="000000"/>
              <w:bottom w:val="nil"/>
            </w:tcBorders>
            <w:shd w:val="clear" w:color="auto" w:fill="auto"/>
            <w:vAlign w:val="bottom"/>
          </w:tcPr>
          <w:p w14:paraId="5DA4496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w:t>
            </w:r>
          </w:p>
        </w:tc>
        <w:tc>
          <w:tcPr>
            <w:tcW w:w="785" w:type="dxa"/>
            <w:tcBorders>
              <w:top w:val="single" w:sz="4" w:space="0" w:color="000000"/>
              <w:bottom w:val="nil"/>
            </w:tcBorders>
            <w:shd w:val="clear" w:color="auto" w:fill="auto"/>
            <w:vAlign w:val="bottom"/>
          </w:tcPr>
          <w:p w14:paraId="02A07519"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themeColor="text1"/>
                <w:sz w:val="22"/>
                <w:szCs w:val="22"/>
              </w:rPr>
            </w:pPr>
            <w:r w:rsidRPr="005453D5">
              <w:rPr>
                <w:rFonts w:ascii="Times New Roman" w:hAnsi="Times New Roman" w:cs="Times New Roman"/>
                <w:color w:val="000000" w:themeColor="text1"/>
                <w:sz w:val="22"/>
                <w:szCs w:val="22"/>
              </w:rPr>
              <w:t>0.017</w:t>
            </w:r>
          </w:p>
        </w:tc>
        <w:tc>
          <w:tcPr>
            <w:tcW w:w="451" w:type="dxa"/>
            <w:tcBorders>
              <w:top w:val="single" w:sz="4" w:space="0" w:color="000000"/>
              <w:bottom w:val="nil"/>
            </w:tcBorders>
            <w:shd w:val="clear" w:color="auto" w:fill="auto"/>
            <w:vAlign w:val="bottom"/>
          </w:tcPr>
          <w:p w14:paraId="60B8E58B"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26" w:type="dxa"/>
            <w:tcBorders>
              <w:top w:val="single" w:sz="4" w:space="0" w:color="000000"/>
              <w:bottom w:val="nil"/>
            </w:tcBorders>
            <w:vAlign w:val="bottom"/>
          </w:tcPr>
          <w:p w14:paraId="304AFECF"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tcBorders>
              <w:top w:val="single" w:sz="4" w:space="0" w:color="000000"/>
              <w:bottom w:val="nil"/>
            </w:tcBorders>
            <w:shd w:val="clear" w:color="auto" w:fill="auto"/>
            <w:vAlign w:val="bottom"/>
          </w:tcPr>
          <w:p w14:paraId="481E189A"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-0.086</w:t>
            </w:r>
          </w:p>
        </w:tc>
        <w:tc>
          <w:tcPr>
            <w:tcW w:w="477" w:type="dxa"/>
            <w:tcBorders>
              <w:top w:val="single" w:sz="4" w:space="0" w:color="000000"/>
              <w:bottom w:val="nil"/>
            </w:tcBorders>
            <w:shd w:val="clear" w:color="auto" w:fill="auto"/>
            <w:vAlign w:val="bottom"/>
          </w:tcPr>
          <w:p w14:paraId="45A297C6"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778" w:type="dxa"/>
            <w:tcBorders>
              <w:top w:val="single" w:sz="4" w:space="0" w:color="000000"/>
              <w:bottom w:val="nil"/>
            </w:tcBorders>
            <w:vAlign w:val="bottom"/>
          </w:tcPr>
          <w:p w14:paraId="09A559E1"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0.002</w:t>
            </w:r>
          </w:p>
        </w:tc>
        <w:tc>
          <w:tcPr>
            <w:tcW w:w="356" w:type="dxa"/>
            <w:tcBorders>
              <w:top w:val="single" w:sz="4" w:space="0" w:color="000000"/>
              <w:bottom w:val="nil"/>
            </w:tcBorders>
            <w:vAlign w:val="bottom"/>
          </w:tcPr>
          <w:p w14:paraId="2775C323"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tcBorders>
              <w:top w:val="single" w:sz="4" w:space="0" w:color="000000"/>
              <w:bottom w:val="nil"/>
            </w:tcBorders>
            <w:vAlign w:val="bottom"/>
          </w:tcPr>
          <w:p w14:paraId="6BCBEA9B"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p>
        </w:tc>
      </w:tr>
      <w:tr w:rsidR="00A74F6E" w:rsidRPr="00EA4C2C" w14:paraId="7D82BE60" w14:textId="77777777" w:rsidTr="0010233B">
        <w:trPr>
          <w:trHeight w:val="300"/>
        </w:trPr>
        <w:tc>
          <w:tcPr>
            <w:tcW w:w="1838" w:type="dxa"/>
            <w:tcBorders>
              <w:top w:val="nil"/>
            </w:tcBorders>
            <w:shd w:val="clear" w:color="auto" w:fill="auto"/>
            <w:vAlign w:val="bottom"/>
          </w:tcPr>
          <w:p w14:paraId="1B9A2C96" w14:textId="77777777" w:rsidR="00A74F6E" w:rsidRDefault="00A74F6E" w:rsidP="0010233B">
            <w:pPr>
              <w:spacing w:after="0" w:line="240" w:lineRule="auto"/>
              <w:rPr>
                <w:rFonts w:ascii="Times New Roman" w:eastAsia="Times New Roman" w:hAnsi="Times New Roman" w:cs="Times New Roman"/>
                <w:i/>
                <w:sz w:val="22"/>
                <w:szCs w:val="22"/>
              </w:rPr>
            </w:pPr>
          </w:p>
        </w:tc>
        <w:tc>
          <w:tcPr>
            <w:tcW w:w="1276" w:type="dxa"/>
            <w:tcBorders>
              <w:top w:val="nil"/>
            </w:tcBorders>
            <w:vAlign w:val="center"/>
          </w:tcPr>
          <w:p w14:paraId="04AD2BFF"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785" w:type="dxa"/>
            <w:tcBorders>
              <w:top w:val="nil"/>
            </w:tcBorders>
            <w:shd w:val="clear" w:color="auto" w:fill="auto"/>
            <w:vAlign w:val="bottom"/>
          </w:tcPr>
          <w:p w14:paraId="027D7D4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0.075</w:t>
            </w:r>
          </w:p>
        </w:tc>
        <w:tc>
          <w:tcPr>
            <w:tcW w:w="544" w:type="dxa"/>
            <w:tcBorders>
              <w:top w:val="nil"/>
            </w:tcBorders>
            <w:shd w:val="clear" w:color="auto" w:fill="auto"/>
            <w:vAlign w:val="bottom"/>
          </w:tcPr>
          <w:p w14:paraId="233BC3A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themeColor="text1"/>
                <w:sz w:val="22"/>
                <w:szCs w:val="22"/>
              </w:rPr>
            </w:pPr>
          </w:p>
        </w:tc>
        <w:tc>
          <w:tcPr>
            <w:tcW w:w="785" w:type="dxa"/>
            <w:tcBorders>
              <w:top w:val="nil"/>
            </w:tcBorders>
            <w:shd w:val="clear" w:color="auto" w:fill="auto"/>
            <w:vAlign w:val="bottom"/>
          </w:tcPr>
          <w:p w14:paraId="46CD42EC"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themeColor="text1"/>
                <w:sz w:val="22"/>
                <w:szCs w:val="22"/>
              </w:rPr>
            </w:pPr>
            <w:r w:rsidRPr="005453D5">
              <w:rPr>
                <w:rFonts w:ascii="Times New Roman" w:hAnsi="Times New Roman" w:cs="Times New Roman"/>
                <w:color w:val="000000" w:themeColor="text1"/>
                <w:sz w:val="22"/>
                <w:szCs w:val="22"/>
              </w:rPr>
              <w:t>0.380</w:t>
            </w:r>
          </w:p>
        </w:tc>
        <w:tc>
          <w:tcPr>
            <w:tcW w:w="451" w:type="dxa"/>
            <w:tcBorders>
              <w:top w:val="nil"/>
            </w:tcBorders>
            <w:shd w:val="clear" w:color="auto" w:fill="auto"/>
            <w:vAlign w:val="bottom"/>
          </w:tcPr>
          <w:p w14:paraId="4B8D2822"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26" w:type="dxa"/>
            <w:tcBorders>
              <w:top w:val="nil"/>
            </w:tcBorders>
            <w:vAlign w:val="bottom"/>
          </w:tcPr>
          <w:p w14:paraId="01497660" w14:textId="77777777" w:rsidR="00A74F6E" w:rsidRPr="005453D5" w:rsidRDefault="00A74F6E" w:rsidP="0010233B">
            <w:pPr>
              <w:spacing w:after="0" w:line="240" w:lineRule="auto"/>
              <w:ind w:right="-113"/>
              <w:jc w:val="center"/>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0.071</w:t>
            </w:r>
          </w:p>
        </w:tc>
        <w:tc>
          <w:tcPr>
            <w:tcW w:w="799" w:type="dxa"/>
            <w:tcBorders>
              <w:top w:val="nil"/>
            </w:tcBorders>
            <w:shd w:val="clear" w:color="auto" w:fill="auto"/>
            <w:vAlign w:val="bottom"/>
          </w:tcPr>
          <w:p w14:paraId="7A4EE211"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0.173</w:t>
            </w:r>
          </w:p>
        </w:tc>
        <w:tc>
          <w:tcPr>
            <w:tcW w:w="477" w:type="dxa"/>
            <w:tcBorders>
              <w:top w:val="nil"/>
            </w:tcBorders>
            <w:shd w:val="clear" w:color="auto" w:fill="auto"/>
            <w:vAlign w:val="bottom"/>
          </w:tcPr>
          <w:p w14:paraId="3F4391ED"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778" w:type="dxa"/>
            <w:tcBorders>
              <w:top w:val="nil"/>
            </w:tcBorders>
            <w:vAlign w:val="bottom"/>
          </w:tcPr>
          <w:p w14:paraId="1E41F7C2"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0.758</w:t>
            </w:r>
          </w:p>
        </w:tc>
        <w:tc>
          <w:tcPr>
            <w:tcW w:w="356" w:type="dxa"/>
            <w:tcBorders>
              <w:top w:val="nil"/>
            </w:tcBorders>
            <w:vAlign w:val="bottom"/>
          </w:tcPr>
          <w:p w14:paraId="63CA8BF7"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tcBorders>
              <w:top w:val="nil"/>
            </w:tcBorders>
            <w:vAlign w:val="bottom"/>
          </w:tcPr>
          <w:p w14:paraId="6C686F4D"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0.283</w:t>
            </w:r>
          </w:p>
        </w:tc>
      </w:tr>
      <w:tr w:rsidR="00A74F6E" w:rsidRPr="00EA4C2C" w14:paraId="13C652FD" w14:textId="77777777" w:rsidTr="0010233B">
        <w:trPr>
          <w:trHeight w:val="300"/>
        </w:trPr>
        <w:tc>
          <w:tcPr>
            <w:tcW w:w="1838" w:type="dxa"/>
            <w:shd w:val="clear" w:color="auto" w:fill="auto"/>
            <w:vAlign w:val="bottom"/>
          </w:tcPr>
          <w:p w14:paraId="1BCE6E2D"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XSCASH</w:t>
            </w:r>
            <w:r>
              <w:rPr>
                <w:rFonts w:ascii="Times New Roman" w:eastAsia="Times New Roman" w:hAnsi="Times New Roman" w:cs="Times New Roman"/>
                <w:i/>
                <w:sz w:val="22"/>
                <w:szCs w:val="22"/>
                <w:vertAlign w:val="subscript"/>
              </w:rPr>
              <w:t xml:space="preserve"> t-1</w:t>
            </w:r>
          </w:p>
        </w:tc>
        <w:tc>
          <w:tcPr>
            <w:tcW w:w="1276" w:type="dxa"/>
            <w:vAlign w:val="center"/>
          </w:tcPr>
          <w:p w14:paraId="59656D38"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785" w:type="dxa"/>
            <w:shd w:val="clear" w:color="auto" w:fill="auto"/>
            <w:vAlign w:val="bottom"/>
          </w:tcPr>
          <w:p w14:paraId="231BD204" w14:textId="77777777" w:rsidR="00A74F6E" w:rsidRPr="005453D5" w:rsidRDefault="00A74F6E" w:rsidP="0010233B">
            <w:pPr>
              <w:spacing w:after="0" w:line="240" w:lineRule="auto"/>
              <w:ind w:right="-113"/>
              <w:jc w:val="right"/>
              <w:rPr>
                <w:rFonts w:ascii="Times New Roman" w:eastAsia="Times New Roman" w:hAnsi="Times New Roman" w:cs="Times New Roman"/>
                <w:b/>
                <w:bCs/>
                <w:color w:val="000000" w:themeColor="text1"/>
                <w:sz w:val="22"/>
                <w:szCs w:val="22"/>
              </w:rPr>
            </w:pPr>
            <w:r w:rsidRPr="005453D5">
              <w:rPr>
                <w:rFonts w:ascii="Times New Roman" w:hAnsi="Times New Roman" w:cs="Times New Roman"/>
                <w:b/>
                <w:bCs/>
                <w:color w:val="000000" w:themeColor="text1"/>
                <w:sz w:val="22"/>
                <w:szCs w:val="22"/>
              </w:rPr>
              <w:t>0.581</w:t>
            </w:r>
          </w:p>
        </w:tc>
        <w:tc>
          <w:tcPr>
            <w:tcW w:w="544" w:type="dxa"/>
            <w:shd w:val="clear" w:color="auto" w:fill="auto"/>
            <w:vAlign w:val="bottom"/>
          </w:tcPr>
          <w:p w14:paraId="7D54A0AB" w14:textId="77777777" w:rsidR="00A74F6E" w:rsidRPr="005453D5" w:rsidRDefault="00A74F6E" w:rsidP="0010233B">
            <w:pPr>
              <w:spacing w:after="0" w:line="240" w:lineRule="auto"/>
              <w:ind w:left="-113" w:right="-113"/>
              <w:rPr>
                <w:rFonts w:ascii="Times New Roman" w:eastAsia="Times New Roman" w:hAnsi="Times New Roman" w:cs="Times New Roman"/>
                <w:b/>
                <w:bCs/>
                <w:color w:val="000000" w:themeColor="text1"/>
                <w:sz w:val="22"/>
                <w:szCs w:val="22"/>
              </w:rPr>
            </w:pPr>
            <w:r w:rsidRPr="005453D5">
              <w:rPr>
                <w:rFonts w:ascii="Times New Roman" w:hAnsi="Times New Roman" w:cs="Times New Roman"/>
                <w:b/>
                <w:bCs/>
                <w:color w:val="000000" w:themeColor="text1"/>
                <w:sz w:val="22"/>
                <w:szCs w:val="22"/>
              </w:rPr>
              <w:t>*</w:t>
            </w:r>
          </w:p>
        </w:tc>
        <w:tc>
          <w:tcPr>
            <w:tcW w:w="785" w:type="dxa"/>
            <w:shd w:val="clear" w:color="auto" w:fill="auto"/>
            <w:vAlign w:val="bottom"/>
          </w:tcPr>
          <w:p w14:paraId="32A4A952"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0.807</w:t>
            </w:r>
          </w:p>
        </w:tc>
        <w:tc>
          <w:tcPr>
            <w:tcW w:w="451" w:type="dxa"/>
            <w:shd w:val="clear" w:color="auto" w:fill="auto"/>
            <w:vAlign w:val="bottom"/>
          </w:tcPr>
          <w:p w14:paraId="7200898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19A8D89C"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7D8AA71E"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0.647</w:t>
            </w:r>
          </w:p>
        </w:tc>
        <w:tc>
          <w:tcPr>
            <w:tcW w:w="477" w:type="dxa"/>
            <w:shd w:val="clear" w:color="auto" w:fill="auto"/>
            <w:vAlign w:val="bottom"/>
          </w:tcPr>
          <w:p w14:paraId="4B3A30EB"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vAlign w:val="bottom"/>
          </w:tcPr>
          <w:p w14:paraId="12738D80"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0.386</w:t>
            </w:r>
          </w:p>
        </w:tc>
        <w:tc>
          <w:tcPr>
            <w:tcW w:w="356" w:type="dxa"/>
            <w:vAlign w:val="bottom"/>
          </w:tcPr>
          <w:p w14:paraId="76083114"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w:t>
            </w:r>
          </w:p>
        </w:tc>
        <w:tc>
          <w:tcPr>
            <w:tcW w:w="1134" w:type="dxa"/>
            <w:vAlign w:val="bottom"/>
          </w:tcPr>
          <w:p w14:paraId="334FB458"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68F807BE" w14:textId="77777777" w:rsidTr="0010233B">
        <w:trPr>
          <w:trHeight w:val="300"/>
        </w:trPr>
        <w:tc>
          <w:tcPr>
            <w:tcW w:w="1838" w:type="dxa"/>
            <w:shd w:val="clear" w:color="auto" w:fill="auto"/>
            <w:vAlign w:val="bottom"/>
          </w:tcPr>
          <w:p w14:paraId="3A6A5E2C" w14:textId="77777777" w:rsidR="00A74F6E" w:rsidRDefault="00A74F6E" w:rsidP="0010233B">
            <w:pPr>
              <w:spacing w:after="0" w:line="240" w:lineRule="auto"/>
              <w:rPr>
                <w:rFonts w:ascii="Times New Roman" w:eastAsia="Times New Roman" w:hAnsi="Times New Roman" w:cs="Times New Roman"/>
                <w:i/>
                <w:sz w:val="22"/>
                <w:szCs w:val="22"/>
              </w:rPr>
            </w:pPr>
          </w:p>
        </w:tc>
        <w:tc>
          <w:tcPr>
            <w:tcW w:w="1276" w:type="dxa"/>
            <w:vAlign w:val="center"/>
          </w:tcPr>
          <w:p w14:paraId="1DAB828C"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785" w:type="dxa"/>
            <w:shd w:val="clear" w:color="auto" w:fill="auto"/>
            <w:vAlign w:val="bottom"/>
          </w:tcPr>
          <w:p w14:paraId="57BBF00D" w14:textId="77777777" w:rsidR="00A74F6E" w:rsidRPr="005453D5" w:rsidRDefault="00A74F6E" w:rsidP="0010233B">
            <w:pPr>
              <w:spacing w:after="0" w:line="240" w:lineRule="auto"/>
              <w:ind w:right="-113"/>
              <w:jc w:val="right"/>
              <w:rPr>
                <w:rFonts w:ascii="Times New Roman" w:eastAsia="Times New Roman" w:hAnsi="Times New Roman" w:cs="Times New Roman"/>
                <w:b/>
                <w:bCs/>
                <w:color w:val="000000" w:themeColor="text1"/>
                <w:sz w:val="22"/>
                <w:szCs w:val="22"/>
              </w:rPr>
            </w:pPr>
            <w:r w:rsidRPr="005453D5">
              <w:rPr>
                <w:rFonts w:ascii="Times New Roman" w:hAnsi="Times New Roman" w:cs="Times New Roman"/>
                <w:b/>
                <w:bCs/>
                <w:color w:val="000000" w:themeColor="text1"/>
                <w:sz w:val="22"/>
                <w:szCs w:val="22"/>
              </w:rPr>
              <w:t>0.079</w:t>
            </w:r>
          </w:p>
        </w:tc>
        <w:tc>
          <w:tcPr>
            <w:tcW w:w="544" w:type="dxa"/>
            <w:shd w:val="clear" w:color="auto" w:fill="auto"/>
            <w:vAlign w:val="bottom"/>
          </w:tcPr>
          <w:p w14:paraId="5FF50F98" w14:textId="77777777" w:rsidR="00A74F6E" w:rsidRPr="005453D5" w:rsidRDefault="00A74F6E" w:rsidP="0010233B">
            <w:pPr>
              <w:spacing w:after="0" w:line="240" w:lineRule="auto"/>
              <w:ind w:left="-113" w:right="-113"/>
              <w:rPr>
                <w:rFonts w:ascii="Times New Roman" w:eastAsia="Times New Roman" w:hAnsi="Times New Roman" w:cs="Times New Roman"/>
                <w:b/>
                <w:bCs/>
                <w:color w:val="000000" w:themeColor="text1"/>
                <w:sz w:val="22"/>
                <w:szCs w:val="22"/>
              </w:rPr>
            </w:pPr>
          </w:p>
        </w:tc>
        <w:tc>
          <w:tcPr>
            <w:tcW w:w="785" w:type="dxa"/>
            <w:shd w:val="clear" w:color="auto" w:fill="auto"/>
            <w:vAlign w:val="bottom"/>
          </w:tcPr>
          <w:p w14:paraId="57641122"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0.017</w:t>
            </w:r>
          </w:p>
        </w:tc>
        <w:tc>
          <w:tcPr>
            <w:tcW w:w="451" w:type="dxa"/>
            <w:shd w:val="clear" w:color="auto" w:fill="auto"/>
            <w:vAlign w:val="bottom"/>
          </w:tcPr>
          <w:p w14:paraId="34F23A2A"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4BAE3DEA"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0.565</w:t>
            </w:r>
          </w:p>
        </w:tc>
        <w:tc>
          <w:tcPr>
            <w:tcW w:w="799" w:type="dxa"/>
            <w:shd w:val="clear" w:color="auto" w:fill="auto"/>
            <w:vAlign w:val="bottom"/>
          </w:tcPr>
          <w:p w14:paraId="768A1FF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0.092</w:t>
            </w:r>
          </w:p>
        </w:tc>
        <w:tc>
          <w:tcPr>
            <w:tcW w:w="477" w:type="dxa"/>
            <w:shd w:val="clear" w:color="auto" w:fill="auto"/>
            <w:vAlign w:val="bottom"/>
          </w:tcPr>
          <w:p w14:paraId="2BF9E88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2D5B598B"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0.015</w:t>
            </w:r>
          </w:p>
        </w:tc>
        <w:tc>
          <w:tcPr>
            <w:tcW w:w="356" w:type="dxa"/>
            <w:vAlign w:val="bottom"/>
          </w:tcPr>
          <w:p w14:paraId="2486E7B0"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vAlign w:val="bottom"/>
          </w:tcPr>
          <w:p w14:paraId="66731BA2"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0.773</w:t>
            </w:r>
          </w:p>
        </w:tc>
      </w:tr>
      <w:tr w:rsidR="00A74F6E" w:rsidRPr="00EA4C2C" w14:paraId="296EB872" w14:textId="77777777" w:rsidTr="0010233B">
        <w:trPr>
          <w:trHeight w:val="300"/>
        </w:trPr>
        <w:tc>
          <w:tcPr>
            <w:tcW w:w="1838" w:type="dxa"/>
            <w:shd w:val="clear" w:color="auto" w:fill="auto"/>
            <w:vAlign w:val="bottom"/>
          </w:tcPr>
          <w:p w14:paraId="0E4DE176"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CFO/TA</w:t>
            </w:r>
            <w:r>
              <w:rPr>
                <w:rFonts w:ascii="Times New Roman" w:eastAsia="Times New Roman" w:hAnsi="Times New Roman" w:cs="Times New Roman"/>
                <w:i/>
                <w:sz w:val="22"/>
                <w:szCs w:val="22"/>
                <w:vertAlign w:val="subscript"/>
              </w:rPr>
              <w:t>t-1</w:t>
            </w:r>
          </w:p>
        </w:tc>
        <w:tc>
          <w:tcPr>
            <w:tcW w:w="1276" w:type="dxa"/>
            <w:vAlign w:val="center"/>
          </w:tcPr>
          <w:p w14:paraId="5CCF32BF"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785" w:type="dxa"/>
            <w:shd w:val="clear" w:color="auto" w:fill="auto"/>
            <w:vAlign w:val="bottom"/>
          </w:tcPr>
          <w:p w14:paraId="13DAC32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3.069</w:t>
            </w:r>
          </w:p>
        </w:tc>
        <w:tc>
          <w:tcPr>
            <w:tcW w:w="544" w:type="dxa"/>
            <w:shd w:val="clear" w:color="auto" w:fill="auto"/>
            <w:vAlign w:val="bottom"/>
          </w:tcPr>
          <w:p w14:paraId="4A7D42A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w:t>
            </w:r>
          </w:p>
        </w:tc>
        <w:tc>
          <w:tcPr>
            <w:tcW w:w="785" w:type="dxa"/>
            <w:shd w:val="clear" w:color="auto" w:fill="auto"/>
            <w:vAlign w:val="bottom"/>
          </w:tcPr>
          <w:p w14:paraId="4272BCD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2.397</w:t>
            </w:r>
          </w:p>
        </w:tc>
        <w:tc>
          <w:tcPr>
            <w:tcW w:w="451" w:type="dxa"/>
            <w:shd w:val="clear" w:color="auto" w:fill="auto"/>
            <w:vAlign w:val="bottom"/>
          </w:tcPr>
          <w:p w14:paraId="46C3321D"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w:t>
            </w:r>
          </w:p>
        </w:tc>
        <w:tc>
          <w:tcPr>
            <w:tcW w:w="1126" w:type="dxa"/>
            <w:vAlign w:val="bottom"/>
          </w:tcPr>
          <w:p w14:paraId="49664A3E"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743AFFD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1.807</w:t>
            </w:r>
          </w:p>
        </w:tc>
        <w:tc>
          <w:tcPr>
            <w:tcW w:w="477" w:type="dxa"/>
            <w:shd w:val="clear" w:color="auto" w:fill="auto"/>
            <w:vAlign w:val="bottom"/>
          </w:tcPr>
          <w:p w14:paraId="1675DAB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4254387B"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0.794</w:t>
            </w:r>
          </w:p>
        </w:tc>
        <w:tc>
          <w:tcPr>
            <w:tcW w:w="356" w:type="dxa"/>
            <w:vAlign w:val="bottom"/>
          </w:tcPr>
          <w:p w14:paraId="3407A1A6"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vAlign w:val="bottom"/>
          </w:tcPr>
          <w:p w14:paraId="23D1246A"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560EABCF" w14:textId="77777777" w:rsidTr="0010233B">
        <w:trPr>
          <w:trHeight w:val="300"/>
        </w:trPr>
        <w:tc>
          <w:tcPr>
            <w:tcW w:w="1838" w:type="dxa"/>
            <w:shd w:val="clear" w:color="auto" w:fill="auto"/>
            <w:vAlign w:val="bottom"/>
          </w:tcPr>
          <w:p w14:paraId="17A6C143"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7350E4A1"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785" w:type="dxa"/>
            <w:shd w:val="clear" w:color="auto" w:fill="auto"/>
            <w:vAlign w:val="bottom"/>
          </w:tcPr>
          <w:p w14:paraId="015FE4A9"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0.026</w:t>
            </w:r>
          </w:p>
        </w:tc>
        <w:tc>
          <w:tcPr>
            <w:tcW w:w="544" w:type="dxa"/>
            <w:shd w:val="clear" w:color="auto" w:fill="auto"/>
            <w:vAlign w:val="bottom"/>
          </w:tcPr>
          <w:p w14:paraId="56D3D7B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themeColor="text1"/>
                <w:sz w:val="22"/>
                <w:szCs w:val="22"/>
              </w:rPr>
            </w:pPr>
          </w:p>
        </w:tc>
        <w:tc>
          <w:tcPr>
            <w:tcW w:w="785" w:type="dxa"/>
            <w:shd w:val="clear" w:color="auto" w:fill="auto"/>
            <w:vAlign w:val="bottom"/>
          </w:tcPr>
          <w:p w14:paraId="1807B41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themeColor="text1"/>
                <w:sz w:val="22"/>
                <w:szCs w:val="22"/>
              </w:rPr>
            </w:pPr>
            <w:r w:rsidRPr="005453D5">
              <w:rPr>
                <w:rFonts w:ascii="Times New Roman" w:hAnsi="Times New Roman" w:cs="Times New Roman"/>
                <w:b/>
                <w:bCs/>
                <w:color w:val="000000" w:themeColor="text1"/>
                <w:sz w:val="22"/>
                <w:szCs w:val="22"/>
              </w:rPr>
              <w:t>0.000</w:t>
            </w:r>
          </w:p>
        </w:tc>
        <w:tc>
          <w:tcPr>
            <w:tcW w:w="451" w:type="dxa"/>
            <w:shd w:val="clear" w:color="auto" w:fill="auto"/>
            <w:vAlign w:val="bottom"/>
          </w:tcPr>
          <w:p w14:paraId="7A95B50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themeColor="text1"/>
                <w:sz w:val="22"/>
                <w:szCs w:val="22"/>
              </w:rPr>
            </w:pPr>
          </w:p>
        </w:tc>
        <w:tc>
          <w:tcPr>
            <w:tcW w:w="1126" w:type="dxa"/>
            <w:vAlign w:val="bottom"/>
          </w:tcPr>
          <w:p w14:paraId="5C4E5DA7"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0.656</w:t>
            </w:r>
          </w:p>
        </w:tc>
        <w:tc>
          <w:tcPr>
            <w:tcW w:w="799" w:type="dxa"/>
            <w:shd w:val="clear" w:color="auto" w:fill="auto"/>
            <w:vAlign w:val="bottom"/>
          </w:tcPr>
          <w:p w14:paraId="456BAB9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0.169</w:t>
            </w:r>
          </w:p>
        </w:tc>
        <w:tc>
          <w:tcPr>
            <w:tcW w:w="477" w:type="dxa"/>
            <w:shd w:val="clear" w:color="auto" w:fill="auto"/>
            <w:vAlign w:val="bottom"/>
          </w:tcPr>
          <w:p w14:paraId="4EA32E4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653332E1"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0.007</w:t>
            </w:r>
          </w:p>
        </w:tc>
        <w:tc>
          <w:tcPr>
            <w:tcW w:w="356" w:type="dxa"/>
            <w:vAlign w:val="bottom"/>
          </w:tcPr>
          <w:p w14:paraId="7833E0D0"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79448E29"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0.787</w:t>
            </w:r>
          </w:p>
        </w:tc>
      </w:tr>
      <w:tr w:rsidR="00A74F6E" w:rsidRPr="00EA4C2C" w14:paraId="2E0A871F" w14:textId="77777777" w:rsidTr="0010233B">
        <w:trPr>
          <w:trHeight w:val="300"/>
        </w:trPr>
        <w:tc>
          <w:tcPr>
            <w:tcW w:w="1838" w:type="dxa"/>
            <w:shd w:val="clear" w:color="auto" w:fill="auto"/>
            <w:vAlign w:val="bottom"/>
          </w:tcPr>
          <w:p w14:paraId="0BE21A37"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MTBIND</w:t>
            </w:r>
            <w:r>
              <w:rPr>
                <w:rFonts w:ascii="Times New Roman" w:eastAsia="Times New Roman" w:hAnsi="Times New Roman" w:cs="Times New Roman"/>
                <w:i/>
                <w:sz w:val="22"/>
                <w:szCs w:val="22"/>
                <w:vertAlign w:val="subscript"/>
              </w:rPr>
              <w:t xml:space="preserve"> t-1</w:t>
            </w:r>
          </w:p>
        </w:tc>
        <w:tc>
          <w:tcPr>
            <w:tcW w:w="1276" w:type="dxa"/>
            <w:vAlign w:val="center"/>
          </w:tcPr>
          <w:p w14:paraId="7C1466AD"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w:t>
            </w:r>
          </w:p>
        </w:tc>
        <w:tc>
          <w:tcPr>
            <w:tcW w:w="785" w:type="dxa"/>
            <w:shd w:val="clear" w:color="auto" w:fill="auto"/>
            <w:vAlign w:val="bottom"/>
          </w:tcPr>
          <w:p w14:paraId="35B3EB9E"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-0.323</w:t>
            </w:r>
          </w:p>
        </w:tc>
        <w:tc>
          <w:tcPr>
            <w:tcW w:w="544" w:type="dxa"/>
            <w:shd w:val="clear" w:color="auto" w:fill="auto"/>
            <w:vAlign w:val="bottom"/>
          </w:tcPr>
          <w:p w14:paraId="5262CE1C"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85" w:type="dxa"/>
            <w:shd w:val="clear" w:color="auto" w:fill="auto"/>
            <w:vAlign w:val="bottom"/>
          </w:tcPr>
          <w:p w14:paraId="3389ED7A"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-0.191</w:t>
            </w:r>
          </w:p>
        </w:tc>
        <w:tc>
          <w:tcPr>
            <w:tcW w:w="451" w:type="dxa"/>
            <w:shd w:val="clear" w:color="auto" w:fill="auto"/>
            <w:vAlign w:val="bottom"/>
          </w:tcPr>
          <w:p w14:paraId="4D682AF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30458181"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7585ECAE"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-0.278</w:t>
            </w:r>
          </w:p>
        </w:tc>
        <w:tc>
          <w:tcPr>
            <w:tcW w:w="477" w:type="dxa"/>
            <w:shd w:val="clear" w:color="auto" w:fill="auto"/>
            <w:vAlign w:val="bottom"/>
          </w:tcPr>
          <w:p w14:paraId="2DD5BF9B"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vAlign w:val="bottom"/>
          </w:tcPr>
          <w:p w14:paraId="7C246277"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-0.119</w:t>
            </w:r>
          </w:p>
        </w:tc>
        <w:tc>
          <w:tcPr>
            <w:tcW w:w="356" w:type="dxa"/>
            <w:vAlign w:val="bottom"/>
          </w:tcPr>
          <w:p w14:paraId="1AE2622C"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vAlign w:val="bottom"/>
          </w:tcPr>
          <w:p w14:paraId="79DCFE09"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74814FA0" w14:textId="77777777" w:rsidTr="0010233B">
        <w:trPr>
          <w:trHeight w:val="300"/>
        </w:trPr>
        <w:tc>
          <w:tcPr>
            <w:tcW w:w="1838" w:type="dxa"/>
            <w:shd w:val="clear" w:color="auto" w:fill="auto"/>
            <w:vAlign w:val="bottom"/>
          </w:tcPr>
          <w:p w14:paraId="64EE80CF"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2CD06928"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785" w:type="dxa"/>
            <w:shd w:val="clear" w:color="auto" w:fill="auto"/>
            <w:vAlign w:val="bottom"/>
          </w:tcPr>
          <w:p w14:paraId="525EE2D8"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0.001</w:t>
            </w:r>
          </w:p>
        </w:tc>
        <w:tc>
          <w:tcPr>
            <w:tcW w:w="544" w:type="dxa"/>
            <w:shd w:val="clear" w:color="auto" w:fill="auto"/>
            <w:vAlign w:val="bottom"/>
          </w:tcPr>
          <w:p w14:paraId="1D3164F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0AFB322C"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0.001</w:t>
            </w:r>
          </w:p>
        </w:tc>
        <w:tc>
          <w:tcPr>
            <w:tcW w:w="451" w:type="dxa"/>
            <w:shd w:val="clear" w:color="auto" w:fill="auto"/>
            <w:vAlign w:val="bottom"/>
          </w:tcPr>
          <w:p w14:paraId="61C07EAD"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30C891A2"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0.370</w:t>
            </w:r>
          </w:p>
        </w:tc>
        <w:tc>
          <w:tcPr>
            <w:tcW w:w="799" w:type="dxa"/>
            <w:shd w:val="clear" w:color="auto" w:fill="auto"/>
            <w:vAlign w:val="bottom"/>
          </w:tcPr>
          <w:p w14:paraId="1987C514"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0.002</w:t>
            </w:r>
          </w:p>
        </w:tc>
        <w:tc>
          <w:tcPr>
            <w:tcW w:w="477" w:type="dxa"/>
            <w:shd w:val="clear" w:color="auto" w:fill="auto"/>
            <w:vAlign w:val="bottom"/>
          </w:tcPr>
          <w:p w14:paraId="08A03FD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06BE286D"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356" w:type="dxa"/>
            <w:vAlign w:val="bottom"/>
          </w:tcPr>
          <w:p w14:paraId="482180BD"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4854B3C4"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0.900</w:t>
            </w:r>
          </w:p>
        </w:tc>
      </w:tr>
      <w:tr w:rsidR="00A74F6E" w:rsidRPr="00EA4C2C" w14:paraId="3F938459" w14:textId="77777777" w:rsidTr="0010233B">
        <w:trPr>
          <w:trHeight w:val="300"/>
        </w:trPr>
        <w:tc>
          <w:tcPr>
            <w:tcW w:w="1838" w:type="dxa"/>
            <w:shd w:val="clear" w:color="auto" w:fill="auto"/>
            <w:vAlign w:val="bottom"/>
          </w:tcPr>
          <w:p w14:paraId="1FD89CC5"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ABRET</w:t>
            </w:r>
            <w:r>
              <w:rPr>
                <w:rFonts w:ascii="Times New Roman" w:eastAsia="Times New Roman" w:hAnsi="Times New Roman" w:cs="Times New Roman"/>
                <w:i/>
                <w:sz w:val="22"/>
                <w:szCs w:val="22"/>
                <w:vertAlign w:val="subscript"/>
              </w:rPr>
              <w:t>t-1</w:t>
            </w:r>
          </w:p>
        </w:tc>
        <w:tc>
          <w:tcPr>
            <w:tcW w:w="1276" w:type="dxa"/>
            <w:vAlign w:val="center"/>
          </w:tcPr>
          <w:p w14:paraId="5402FDEB"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w:t>
            </w:r>
          </w:p>
        </w:tc>
        <w:tc>
          <w:tcPr>
            <w:tcW w:w="785" w:type="dxa"/>
            <w:shd w:val="clear" w:color="auto" w:fill="auto"/>
            <w:vAlign w:val="bottom"/>
          </w:tcPr>
          <w:p w14:paraId="11D3FDBC"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-0.397</w:t>
            </w:r>
          </w:p>
        </w:tc>
        <w:tc>
          <w:tcPr>
            <w:tcW w:w="544" w:type="dxa"/>
            <w:shd w:val="clear" w:color="auto" w:fill="auto"/>
            <w:vAlign w:val="bottom"/>
          </w:tcPr>
          <w:p w14:paraId="0CB9D53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85" w:type="dxa"/>
            <w:shd w:val="clear" w:color="auto" w:fill="auto"/>
            <w:vAlign w:val="bottom"/>
          </w:tcPr>
          <w:p w14:paraId="50355022"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0.042</w:t>
            </w:r>
          </w:p>
        </w:tc>
        <w:tc>
          <w:tcPr>
            <w:tcW w:w="451" w:type="dxa"/>
            <w:shd w:val="clear" w:color="auto" w:fill="auto"/>
            <w:vAlign w:val="bottom"/>
          </w:tcPr>
          <w:p w14:paraId="28500830"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26" w:type="dxa"/>
            <w:vAlign w:val="bottom"/>
          </w:tcPr>
          <w:p w14:paraId="2156D921"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BD4899A"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-0.242</w:t>
            </w:r>
          </w:p>
        </w:tc>
        <w:tc>
          <w:tcPr>
            <w:tcW w:w="477" w:type="dxa"/>
            <w:shd w:val="clear" w:color="auto" w:fill="auto"/>
            <w:vAlign w:val="bottom"/>
          </w:tcPr>
          <w:p w14:paraId="43AF9EC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436B1D39"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-0.048</w:t>
            </w:r>
          </w:p>
        </w:tc>
        <w:tc>
          <w:tcPr>
            <w:tcW w:w="356" w:type="dxa"/>
            <w:vAlign w:val="bottom"/>
          </w:tcPr>
          <w:p w14:paraId="7F4CE0E1"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vAlign w:val="bottom"/>
          </w:tcPr>
          <w:p w14:paraId="435C1B63"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4CF71AC8" w14:textId="77777777" w:rsidTr="0010233B">
        <w:trPr>
          <w:trHeight w:val="300"/>
        </w:trPr>
        <w:tc>
          <w:tcPr>
            <w:tcW w:w="1838" w:type="dxa"/>
            <w:shd w:val="clear" w:color="auto" w:fill="auto"/>
            <w:vAlign w:val="bottom"/>
          </w:tcPr>
          <w:p w14:paraId="19492CF1"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274DCE87" w14:textId="77777777" w:rsidR="00A74F6E"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785" w:type="dxa"/>
            <w:shd w:val="clear" w:color="auto" w:fill="auto"/>
            <w:vAlign w:val="bottom"/>
          </w:tcPr>
          <w:p w14:paraId="6EF8D4A0"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0.059</w:t>
            </w:r>
          </w:p>
        </w:tc>
        <w:tc>
          <w:tcPr>
            <w:tcW w:w="544" w:type="dxa"/>
            <w:shd w:val="clear" w:color="auto" w:fill="auto"/>
            <w:vAlign w:val="bottom"/>
          </w:tcPr>
          <w:p w14:paraId="5B01F82F"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759AF8DD"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0.661</w:t>
            </w:r>
          </w:p>
        </w:tc>
        <w:tc>
          <w:tcPr>
            <w:tcW w:w="451" w:type="dxa"/>
            <w:shd w:val="clear" w:color="auto" w:fill="auto"/>
            <w:vAlign w:val="bottom"/>
          </w:tcPr>
          <w:p w14:paraId="554A35AA"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26" w:type="dxa"/>
            <w:vAlign w:val="bottom"/>
          </w:tcPr>
          <w:p w14:paraId="1AF98C82" w14:textId="77777777" w:rsidR="00A74F6E" w:rsidRPr="005453D5" w:rsidRDefault="00A74F6E" w:rsidP="0010233B">
            <w:pPr>
              <w:spacing w:after="0" w:line="240" w:lineRule="auto"/>
              <w:ind w:right="-113"/>
              <w:jc w:val="center"/>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0.045</w:t>
            </w:r>
          </w:p>
        </w:tc>
        <w:tc>
          <w:tcPr>
            <w:tcW w:w="799" w:type="dxa"/>
            <w:shd w:val="clear" w:color="auto" w:fill="auto"/>
            <w:vAlign w:val="bottom"/>
          </w:tcPr>
          <w:p w14:paraId="72901138"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0.142</w:t>
            </w:r>
          </w:p>
        </w:tc>
        <w:tc>
          <w:tcPr>
            <w:tcW w:w="477" w:type="dxa"/>
            <w:shd w:val="clear" w:color="auto" w:fill="auto"/>
            <w:vAlign w:val="bottom"/>
          </w:tcPr>
          <w:p w14:paraId="1BF181D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1B0DD4C4"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0.171</w:t>
            </w:r>
          </w:p>
        </w:tc>
        <w:tc>
          <w:tcPr>
            <w:tcW w:w="356" w:type="dxa"/>
            <w:vAlign w:val="bottom"/>
          </w:tcPr>
          <w:p w14:paraId="7CA832A0"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vAlign w:val="bottom"/>
          </w:tcPr>
          <w:p w14:paraId="5BAB12A5"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0.363</w:t>
            </w:r>
          </w:p>
        </w:tc>
      </w:tr>
      <w:tr w:rsidR="00A74F6E" w:rsidRPr="00EA4C2C" w14:paraId="4D81C53F" w14:textId="77777777" w:rsidTr="0010233B">
        <w:trPr>
          <w:trHeight w:val="300"/>
        </w:trPr>
        <w:tc>
          <w:tcPr>
            <w:tcW w:w="1838" w:type="dxa"/>
            <w:shd w:val="clear" w:color="auto" w:fill="auto"/>
            <w:vAlign w:val="bottom"/>
          </w:tcPr>
          <w:p w14:paraId="3ECB5880"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DIV/</w:t>
            </w:r>
            <w:proofErr w:type="spellStart"/>
            <w:r>
              <w:rPr>
                <w:rFonts w:ascii="Times New Roman" w:eastAsia="Times New Roman" w:hAnsi="Times New Roman" w:cs="Times New Roman"/>
                <w:i/>
                <w:color w:val="000000"/>
                <w:sz w:val="22"/>
                <w:szCs w:val="22"/>
              </w:rPr>
              <w:t>NI</w:t>
            </w:r>
            <w:r>
              <w:rPr>
                <w:rFonts w:ascii="Times New Roman" w:eastAsia="Times New Roman" w:hAnsi="Times New Roman" w:cs="Times New Roman"/>
                <w:i/>
                <w:color w:val="000000"/>
                <w:sz w:val="22"/>
                <w:szCs w:val="22"/>
                <w:vertAlign w:val="subscript"/>
              </w:rPr>
              <w:t>t</w:t>
            </w:r>
            <w:proofErr w:type="spellEnd"/>
          </w:p>
        </w:tc>
        <w:tc>
          <w:tcPr>
            <w:tcW w:w="1276" w:type="dxa"/>
            <w:vAlign w:val="center"/>
          </w:tcPr>
          <w:p w14:paraId="1A0F0B48"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p>
        </w:tc>
        <w:tc>
          <w:tcPr>
            <w:tcW w:w="785" w:type="dxa"/>
            <w:shd w:val="clear" w:color="auto" w:fill="auto"/>
            <w:vAlign w:val="bottom"/>
          </w:tcPr>
          <w:p w14:paraId="4E308865"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0.005</w:t>
            </w:r>
          </w:p>
        </w:tc>
        <w:tc>
          <w:tcPr>
            <w:tcW w:w="544" w:type="dxa"/>
            <w:shd w:val="clear" w:color="auto" w:fill="auto"/>
            <w:vAlign w:val="bottom"/>
          </w:tcPr>
          <w:p w14:paraId="36ED703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4DF6F2E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-0.023</w:t>
            </w:r>
          </w:p>
        </w:tc>
        <w:tc>
          <w:tcPr>
            <w:tcW w:w="451" w:type="dxa"/>
            <w:shd w:val="clear" w:color="auto" w:fill="auto"/>
            <w:vAlign w:val="bottom"/>
          </w:tcPr>
          <w:p w14:paraId="15D16A9A"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1DF351E4"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A99574C"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0.076</w:t>
            </w:r>
          </w:p>
        </w:tc>
        <w:tc>
          <w:tcPr>
            <w:tcW w:w="477" w:type="dxa"/>
            <w:shd w:val="clear" w:color="auto" w:fill="auto"/>
            <w:vAlign w:val="bottom"/>
          </w:tcPr>
          <w:p w14:paraId="07B6AC52"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vAlign w:val="bottom"/>
          </w:tcPr>
          <w:p w14:paraId="05FD71A0"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0.140</w:t>
            </w:r>
          </w:p>
        </w:tc>
        <w:tc>
          <w:tcPr>
            <w:tcW w:w="356" w:type="dxa"/>
            <w:vAlign w:val="bottom"/>
          </w:tcPr>
          <w:p w14:paraId="66FCC490"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vAlign w:val="bottom"/>
          </w:tcPr>
          <w:p w14:paraId="0A0DC66C"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4906D408" w14:textId="77777777" w:rsidTr="0010233B">
        <w:trPr>
          <w:trHeight w:val="300"/>
        </w:trPr>
        <w:tc>
          <w:tcPr>
            <w:tcW w:w="1838" w:type="dxa"/>
            <w:shd w:val="clear" w:color="auto" w:fill="auto"/>
            <w:vAlign w:val="bottom"/>
          </w:tcPr>
          <w:p w14:paraId="0678DB94"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vAlign w:val="center"/>
          </w:tcPr>
          <w:p w14:paraId="658C8080"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5A2A9021"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0.932</w:t>
            </w:r>
          </w:p>
        </w:tc>
        <w:tc>
          <w:tcPr>
            <w:tcW w:w="544" w:type="dxa"/>
            <w:shd w:val="clear" w:color="auto" w:fill="auto"/>
            <w:vAlign w:val="bottom"/>
          </w:tcPr>
          <w:p w14:paraId="2DE835D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4065D8D0"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0.492</w:t>
            </w:r>
          </w:p>
        </w:tc>
        <w:tc>
          <w:tcPr>
            <w:tcW w:w="451" w:type="dxa"/>
            <w:shd w:val="clear" w:color="auto" w:fill="auto"/>
            <w:vAlign w:val="bottom"/>
          </w:tcPr>
          <w:p w14:paraId="1E3B726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69A01D19"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0.788</w:t>
            </w:r>
          </w:p>
        </w:tc>
        <w:tc>
          <w:tcPr>
            <w:tcW w:w="799" w:type="dxa"/>
            <w:shd w:val="clear" w:color="auto" w:fill="auto"/>
            <w:vAlign w:val="bottom"/>
          </w:tcPr>
          <w:p w14:paraId="3E893FD1"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0.003</w:t>
            </w:r>
          </w:p>
        </w:tc>
        <w:tc>
          <w:tcPr>
            <w:tcW w:w="477" w:type="dxa"/>
            <w:shd w:val="clear" w:color="auto" w:fill="auto"/>
            <w:vAlign w:val="bottom"/>
          </w:tcPr>
          <w:p w14:paraId="326218C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785E758B"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356" w:type="dxa"/>
            <w:vAlign w:val="bottom"/>
          </w:tcPr>
          <w:p w14:paraId="5AD0461D"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031EA0AE"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0.012</w:t>
            </w:r>
          </w:p>
        </w:tc>
      </w:tr>
      <w:tr w:rsidR="00A74F6E" w:rsidRPr="00EA4C2C" w14:paraId="673201CE" w14:textId="77777777" w:rsidTr="0010233B">
        <w:trPr>
          <w:trHeight w:val="300"/>
        </w:trPr>
        <w:tc>
          <w:tcPr>
            <w:tcW w:w="1838" w:type="dxa"/>
            <w:shd w:val="clear" w:color="auto" w:fill="auto"/>
            <w:vAlign w:val="bottom"/>
          </w:tcPr>
          <w:p w14:paraId="2600FFD1" w14:textId="77777777" w:rsidR="00A74F6E" w:rsidRDefault="00A74F6E" w:rsidP="0010233B">
            <w:pPr>
              <w:spacing w:after="0" w:line="240" w:lineRule="auto"/>
              <w:rPr>
                <w:rFonts w:ascii="Times New Roman" w:eastAsia="Times New Roman" w:hAnsi="Times New Roman" w:cs="Times New Roman"/>
                <w:b/>
                <w:i/>
                <w:color w:val="000000"/>
                <w:sz w:val="22"/>
                <w:szCs w:val="22"/>
              </w:rPr>
            </w:pPr>
            <w:proofErr w:type="spellStart"/>
            <w:r>
              <w:rPr>
                <w:rFonts w:ascii="Times New Roman" w:eastAsia="Times New Roman" w:hAnsi="Times New Roman" w:cs="Times New Roman"/>
                <w:i/>
                <w:color w:val="000000"/>
                <w:sz w:val="22"/>
                <w:szCs w:val="22"/>
              </w:rPr>
              <w:t>ROA</w:t>
            </w:r>
            <w:r>
              <w:rPr>
                <w:rFonts w:ascii="Times New Roman" w:eastAsia="Times New Roman" w:hAnsi="Times New Roman" w:cs="Times New Roman"/>
                <w:i/>
                <w:color w:val="000000"/>
                <w:sz w:val="22"/>
                <w:szCs w:val="22"/>
                <w:vertAlign w:val="subscript"/>
              </w:rPr>
              <w:t>t</w:t>
            </w:r>
            <w:proofErr w:type="spellEnd"/>
          </w:p>
        </w:tc>
        <w:tc>
          <w:tcPr>
            <w:tcW w:w="1276" w:type="dxa"/>
            <w:vAlign w:val="center"/>
          </w:tcPr>
          <w:p w14:paraId="0F62B54B"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t>
            </w:r>
          </w:p>
        </w:tc>
        <w:tc>
          <w:tcPr>
            <w:tcW w:w="785" w:type="dxa"/>
            <w:shd w:val="clear" w:color="auto" w:fill="auto"/>
            <w:vAlign w:val="bottom"/>
          </w:tcPr>
          <w:p w14:paraId="58D1B2D8"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3.688</w:t>
            </w:r>
          </w:p>
        </w:tc>
        <w:tc>
          <w:tcPr>
            <w:tcW w:w="544" w:type="dxa"/>
            <w:shd w:val="clear" w:color="auto" w:fill="auto"/>
            <w:vAlign w:val="bottom"/>
          </w:tcPr>
          <w:p w14:paraId="7FC6F5EF"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85" w:type="dxa"/>
            <w:shd w:val="clear" w:color="auto" w:fill="auto"/>
            <w:vAlign w:val="bottom"/>
          </w:tcPr>
          <w:p w14:paraId="0ED5E07E"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3.529</w:t>
            </w:r>
          </w:p>
        </w:tc>
        <w:tc>
          <w:tcPr>
            <w:tcW w:w="451" w:type="dxa"/>
            <w:shd w:val="clear" w:color="auto" w:fill="auto"/>
            <w:vAlign w:val="bottom"/>
          </w:tcPr>
          <w:p w14:paraId="3E11EF4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51147444"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8BD44E0"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7.917</w:t>
            </w:r>
          </w:p>
        </w:tc>
        <w:tc>
          <w:tcPr>
            <w:tcW w:w="477" w:type="dxa"/>
            <w:shd w:val="clear" w:color="auto" w:fill="auto"/>
            <w:vAlign w:val="bottom"/>
          </w:tcPr>
          <w:p w14:paraId="3007F5A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vAlign w:val="bottom"/>
          </w:tcPr>
          <w:p w14:paraId="3C66FA6E"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3.116</w:t>
            </w:r>
          </w:p>
        </w:tc>
        <w:tc>
          <w:tcPr>
            <w:tcW w:w="356" w:type="dxa"/>
            <w:vAlign w:val="bottom"/>
          </w:tcPr>
          <w:p w14:paraId="55A218BD"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vAlign w:val="bottom"/>
          </w:tcPr>
          <w:p w14:paraId="469BEF24"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7DCB6FB8" w14:textId="77777777" w:rsidTr="0010233B">
        <w:trPr>
          <w:trHeight w:val="300"/>
        </w:trPr>
        <w:tc>
          <w:tcPr>
            <w:tcW w:w="1838" w:type="dxa"/>
            <w:shd w:val="clear" w:color="auto" w:fill="auto"/>
            <w:vAlign w:val="bottom"/>
          </w:tcPr>
          <w:p w14:paraId="047C31DA"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vAlign w:val="center"/>
          </w:tcPr>
          <w:p w14:paraId="2B912EE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7BC0D198"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0.017</w:t>
            </w:r>
          </w:p>
        </w:tc>
        <w:tc>
          <w:tcPr>
            <w:tcW w:w="544" w:type="dxa"/>
            <w:shd w:val="clear" w:color="auto" w:fill="auto"/>
            <w:vAlign w:val="bottom"/>
          </w:tcPr>
          <w:p w14:paraId="2F359C3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36B6EEAE"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451" w:type="dxa"/>
            <w:shd w:val="clear" w:color="auto" w:fill="auto"/>
            <w:vAlign w:val="bottom"/>
          </w:tcPr>
          <w:p w14:paraId="22EF56FD"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52E8F037"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0.660</w:t>
            </w:r>
          </w:p>
        </w:tc>
        <w:tc>
          <w:tcPr>
            <w:tcW w:w="799" w:type="dxa"/>
            <w:shd w:val="clear" w:color="auto" w:fill="auto"/>
            <w:vAlign w:val="bottom"/>
          </w:tcPr>
          <w:p w14:paraId="4D5452A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477" w:type="dxa"/>
            <w:shd w:val="clear" w:color="auto" w:fill="auto"/>
            <w:vAlign w:val="bottom"/>
          </w:tcPr>
          <w:p w14:paraId="36F4E23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6B96F4E7"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356" w:type="dxa"/>
            <w:vAlign w:val="bottom"/>
          </w:tcPr>
          <w:p w14:paraId="193E201B"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7F626BB8"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0.243</w:t>
            </w:r>
          </w:p>
        </w:tc>
      </w:tr>
      <w:tr w:rsidR="00A74F6E" w:rsidRPr="00EA4C2C" w14:paraId="4843A59C" w14:textId="77777777" w:rsidTr="0010233B">
        <w:trPr>
          <w:trHeight w:val="300"/>
        </w:trPr>
        <w:tc>
          <w:tcPr>
            <w:tcW w:w="1838" w:type="dxa"/>
            <w:shd w:val="clear" w:color="auto" w:fill="auto"/>
            <w:vAlign w:val="bottom"/>
          </w:tcPr>
          <w:p w14:paraId="0089EC0B"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SPDUM</w:t>
            </w:r>
            <w:r>
              <w:rPr>
                <w:rFonts w:ascii="Times New Roman" w:eastAsia="Times New Roman" w:hAnsi="Times New Roman" w:cs="Times New Roman"/>
                <w:i/>
                <w:sz w:val="22"/>
                <w:szCs w:val="22"/>
                <w:vertAlign w:val="subscript"/>
              </w:rPr>
              <w:t>t-1</w:t>
            </w:r>
          </w:p>
        </w:tc>
        <w:tc>
          <w:tcPr>
            <w:tcW w:w="1276" w:type="dxa"/>
            <w:vAlign w:val="center"/>
          </w:tcPr>
          <w:p w14:paraId="463121C3"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65E8FF6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2.085</w:t>
            </w:r>
          </w:p>
        </w:tc>
        <w:tc>
          <w:tcPr>
            <w:tcW w:w="544" w:type="dxa"/>
            <w:shd w:val="clear" w:color="auto" w:fill="auto"/>
            <w:vAlign w:val="bottom"/>
          </w:tcPr>
          <w:p w14:paraId="369B9F6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85" w:type="dxa"/>
            <w:shd w:val="clear" w:color="auto" w:fill="auto"/>
            <w:vAlign w:val="bottom"/>
          </w:tcPr>
          <w:p w14:paraId="0B3F5C6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2.346</w:t>
            </w:r>
          </w:p>
        </w:tc>
        <w:tc>
          <w:tcPr>
            <w:tcW w:w="451" w:type="dxa"/>
            <w:shd w:val="clear" w:color="auto" w:fill="auto"/>
            <w:vAlign w:val="bottom"/>
          </w:tcPr>
          <w:p w14:paraId="18C9C74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0FEE7DB5" w14:textId="77777777" w:rsidR="00A74F6E" w:rsidRPr="005453D5" w:rsidRDefault="00A74F6E" w:rsidP="0010233B">
            <w:pPr>
              <w:spacing w:after="0" w:line="240" w:lineRule="auto"/>
              <w:ind w:right="-113"/>
              <w:jc w:val="center"/>
              <w:rPr>
                <w:rFonts w:ascii="Times New Roman" w:eastAsia="Times New Roman" w:hAnsi="Times New Roman" w:cs="Times New Roman"/>
                <w:b/>
                <w:color w:val="000000"/>
                <w:sz w:val="22"/>
                <w:szCs w:val="22"/>
              </w:rPr>
            </w:pPr>
          </w:p>
        </w:tc>
        <w:tc>
          <w:tcPr>
            <w:tcW w:w="799" w:type="dxa"/>
            <w:shd w:val="clear" w:color="auto" w:fill="auto"/>
            <w:vAlign w:val="bottom"/>
          </w:tcPr>
          <w:p w14:paraId="4B5941D9"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477" w:type="dxa"/>
            <w:shd w:val="clear" w:color="auto" w:fill="auto"/>
            <w:vAlign w:val="bottom"/>
          </w:tcPr>
          <w:p w14:paraId="3A400B6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46026BFF"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356" w:type="dxa"/>
            <w:vAlign w:val="bottom"/>
          </w:tcPr>
          <w:p w14:paraId="65F5FFF5"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2969508B"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7C8E2124" w14:textId="77777777" w:rsidTr="0010233B">
        <w:trPr>
          <w:trHeight w:val="300"/>
        </w:trPr>
        <w:tc>
          <w:tcPr>
            <w:tcW w:w="1838" w:type="dxa"/>
            <w:shd w:val="clear" w:color="auto" w:fill="auto"/>
            <w:vAlign w:val="bottom"/>
          </w:tcPr>
          <w:p w14:paraId="66352597"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1FEFFC7B"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54B5C05E"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544" w:type="dxa"/>
            <w:shd w:val="clear" w:color="auto" w:fill="auto"/>
            <w:vAlign w:val="bottom"/>
          </w:tcPr>
          <w:p w14:paraId="5BA1AD2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647C137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451" w:type="dxa"/>
            <w:shd w:val="clear" w:color="auto" w:fill="auto"/>
            <w:vAlign w:val="bottom"/>
          </w:tcPr>
          <w:p w14:paraId="0704CBAD"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5E066BD6" w14:textId="77777777" w:rsidR="00A74F6E" w:rsidRPr="005453D5" w:rsidRDefault="00A74F6E" w:rsidP="0010233B">
            <w:pPr>
              <w:spacing w:after="0" w:line="240" w:lineRule="auto"/>
              <w:ind w:right="-113"/>
              <w:jc w:val="center"/>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0.794</w:t>
            </w:r>
          </w:p>
        </w:tc>
        <w:tc>
          <w:tcPr>
            <w:tcW w:w="799" w:type="dxa"/>
            <w:shd w:val="clear" w:color="auto" w:fill="auto"/>
            <w:vAlign w:val="bottom"/>
          </w:tcPr>
          <w:p w14:paraId="3763CF3A"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477" w:type="dxa"/>
            <w:shd w:val="clear" w:color="auto" w:fill="auto"/>
            <w:vAlign w:val="bottom"/>
          </w:tcPr>
          <w:p w14:paraId="0B11BFC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42F74215"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356" w:type="dxa"/>
            <w:vAlign w:val="bottom"/>
          </w:tcPr>
          <w:p w14:paraId="22AF0515"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2F62CE39"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58189456" w14:textId="77777777" w:rsidTr="0010233B">
        <w:trPr>
          <w:trHeight w:val="300"/>
        </w:trPr>
        <w:tc>
          <w:tcPr>
            <w:tcW w:w="1838" w:type="dxa"/>
            <w:shd w:val="clear" w:color="auto" w:fill="auto"/>
            <w:vAlign w:val="bottom"/>
          </w:tcPr>
          <w:p w14:paraId="739A6A5F"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SP/NI</w:t>
            </w:r>
            <w:r>
              <w:rPr>
                <w:rFonts w:ascii="Times New Roman" w:eastAsia="Times New Roman" w:hAnsi="Times New Roman" w:cs="Times New Roman"/>
                <w:i/>
                <w:sz w:val="22"/>
                <w:szCs w:val="22"/>
                <w:vertAlign w:val="subscript"/>
              </w:rPr>
              <w:t>t-1</w:t>
            </w:r>
          </w:p>
        </w:tc>
        <w:tc>
          <w:tcPr>
            <w:tcW w:w="1276" w:type="dxa"/>
            <w:vAlign w:val="center"/>
          </w:tcPr>
          <w:p w14:paraId="05EFA7F1"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560A6B8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544" w:type="dxa"/>
            <w:shd w:val="clear" w:color="auto" w:fill="auto"/>
            <w:vAlign w:val="bottom"/>
          </w:tcPr>
          <w:p w14:paraId="68CC86AA"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0957196D"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451" w:type="dxa"/>
            <w:shd w:val="clear" w:color="auto" w:fill="auto"/>
            <w:vAlign w:val="bottom"/>
          </w:tcPr>
          <w:p w14:paraId="6D77332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10F14C3D"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4066C25"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0.519</w:t>
            </w:r>
          </w:p>
        </w:tc>
        <w:tc>
          <w:tcPr>
            <w:tcW w:w="477" w:type="dxa"/>
            <w:shd w:val="clear" w:color="auto" w:fill="auto"/>
            <w:vAlign w:val="bottom"/>
          </w:tcPr>
          <w:p w14:paraId="556F92D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vAlign w:val="bottom"/>
          </w:tcPr>
          <w:p w14:paraId="346051CA"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0.332</w:t>
            </w:r>
          </w:p>
        </w:tc>
        <w:tc>
          <w:tcPr>
            <w:tcW w:w="356" w:type="dxa"/>
            <w:vAlign w:val="bottom"/>
          </w:tcPr>
          <w:p w14:paraId="6E2E8181"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vAlign w:val="bottom"/>
          </w:tcPr>
          <w:p w14:paraId="092B2AE0"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5775880C" w14:textId="77777777" w:rsidTr="0010233B">
        <w:trPr>
          <w:trHeight w:val="300"/>
        </w:trPr>
        <w:tc>
          <w:tcPr>
            <w:tcW w:w="1838" w:type="dxa"/>
            <w:shd w:val="clear" w:color="auto" w:fill="auto"/>
            <w:vAlign w:val="bottom"/>
          </w:tcPr>
          <w:p w14:paraId="41FF9397"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04CDD45C"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6758925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544" w:type="dxa"/>
            <w:shd w:val="clear" w:color="auto" w:fill="auto"/>
            <w:vAlign w:val="bottom"/>
          </w:tcPr>
          <w:p w14:paraId="4BF38B1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592BEFFC"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p>
        </w:tc>
        <w:tc>
          <w:tcPr>
            <w:tcW w:w="451" w:type="dxa"/>
            <w:shd w:val="clear" w:color="auto" w:fill="auto"/>
            <w:vAlign w:val="bottom"/>
          </w:tcPr>
          <w:p w14:paraId="05A26F5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43961973"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705B1722"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477" w:type="dxa"/>
            <w:shd w:val="clear" w:color="auto" w:fill="auto"/>
            <w:vAlign w:val="bottom"/>
          </w:tcPr>
          <w:p w14:paraId="719362B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3E3E1D82"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356" w:type="dxa"/>
            <w:vAlign w:val="bottom"/>
          </w:tcPr>
          <w:p w14:paraId="6FFECBC8"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1CDCA368"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0.613</w:t>
            </w:r>
          </w:p>
        </w:tc>
      </w:tr>
      <w:tr w:rsidR="00A74F6E" w:rsidRPr="00EA4C2C" w14:paraId="76EDAF6E" w14:textId="77777777" w:rsidTr="0010233B">
        <w:trPr>
          <w:trHeight w:val="300"/>
        </w:trPr>
        <w:tc>
          <w:tcPr>
            <w:tcW w:w="1838" w:type="dxa"/>
            <w:shd w:val="clear" w:color="auto" w:fill="auto"/>
            <w:vAlign w:val="bottom"/>
          </w:tcPr>
          <w:p w14:paraId="52F12833"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BOARDOWN</w:t>
            </w:r>
            <w:r>
              <w:rPr>
                <w:rFonts w:ascii="Times New Roman" w:eastAsia="Times New Roman" w:hAnsi="Times New Roman" w:cs="Times New Roman"/>
                <w:i/>
                <w:sz w:val="22"/>
                <w:szCs w:val="22"/>
                <w:vertAlign w:val="subscript"/>
              </w:rPr>
              <w:t>t-1</w:t>
            </w:r>
          </w:p>
        </w:tc>
        <w:tc>
          <w:tcPr>
            <w:tcW w:w="1276" w:type="dxa"/>
            <w:vAlign w:val="center"/>
          </w:tcPr>
          <w:p w14:paraId="089FFF54"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785" w:type="dxa"/>
            <w:shd w:val="clear" w:color="auto" w:fill="auto"/>
            <w:vAlign w:val="bottom"/>
          </w:tcPr>
          <w:p w14:paraId="7D12E1F9"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-0.372</w:t>
            </w:r>
          </w:p>
        </w:tc>
        <w:tc>
          <w:tcPr>
            <w:tcW w:w="544" w:type="dxa"/>
            <w:shd w:val="clear" w:color="auto" w:fill="auto"/>
            <w:vAlign w:val="bottom"/>
          </w:tcPr>
          <w:p w14:paraId="587410F4"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785" w:type="dxa"/>
            <w:shd w:val="clear" w:color="auto" w:fill="auto"/>
            <w:vAlign w:val="bottom"/>
          </w:tcPr>
          <w:p w14:paraId="77BB5873"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0.115</w:t>
            </w:r>
          </w:p>
        </w:tc>
        <w:tc>
          <w:tcPr>
            <w:tcW w:w="451" w:type="dxa"/>
            <w:shd w:val="clear" w:color="auto" w:fill="auto"/>
            <w:vAlign w:val="bottom"/>
          </w:tcPr>
          <w:p w14:paraId="693D1E9F"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68CCBADC"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12988D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-0.346</w:t>
            </w:r>
          </w:p>
        </w:tc>
        <w:tc>
          <w:tcPr>
            <w:tcW w:w="477" w:type="dxa"/>
            <w:shd w:val="clear" w:color="auto" w:fill="auto"/>
            <w:vAlign w:val="bottom"/>
          </w:tcPr>
          <w:p w14:paraId="0173E18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559E97DB"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0.038</w:t>
            </w:r>
          </w:p>
        </w:tc>
        <w:tc>
          <w:tcPr>
            <w:tcW w:w="356" w:type="dxa"/>
            <w:vAlign w:val="bottom"/>
          </w:tcPr>
          <w:p w14:paraId="40349AC8"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3D22B104"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06C5AFE1" w14:textId="77777777" w:rsidTr="0010233B">
        <w:trPr>
          <w:trHeight w:val="300"/>
        </w:trPr>
        <w:tc>
          <w:tcPr>
            <w:tcW w:w="1838" w:type="dxa"/>
            <w:shd w:val="clear" w:color="auto" w:fill="auto"/>
            <w:vAlign w:val="bottom"/>
          </w:tcPr>
          <w:p w14:paraId="17700C05"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4089D570"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02CDF751"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0.541</w:t>
            </w:r>
          </w:p>
        </w:tc>
        <w:tc>
          <w:tcPr>
            <w:tcW w:w="544" w:type="dxa"/>
            <w:shd w:val="clear" w:color="auto" w:fill="auto"/>
            <w:vAlign w:val="bottom"/>
          </w:tcPr>
          <w:p w14:paraId="329598CC"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785" w:type="dxa"/>
            <w:shd w:val="clear" w:color="auto" w:fill="auto"/>
            <w:vAlign w:val="bottom"/>
          </w:tcPr>
          <w:p w14:paraId="301390B2"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0.665</w:t>
            </w:r>
          </w:p>
        </w:tc>
        <w:tc>
          <w:tcPr>
            <w:tcW w:w="451" w:type="dxa"/>
            <w:shd w:val="clear" w:color="auto" w:fill="auto"/>
            <w:vAlign w:val="bottom"/>
          </w:tcPr>
          <w:p w14:paraId="79A2CB3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7559D80F"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0.317</w:t>
            </w:r>
          </w:p>
        </w:tc>
        <w:tc>
          <w:tcPr>
            <w:tcW w:w="799" w:type="dxa"/>
            <w:shd w:val="clear" w:color="auto" w:fill="auto"/>
            <w:vAlign w:val="bottom"/>
          </w:tcPr>
          <w:p w14:paraId="12C2BFB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0.479</w:t>
            </w:r>
          </w:p>
        </w:tc>
        <w:tc>
          <w:tcPr>
            <w:tcW w:w="477" w:type="dxa"/>
            <w:shd w:val="clear" w:color="auto" w:fill="auto"/>
            <w:vAlign w:val="bottom"/>
          </w:tcPr>
          <w:p w14:paraId="5442C572"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209D960F"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0.750</w:t>
            </w:r>
          </w:p>
        </w:tc>
        <w:tc>
          <w:tcPr>
            <w:tcW w:w="356" w:type="dxa"/>
            <w:vAlign w:val="bottom"/>
          </w:tcPr>
          <w:p w14:paraId="589289A6"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08B79B18"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0.222</w:t>
            </w:r>
          </w:p>
        </w:tc>
      </w:tr>
      <w:tr w:rsidR="00A74F6E" w:rsidRPr="00EA4C2C" w14:paraId="790EE520" w14:textId="77777777" w:rsidTr="0010233B">
        <w:trPr>
          <w:trHeight w:val="300"/>
        </w:trPr>
        <w:tc>
          <w:tcPr>
            <w:tcW w:w="1838" w:type="dxa"/>
            <w:shd w:val="clear" w:color="auto" w:fill="auto"/>
            <w:vAlign w:val="bottom"/>
          </w:tcPr>
          <w:p w14:paraId="68F8FB24"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color w:val="000000"/>
                <w:sz w:val="22"/>
                <w:szCs w:val="22"/>
              </w:rPr>
              <w:t>PROPNED</w:t>
            </w:r>
            <w:r>
              <w:rPr>
                <w:rFonts w:ascii="Times New Roman" w:eastAsia="Times New Roman" w:hAnsi="Times New Roman" w:cs="Times New Roman"/>
                <w:i/>
                <w:sz w:val="22"/>
                <w:szCs w:val="22"/>
                <w:vertAlign w:val="subscript"/>
              </w:rPr>
              <w:t>t-1</w:t>
            </w:r>
          </w:p>
        </w:tc>
        <w:tc>
          <w:tcPr>
            <w:tcW w:w="1276" w:type="dxa"/>
            <w:vAlign w:val="center"/>
          </w:tcPr>
          <w:p w14:paraId="32C77AF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785" w:type="dxa"/>
            <w:shd w:val="clear" w:color="auto" w:fill="auto"/>
            <w:vAlign w:val="bottom"/>
          </w:tcPr>
          <w:p w14:paraId="29C4CB8B" w14:textId="77777777" w:rsidR="00A74F6E" w:rsidRPr="005453D5" w:rsidRDefault="00A74F6E" w:rsidP="0010233B">
            <w:pPr>
              <w:spacing w:after="0" w:line="240" w:lineRule="auto"/>
              <w:ind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0.780</w:t>
            </w:r>
          </w:p>
        </w:tc>
        <w:tc>
          <w:tcPr>
            <w:tcW w:w="544" w:type="dxa"/>
            <w:shd w:val="clear" w:color="auto" w:fill="auto"/>
            <w:vAlign w:val="bottom"/>
          </w:tcPr>
          <w:p w14:paraId="7DC1525C"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785" w:type="dxa"/>
            <w:shd w:val="clear" w:color="auto" w:fill="auto"/>
            <w:vAlign w:val="bottom"/>
          </w:tcPr>
          <w:p w14:paraId="7C817C78"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0.771</w:t>
            </w:r>
          </w:p>
        </w:tc>
        <w:tc>
          <w:tcPr>
            <w:tcW w:w="451" w:type="dxa"/>
            <w:shd w:val="clear" w:color="auto" w:fill="auto"/>
            <w:vAlign w:val="bottom"/>
          </w:tcPr>
          <w:p w14:paraId="0E90FAE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6AF68519"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0E5D02BA"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0.467</w:t>
            </w:r>
          </w:p>
        </w:tc>
        <w:tc>
          <w:tcPr>
            <w:tcW w:w="477" w:type="dxa"/>
            <w:shd w:val="clear" w:color="auto" w:fill="auto"/>
            <w:vAlign w:val="bottom"/>
          </w:tcPr>
          <w:p w14:paraId="213E49C0"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778" w:type="dxa"/>
            <w:vAlign w:val="bottom"/>
          </w:tcPr>
          <w:p w14:paraId="6DA01CB8"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0.192</w:t>
            </w:r>
          </w:p>
        </w:tc>
        <w:tc>
          <w:tcPr>
            <w:tcW w:w="356" w:type="dxa"/>
            <w:vAlign w:val="bottom"/>
          </w:tcPr>
          <w:p w14:paraId="327AB41C"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285C53FD"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657F085B" w14:textId="77777777" w:rsidTr="0010233B">
        <w:trPr>
          <w:trHeight w:val="300"/>
        </w:trPr>
        <w:tc>
          <w:tcPr>
            <w:tcW w:w="1838" w:type="dxa"/>
            <w:shd w:val="clear" w:color="auto" w:fill="auto"/>
            <w:vAlign w:val="bottom"/>
          </w:tcPr>
          <w:p w14:paraId="4B79031F"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7C7997E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5FC53203" w14:textId="77777777" w:rsidR="00A74F6E" w:rsidRPr="005453D5" w:rsidRDefault="00A74F6E" w:rsidP="0010233B">
            <w:pPr>
              <w:spacing w:after="0" w:line="240" w:lineRule="auto"/>
              <w:ind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0.256</w:t>
            </w:r>
          </w:p>
        </w:tc>
        <w:tc>
          <w:tcPr>
            <w:tcW w:w="544" w:type="dxa"/>
            <w:shd w:val="clear" w:color="auto" w:fill="auto"/>
            <w:vAlign w:val="bottom"/>
          </w:tcPr>
          <w:p w14:paraId="2B1C86D1"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785" w:type="dxa"/>
            <w:shd w:val="clear" w:color="auto" w:fill="auto"/>
            <w:vAlign w:val="bottom"/>
          </w:tcPr>
          <w:p w14:paraId="006CBEB8"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0.046</w:t>
            </w:r>
          </w:p>
        </w:tc>
        <w:tc>
          <w:tcPr>
            <w:tcW w:w="451" w:type="dxa"/>
            <w:shd w:val="clear" w:color="auto" w:fill="auto"/>
            <w:vAlign w:val="bottom"/>
          </w:tcPr>
          <w:p w14:paraId="66DD548F"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5401E93C"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0.773</w:t>
            </w:r>
          </w:p>
        </w:tc>
        <w:tc>
          <w:tcPr>
            <w:tcW w:w="799" w:type="dxa"/>
            <w:shd w:val="clear" w:color="auto" w:fill="auto"/>
            <w:vAlign w:val="bottom"/>
          </w:tcPr>
          <w:p w14:paraId="685D8EB1"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0.363</w:t>
            </w:r>
          </w:p>
        </w:tc>
        <w:tc>
          <w:tcPr>
            <w:tcW w:w="477" w:type="dxa"/>
            <w:shd w:val="clear" w:color="auto" w:fill="auto"/>
            <w:vAlign w:val="bottom"/>
          </w:tcPr>
          <w:p w14:paraId="68380BB8"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778" w:type="dxa"/>
            <w:vAlign w:val="bottom"/>
          </w:tcPr>
          <w:p w14:paraId="49266F81"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0.223</w:t>
            </w:r>
          </w:p>
        </w:tc>
        <w:tc>
          <w:tcPr>
            <w:tcW w:w="356" w:type="dxa"/>
            <w:vAlign w:val="bottom"/>
          </w:tcPr>
          <w:p w14:paraId="629083A6"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5D1764B3"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0.432</w:t>
            </w:r>
          </w:p>
        </w:tc>
      </w:tr>
      <w:tr w:rsidR="00A74F6E" w:rsidRPr="00EA4C2C" w14:paraId="7B8F8AE5" w14:textId="77777777" w:rsidTr="0010233B">
        <w:trPr>
          <w:trHeight w:val="300"/>
        </w:trPr>
        <w:tc>
          <w:tcPr>
            <w:tcW w:w="1838" w:type="dxa"/>
            <w:shd w:val="clear" w:color="auto" w:fill="auto"/>
            <w:vAlign w:val="bottom"/>
          </w:tcPr>
          <w:p w14:paraId="55708963"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sz w:val="22"/>
                <w:szCs w:val="22"/>
              </w:rPr>
              <w:t>ESO</w:t>
            </w:r>
            <w:r>
              <w:rPr>
                <w:rFonts w:ascii="Times New Roman" w:eastAsia="Times New Roman" w:hAnsi="Times New Roman" w:cs="Times New Roman"/>
                <w:i/>
                <w:sz w:val="22"/>
                <w:szCs w:val="22"/>
                <w:vertAlign w:val="subscript"/>
              </w:rPr>
              <w:t>t-1</w:t>
            </w:r>
          </w:p>
        </w:tc>
        <w:tc>
          <w:tcPr>
            <w:tcW w:w="1276" w:type="dxa"/>
            <w:vAlign w:val="center"/>
          </w:tcPr>
          <w:p w14:paraId="59537E3E"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785" w:type="dxa"/>
            <w:shd w:val="clear" w:color="auto" w:fill="auto"/>
            <w:vAlign w:val="bottom"/>
          </w:tcPr>
          <w:p w14:paraId="731F043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0.241</w:t>
            </w:r>
          </w:p>
        </w:tc>
        <w:tc>
          <w:tcPr>
            <w:tcW w:w="544" w:type="dxa"/>
            <w:shd w:val="clear" w:color="auto" w:fill="auto"/>
            <w:vAlign w:val="bottom"/>
          </w:tcPr>
          <w:p w14:paraId="07F176D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5568ED3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0.037</w:t>
            </w:r>
          </w:p>
        </w:tc>
        <w:tc>
          <w:tcPr>
            <w:tcW w:w="451" w:type="dxa"/>
            <w:shd w:val="clear" w:color="auto" w:fill="auto"/>
            <w:vAlign w:val="bottom"/>
          </w:tcPr>
          <w:p w14:paraId="35626D3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1C05B7D2"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2269B40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0.114</w:t>
            </w:r>
          </w:p>
        </w:tc>
        <w:tc>
          <w:tcPr>
            <w:tcW w:w="477" w:type="dxa"/>
            <w:shd w:val="clear" w:color="auto" w:fill="auto"/>
            <w:vAlign w:val="bottom"/>
          </w:tcPr>
          <w:p w14:paraId="4C2C47FC"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59D26769"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0.028</w:t>
            </w:r>
          </w:p>
        </w:tc>
        <w:tc>
          <w:tcPr>
            <w:tcW w:w="356" w:type="dxa"/>
            <w:vAlign w:val="bottom"/>
          </w:tcPr>
          <w:p w14:paraId="77D61151"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6A633906"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6D6E228F" w14:textId="77777777" w:rsidTr="0010233B">
        <w:trPr>
          <w:trHeight w:val="300"/>
        </w:trPr>
        <w:tc>
          <w:tcPr>
            <w:tcW w:w="1838" w:type="dxa"/>
            <w:shd w:val="clear" w:color="auto" w:fill="auto"/>
            <w:vAlign w:val="bottom"/>
          </w:tcPr>
          <w:p w14:paraId="4CD06CBA"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vAlign w:val="center"/>
          </w:tcPr>
          <w:p w14:paraId="72E7E70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4596A7A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0.286</w:t>
            </w:r>
          </w:p>
        </w:tc>
        <w:tc>
          <w:tcPr>
            <w:tcW w:w="544" w:type="dxa"/>
            <w:shd w:val="clear" w:color="auto" w:fill="auto"/>
            <w:vAlign w:val="bottom"/>
          </w:tcPr>
          <w:p w14:paraId="3FAA5675"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04C3A77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0.765</w:t>
            </w:r>
          </w:p>
        </w:tc>
        <w:tc>
          <w:tcPr>
            <w:tcW w:w="451" w:type="dxa"/>
            <w:shd w:val="clear" w:color="auto" w:fill="auto"/>
            <w:vAlign w:val="bottom"/>
          </w:tcPr>
          <w:p w14:paraId="60FC355A"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4697B595"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0.473</w:t>
            </w:r>
          </w:p>
        </w:tc>
        <w:tc>
          <w:tcPr>
            <w:tcW w:w="799" w:type="dxa"/>
            <w:shd w:val="clear" w:color="auto" w:fill="auto"/>
            <w:vAlign w:val="bottom"/>
          </w:tcPr>
          <w:p w14:paraId="451DE095"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0.496</w:t>
            </w:r>
          </w:p>
        </w:tc>
        <w:tc>
          <w:tcPr>
            <w:tcW w:w="477" w:type="dxa"/>
            <w:shd w:val="clear" w:color="auto" w:fill="auto"/>
            <w:vAlign w:val="bottom"/>
          </w:tcPr>
          <w:p w14:paraId="263D8A9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21FADA96"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0.590</w:t>
            </w:r>
          </w:p>
        </w:tc>
        <w:tc>
          <w:tcPr>
            <w:tcW w:w="356" w:type="dxa"/>
            <w:vAlign w:val="bottom"/>
          </w:tcPr>
          <w:p w14:paraId="2FA07F84"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3B48A852" w14:textId="77777777" w:rsidR="00A74F6E" w:rsidRPr="005453D5" w:rsidRDefault="00A74F6E" w:rsidP="0010233B">
            <w:pPr>
              <w:spacing w:after="0" w:line="240" w:lineRule="auto"/>
              <w:ind w:left="-113" w:right="-113"/>
              <w:jc w:val="center"/>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0.860</w:t>
            </w:r>
          </w:p>
        </w:tc>
      </w:tr>
      <w:tr w:rsidR="00A74F6E" w:rsidRPr="00EA4C2C" w14:paraId="0BA3189E" w14:textId="77777777" w:rsidTr="0010233B">
        <w:trPr>
          <w:trHeight w:val="300"/>
        </w:trPr>
        <w:tc>
          <w:tcPr>
            <w:tcW w:w="1838" w:type="dxa"/>
            <w:shd w:val="clear" w:color="auto" w:fill="auto"/>
            <w:vAlign w:val="bottom"/>
          </w:tcPr>
          <w:p w14:paraId="3530C0CF"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INSTOWN</w:t>
            </w:r>
            <w:r>
              <w:rPr>
                <w:rFonts w:ascii="Times New Roman" w:eastAsia="Times New Roman" w:hAnsi="Times New Roman" w:cs="Times New Roman"/>
                <w:i/>
                <w:sz w:val="22"/>
                <w:szCs w:val="22"/>
                <w:vertAlign w:val="subscript"/>
              </w:rPr>
              <w:t>t-1</w:t>
            </w:r>
          </w:p>
        </w:tc>
        <w:tc>
          <w:tcPr>
            <w:tcW w:w="1276" w:type="dxa"/>
            <w:vAlign w:val="center"/>
          </w:tcPr>
          <w:p w14:paraId="2A619E97"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7E0DD514"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-0.137</w:t>
            </w:r>
          </w:p>
        </w:tc>
        <w:tc>
          <w:tcPr>
            <w:tcW w:w="544" w:type="dxa"/>
            <w:shd w:val="clear" w:color="auto" w:fill="auto"/>
            <w:vAlign w:val="bottom"/>
          </w:tcPr>
          <w:p w14:paraId="73B4526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67C945A7"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-0.194</w:t>
            </w:r>
          </w:p>
        </w:tc>
        <w:tc>
          <w:tcPr>
            <w:tcW w:w="451" w:type="dxa"/>
            <w:shd w:val="clear" w:color="auto" w:fill="auto"/>
            <w:vAlign w:val="bottom"/>
          </w:tcPr>
          <w:p w14:paraId="2F81FF9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29374196" w14:textId="77777777" w:rsidR="00A74F6E" w:rsidRPr="005453D5"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99" w:type="dxa"/>
            <w:shd w:val="clear" w:color="auto" w:fill="auto"/>
            <w:vAlign w:val="bottom"/>
          </w:tcPr>
          <w:p w14:paraId="47DBE963"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-0.128</w:t>
            </w:r>
          </w:p>
        </w:tc>
        <w:tc>
          <w:tcPr>
            <w:tcW w:w="477" w:type="dxa"/>
            <w:shd w:val="clear" w:color="auto" w:fill="auto"/>
            <w:vAlign w:val="bottom"/>
          </w:tcPr>
          <w:p w14:paraId="5A956942"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30F3F134" w14:textId="77777777" w:rsidR="00A74F6E" w:rsidRPr="005453D5" w:rsidRDefault="00A74F6E" w:rsidP="0010233B">
            <w:pPr>
              <w:spacing w:after="0" w:line="240" w:lineRule="auto"/>
              <w:ind w:left="-113"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0.031</w:t>
            </w:r>
          </w:p>
        </w:tc>
        <w:tc>
          <w:tcPr>
            <w:tcW w:w="356" w:type="dxa"/>
            <w:vAlign w:val="bottom"/>
          </w:tcPr>
          <w:p w14:paraId="197924C5"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34" w:type="dxa"/>
            <w:vAlign w:val="bottom"/>
          </w:tcPr>
          <w:p w14:paraId="57845AFA" w14:textId="77777777" w:rsidR="00A74F6E" w:rsidRPr="005453D5" w:rsidRDefault="00A74F6E" w:rsidP="0010233B">
            <w:pPr>
              <w:spacing w:after="0" w:line="240" w:lineRule="auto"/>
              <w:ind w:left="-113" w:right="-113"/>
              <w:jc w:val="center"/>
              <w:rPr>
                <w:rFonts w:ascii="Times New Roman" w:eastAsia="Times New Roman" w:hAnsi="Times New Roman" w:cs="Times New Roman"/>
                <w:color w:val="000000"/>
                <w:sz w:val="22"/>
                <w:szCs w:val="22"/>
              </w:rPr>
            </w:pPr>
          </w:p>
        </w:tc>
      </w:tr>
      <w:tr w:rsidR="00A74F6E" w:rsidRPr="00EA4C2C" w14:paraId="57B09399" w14:textId="77777777" w:rsidTr="0010233B">
        <w:trPr>
          <w:trHeight w:val="300"/>
        </w:trPr>
        <w:tc>
          <w:tcPr>
            <w:tcW w:w="1838" w:type="dxa"/>
            <w:shd w:val="clear" w:color="auto" w:fill="auto"/>
            <w:vAlign w:val="bottom"/>
          </w:tcPr>
          <w:p w14:paraId="0AF4192D"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vAlign w:val="center"/>
          </w:tcPr>
          <w:p w14:paraId="51769A87"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4E131C50"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0.796</w:t>
            </w:r>
          </w:p>
        </w:tc>
        <w:tc>
          <w:tcPr>
            <w:tcW w:w="544" w:type="dxa"/>
            <w:shd w:val="clear" w:color="auto" w:fill="auto"/>
            <w:vAlign w:val="bottom"/>
          </w:tcPr>
          <w:p w14:paraId="4E31F8C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6E221B0C"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0.545</w:t>
            </w:r>
          </w:p>
        </w:tc>
        <w:tc>
          <w:tcPr>
            <w:tcW w:w="451" w:type="dxa"/>
            <w:shd w:val="clear" w:color="auto" w:fill="auto"/>
            <w:vAlign w:val="bottom"/>
          </w:tcPr>
          <w:p w14:paraId="2D748802"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6A9276E3" w14:textId="77777777" w:rsidR="00A74F6E" w:rsidRPr="005453D5" w:rsidRDefault="00A74F6E" w:rsidP="0010233B">
            <w:pPr>
              <w:spacing w:after="0" w:line="240" w:lineRule="auto"/>
              <w:ind w:right="-113"/>
              <w:jc w:val="center"/>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0.905</w:t>
            </w:r>
          </w:p>
        </w:tc>
        <w:tc>
          <w:tcPr>
            <w:tcW w:w="799" w:type="dxa"/>
            <w:shd w:val="clear" w:color="auto" w:fill="auto"/>
            <w:vAlign w:val="bottom"/>
          </w:tcPr>
          <w:p w14:paraId="0FE7CB38"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0.770</w:t>
            </w:r>
          </w:p>
        </w:tc>
        <w:tc>
          <w:tcPr>
            <w:tcW w:w="477" w:type="dxa"/>
            <w:shd w:val="clear" w:color="auto" w:fill="auto"/>
            <w:vAlign w:val="bottom"/>
          </w:tcPr>
          <w:p w14:paraId="4A6BD44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25BB4C5C" w14:textId="77777777" w:rsidR="00A74F6E" w:rsidRPr="005453D5" w:rsidRDefault="00A74F6E" w:rsidP="0010233B">
            <w:pPr>
              <w:spacing w:after="0" w:line="240" w:lineRule="auto"/>
              <w:ind w:left="-113"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0.820</w:t>
            </w:r>
          </w:p>
        </w:tc>
        <w:tc>
          <w:tcPr>
            <w:tcW w:w="356" w:type="dxa"/>
            <w:vAlign w:val="bottom"/>
          </w:tcPr>
          <w:p w14:paraId="1D6D317A"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34" w:type="dxa"/>
            <w:vAlign w:val="bottom"/>
          </w:tcPr>
          <w:p w14:paraId="010FD6D0" w14:textId="77777777" w:rsidR="00A74F6E" w:rsidRPr="005453D5" w:rsidRDefault="00A74F6E" w:rsidP="0010233B">
            <w:pPr>
              <w:spacing w:after="0" w:line="240" w:lineRule="auto"/>
              <w:ind w:left="-113" w:right="-113"/>
              <w:jc w:val="center"/>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0.431</w:t>
            </w:r>
          </w:p>
        </w:tc>
      </w:tr>
      <w:tr w:rsidR="00A74F6E" w:rsidRPr="00EA4C2C" w14:paraId="20D60586" w14:textId="77777777" w:rsidTr="0010233B">
        <w:trPr>
          <w:trHeight w:val="300"/>
        </w:trPr>
        <w:tc>
          <w:tcPr>
            <w:tcW w:w="1838" w:type="dxa"/>
            <w:shd w:val="clear" w:color="auto" w:fill="auto"/>
            <w:vAlign w:val="bottom"/>
          </w:tcPr>
          <w:p w14:paraId="2C1B2A9A"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CCDUM</w:t>
            </w:r>
            <w:r>
              <w:rPr>
                <w:rFonts w:ascii="Times New Roman" w:eastAsia="Times New Roman" w:hAnsi="Times New Roman" w:cs="Times New Roman"/>
                <w:i/>
                <w:sz w:val="22"/>
                <w:szCs w:val="22"/>
                <w:vertAlign w:val="subscript"/>
              </w:rPr>
              <w:t>t-1</w:t>
            </w:r>
          </w:p>
        </w:tc>
        <w:tc>
          <w:tcPr>
            <w:tcW w:w="1276" w:type="dxa"/>
            <w:vAlign w:val="center"/>
          </w:tcPr>
          <w:p w14:paraId="293E28F8"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50B66F76"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r w:rsidRPr="005453D5">
              <w:rPr>
                <w:rFonts w:ascii="Times New Roman" w:hAnsi="Times New Roman" w:cs="Times New Roman"/>
                <w:color w:val="000000"/>
                <w:sz w:val="22"/>
                <w:szCs w:val="22"/>
              </w:rPr>
              <w:t>0.337</w:t>
            </w:r>
          </w:p>
        </w:tc>
        <w:tc>
          <w:tcPr>
            <w:tcW w:w="544" w:type="dxa"/>
            <w:shd w:val="clear" w:color="auto" w:fill="auto"/>
            <w:vAlign w:val="bottom"/>
          </w:tcPr>
          <w:p w14:paraId="01DED2A5"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 </w:t>
            </w:r>
          </w:p>
        </w:tc>
        <w:tc>
          <w:tcPr>
            <w:tcW w:w="785" w:type="dxa"/>
            <w:shd w:val="clear" w:color="auto" w:fill="auto"/>
            <w:vAlign w:val="bottom"/>
          </w:tcPr>
          <w:p w14:paraId="5C43B013"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r w:rsidRPr="005453D5">
              <w:rPr>
                <w:rFonts w:ascii="Times New Roman" w:hAnsi="Times New Roman" w:cs="Times New Roman"/>
                <w:color w:val="000000"/>
                <w:sz w:val="22"/>
                <w:szCs w:val="22"/>
              </w:rPr>
              <w:t>0.141</w:t>
            </w:r>
          </w:p>
        </w:tc>
        <w:tc>
          <w:tcPr>
            <w:tcW w:w="451" w:type="dxa"/>
            <w:shd w:val="clear" w:color="auto" w:fill="auto"/>
            <w:vAlign w:val="bottom"/>
          </w:tcPr>
          <w:p w14:paraId="2BC6A239"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7E4A1C9A" w14:textId="77777777" w:rsidR="00A74F6E" w:rsidRPr="005453D5" w:rsidRDefault="00A74F6E" w:rsidP="0010233B">
            <w:pPr>
              <w:spacing w:after="0" w:line="240" w:lineRule="auto"/>
              <w:ind w:right="-113"/>
              <w:jc w:val="center"/>
              <w:rPr>
                <w:rFonts w:ascii="Times New Roman" w:hAnsi="Times New Roman" w:cs="Times New Roman"/>
                <w:color w:val="000000"/>
                <w:sz w:val="22"/>
                <w:szCs w:val="22"/>
              </w:rPr>
            </w:pPr>
          </w:p>
        </w:tc>
        <w:tc>
          <w:tcPr>
            <w:tcW w:w="799" w:type="dxa"/>
            <w:shd w:val="clear" w:color="auto" w:fill="auto"/>
            <w:vAlign w:val="bottom"/>
          </w:tcPr>
          <w:p w14:paraId="7C382D1D"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p>
        </w:tc>
        <w:tc>
          <w:tcPr>
            <w:tcW w:w="477" w:type="dxa"/>
            <w:shd w:val="clear" w:color="auto" w:fill="auto"/>
            <w:vAlign w:val="bottom"/>
          </w:tcPr>
          <w:p w14:paraId="1227A46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15DAC86E" w14:textId="77777777" w:rsidR="00A74F6E" w:rsidRPr="005453D5" w:rsidRDefault="00A74F6E" w:rsidP="0010233B">
            <w:pPr>
              <w:spacing w:after="0" w:line="240" w:lineRule="auto"/>
              <w:ind w:left="-113" w:right="-113"/>
              <w:jc w:val="right"/>
              <w:rPr>
                <w:rFonts w:ascii="Times New Roman" w:hAnsi="Times New Roman" w:cs="Times New Roman"/>
                <w:color w:val="000000"/>
                <w:sz w:val="22"/>
                <w:szCs w:val="22"/>
              </w:rPr>
            </w:pPr>
          </w:p>
        </w:tc>
        <w:tc>
          <w:tcPr>
            <w:tcW w:w="356" w:type="dxa"/>
            <w:vAlign w:val="bottom"/>
          </w:tcPr>
          <w:p w14:paraId="0547E29B"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34" w:type="dxa"/>
            <w:vAlign w:val="bottom"/>
          </w:tcPr>
          <w:p w14:paraId="31CD0217" w14:textId="77777777" w:rsidR="00A74F6E" w:rsidRPr="005453D5" w:rsidRDefault="00A74F6E" w:rsidP="0010233B">
            <w:pPr>
              <w:spacing w:after="0" w:line="240" w:lineRule="auto"/>
              <w:ind w:left="-113" w:right="-113"/>
              <w:jc w:val="center"/>
              <w:rPr>
                <w:rFonts w:ascii="Times New Roman" w:hAnsi="Times New Roman" w:cs="Times New Roman"/>
                <w:color w:val="000000"/>
                <w:sz w:val="22"/>
                <w:szCs w:val="22"/>
              </w:rPr>
            </w:pPr>
          </w:p>
        </w:tc>
      </w:tr>
      <w:tr w:rsidR="00A74F6E" w:rsidRPr="00EA4C2C" w14:paraId="0CFE3B7D" w14:textId="77777777" w:rsidTr="0010233B">
        <w:trPr>
          <w:trHeight w:val="300"/>
        </w:trPr>
        <w:tc>
          <w:tcPr>
            <w:tcW w:w="1838" w:type="dxa"/>
            <w:shd w:val="clear" w:color="auto" w:fill="auto"/>
            <w:vAlign w:val="bottom"/>
          </w:tcPr>
          <w:p w14:paraId="4D9E9F00"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vAlign w:val="center"/>
          </w:tcPr>
          <w:p w14:paraId="59469B1D"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04B998C1"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r w:rsidRPr="005453D5">
              <w:rPr>
                <w:rFonts w:ascii="Times New Roman" w:hAnsi="Times New Roman" w:cs="Times New Roman"/>
                <w:color w:val="000000"/>
                <w:sz w:val="22"/>
                <w:szCs w:val="22"/>
              </w:rPr>
              <w:t>0.195</w:t>
            </w:r>
          </w:p>
        </w:tc>
        <w:tc>
          <w:tcPr>
            <w:tcW w:w="544" w:type="dxa"/>
            <w:shd w:val="clear" w:color="auto" w:fill="auto"/>
            <w:vAlign w:val="bottom"/>
          </w:tcPr>
          <w:p w14:paraId="5F25E932"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 </w:t>
            </w:r>
          </w:p>
        </w:tc>
        <w:tc>
          <w:tcPr>
            <w:tcW w:w="785" w:type="dxa"/>
            <w:shd w:val="clear" w:color="auto" w:fill="auto"/>
            <w:vAlign w:val="bottom"/>
          </w:tcPr>
          <w:p w14:paraId="4C700F23"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r w:rsidRPr="005453D5">
              <w:rPr>
                <w:rFonts w:ascii="Times New Roman" w:hAnsi="Times New Roman" w:cs="Times New Roman"/>
                <w:color w:val="000000"/>
                <w:sz w:val="22"/>
                <w:szCs w:val="22"/>
              </w:rPr>
              <w:t>0.196</w:t>
            </w:r>
          </w:p>
        </w:tc>
        <w:tc>
          <w:tcPr>
            <w:tcW w:w="451" w:type="dxa"/>
            <w:shd w:val="clear" w:color="auto" w:fill="auto"/>
            <w:vAlign w:val="bottom"/>
          </w:tcPr>
          <w:p w14:paraId="020181B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0EDB0934" w14:textId="77777777" w:rsidR="00A74F6E" w:rsidRPr="005453D5" w:rsidRDefault="00A74F6E" w:rsidP="0010233B">
            <w:pPr>
              <w:spacing w:after="0" w:line="240" w:lineRule="auto"/>
              <w:ind w:right="-113"/>
              <w:jc w:val="center"/>
              <w:rPr>
                <w:rFonts w:ascii="Times New Roman" w:hAnsi="Times New Roman" w:cs="Times New Roman"/>
                <w:color w:val="000000"/>
                <w:sz w:val="22"/>
                <w:szCs w:val="22"/>
              </w:rPr>
            </w:pPr>
            <w:r w:rsidRPr="005453D5">
              <w:rPr>
                <w:rFonts w:ascii="Times New Roman" w:hAnsi="Times New Roman" w:cs="Times New Roman"/>
                <w:color w:val="000000"/>
                <w:sz w:val="22"/>
                <w:szCs w:val="22"/>
              </w:rPr>
              <w:t>0.954</w:t>
            </w:r>
          </w:p>
        </w:tc>
        <w:tc>
          <w:tcPr>
            <w:tcW w:w="799" w:type="dxa"/>
            <w:shd w:val="clear" w:color="auto" w:fill="auto"/>
            <w:vAlign w:val="bottom"/>
          </w:tcPr>
          <w:p w14:paraId="03FCC5B2"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p>
        </w:tc>
        <w:tc>
          <w:tcPr>
            <w:tcW w:w="477" w:type="dxa"/>
            <w:shd w:val="clear" w:color="auto" w:fill="auto"/>
            <w:vAlign w:val="bottom"/>
          </w:tcPr>
          <w:p w14:paraId="1338F1D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0AA1A297" w14:textId="77777777" w:rsidR="00A74F6E" w:rsidRPr="005453D5" w:rsidRDefault="00A74F6E" w:rsidP="0010233B">
            <w:pPr>
              <w:spacing w:after="0" w:line="240" w:lineRule="auto"/>
              <w:ind w:left="-113" w:right="-113"/>
              <w:jc w:val="right"/>
              <w:rPr>
                <w:rFonts w:ascii="Times New Roman" w:hAnsi="Times New Roman" w:cs="Times New Roman"/>
                <w:color w:val="000000"/>
                <w:sz w:val="22"/>
                <w:szCs w:val="22"/>
              </w:rPr>
            </w:pPr>
          </w:p>
        </w:tc>
        <w:tc>
          <w:tcPr>
            <w:tcW w:w="356" w:type="dxa"/>
            <w:vAlign w:val="bottom"/>
          </w:tcPr>
          <w:p w14:paraId="75E72F27"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134" w:type="dxa"/>
            <w:vAlign w:val="bottom"/>
          </w:tcPr>
          <w:p w14:paraId="4108E321" w14:textId="77777777" w:rsidR="00A74F6E" w:rsidRPr="005453D5" w:rsidRDefault="00A74F6E" w:rsidP="0010233B">
            <w:pPr>
              <w:spacing w:after="0" w:line="240" w:lineRule="auto"/>
              <w:ind w:left="-113" w:right="-113"/>
              <w:jc w:val="center"/>
              <w:rPr>
                <w:rFonts w:ascii="Times New Roman" w:hAnsi="Times New Roman" w:cs="Times New Roman"/>
                <w:color w:val="000000"/>
                <w:sz w:val="22"/>
                <w:szCs w:val="22"/>
              </w:rPr>
            </w:pPr>
          </w:p>
        </w:tc>
      </w:tr>
      <w:tr w:rsidR="00A74F6E" w:rsidRPr="00EA4C2C" w14:paraId="4035061C" w14:textId="77777777" w:rsidTr="0010233B">
        <w:trPr>
          <w:trHeight w:val="300"/>
        </w:trPr>
        <w:tc>
          <w:tcPr>
            <w:tcW w:w="1838" w:type="dxa"/>
            <w:shd w:val="clear" w:color="auto" w:fill="auto"/>
            <w:vAlign w:val="bottom"/>
          </w:tcPr>
          <w:p w14:paraId="103CDD5D"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CC/NI</w:t>
            </w:r>
            <w:r>
              <w:rPr>
                <w:rFonts w:ascii="Times New Roman" w:eastAsia="Times New Roman" w:hAnsi="Times New Roman" w:cs="Times New Roman"/>
                <w:i/>
                <w:sz w:val="22"/>
                <w:szCs w:val="22"/>
                <w:vertAlign w:val="subscript"/>
              </w:rPr>
              <w:t>t-1</w:t>
            </w:r>
          </w:p>
        </w:tc>
        <w:tc>
          <w:tcPr>
            <w:tcW w:w="1276" w:type="dxa"/>
            <w:vAlign w:val="center"/>
          </w:tcPr>
          <w:p w14:paraId="0A05000C"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7CDF75DE"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p>
        </w:tc>
        <w:tc>
          <w:tcPr>
            <w:tcW w:w="544" w:type="dxa"/>
            <w:shd w:val="clear" w:color="auto" w:fill="auto"/>
            <w:vAlign w:val="bottom"/>
          </w:tcPr>
          <w:p w14:paraId="23B9B79E" w14:textId="77777777" w:rsidR="00A74F6E" w:rsidRPr="005453D5" w:rsidRDefault="00A74F6E" w:rsidP="0010233B">
            <w:pPr>
              <w:spacing w:after="0" w:line="240" w:lineRule="auto"/>
              <w:ind w:left="-113" w:right="-113"/>
              <w:rPr>
                <w:rFonts w:ascii="Times New Roman" w:hAnsi="Times New Roman" w:cs="Times New Roman"/>
                <w:color w:val="000000"/>
                <w:sz w:val="22"/>
                <w:szCs w:val="22"/>
              </w:rPr>
            </w:pPr>
          </w:p>
        </w:tc>
        <w:tc>
          <w:tcPr>
            <w:tcW w:w="785" w:type="dxa"/>
            <w:shd w:val="clear" w:color="auto" w:fill="auto"/>
            <w:vAlign w:val="bottom"/>
          </w:tcPr>
          <w:p w14:paraId="26C5E684"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p>
        </w:tc>
        <w:tc>
          <w:tcPr>
            <w:tcW w:w="451" w:type="dxa"/>
            <w:shd w:val="clear" w:color="auto" w:fill="auto"/>
            <w:vAlign w:val="bottom"/>
          </w:tcPr>
          <w:p w14:paraId="11291FB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71B14C38" w14:textId="77777777" w:rsidR="00A74F6E" w:rsidRPr="005453D5" w:rsidRDefault="00A74F6E" w:rsidP="0010233B">
            <w:pPr>
              <w:spacing w:after="0" w:line="240" w:lineRule="auto"/>
              <w:ind w:right="-113"/>
              <w:jc w:val="center"/>
              <w:rPr>
                <w:rFonts w:ascii="Times New Roman" w:hAnsi="Times New Roman" w:cs="Times New Roman"/>
                <w:color w:val="000000"/>
                <w:sz w:val="22"/>
                <w:szCs w:val="22"/>
              </w:rPr>
            </w:pPr>
          </w:p>
        </w:tc>
        <w:tc>
          <w:tcPr>
            <w:tcW w:w="799" w:type="dxa"/>
            <w:shd w:val="clear" w:color="auto" w:fill="auto"/>
            <w:vAlign w:val="bottom"/>
          </w:tcPr>
          <w:p w14:paraId="39C603C5" w14:textId="77777777" w:rsidR="00A74F6E" w:rsidRPr="005701F9" w:rsidRDefault="00A74F6E" w:rsidP="0010233B">
            <w:pPr>
              <w:spacing w:after="0" w:line="240" w:lineRule="auto"/>
              <w:ind w:right="-113"/>
              <w:jc w:val="right"/>
              <w:rPr>
                <w:rFonts w:ascii="Times New Roman" w:hAnsi="Times New Roman" w:cs="Times New Roman"/>
                <w:color w:val="000000"/>
                <w:sz w:val="22"/>
                <w:szCs w:val="22"/>
              </w:rPr>
            </w:pPr>
            <w:r w:rsidRPr="005701F9">
              <w:rPr>
                <w:rFonts w:ascii="Times New Roman" w:hAnsi="Times New Roman" w:cs="Times New Roman"/>
                <w:color w:val="000000"/>
                <w:sz w:val="22"/>
                <w:szCs w:val="22"/>
              </w:rPr>
              <w:t>-0.022</w:t>
            </w:r>
          </w:p>
        </w:tc>
        <w:tc>
          <w:tcPr>
            <w:tcW w:w="477" w:type="dxa"/>
            <w:shd w:val="clear" w:color="auto" w:fill="auto"/>
            <w:vAlign w:val="bottom"/>
          </w:tcPr>
          <w:p w14:paraId="7C8B671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 </w:t>
            </w:r>
          </w:p>
        </w:tc>
        <w:tc>
          <w:tcPr>
            <w:tcW w:w="778" w:type="dxa"/>
            <w:vAlign w:val="bottom"/>
          </w:tcPr>
          <w:p w14:paraId="0AFFDFD7" w14:textId="77777777" w:rsidR="00A74F6E" w:rsidRPr="005453D5" w:rsidRDefault="00A74F6E" w:rsidP="0010233B">
            <w:pPr>
              <w:spacing w:after="0" w:line="240" w:lineRule="auto"/>
              <w:ind w:left="-113" w:right="-113"/>
              <w:jc w:val="right"/>
              <w:rPr>
                <w:rFonts w:ascii="Times New Roman" w:hAnsi="Times New Roman" w:cs="Times New Roman"/>
                <w:color w:val="000000"/>
                <w:sz w:val="22"/>
                <w:szCs w:val="22"/>
              </w:rPr>
            </w:pPr>
            <w:r w:rsidRPr="005453D5">
              <w:rPr>
                <w:rFonts w:ascii="Times New Roman" w:hAnsi="Times New Roman" w:cs="Times New Roman"/>
                <w:b/>
                <w:bCs/>
                <w:color w:val="000000"/>
                <w:sz w:val="22"/>
                <w:szCs w:val="22"/>
              </w:rPr>
              <w:t>0.025</w:t>
            </w:r>
          </w:p>
        </w:tc>
        <w:tc>
          <w:tcPr>
            <w:tcW w:w="356" w:type="dxa"/>
            <w:vAlign w:val="bottom"/>
          </w:tcPr>
          <w:p w14:paraId="153AEAFD"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r w:rsidRPr="005453D5">
              <w:rPr>
                <w:rFonts w:ascii="Times New Roman" w:hAnsi="Times New Roman" w:cs="Times New Roman"/>
                <w:b/>
                <w:bCs/>
                <w:color w:val="000000"/>
                <w:sz w:val="22"/>
                <w:szCs w:val="22"/>
              </w:rPr>
              <w:t>**</w:t>
            </w:r>
          </w:p>
        </w:tc>
        <w:tc>
          <w:tcPr>
            <w:tcW w:w="1134" w:type="dxa"/>
            <w:vAlign w:val="bottom"/>
          </w:tcPr>
          <w:p w14:paraId="1055A203" w14:textId="77777777" w:rsidR="00A74F6E" w:rsidRPr="005453D5" w:rsidRDefault="00A74F6E" w:rsidP="0010233B">
            <w:pPr>
              <w:spacing w:after="0" w:line="240" w:lineRule="auto"/>
              <w:ind w:left="-113" w:right="-113"/>
              <w:jc w:val="center"/>
              <w:rPr>
                <w:rFonts w:ascii="Times New Roman" w:hAnsi="Times New Roman" w:cs="Times New Roman"/>
                <w:color w:val="000000"/>
                <w:sz w:val="22"/>
                <w:szCs w:val="22"/>
              </w:rPr>
            </w:pPr>
          </w:p>
        </w:tc>
      </w:tr>
      <w:tr w:rsidR="00A74F6E" w:rsidRPr="00EA4C2C" w14:paraId="63A544F8" w14:textId="77777777" w:rsidTr="0010233B">
        <w:trPr>
          <w:trHeight w:val="300"/>
        </w:trPr>
        <w:tc>
          <w:tcPr>
            <w:tcW w:w="1838" w:type="dxa"/>
            <w:shd w:val="clear" w:color="auto" w:fill="auto"/>
            <w:vAlign w:val="bottom"/>
          </w:tcPr>
          <w:p w14:paraId="4D3842C7"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vAlign w:val="center"/>
          </w:tcPr>
          <w:p w14:paraId="0266A7A2"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3739B570"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p>
        </w:tc>
        <w:tc>
          <w:tcPr>
            <w:tcW w:w="544" w:type="dxa"/>
            <w:shd w:val="clear" w:color="auto" w:fill="auto"/>
            <w:vAlign w:val="bottom"/>
          </w:tcPr>
          <w:p w14:paraId="3BF25D63" w14:textId="77777777" w:rsidR="00A74F6E" w:rsidRPr="005453D5" w:rsidRDefault="00A74F6E" w:rsidP="0010233B">
            <w:pPr>
              <w:spacing w:after="0" w:line="240" w:lineRule="auto"/>
              <w:ind w:left="-113" w:right="-113"/>
              <w:rPr>
                <w:rFonts w:ascii="Times New Roman" w:hAnsi="Times New Roman" w:cs="Times New Roman"/>
                <w:color w:val="000000"/>
                <w:sz w:val="22"/>
                <w:szCs w:val="22"/>
              </w:rPr>
            </w:pPr>
          </w:p>
        </w:tc>
        <w:tc>
          <w:tcPr>
            <w:tcW w:w="785" w:type="dxa"/>
            <w:shd w:val="clear" w:color="auto" w:fill="auto"/>
            <w:vAlign w:val="bottom"/>
          </w:tcPr>
          <w:p w14:paraId="5BF56552" w14:textId="77777777" w:rsidR="00A74F6E" w:rsidRPr="005453D5" w:rsidRDefault="00A74F6E" w:rsidP="0010233B">
            <w:pPr>
              <w:spacing w:after="0" w:line="240" w:lineRule="auto"/>
              <w:ind w:right="-113"/>
              <w:jc w:val="right"/>
              <w:rPr>
                <w:rFonts w:ascii="Times New Roman" w:hAnsi="Times New Roman" w:cs="Times New Roman"/>
                <w:color w:val="000000"/>
                <w:sz w:val="22"/>
                <w:szCs w:val="22"/>
              </w:rPr>
            </w:pPr>
          </w:p>
        </w:tc>
        <w:tc>
          <w:tcPr>
            <w:tcW w:w="451" w:type="dxa"/>
            <w:shd w:val="clear" w:color="auto" w:fill="auto"/>
            <w:vAlign w:val="bottom"/>
          </w:tcPr>
          <w:p w14:paraId="703CEA2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6BEEF10B" w14:textId="77777777" w:rsidR="00A74F6E" w:rsidRPr="005453D5" w:rsidRDefault="00A74F6E" w:rsidP="0010233B">
            <w:pPr>
              <w:spacing w:after="0" w:line="240" w:lineRule="auto"/>
              <w:ind w:right="-113"/>
              <w:jc w:val="center"/>
              <w:rPr>
                <w:rFonts w:ascii="Times New Roman" w:hAnsi="Times New Roman" w:cs="Times New Roman"/>
                <w:color w:val="000000"/>
                <w:sz w:val="22"/>
                <w:szCs w:val="22"/>
              </w:rPr>
            </w:pPr>
          </w:p>
        </w:tc>
        <w:tc>
          <w:tcPr>
            <w:tcW w:w="799" w:type="dxa"/>
            <w:shd w:val="clear" w:color="auto" w:fill="auto"/>
            <w:vAlign w:val="bottom"/>
          </w:tcPr>
          <w:p w14:paraId="48A212FB" w14:textId="77777777" w:rsidR="00A74F6E" w:rsidRPr="005701F9" w:rsidRDefault="00A74F6E" w:rsidP="0010233B">
            <w:pPr>
              <w:spacing w:after="0" w:line="240" w:lineRule="auto"/>
              <w:ind w:right="-113"/>
              <w:jc w:val="right"/>
              <w:rPr>
                <w:rFonts w:ascii="Times New Roman" w:hAnsi="Times New Roman" w:cs="Times New Roman"/>
                <w:color w:val="000000"/>
                <w:sz w:val="22"/>
                <w:szCs w:val="22"/>
              </w:rPr>
            </w:pPr>
            <w:r w:rsidRPr="005701F9">
              <w:rPr>
                <w:rFonts w:ascii="Times New Roman" w:hAnsi="Times New Roman" w:cs="Times New Roman"/>
                <w:color w:val="000000"/>
                <w:sz w:val="22"/>
                <w:szCs w:val="22"/>
              </w:rPr>
              <w:t>0.357</w:t>
            </w:r>
          </w:p>
        </w:tc>
        <w:tc>
          <w:tcPr>
            <w:tcW w:w="477" w:type="dxa"/>
            <w:shd w:val="clear" w:color="auto" w:fill="auto"/>
            <w:vAlign w:val="bottom"/>
          </w:tcPr>
          <w:p w14:paraId="0CBEF4E3"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 </w:t>
            </w:r>
          </w:p>
        </w:tc>
        <w:tc>
          <w:tcPr>
            <w:tcW w:w="778" w:type="dxa"/>
            <w:vAlign w:val="bottom"/>
          </w:tcPr>
          <w:p w14:paraId="14C569CE" w14:textId="77777777" w:rsidR="00A74F6E" w:rsidRPr="005453D5" w:rsidRDefault="00A74F6E" w:rsidP="0010233B">
            <w:pPr>
              <w:spacing w:after="0" w:line="240" w:lineRule="auto"/>
              <w:ind w:left="-113" w:right="-113"/>
              <w:jc w:val="right"/>
              <w:rPr>
                <w:rFonts w:ascii="Times New Roman" w:hAnsi="Times New Roman" w:cs="Times New Roman"/>
                <w:color w:val="000000"/>
                <w:sz w:val="22"/>
                <w:szCs w:val="22"/>
              </w:rPr>
            </w:pPr>
            <w:r w:rsidRPr="005453D5">
              <w:rPr>
                <w:rFonts w:ascii="Times New Roman" w:hAnsi="Times New Roman" w:cs="Times New Roman"/>
                <w:b/>
                <w:bCs/>
                <w:color w:val="000000"/>
                <w:sz w:val="22"/>
                <w:szCs w:val="22"/>
              </w:rPr>
              <w:t>0.029</w:t>
            </w:r>
          </w:p>
        </w:tc>
        <w:tc>
          <w:tcPr>
            <w:tcW w:w="356" w:type="dxa"/>
            <w:vAlign w:val="bottom"/>
          </w:tcPr>
          <w:p w14:paraId="7478C64B" w14:textId="77777777" w:rsidR="00A74F6E" w:rsidRPr="005453D5" w:rsidRDefault="00A74F6E" w:rsidP="0010233B">
            <w:pPr>
              <w:spacing w:after="0" w:line="240" w:lineRule="auto"/>
              <w:ind w:left="-113" w:right="-113"/>
              <w:rPr>
                <w:rFonts w:ascii="Times New Roman" w:eastAsia="Times New Roman" w:hAnsi="Times New Roman" w:cs="Times New Roman"/>
                <w:color w:val="000000"/>
                <w:sz w:val="22"/>
                <w:szCs w:val="22"/>
              </w:rPr>
            </w:pPr>
            <w:r w:rsidRPr="005453D5">
              <w:rPr>
                <w:rFonts w:ascii="Times New Roman" w:hAnsi="Times New Roman" w:cs="Times New Roman"/>
                <w:b/>
                <w:bCs/>
                <w:color w:val="000000"/>
                <w:sz w:val="22"/>
                <w:szCs w:val="22"/>
              </w:rPr>
              <w:t> </w:t>
            </w:r>
          </w:p>
        </w:tc>
        <w:tc>
          <w:tcPr>
            <w:tcW w:w="1134" w:type="dxa"/>
            <w:vAlign w:val="bottom"/>
          </w:tcPr>
          <w:p w14:paraId="585C2FDE" w14:textId="77777777" w:rsidR="00A74F6E" w:rsidRPr="005453D5" w:rsidRDefault="00A74F6E" w:rsidP="0010233B">
            <w:pPr>
              <w:spacing w:after="0" w:line="240" w:lineRule="auto"/>
              <w:ind w:left="-113" w:right="-113"/>
              <w:jc w:val="center"/>
              <w:rPr>
                <w:rFonts w:ascii="Times New Roman" w:hAnsi="Times New Roman" w:cs="Times New Roman"/>
                <w:color w:val="000000"/>
                <w:sz w:val="22"/>
                <w:szCs w:val="22"/>
              </w:rPr>
            </w:pPr>
            <w:r w:rsidRPr="005453D5">
              <w:rPr>
                <w:rFonts w:ascii="Times New Roman" w:hAnsi="Times New Roman" w:cs="Times New Roman"/>
                <w:b/>
                <w:bCs/>
                <w:color w:val="000000"/>
                <w:sz w:val="22"/>
                <w:szCs w:val="22"/>
              </w:rPr>
              <w:t>0.003</w:t>
            </w:r>
          </w:p>
        </w:tc>
      </w:tr>
      <w:tr w:rsidR="00A74F6E" w:rsidRPr="00EA4C2C" w14:paraId="128BFEF2" w14:textId="77777777" w:rsidTr="0010233B">
        <w:trPr>
          <w:trHeight w:val="300"/>
        </w:trPr>
        <w:tc>
          <w:tcPr>
            <w:tcW w:w="1838" w:type="dxa"/>
            <w:shd w:val="clear" w:color="auto" w:fill="auto"/>
            <w:vAlign w:val="bottom"/>
          </w:tcPr>
          <w:p w14:paraId="5653B875"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MCAP</w:t>
            </w:r>
            <w:r>
              <w:rPr>
                <w:rFonts w:ascii="Times New Roman" w:eastAsia="Times New Roman" w:hAnsi="Times New Roman" w:cs="Times New Roman"/>
                <w:i/>
                <w:sz w:val="22"/>
                <w:szCs w:val="22"/>
                <w:vertAlign w:val="subscript"/>
              </w:rPr>
              <w:t>t-1</w:t>
            </w:r>
          </w:p>
        </w:tc>
        <w:tc>
          <w:tcPr>
            <w:tcW w:w="1276" w:type="dxa"/>
            <w:vAlign w:val="center"/>
          </w:tcPr>
          <w:p w14:paraId="64D83C97"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56994FC2"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0.180</w:t>
            </w:r>
          </w:p>
        </w:tc>
        <w:tc>
          <w:tcPr>
            <w:tcW w:w="544" w:type="dxa"/>
            <w:shd w:val="clear" w:color="auto" w:fill="auto"/>
            <w:vAlign w:val="bottom"/>
          </w:tcPr>
          <w:p w14:paraId="5295BCB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85" w:type="dxa"/>
            <w:shd w:val="clear" w:color="auto" w:fill="auto"/>
            <w:vAlign w:val="bottom"/>
          </w:tcPr>
          <w:p w14:paraId="55748567"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0.266</w:t>
            </w:r>
          </w:p>
        </w:tc>
        <w:tc>
          <w:tcPr>
            <w:tcW w:w="451" w:type="dxa"/>
            <w:shd w:val="clear" w:color="auto" w:fill="auto"/>
            <w:vAlign w:val="bottom"/>
          </w:tcPr>
          <w:p w14:paraId="722E959C"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002E6FAC"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07EBF7A"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0.158</w:t>
            </w:r>
          </w:p>
        </w:tc>
        <w:tc>
          <w:tcPr>
            <w:tcW w:w="477" w:type="dxa"/>
            <w:shd w:val="clear" w:color="auto" w:fill="auto"/>
            <w:vAlign w:val="bottom"/>
          </w:tcPr>
          <w:p w14:paraId="69846251"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778" w:type="dxa"/>
            <w:vAlign w:val="bottom"/>
          </w:tcPr>
          <w:p w14:paraId="16BCB213"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0.101</w:t>
            </w:r>
          </w:p>
        </w:tc>
        <w:tc>
          <w:tcPr>
            <w:tcW w:w="356" w:type="dxa"/>
            <w:vAlign w:val="bottom"/>
          </w:tcPr>
          <w:p w14:paraId="60083720"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vAlign w:val="bottom"/>
          </w:tcPr>
          <w:p w14:paraId="3637B79E"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3528F430" w14:textId="77777777" w:rsidTr="0010233B">
        <w:trPr>
          <w:trHeight w:val="300"/>
        </w:trPr>
        <w:tc>
          <w:tcPr>
            <w:tcW w:w="1838" w:type="dxa"/>
            <w:shd w:val="clear" w:color="auto" w:fill="auto"/>
            <w:vAlign w:val="bottom"/>
          </w:tcPr>
          <w:p w14:paraId="1FC03586"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76" w:type="dxa"/>
            <w:vAlign w:val="center"/>
          </w:tcPr>
          <w:p w14:paraId="2BD2249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37D225DF"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0.006</w:t>
            </w:r>
          </w:p>
        </w:tc>
        <w:tc>
          <w:tcPr>
            <w:tcW w:w="544" w:type="dxa"/>
            <w:shd w:val="clear" w:color="auto" w:fill="auto"/>
            <w:vAlign w:val="bottom"/>
          </w:tcPr>
          <w:p w14:paraId="1403A944"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6B815397"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451" w:type="dxa"/>
            <w:shd w:val="clear" w:color="auto" w:fill="auto"/>
            <w:vAlign w:val="bottom"/>
          </w:tcPr>
          <w:p w14:paraId="5B70C96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10EB76DF"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0.124</w:t>
            </w:r>
          </w:p>
        </w:tc>
        <w:tc>
          <w:tcPr>
            <w:tcW w:w="799" w:type="dxa"/>
            <w:shd w:val="clear" w:color="auto" w:fill="auto"/>
            <w:vAlign w:val="bottom"/>
          </w:tcPr>
          <w:p w14:paraId="343C058E" w14:textId="77777777" w:rsidR="00A74F6E" w:rsidRPr="005453D5" w:rsidRDefault="00A74F6E" w:rsidP="0010233B">
            <w:pPr>
              <w:spacing w:after="0" w:line="240" w:lineRule="auto"/>
              <w:ind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0.001</w:t>
            </w:r>
          </w:p>
        </w:tc>
        <w:tc>
          <w:tcPr>
            <w:tcW w:w="477" w:type="dxa"/>
            <w:shd w:val="clear" w:color="auto" w:fill="auto"/>
            <w:vAlign w:val="bottom"/>
          </w:tcPr>
          <w:p w14:paraId="7DADE96E"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778" w:type="dxa"/>
            <w:vAlign w:val="bottom"/>
          </w:tcPr>
          <w:p w14:paraId="13E120CB"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356" w:type="dxa"/>
            <w:vAlign w:val="bottom"/>
          </w:tcPr>
          <w:p w14:paraId="3EB3BABA"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vAlign w:val="bottom"/>
          </w:tcPr>
          <w:p w14:paraId="100F4724"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r w:rsidRPr="005453D5">
              <w:rPr>
                <w:rFonts w:ascii="Times New Roman" w:hAnsi="Times New Roman" w:cs="Times New Roman"/>
                <w:color w:val="000000"/>
                <w:sz w:val="22"/>
                <w:szCs w:val="22"/>
              </w:rPr>
              <w:t>0.350</w:t>
            </w:r>
          </w:p>
        </w:tc>
      </w:tr>
      <w:tr w:rsidR="00A74F6E" w:rsidRPr="00EA4C2C" w14:paraId="295488EB" w14:textId="77777777" w:rsidTr="0010233B">
        <w:trPr>
          <w:trHeight w:val="300"/>
        </w:trPr>
        <w:tc>
          <w:tcPr>
            <w:tcW w:w="1838" w:type="dxa"/>
            <w:shd w:val="clear" w:color="auto" w:fill="auto"/>
            <w:vAlign w:val="bottom"/>
          </w:tcPr>
          <w:p w14:paraId="7F2CB38B"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AGE</w:t>
            </w:r>
            <w:r>
              <w:rPr>
                <w:rFonts w:ascii="Times New Roman" w:eastAsia="Times New Roman" w:hAnsi="Times New Roman" w:cs="Times New Roman"/>
                <w:i/>
                <w:sz w:val="22"/>
                <w:szCs w:val="22"/>
                <w:vertAlign w:val="subscript"/>
              </w:rPr>
              <w:t xml:space="preserve"> t-1</w:t>
            </w:r>
          </w:p>
        </w:tc>
        <w:tc>
          <w:tcPr>
            <w:tcW w:w="1276" w:type="dxa"/>
            <w:vAlign w:val="center"/>
          </w:tcPr>
          <w:p w14:paraId="70F0E117"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63F82A7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0.155</w:t>
            </w:r>
          </w:p>
        </w:tc>
        <w:tc>
          <w:tcPr>
            <w:tcW w:w="544" w:type="dxa"/>
            <w:shd w:val="clear" w:color="auto" w:fill="auto"/>
            <w:vAlign w:val="bottom"/>
          </w:tcPr>
          <w:p w14:paraId="4281DB7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0ACE367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0.006</w:t>
            </w:r>
          </w:p>
        </w:tc>
        <w:tc>
          <w:tcPr>
            <w:tcW w:w="451" w:type="dxa"/>
            <w:shd w:val="clear" w:color="auto" w:fill="auto"/>
            <w:vAlign w:val="bottom"/>
          </w:tcPr>
          <w:p w14:paraId="240BFD7F"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7B08C68D"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AB61220"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0.150</w:t>
            </w:r>
          </w:p>
        </w:tc>
        <w:tc>
          <w:tcPr>
            <w:tcW w:w="477" w:type="dxa"/>
            <w:shd w:val="clear" w:color="auto" w:fill="auto"/>
            <w:vAlign w:val="bottom"/>
          </w:tcPr>
          <w:p w14:paraId="55E215B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vAlign w:val="bottom"/>
          </w:tcPr>
          <w:p w14:paraId="5D66E664"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0.012</w:t>
            </w:r>
          </w:p>
        </w:tc>
        <w:tc>
          <w:tcPr>
            <w:tcW w:w="356" w:type="dxa"/>
            <w:vAlign w:val="bottom"/>
          </w:tcPr>
          <w:p w14:paraId="4FA161EB"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vAlign w:val="bottom"/>
          </w:tcPr>
          <w:p w14:paraId="7D365B2B"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5D6FEA3E" w14:textId="77777777" w:rsidTr="0010233B">
        <w:trPr>
          <w:trHeight w:val="300"/>
        </w:trPr>
        <w:tc>
          <w:tcPr>
            <w:tcW w:w="1838" w:type="dxa"/>
            <w:shd w:val="clear" w:color="auto" w:fill="auto"/>
            <w:vAlign w:val="bottom"/>
          </w:tcPr>
          <w:p w14:paraId="2B15626F" w14:textId="77777777" w:rsidR="00A74F6E" w:rsidRDefault="00A74F6E" w:rsidP="0010233B">
            <w:pPr>
              <w:spacing w:after="0" w:line="240" w:lineRule="auto"/>
              <w:rPr>
                <w:rFonts w:ascii="Times New Roman" w:eastAsia="Times New Roman" w:hAnsi="Times New Roman" w:cs="Times New Roman"/>
                <w:b/>
                <w:i/>
                <w:sz w:val="22"/>
                <w:szCs w:val="22"/>
              </w:rPr>
            </w:pPr>
          </w:p>
        </w:tc>
        <w:tc>
          <w:tcPr>
            <w:tcW w:w="1276" w:type="dxa"/>
            <w:vAlign w:val="center"/>
          </w:tcPr>
          <w:p w14:paraId="6E6E059A"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0DD9D784"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0.141</w:t>
            </w:r>
          </w:p>
        </w:tc>
        <w:tc>
          <w:tcPr>
            <w:tcW w:w="544" w:type="dxa"/>
            <w:shd w:val="clear" w:color="auto" w:fill="auto"/>
            <w:vAlign w:val="bottom"/>
          </w:tcPr>
          <w:p w14:paraId="792D8C1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63641D7A"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0.916</w:t>
            </w:r>
          </w:p>
        </w:tc>
        <w:tc>
          <w:tcPr>
            <w:tcW w:w="451" w:type="dxa"/>
            <w:shd w:val="clear" w:color="auto" w:fill="auto"/>
            <w:vAlign w:val="bottom"/>
          </w:tcPr>
          <w:p w14:paraId="12CBCA55"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vAlign w:val="bottom"/>
          </w:tcPr>
          <w:p w14:paraId="2F1DDFC5"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0.288</w:t>
            </w:r>
          </w:p>
        </w:tc>
        <w:tc>
          <w:tcPr>
            <w:tcW w:w="799" w:type="dxa"/>
            <w:shd w:val="clear" w:color="auto" w:fill="auto"/>
            <w:vAlign w:val="bottom"/>
          </w:tcPr>
          <w:p w14:paraId="281E4795"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0.063</w:t>
            </w:r>
          </w:p>
        </w:tc>
        <w:tc>
          <w:tcPr>
            <w:tcW w:w="477" w:type="dxa"/>
            <w:shd w:val="clear" w:color="auto" w:fill="auto"/>
            <w:vAlign w:val="bottom"/>
          </w:tcPr>
          <w:p w14:paraId="2CACEFC1"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017683AD"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0.542</w:t>
            </w:r>
          </w:p>
        </w:tc>
        <w:tc>
          <w:tcPr>
            <w:tcW w:w="356" w:type="dxa"/>
            <w:vAlign w:val="bottom"/>
          </w:tcPr>
          <w:p w14:paraId="3AA63F0B"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vAlign w:val="bottom"/>
          </w:tcPr>
          <w:p w14:paraId="16CD4F82"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0.082</w:t>
            </w:r>
          </w:p>
        </w:tc>
      </w:tr>
      <w:tr w:rsidR="00A74F6E" w:rsidRPr="00EA4C2C" w14:paraId="54A150D8" w14:textId="77777777" w:rsidTr="0010233B">
        <w:trPr>
          <w:trHeight w:val="300"/>
        </w:trPr>
        <w:tc>
          <w:tcPr>
            <w:tcW w:w="1838" w:type="dxa"/>
            <w:shd w:val="clear" w:color="auto" w:fill="auto"/>
            <w:vAlign w:val="bottom"/>
          </w:tcPr>
          <w:p w14:paraId="297A3952"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RE/TA</w:t>
            </w:r>
            <w:r>
              <w:rPr>
                <w:rFonts w:ascii="Times New Roman" w:eastAsia="Times New Roman" w:hAnsi="Times New Roman" w:cs="Times New Roman"/>
                <w:i/>
                <w:sz w:val="22"/>
                <w:szCs w:val="22"/>
                <w:vertAlign w:val="subscript"/>
              </w:rPr>
              <w:t xml:space="preserve"> t-1</w:t>
            </w:r>
          </w:p>
        </w:tc>
        <w:tc>
          <w:tcPr>
            <w:tcW w:w="1276" w:type="dxa"/>
            <w:vAlign w:val="center"/>
          </w:tcPr>
          <w:p w14:paraId="50F5CEBD"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shd w:val="clear" w:color="auto" w:fill="auto"/>
            <w:vAlign w:val="bottom"/>
          </w:tcPr>
          <w:p w14:paraId="0108FB3C"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-0.026</w:t>
            </w:r>
          </w:p>
        </w:tc>
        <w:tc>
          <w:tcPr>
            <w:tcW w:w="544" w:type="dxa"/>
            <w:shd w:val="clear" w:color="auto" w:fill="auto"/>
            <w:vAlign w:val="bottom"/>
          </w:tcPr>
          <w:p w14:paraId="509AE6B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shd w:val="clear" w:color="auto" w:fill="auto"/>
            <w:vAlign w:val="bottom"/>
          </w:tcPr>
          <w:p w14:paraId="6191E3F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0.238</w:t>
            </w:r>
          </w:p>
        </w:tc>
        <w:tc>
          <w:tcPr>
            <w:tcW w:w="451" w:type="dxa"/>
            <w:shd w:val="clear" w:color="auto" w:fill="auto"/>
            <w:vAlign w:val="bottom"/>
          </w:tcPr>
          <w:p w14:paraId="34E3EFE6"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vAlign w:val="bottom"/>
          </w:tcPr>
          <w:p w14:paraId="27770A9F"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shd w:val="clear" w:color="auto" w:fill="auto"/>
            <w:vAlign w:val="bottom"/>
          </w:tcPr>
          <w:p w14:paraId="1CDF34DB"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0.106</w:t>
            </w:r>
          </w:p>
        </w:tc>
        <w:tc>
          <w:tcPr>
            <w:tcW w:w="477" w:type="dxa"/>
            <w:shd w:val="clear" w:color="auto" w:fill="auto"/>
            <w:vAlign w:val="bottom"/>
          </w:tcPr>
          <w:p w14:paraId="39FB66CA"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vAlign w:val="bottom"/>
          </w:tcPr>
          <w:p w14:paraId="7CA313D1"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0.117</w:t>
            </w:r>
          </w:p>
        </w:tc>
        <w:tc>
          <w:tcPr>
            <w:tcW w:w="356" w:type="dxa"/>
            <w:vAlign w:val="bottom"/>
          </w:tcPr>
          <w:p w14:paraId="173C4139"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w:t>
            </w:r>
          </w:p>
        </w:tc>
        <w:tc>
          <w:tcPr>
            <w:tcW w:w="1134" w:type="dxa"/>
            <w:vAlign w:val="bottom"/>
          </w:tcPr>
          <w:p w14:paraId="7D9EEAC4"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p>
        </w:tc>
      </w:tr>
      <w:tr w:rsidR="00A74F6E" w:rsidRPr="00EA4C2C" w14:paraId="6E8AF28E" w14:textId="77777777" w:rsidTr="0010233B">
        <w:trPr>
          <w:trHeight w:val="300"/>
        </w:trPr>
        <w:tc>
          <w:tcPr>
            <w:tcW w:w="1838" w:type="dxa"/>
            <w:tcBorders>
              <w:bottom w:val="nil"/>
            </w:tcBorders>
            <w:shd w:val="clear" w:color="auto" w:fill="auto"/>
            <w:vAlign w:val="bottom"/>
          </w:tcPr>
          <w:p w14:paraId="4BA7612F"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76" w:type="dxa"/>
            <w:tcBorders>
              <w:bottom w:val="nil"/>
            </w:tcBorders>
            <w:vAlign w:val="center"/>
          </w:tcPr>
          <w:p w14:paraId="6F48256F"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tcBorders>
              <w:bottom w:val="nil"/>
            </w:tcBorders>
            <w:shd w:val="clear" w:color="auto" w:fill="auto"/>
            <w:vAlign w:val="bottom"/>
          </w:tcPr>
          <w:p w14:paraId="3DD0F99A"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0.936</w:t>
            </w:r>
          </w:p>
        </w:tc>
        <w:tc>
          <w:tcPr>
            <w:tcW w:w="544" w:type="dxa"/>
            <w:tcBorders>
              <w:bottom w:val="nil"/>
            </w:tcBorders>
            <w:shd w:val="clear" w:color="auto" w:fill="auto"/>
            <w:vAlign w:val="bottom"/>
          </w:tcPr>
          <w:p w14:paraId="1504608A"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tcBorders>
              <w:bottom w:val="nil"/>
            </w:tcBorders>
            <w:shd w:val="clear" w:color="auto" w:fill="auto"/>
            <w:vAlign w:val="bottom"/>
          </w:tcPr>
          <w:p w14:paraId="63F84E92"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0.046</w:t>
            </w:r>
          </w:p>
        </w:tc>
        <w:tc>
          <w:tcPr>
            <w:tcW w:w="451" w:type="dxa"/>
            <w:tcBorders>
              <w:bottom w:val="nil"/>
            </w:tcBorders>
            <w:shd w:val="clear" w:color="auto" w:fill="auto"/>
            <w:vAlign w:val="bottom"/>
          </w:tcPr>
          <w:p w14:paraId="47EB18F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tcBorders>
              <w:bottom w:val="nil"/>
            </w:tcBorders>
            <w:vAlign w:val="bottom"/>
          </w:tcPr>
          <w:p w14:paraId="2129CB72"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0.766</w:t>
            </w:r>
          </w:p>
        </w:tc>
        <w:tc>
          <w:tcPr>
            <w:tcW w:w="799" w:type="dxa"/>
            <w:tcBorders>
              <w:bottom w:val="nil"/>
            </w:tcBorders>
            <w:shd w:val="clear" w:color="auto" w:fill="auto"/>
            <w:vAlign w:val="bottom"/>
          </w:tcPr>
          <w:p w14:paraId="5B6E96B9"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color w:val="000000"/>
                <w:sz w:val="22"/>
                <w:szCs w:val="22"/>
              </w:rPr>
              <w:t>0.694</w:t>
            </w:r>
          </w:p>
        </w:tc>
        <w:tc>
          <w:tcPr>
            <w:tcW w:w="477" w:type="dxa"/>
            <w:tcBorders>
              <w:bottom w:val="nil"/>
            </w:tcBorders>
            <w:shd w:val="clear" w:color="auto" w:fill="auto"/>
            <w:vAlign w:val="bottom"/>
          </w:tcPr>
          <w:p w14:paraId="3C992DE5"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tcBorders>
              <w:bottom w:val="nil"/>
            </w:tcBorders>
            <w:vAlign w:val="bottom"/>
          </w:tcPr>
          <w:p w14:paraId="5B82793D" w14:textId="77777777" w:rsidR="00A74F6E" w:rsidRPr="005453D5" w:rsidRDefault="00A74F6E" w:rsidP="0010233B">
            <w:pPr>
              <w:spacing w:after="0" w:line="240" w:lineRule="auto"/>
              <w:ind w:left="-113" w:right="-113"/>
              <w:jc w:val="right"/>
              <w:rPr>
                <w:rFonts w:ascii="Times New Roman" w:eastAsia="Times New Roman" w:hAnsi="Times New Roman" w:cs="Times New Roman"/>
                <w:sz w:val="22"/>
                <w:szCs w:val="22"/>
              </w:rPr>
            </w:pPr>
            <w:r w:rsidRPr="005453D5">
              <w:rPr>
                <w:rFonts w:ascii="Times New Roman" w:hAnsi="Times New Roman" w:cs="Times New Roman"/>
                <w:b/>
                <w:bCs/>
                <w:color w:val="000000"/>
                <w:sz w:val="22"/>
                <w:szCs w:val="22"/>
              </w:rPr>
              <w:t>0.024</w:t>
            </w:r>
          </w:p>
        </w:tc>
        <w:tc>
          <w:tcPr>
            <w:tcW w:w="356" w:type="dxa"/>
            <w:tcBorders>
              <w:bottom w:val="nil"/>
            </w:tcBorders>
            <w:vAlign w:val="bottom"/>
          </w:tcPr>
          <w:p w14:paraId="37720B34" w14:textId="77777777" w:rsidR="00A74F6E" w:rsidRPr="005453D5" w:rsidRDefault="00A74F6E" w:rsidP="0010233B">
            <w:pPr>
              <w:spacing w:after="0" w:line="240" w:lineRule="auto"/>
              <w:ind w:left="-113" w:right="-113"/>
              <w:rPr>
                <w:rFonts w:ascii="Times New Roman" w:eastAsia="Times New Roman" w:hAnsi="Times New Roman" w:cs="Times New Roman"/>
                <w:sz w:val="22"/>
                <w:szCs w:val="22"/>
              </w:rPr>
            </w:pPr>
          </w:p>
        </w:tc>
        <w:tc>
          <w:tcPr>
            <w:tcW w:w="1134" w:type="dxa"/>
            <w:tcBorders>
              <w:bottom w:val="nil"/>
            </w:tcBorders>
            <w:vAlign w:val="bottom"/>
          </w:tcPr>
          <w:p w14:paraId="2D248EE7" w14:textId="77777777" w:rsidR="00A74F6E" w:rsidRPr="005453D5" w:rsidRDefault="00A74F6E" w:rsidP="0010233B">
            <w:pPr>
              <w:spacing w:after="0" w:line="240" w:lineRule="auto"/>
              <w:ind w:left="-113" w:right="-113"/>
              <w:jc w:val="center"/>
              <w:rPr>
                <w:rFonts w:ascii="Times New Roman" w:eastAsia="Times New Roman" w:hAnsi="Times New Roman" w:cs="Times New Roman"/>
                <w:sz w:val="22"/>
                <w:szCs w:val="22"/>
              </w:rPr>
            </w:pPr>
            <w:r w:rsidRPr="005453D5">
              <w:rPr>
                <w:rFonts w:ascii="Times New Roman" w:hAnsi="Times New Roman" w:cs="Times New Roman"/>
                <w:color w:val="000000"/>
                <w:sz w:val="22"/>
                <w:szCs w:val="22"/>
              </w:rPr>
              <w:t>0.557</w:t>
            </w:r>
          </w:p>
        </w:tc>
      </w:tr>
      <w:tr w:rsidR="00A74F6E" w:rsidRPr="00EA4C2C" w14:paraId="0F5F896F" w14:textId="77777777" w:rsidTr="0010233B">
        <w:trPr>
          <w:trHeight w:val="108"/>
        </w:trPr>
        <w:tc>
          <w:tcPr>
            <w:tcW w:w="1838" w:type="dxa"/>
            <w:tcBorders>
              <w:top w:val="nil"/>
              <w:left w:val="single" w:sz="4" w:space="0" w:color="000000"/>
              <w:bottom w:val="nil"/>
            </w:tcBorders>
            <w:shd w:val="clear" w:color="auto" w:fill="auto"/>
            <w:vAlign w:val="bottom"/>
          </w:tcPr>
          <w:p w14:paraId="63882C18"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Constant</w:t>
            </w:r>
          </w:p>
        </w:tc>
        <w:tc>
          <w:tcPr>
            <w:tcW w:w="1276" w:type="dxa"/>
            <w:tcBorders>
              <w:top w:val="nil"/>
              <w:bottom w:val="nil"/>
            </w:tcBorders>
            <w:vAlign w:val="center"/>
          </w:tcPr>
          <w:p w14:paraId="7A106DF5"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tcBorders>
              <w:top w:val="nil"/>
              <w:bottom w:val="nil"/>
            </w:tcBorders>
            <w:shd w:val="clear" w:color="auto" w:fill="auto"/>
            <w:vAlign w:val="bottom"/>
          </w:tcPr>
          <w:p w14:paraId="635736A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-6.645</w:t>
            </w:r>
          </w:p>
        </w:tc>
        <w:tc>
          <w:tcPr>
            <w:tcW w:w="544" w:type="dxa"/>
            <w:tcBorders>
              <w:top w:val="nil"/>
              <w:bottom w:val="nil"/>
            </w:tcBorders>
            <w:shd w:val="clear" w:color="auto" w:fill="auto"/>
            <w:vAlign w:val="bottom"/>
          </w:tcPr>
          <w:p w14:paraId="23D89F2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85" w:type="dxa"/>
            <w:tcBorders>
              <w:top w:val="nil"/>
              <w:bottom w:val="nil"/>
            </w:tcBorders>
            <w:shd w:val="clear" w:color="auto" w:fill="auto"/>
            <w:vAlign w:val="bottom"/>
          </w:tcPr>
          <w:p w14:paraId="485F5A83"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-5.685</w:t>
            </w:r>
          </w:p>
        </w:tc>
        <w:tc>
          <w:tcPr>
            <w:tcW w:w="451" w:type="dxa"/>
            <w:tcBorders>
              <w:top w:val="nil"/>
              <w:bottom w:val="nil"/>
            </w:tcBorders>
            <w:shd w:val="clear" w:color="auto" w:fill="auto"/>
            <w:vAlign w:val="bottom"/>
          </w:tcPr>
          <w:p w14:paraId="0D203347"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1126" w:type="dxa"/>
            <w:tcBorders>
              <w:top w:val="nil"/>
              <w:bottom w:val="nil"/>
            </w:tcBorders>
            <w:vAlign w:val="bottom"/>
          </w:tcPr>
          <w:p w14:paraId="275BDC8C"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tcBorders>
              <w:top w:val="nil"/>
              <w:bottom w:val="nil"/>
            </w:tcBorders>
            <w:shd w:val="clear" w:color="auto" w:fill="auto"/>
            <w:vAlign w:val="bottom"/>
          </w:tcPr>
          <w:p w14:paraId="0A28B1B7"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-5.006</w:t>
            </w:r>
          </w:p>
        </w:tc>
        <w:tc>
          <w:tcPr>
            <w:tcW w:w="477" w:type="dxa"/>
            <w:tcBorders>
              <w:top w:val="nil"/>
              <w:bottom w:val="nil"/>
            </w:tcBorders>
            <w:shd w:val="clear" w:color="auto" w:fill="auto"/>
            <w:vAlign w:val="bottom"/>
          </w:tcPr>
          <w:p w14:paraId="56367E90"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w:t>
            </w:r>
          </w:p>
        </w:tc>
        <w:tc>
          <w:tcPr>
            <w:tcW w:w="778" w:type="dxa"/>
            <w:tcBorders>
              <w:top w:val="nil"/>
              <w:bottom w:val="nil"/>
            </w:tcBorders>
            <w:vAlign w:val="bottom"/>
          </w:tcPr>
          <w:p w14:paraId="03A2464A"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-2.330</w:t>
            </w:r>
          </w:p>
        </w:tc>
        <w:tc>
          <w:tcPr>
            <w:tcW w:w="356" w:type="dxa"/>
            <w:tcBorders>
              <w:top w:val="nil"/>
              <w:bottom w:val="nil"/>
            </w:tcBorders>
            <w:vAlign w:val="bottom"/>
          </w:tcPr>
          <w:p w14:paraId="036F2E8C"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w:t>
            </w:r>
          </w:p>
        </w:tc>
        <w:tc>
          <w:tcPr>
            <w:tcW w:w="1134" w:type="dxa"/>
            <w:tcBorders>
              <w:top w:val="nil"/>
              <w:bottom w:val="nil"/>
            </w:tcBorders>
            <w:vAlign w:val="bottom"/>
          </w:tcPr>
          <w:p w14:paraId="5B596409"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6C9E8FB7" w14:textId="77777777" w:rsidTr="0010233B">
        <w:trPr>
          <w:trHeight w:val="300"/>
        </w:trPr>
        <w:tc>
          <w:tcPr>
            <w:tcW w:w="1838" w:type="dxa"/>
            <w:tcBorders>
              <w:top w:val="nil"/>
              <w:left w:val="single" w:sz="4" w:space="0" w:color="000000"/>
              <w:bottom w:val="single" w:sz="4" w:space="0" w:color="000000"/>
            </w:tcBorders>
            <w:shd w:val="clear" w:color="auto" w:fill="auto"/>
            <w:vAlign w:val="bottom"/>
          </w:tcPr>
          <w:p w14:paraId="5F282AD5" w14:textId="77777777" w:rsidR="00A74F6E" w:rsidRDefault="00A74F6E" w:rsidP="0010233B">
            <w:pPr>
              <w:spacing w:after="0" w:line="240" w:lineRule="auto"/>
              <w:rPr>
                <w:rFonts w:ascii="Times New Roman" w:eastAsia="Times New Roman" w:hAnsi="Times New Roman" w:cs="Times New Roman"/>
                <w:color w:val="000000"/>
                <w:sz w:val="22"/>
                <w:szCs w:val="22"/>
              </w:rPr>
            </w:pPr>
          </w:p>
        </w:tc>
        <w:tc>
          <w:tcPr>
            <w:tcW w:w="1276" w:type="dxa"/>
            <w:tcBorders>
              <w:top w:val="nil"/>
              <w:bottom w:val="single" w:sz="4" w:space="0" w:color="000000"/>
            </w:tcBorders>
            <w:vAlign w:val="center"/>
          </w:tcPr>
          <w:p w14:paraId="23002079"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tcBorders>
              <w:top w:val="nil"/>
              <w:bottom w:val="single" w:sz="4" w:space="0" w:color="000000"/>
            </w:tcBorders>
            <w:shd w:val="clear" w:color="auto" w:fill="auto"/>
            <w:vAlign w:val="bottom"/>
          </w:tcPr>
          <w:p w14:paraId="56EA756F"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544" w:type="dxa"/>
            <w:tcBorders>
              <w:top w:val="nil"/>
              <w:bottom w:val="single" w:sz="4" w:space="0" w:color="000000"/>
            </w:tcBorders>
            <w:shd w:val="clear" w:color="auto" w:fill="auto"/>
            <w:vAlign w:val="bottom"/>
          </w:tcPr>
          <w:p w14:paraId="7BA7F4FE"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85" w:type="dxa"/>
            <w:tcBorders>
              <w:top w:val="nil"/>
              <w:bottom w:val="single" w:sz="4" w:space="0" w:color="000000"/>
            </w:tcBorders>
            <w:shd w:val="clear" w:color="auto" w:fill="auto"/>
            <w:vAlign w:val="bottom"/>
          </w:tcPr>
          <w:p w14:paraId="756EB40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451" w:type="dxa"/>
            <w:tcBorders>
              <w:top w:val="nil"/>
              <w:bottom w:val="single" w:sz="4" w:space="0" w:color="000000"/>
            </w:tcBorders>
            <w:shd w:val="clear" w:color="auto" w:fill="auto"/>
            <w:vAlign w:val="bottom"/>
          </w:tcPr>
          <w:p w14:paraId="32FD3ED8"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126" w:type="dxa"/>
            <w:tcBorders>
              <w:top w:val="nil"/>
              <w:bottom w:val="single" w:sz="4" w:space="0" w:color="000000"/>
            </w:tcBorders>
            <w:vAlign w:val="bottom"/>
          </w:tcPr>
          <w:p w14:paraId="3860B744" w14:textId="77777777" w:rsidR="00A74F6E" w:rsidRPr="005453D5" w:rsidRDefault="00A74F6E" w:rsidP="0010233B">
            <w:pPr>
              <w:spacing w:after="0" w:line="240" w:lineRule="auto"/>
              <w:ind w:right="-113"/>
              <w:jc w:val="center"/>
              <w:rPr>
                <w:rFonts w:ascii="Times New Roman" w:eastAsia="Times New Roman" w:hAnsi="Times New Roman" w:cs="Times New Roman"/>
                <w:sz w:val="22"/>
                <w:szCs w:val="22"/>
              </w:rPr>
            </w:pPr>
          </w:p>
        </w:tc>
        <w:tc>
          <w:tcPr>
            <w:tcW w:w="799" w:type="dxa"/>
            <w:tcBorders>
              <w:top w:val="nil"/>
              <w:bottom w:val="single" w:sz="4" w:space="0" w:color="000000"/>
            </w:tcBorders>
            <w:shd w:val="clear" w:color="auto" w:fill="auto"/>
            <w:vAlign w:val="bottom"/>
          </w:tcPr>
          <w:p w14:paraId="71637A86" w14:textId="77777777" w:rsidR="00A74F6E" w:rsidRPr="005453D5"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5453D5">
              <w:rPr>
                <w:rFonts w:ascii="Times New Roman" w:hAnsi="Times New Roman" w:cs="Times New Roman"/>
                <w:b/>
                <w:bCs/>
                <w:color w:val="000000"/>
                <w:sz w:val="22"/>
                <w:szCs w:val="22"/>
              </w:rPr>
              <w:t>0.000</w:t>
            </w:r>
          </w:p>
        </w:tc>
        <w:tc>
          <w:tcPr>
            <w:tcW w:w="477" w:type="dxa"/>
            <w:tcBorders>
              <w:top w:val="nil"/>
              <w:bottom w:val="single" w:sz="4" w:space="0" w:color="000000"/>
            </w:tcBorders>
            <w:shd w:val="clear" w:color="auto" w:fill="auto"/>
            <w:vAlign w:val="bottom"/>
          </w:tcPr>
          <w:p w14:paraId="10606A2F" w14:textId="77777777" w:rsidR="00A74F6E" w:rsidRPr="005453D5"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778" w:type="dxa"/>
            <w:tcBorders>
              <w:top w:val="nil"/>
              <w:bottom w:val="single" w:sz="4" w:space="0" w:color="000000"/>
            </w:tcBorders>
            <w:vAlign w:val="bottom"/>
          </w:tcPr>
          <w:p w14:paraId="5DD63828" w14:textId="77777777" w:rsidR="00A74F6E" w:rsidRPr="005453D5" w:rsidRDefault="00A74F6E" w:rsidP="0010233B">
            <w:pPr>
              <w:spacing w:after="0" w:line="240" w:lineRule="auto"/>
              <w:ind w:left="-113" w:right="-113"/>
              <w:jc w:val="right"/>
              <w:rPr>
                <w:rFonts w:ascii="Times New Roman" w:eastAsia="Times New Roman" w:hAnsi="Times New Roman" w:cs="Times New Roman"/>
                <w:b/>
                <w:sz w:val="22"/>
                <w:szCs w:val="22"/>
              </w:rPr>
            </w:pPr>
            <w:r w:rsidRPr="005453D5">
              <w:rPr>
                <w:rFonts w:ascii="Times New Roman" w:hAnsi="Times New Roman" w:cs="Times New Roman"/>
                <w:b/>
                <w:bCs/>
                <w:color w:val="000000"/>
                <w:sz w:val="22"/>
                <w:szCs w:val="22"/>
              </w:rPr>
              <w:t>0.000</w:t>
            </w:r>
          </w:p>
        </w:tc>
        <w:tc>
          <w:tcPr>
            <w:tcW w:w="356" w:type="dxa"/>
            <w:tcBorders>
              <w:top w:val="nil"/>
              <w:bottom w:val="single" w:sz="4" w:space="0" w:color="000000"/>
            </w:tcBorders>
            <w:vAlign w:val="bottom"/>
          </w:tcPr>
          <w:p w14:paraId="7E354160" w14:textId="77777777" w:rsidR="00A74F6E" w:rsidRPr="005453D5" w:rsidRDefault="00A74F6E" w:rsidP="0010233B">
            <w:pPr>
              <w:spacing w:after="0" w:line="240" w:lineRule="auto"/>
              <w:ind w:left="-113" w:right="-113"/>
              <w:rPr>
                <w:rFonts w:ascii="Times New Roman" w:eastAsia="Times New Roman" w:hAnsi="Times New Roman" w:cs="Times New Roman"/>
                <w:b/>
                <w:sz w:val="22"/>
                <w:szCs w:val="22"/>
              </w:rPr>
            </w:pPr>
          </w:p>
        </w:tc>
        <w:tc>
          <w:tcPr>
            <w:tcW w:w="1134" w:type="dxa"/>
            <w:tcBorders>
              <w:top w:val="nil"/>
              <w:bottom w:val="single" w:sz="4" w:space="0" w:color="000000"/>
            </w:tcBorders>
            <w:vAlign w:val="bottom"/>
          </w:tcPr>
          <w:p w14:paraId="5C1A00D3" w14:textId="77777777" w:rsidR="00A74F6E" w:rsidRPr="005453D5"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rsidRPr="00EA4C2C" w14:paraId="37AC06C4" w14:textId="77777777" w:rsidTr="0010233B">
        <w:trPr>
          <w:trHeight w:val="300"/>
        </w:trPr>
        <w:tc>
          <w:tcPr>
            <w:tcW w:w="1838" w:type="dxa"/>
            <w:tcBorders>
              <w:top w:val="single" w:sz="4" w:space="0" w:color="000000"/>
              <w:bottom w:val="nil"/>
            </w:tcBorders>
            <w:shd w:val="clear" w:color="auto" w:fill="auto"/>
            <w:vAlign w:val="center"/>
          </w:tcPr>
          <w:p w14:paraId="19FC635B" w14:textId="77777777" w:rsidR="00A74F6E" w:rsidRDefault="00A74F6E" w:rsidP="0010233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p>
        </w:tc>
        <w:tc>
          <w:tcPr>
            <w:tcW w:w="1276" w:type="dxa"/>
            <w:tcBorders>
              <w:top w:val="single" w:sz="4" w:space="0" w:color="000000"/>
              <w:bottom w:val="nil"/>
            </w:tcBorders>
            <w:vAlign w:val="center"/>
          </w:tcPr>
          <w:p w14:paraId="027C67EA"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tcBorders>
              <w:top w:val="single" w:sz="4" w:space="0" w:color="000000"/>
              <w:bottom w:val="nil"/>
            </w:tcBorders>
            <w:vAlign w:val="bottom"/>
          </w:tcPr>
          <w:p w14:paraId="79AB24EA"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1402</w:t>
            </w:r>
          </w:p>
        </w:tc>
        <w:tc>
          <w:tcPr>
            <w:tcW w:w="544" w:type="dxa"/>
            <w:tcBorders>
              <w:top w:val="single" w:sz="4" w:space="0" w:color="000000"/>
              <w:bottom w:val="nil"/>
            </w:tcBorders>
            <w:vAlign w:val="bottom"/>
          </w:tcPr>
          <w:p w14:paraId="35B42BF5"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85" w:type="dxa"/>
            <w:tcBorders>
              <w:top w:val="single" w:sz="4" w:space="0" w:color="000000"/>
              <w:bottom w:val="nil"/>
            </w:tcBorders>
            <w:vAlign w:val="bottom"/>
          </w:tcPr>
          <w:p w14:paraId="5C0725A7"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4715</w:t>
            </w:r>
          </w:p>
        </w:tc>
        <w:tc>
          <w:tcPr>
            <w:tcW w:w="451" w:type="dxa"/>
            <w:tcBorders>
              <w:top w:val="single" w:sz="4" w:space="0" w:color="000000"/>
              <w:bottom w:val="nil"/>
            </w:tcBorders>
            <w:vAlign w:val="bottom"/>
          </w:tcPr>
          <w:p w14:paraId="193C54BB"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26" w:type="dxa"/>
            <w:tcBorders>
              <w:top w:val="single" w:sz="4" w:space="0" w:color="000000"/>
              <w:bottom w:val="nil"/>
            </w:tcBorders>
            <w:vAlign w:val="bottom"/>
          </w:tcPr>
          <w:p w14:paraId="3A8B5457"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99" w:type="dxa"/>
            <w:tcBorders>
              <w:top w:val="single" w:sz="4" w:space="0" w:color="000000"/>
              <w:bottom w:val="nil"/>
            </w:tcBorders>
            <w:vAlign w:val="bottom"/>
          </w:tcPr>
          <w:p w14:paraId="0E2F4F3F"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1467</w:t>
            </w:r>
          </w:p>
        </w:tc>
        <w:tc>
          <w:tcPr>
            <w:tcW w:w="477" w:type="dxa"/>
            <w:tcBorders>
              <w:top w:val="single" w:sz="4" w:space="0" w:color="000000"/>
              <w:bottom w:val="nil"/>
            </w:tcBorders>
            <w:vAlign w:val="bottom"/>
          </w:tcPr>
          <w:p w14:paraId="47FFDBDC"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78" w:type="dxa"/>
            <w:tcBorders>
              <w:top w:val="single" w:sz="4" w:space="0" w:color="000000"/>
              <w:bottom w:val="nil"/>
            </w:tcBorders>
            <w:vAlign w:val="bottom"/>
          </w:tcPr>
          <w:p w14:paraId="3DA254B3"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4732</w:t>
            </w:r>
          </w:p>
        </w:tc>
        <w:tc>
          <w:tcPr>
            <w:tcW w:w="356" w:type="dxa"/>
            <w:tcBorders>
              <w:top w:val="single" w:sz="4" w:space="0" w:color="000000"/>
              <w:bottom w:val="nil"/>
            </w:tcBorders>
            <w:vAlign w:val="bottom"/>
          </w:tcPr>
          <w:p w14:paraId="17981F56"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34" w:type="dxa"/>
            <w:tcBorders>
              <w:top w:val="single" w:sz="4" w:space="0" w:color="000000"/>
              <w:bottom w:val="nil"/>
            </w:tcBorders>
            <w:vAlign w:val="bottom"/>
          </w:tcPr>
          <w:p w14:paraId="41F6E495" w14:textId="77777777" w:rsidR="00A74F6E" w:rsidRPr="005453D5" w:rsidRDefault="00A74F6E" w:rsidP="0010233B">
            <w:pPr>
              <w:spacing w:after="0" w:line="240" w:lineRule="auto"/>
              <w:ind w:right="-113"/>
              <w:jc w:val="center"/>
              <w:rPr>
                <w:rFonts w:ascii="Times New Roman" w:eastAsia="Times New Roman" w:hAnsi="Times New Roman" w:cs="Times New Roman"/>
                <w:color w:val="000000"/>
                <w:sz w:val="22"/>
                <w:szCs w:val="22"/>
              </w:rPr>
            </w:pPr>
          </w:p>
        </w:tc>
      </w:tr>
      <w:tr w:rsidR="00A74F6E" w:rsidRPr="00EA4C2C" w14:paraId="6CCD935D" w14:textId="77777777" w:rsidTr="0010233B">
        <w:trPr>
          <w:trHeight w:val="300"/>
        </w:trPr>
        <w:tc>
          <w:tcPr>
            <w:tcW w:w="1838" w:type="dxa"/>
            <w:tcBorders>
              <w:top w:val="nil"/>
              <w:bottom w:val="nil"/>
            </w:tcBorders>
            <w:shd w:val="clear" w:color="auto" w:fill="auto"/>
            <w:vAlign w:val="center"/>
          </w:tcPr>
          <w:p w14:paraId="5D8C507D" w14:textId="77777777" w:rsidR="00A74F6E" w:rsidRDefault="00A74F6E" w:rsidP="0010233B">
            <w:pPr>
              <w:spacing w:after="0" w:line="240" w:lineRule="auto"/>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Pseudo R</w:t>
            </w:r>
            <w:r>
              <w:rPr>
                <w:rFonts w:ascii="Times New Roman" w:eastAsia="Times New Roman" w:hAnsi="Times New Roman" w:cs="Times New Roman"/>
                <w:color w:val="000000"/>
                <w:sz w:val="22"/>
                <w:szCs w:val="22"/>
                <w:vertAlign w:val="superscript"/>
              </w:rPr>
              <w:t>2</w:t>
            </w:r>
          </w:p>
        </w:tc>
        <w:tc>
          <w:tcPr>
            <w:tcW w:w="1276" w:type="dxa"/>
            <w:tcBorders>
              <w:top w:val="nil"/>
              <w:bottom w:val="nil"/>
            </w:tcBorders>
            <w:vAlign w:val="center"/>
          </w:tcPr>
          <w:p w14:paraId="6AF8A998" w14:textId="77777777" w:rsidR="00A74F6E" w:rsidRDefault="00A74F6E" w:rsidP="0010233B">
            <w:pPr>
              <w:spacing w:after="0" w:line="240" w:lineRule="auto"/>
              <w:ind w:right="-113"/>
              <w:jc w:val="center"/>
              <w:rPr>
                <w:rFonts w:ascii="Times New Roman" w:eastAsia="Times New Roman" w:hAnsi="Times New Roman" w:cs="Times New Roman"/>
                <w:color w:val="000000"/>
                <w:sz w:val="22"/>
                <w:szCs w:val="22"/>
              </w:rPr>
            </w:pPr>
          </w:p>
        </w:tc>
        <w:tc>
          <w:tcPr>
            <w:tcW w:w="785" w:type="dxa"/>
            <w:tcBorders>
              <w:top w:val="nil"/>
              <w:bottom w:val="nil"/>
            </w:tcBorders>
            <w:vAlign w:val="bottom"/>
          </w:tcPr>
          <w:p w14:paraId="608F126B"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0.250</w:t>
            </w:r>
          </w:p>
        </w:tc>
        <w:tc>
          <w:tcPr>
            <w:tcW w:w="544" w:type="dxa"/>
            <w:tcBorders>
              <w:top w:val="nil"/>
              <w:bottom w:val="nil"/>
            </w:tcBorders>
            <w:vAlign w:val="bottom"/>
          </w:tcPr>
          <w:p w14:paraId="6BC289C8"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85" w:type="dxa"/>
            <w:tcBorders>
              <w:top w:val="nil"/>
              <w:bottom w:val="nil"/>
            </w:tcBorders>
            <w:vAlign w:val="bottom"/>
          </w:tcPr>
          <w:p w14:paraId="212CA19D"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0.330</w:t>
            </w:r>
          </w:p>
        </w:tc>
        <w:tc>
          <w:tcPr>
            <w:tcW w:w="451" w:type="dxa"/>
            <w:tcBorders>
              <w:top w:val="nil"/>
              <w:bottom w:val="nil"/>
            </w:tcBorders>
            <w:vAlign w:val="bottom"/>
          </w:tcPr>
          <w:p w14:paraId="4840C380"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26" w:type="dxa"/>
            <w:tcBorders>
              <w:top w:val="nil"/>
              <w:bottom w:val="nil"/>
            </w:tcBorders>
            <w:vAlign w:val="bottom"/>
          </w:tcPr>
          <w:p w14:paraId="7798D991"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99" w:type="dxa"/>
            <w:tcBorders>
              <w:top w:val="nil"/>
              <w:bottom w:val="nil"/>
            </w:tcBorders>
            <w:vAlign w:val="bottom"/>
          </w:tcPr>
          <w:p w14:paraId="3DDF883C"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0.153</w:t>
            </w:r>
          </w:p>
        </w:tc>
        <w:tc>
          <w:tcPr>
            <w:tcW w:w="477" w:type="dxa"/>
            <w:tcBorders>
              <w:top w:val="nil"/>
              <w:bottom w:val="nil"/>
            </w:tcBorders>
            <w:vAlign w:val="bottom"/>
          </w:tcPr>
          <w:p w14:paraId="437A49AD"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78" w:type="dxa"/>
            <w:tcBorders>
              <w:top w:val="nil"/>
              <w:bottom w:val="nil"/>
            </w:tcBorders>
            <w:vAlign w:val="bottom"/>
          </w:tcPr>
          <w:p w14:paraId="4569508F"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r w:rsidRPr="005453D5">
              <w:rPr>
                <w:rFonts w:ascii="Times New Roman" w:hAnsi="Times New Roman" w:cs="Times New Roman"/>
                <w:color w:val="000000"/>
                <w:sz w:val="22"/>
                <w:szCs w:val="22"/>
              </w:rPr>
              <w:t>0.176</w:t>
            </w:r>
          </w:p>
        </w:tc>
        <w:tc>
          <w:tcPr>
            <w:tcW w:w="356" w:type="dxa"/>
            <w:tcBorders>
              <w:top w:val="nil"/>
              <w:bottom w:val="nil"/>
            </w:tcBorders>
            <w:vAlign w:val="bottom"/>
          </w:tcPr>
          <w:p w14:paraId="74444833" w14:textId="77777777" w:rsidR="00A74F6E" w:rsidRPr="005453D5"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34" w:type="dxa"/>
            <w:tcBorders>
              <w:top w:val="nil"/>
              <w:bottom w:val="nil"/>
            </w:tcBorders>
            <w:vAlign w:val="bottom"/>
          </w:tcPr>
          <w:p w14:paraId="7A92CCF4" w14:textId="77777777" w:rsidR="00A74F6E" w:rsidRPr="005453D5" w:rsidRDefault="00A74F6E" w:rsidP="0010233B">
            <w:pPr>
              <w:spacing w:after="0" w:line="240" w:lineRule="auto"/>
              <w:ind w:right="-113"/>
              <w:jc w:val="center"/>
              <w:rPr>
                <w:rFonts w:ascii="Times New Roman" w:eastAsia="Times New Roman" w:hAnsi="Times New Roman" w:cs="Times New Roman"/>
                <w:color w:val="000000"/>
                <w:sz w:val="22"/>
                <w:szCs w:val="22"/>
              </w:rPr>
            </w:pPr>
          </w:p>
        </w:tc>
      </w:tr>
      <w:tr w:rsidR="00A74F6E" w:rsidRPr="00EA4C2C" w14:paraId="7FE9CB25" w14:textId="77777777" w:rsidTr="0010233B">
        <w:trPr>
          <w:trHeight w:val="300"/>
        </w:trPr>
        <w:tc>
          <w:tcPr>
            <w:tcW w:w="3114" w:type="dxa"/>
            <w:gridSpan w:val="2"/>
            <w:tcBorders>
              <w:top w:val="nil"/>
            </w:tcBorders>
            <w:shd w:val="clear" w:color="auto" w:fill="auto"/>
            <w:vAlign w:val="center"/>
          </w:tcPr>
          <w:p w14:paraId="259B5830" w14:textId="77777777" w:rsidR="00A74F6E" w:rsidRDefault="00A74F6E" w:rsidP="0010233B">
            <w:pPr>
              <w:spacing w:after="0" w:line="240" w:lineRule="auto"/>
              <w:ind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YEAR CONTROLS</w:t>
            </w:r>
          </w:p>
        </w:tc>
        <w:tc>
          <w:tcPr>
            <w:tcW w:w="785" w:type="dxa"/>
            <w:tcBorders>
              <w:top w:val="nil"/>
            </w:tcBorders>
          </w:tcPr>
          <w:p w14:paraId="5392F796"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544" w:type="dxa"/>
            <w:tcBorders>
              <w:top w:val="nil"/>
            </w:tcBorders>
          </w:tcPr>
          <w:p w14:paraId="483120A4"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85" w:type="dxa"/>
            <w:tcBorders>
              <w:top w:val="nil"/>
            </w:tcBorders>
          </w:tcPr>
          <w:p w14:paraId="1FBE03AE"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451" w:type="dxa"/>
            <w:tcBorders>
              <w:top w:val="nil"/>
            </w:tcBorders>
          </w:tcPr>
          <w:p w14:paraId="579FE45B"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26" w:type="dxa"/>
            <w:tcBorders>
              <w:top w:val="nil"/>
            </w:tcBorders>
          </w:tcPr>
          <w:p w14:paraId="2C084F1A"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99" w:type="dxa"/>
            <w:tcBorders>
              <w:top w:val="nil"/>
            </w:tcBorders>
          </w:tcPr>
          <w:p w14:paraId="55CF5C54"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477" w:type="dxa"/>
            <w:tcBorders>
              <w:top w:val="nil"/>
            </w:tcBorders>
          </w:tcPr>
          <w:p w14:paraId="0F15F216"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78" w:type="dxa"/>
            <w:tcBorders>
              <w:top w:val="nil"/>
            </w:tcBorders>
          </w:tcPr>
          <w:p w14:paraId="57F4FB3A"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356" w:type="dxa"/>
            <w:tcBorders>
              <w:top w:val="nil"/>
            </w:tcBorders>
          </w:tcPr>
          <w:p w14:paraId="6C56B39D"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34" w:type="dxa"/>
            <w:tcBorders>
              <w:top w:val="nil"/>
            </w:tcBorders>
            <w:vAlign w:val="center"/>
          </w:tcPr>
          <w:p w14:paraId="55357C2E" w14:textId="77777777" w:rsidR="00A74F6E" w:rsidRPr="00EA4C2C" w:rsidRDefault="00A74F6E" w:rsidP="0010233B">
            <w:pPr>
              <w:spacing w:after="0" w:line="240" w:lineRule="auto"/>
              <w:ind w:right="-113"/>
              <w:jc w:val="center"/>
              <w:rPr>
                <w:rFonts w:ascii="Times New Roman" w:eastAsia="Times New Roman" w:hAnsi="Times New Roman" w:cs="Times New Roman"/>
                <w:color w:val="000000"/>
                <w:sz w:val="22"/>
                <w:szCs w:val="22"/>
              </w:rPr>
            </w:pPr>
          </w:p>
        </w:tc>
      </w:tr>
      <w:tr w:rsidR="00A74F6E" w:rsidRPr="00EA4C2C" w14:paraId="0FBC3E46" w14:textId="77777777" w:rsidTr="0010233B">
        <w:trPr>
          <w:trHeight w:val="300"/>
        </w:trPr>
        <w:tc>
          <w:tcPr>
            <w:tcW w:w="3114" w:type="dxa"/>
            <w:gridSpan w:val="2"/>
            <w:tcBorders>
              <w:top w:val="nil"/>
            </w:tcBorders>
            <w:shd w:val="clear" w:color="auto" w:fill="auto"/>
            <w:vAlign w:val="center"/>
          </w:tcPr>
          <w:p w14:paraId="472353DC" w14:textId="77777777" w:rsidR="00A74F6E" w:rsidRDefault="00A74F6E" w:rsidP="0010233B">
            <w:pPr>
              <w:spacing w:after="0" w:line="240" w:lineRule="auto"/>
              <w:ind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INDUSTRY CONTROLS</w:t>
            </w:r>
          </w:p>
        </w:tc>
        <w:tc>
          <w:tcPr>
            <w:tcW w:w="785" w:type="dxa"/>
            <w:tcBorders>
              <w:top w:val="nil"/>
            </w:tcBorders>
          </w:tcPr>
          <w:p w14:paraId="3154FDDB"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544" w:type="dxa"/>
            <w:tcBorders>
              <w:top w:val="nil"/>
            </w:tcBorders>
          </w:tcPr>
          <w:p w14:paraId="249B99B8"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85" w:type="dxa"/>
            <w:tcBorders>
              <w:top w:val="nil"/>
            </w:tcBorders>
          </w:tcPr>
          <w:p w14:paraId="0064F58C"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451" w:type="dxa"/>
            <w:tcBorders>
              <w:top w:val="nil"/>
            </w:tcBorders>
          </w:tcPr>
          <w:p w14:paraId="3C2CBD33"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26" w:type="dxa"/>
            <w:tcBorders>
              <w:top w:val="nil"/>
            </w:tcBorders>
          </w:tcPr>
          <w:p w14:paraId="1B630FFE"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99" w:type="dxa"/>
            <w:tcBorders>
              <w:top w:val="nil"/>
            </w:tcBorders>
          </w:tcPr>
          <w:p w14:paraId="4269498E"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477" w:type="dxa"/>
            <w:tcBorders>
              <w:top w:val="nil"/>
            </w:tcBorders>
          </w:tcPr>
          <w:p w14:paraId="5C37B4F6"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778" w:type="dxa"/>
            <w:tcBorders>
              <w:top w:val="nil"/>
            </w:tcBorders>
          </w:tcPr>
          <w:p w14:paraId="60261C2E"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r w:rsidRPr="00EA4C2C">
              <w:rPr>
                <w:rFonts w:ascii="Times New Roman" w:eastAsia="Times New Roman" w:hAnsi="Times New Roman" w:cs="Times New Roman"/>
                <w:color w:val="000000"/>
                <w:sz w:val="22"/>
                <w:szCs w:val="22"/>
              </w:rPr>
              <w:t>YES</w:t>
            </w:r>
          </w:p>
        </w:tc>
        <w:tc>
          <w:tcPr>
            <w:tcW w:w="356" w:type="dxa"/>
            <w:tcBorders>
              <w:top w:val="nil"/>
            </w:tcBorders>
          </w:tcPr>
          <w:p w14:paraId="3113F03F" w14:textId="77777777" w:rsidR="00A74F6E" w:rsidRPr="00EA4C2C"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134" w:type="dxa"/>
            <w:tcBorders>
              <w:top w:val="nil"/>
            </w:tcBorders>
            <w:vAlign w:val="center"/>
          </w:tcPr>
          <w:p w14:paraId="64F46B10" w14:textId="77777777" w:rsidR="00A74F6E" w:rsidRPr="00EA4C2C" w:rsidRDefault="00A74F6E" w:rsidP="0010233B">
            <w:pPr>
              <w:spacing w:after="0" w:line="240" w:lineRule="auto"/>
              <w:ind w:right="-113"/>
              <w:jc w:val="center"/>
              <w:rPr>
                <w:rFonts w:ascii="Times New Roman" w:eastAsia="Times New Roman" w:hAnsi="Times New Roman" w:cs="Times New Roman"/>
                <w:color w:val="000000"/>
                <w:sz w:val="22"/>
                <w:szCs w:val="22"/>
              </w:rPr>
            </w:pPr>
          </w:p>
        </w:tc>
      </w:tr>
    </w:tbl>
    <w:p w14:paraId="43ADC7C4" w14:textId="77777777" w:rsidR="00A74F6E" w:rsidRDefault="00A74F6E" w:rsidP="00A74F6E">
      <w:pPr>
        <w:spacing w:after="0" w:line="240" w:lineRule="auto"/>
        <w:ind w:left="-284" w:right="-285"/>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Notes</w:t>
      </w:r>
      <w:r>
        <w:rPr>
          <w:rFonts w:ascii="Times New Roman" w:eastAsia="Times New Roman" w:hAnsi="Times New Roman" w:cs="Times New Roman"/>
          <w:sz w:val="20"/>
          <w:szCs w:val="20"/>
        </w:rPr>
        <w:t xml:space="preserve">: This table presents the results for Models (5) and (6) by regime. </w:t>
      </w:r>
      <w:r>
        <w:rPr>
          <w:rFonts w:ascii="Times New Roman" w:eastAsia="Times New Roman" w:hAnsi="Times New Roman" w:cs="Times New Roman"/>
          <w:i/>
          <w:sz w:val="20"/>
          <w:szCs w:val="20"/>
        </w:rPr>
        <w:t xml:space="preserve">REGIME1 </w:t>
      </w:r>
      <w:r>
        <w:rPr>
          <w:rFonts w:ascii="Times New Roman" w:eastAsia="Times New Roman" w:hAnsi="Times New Roman" w:cs="Times New Roman"/>
          <w:sz w:val="20"/>
          <w:szCs w:val="20"/>
        </w:rPr>
        <w:t xml:space="preserve">represents observations from 2000-2003; and </w:t>
      </w:r>
      <w:r>
        <w:rPr>
          <w:rFonts w:ascii="Times New Roman" w:eastAsia="Times New Roman" w:hAnsi="Times New Roman" w:cs="Times New Roman"/>
          <w:i/>
          <w:sz w:val="20"/>
          <w:szCs w:val="20"/>
        </w:rPr>
        <w:t xml:space="preserve">REGIME2 </w:t>
      </w:r>
      <w:r>
        <w:rPr>
          <w:rFonts w:ascii="Times New Roman" w:eastAsia="Times New Roman" w:hAnsi="Times New Roman" w:cs="Times New Roman"/>
          <w:sz w:val="20"/>
          <w:szCs w:val="20"/>
        </w:rPr>
        <w:t xml:space="preserve">indicates an observation is from 2004-2016. </w:t>
      </w:r>
      <w:r>
        <w:rPr>
          <w:rFonts w:ascii="Times New Roman" w:eastAsia="Times New Roman" w:hAnsi="Times New Roman" w:cs="Times New Roman"/>
          <w:color w:val="000000"/>
          <w:sz w:val="20"/>
          <w:szCs w:val="20"/>
        </w:rPr>
        <w:t>All other variables are defined in Table 2</w:t>
      </w:r>
      <w:r>
        <w:rPr>
          <w:rFonts w:ascii="Times New Roman" w:eastAsia="Times New Roman" w:hAnsi="Times New Roman" w:cs="Times New Roman"/>
          <w:sz w:val="20"/>
          <w:szCs w:val="20"/>
        </w:rPr>
        <w:t xml:space="preserve">.Coefficient estimates that are statistically significant at 10%, 5% or 1% indicated by *, ** and *** (two-tailed).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-values show the significance of the coefficients between the two regimes.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-values are based on the interaction terms of a pooled regression. Interactions are calculated between the regime dummy and each of the tested variables.  </w:t>
      </w:r>
    </w:p>
    <w:p w14:paraId="7CD576DA" w14:textId="77777777" w:rsidR="00A74F6E" w:rsidRDefault="00A74F6E" w:rsidP="00A74F6E">
      <w:pPr>
        <w:ind w:right="-285"/>
        <w:rPr>
          <w:rFonts w:ascii="Times New Roman" w:eastAsia="Times New Roman" w:hAnsi="Times New Roman" w:cs="Times New Roman"/>
        </w:rPr>
      </w:pPr>
    </w:p>
    <w:p w14:paraId="243D826E"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t xml:space="preserve">Table 8: Lintner Regressions of Dividend and Total </w:t>
      </w:r>
      <w:proofErr w:type="spellStart"/>
      <w:r>
        <w:rPr>
          <w:rFonts w:ascii="Times New Roman" w:eastAsia="Times New Roman" w:hAnsi="Times New Roman" w:cs="Times New Roman"/>
          <w:b/>
        </w:rPr>
        <w:t>Payout</w:t>
      </w:r>
      <w:proofErr w:type="spellEnd"/>
      <w:r>
        <w:rPr>
          <w:rFonts w:ascii="Times New Roman" w:eastAsia="Times New Roman" w:hAnsi="Times New Roman" w:cs="Times New Roman"/>
          <w:b/>
        </w:rPr>
        <w:t xml:space="preserve"> by Regulatory Regime</w:t>
      </w:r>
    </w:p>
    <w:tbl>
      <w:tblPr>
        <w:tblW w:w="9182"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04"/>
        <w:gridCol w:w="1159"/>
        <w:gridCol w:w="593"/>
        <w:gridCol w:w="2288"/>
        <w:gridCol w:w="593"/>
        <w:gridCol w:w="1541"/>
        <w:gridCol w:w="804"/>
      </w:tblGrid>
      <w:tr w:rsidR="00A74F6E" w14:paraId="4F9E4B84" w14:textId="77777777" w:rsidTr="0010233B">
        <w:trPr>
          <w:trHeight w:val="300"/>
          <w:jc w:val="center"/>
        </w:trPr>
        <w:tc>
          <w:tcPr>
            <w:tcW w:w="9182" w:type="dxa"/>
            <w:gridSpan w:val="7"/>
            <w:tcBorders>
              <w:top w:val="single" w:sz="4" w:space="0" w:color="000000"/>
              <w:bottom w:val="single" w:sz="4" w:space="0" w:color="000000"/>
            </w:tcBorders>
            <w:shd w:val="clear" w:color="auto" w:fill="auto"/>
            <w:vAlign w:val="bottom"/>
          </w:tcPr>
          <w:p w14:paraId="66C18BE7" w14:textId="77777777" w:rsidR="00A74F6E" w:rsidRDefault="00A74F6E" w:rsidP="0010233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Panel A: </w:t>
            </w:r>
            <m:oMath>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DIV</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α</m:t>
                  </m:r>
                </m:e>
                <m:sub>
                  <m:r>
                    <w:rPr>
                      <w:rFonts w:ascii="Cambria Math" w:eastAsia="Cambria Math" w:hAnsi="Cambria Math" w:cs="Cambria Math"/>
                    </w:rPr>
                    <m:t>0</m:t>
                  </m:r>
                </m:sub>
              </m:sSub>
              <m:r>
                <w:rPr>
                  <w:rFonts w:ascii="Cambria Math" w:eastAsia="Cambria Math" w:hAnsi="Cambria Math" w:cs="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α</m:t>
                      </m:r>
                    </m:e>
                    <m:sub>
                      <m:r>
                        <w:rPr>
                          <w:rFonts w:ascii="Cambria Math" w:eastAsia="Cambria Math" w:hAnsi="Cambria Math" w:cs="Cambria Math"/>
                        </w:rPr>
                        <m:t>1</m:t>
                      </m:r>
                    </m:sub>
                  </m:sSub>
                  <m:r>
                    <w:rPr>
                      <w:rFonts w:ascii="Cambria Math" w:eastAsia="Cambria Math" w:hAnsi="Cambria Math" w:cs="Cambria Math"/>
                    </w:rPr>
                    <m:t>NI</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α</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DIV</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μ</m:t>
                  </m:r>
                </m:e>
                <m:sub>
                  <m:r>
                    <w:rPr>
                      <w:rFonts w:ascii="Cambria Math" w:eastAsia="Cambria Math" w:hAnsi="Cambria Math" w:cs="Cambria Math"/>
                    </w:rPr>
                    <m:t>t</m:t>
                  </m:r>
                </m:sub>
              </m:sSub>
            </m:oMath>
          </w:p>
          <w:p w14:paraId="2A2103DF"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p>
        </w:tc>
      </w:tr>
      <w:tr w:rsidR="00A74F6E" w14:paraId="3D817EDD" w14:textId="77777777" w:rsidTr="0010233B">
        <w:trPr>
          <w:trHeight w:val="300"/>
          <w:jc w:val="center"/>
        </w:trPr>
        <w:tc>
          <w:tcPr>
            <w:tcW w:w="2204" w:type="dxa"/>
            <w:tcBorders>
              <w:top w:val="single" w:sz="4" w:space="0" w:color="000000"/>
              <w:bottom w:val="single" w:sz="4" w:space="0" w:color="000000"/>
            </w:tcBorders>
            <w:shd w:val="clear" w:color="auto" w:fill="auto"/>
            <w:vAlign w:val="bottom"/>
          </w:tcPr>
          <w:p w14:paraId="06C3E810" w14:textId="77777777" w:rsidR="00A74F6E" w:rsidRDefault="00A74F6E" w:rsidP="0010233B">
            <w:pPr>
              <w:spacing w:after="0" w:line="240" w:lineRule="auto"/>
              <w:rPr>
                <w:rFonts w:ascii="Times New Roman" w:eastAsia="Times New Roman" w:hAnsi="Times New Roman" w:cs="Times New Roman"/>
                <w:color w:val="000000"/>
              </w:rPr>
            </w:pPr>
          </w:p>
        </w:tc>
        <w:tc>
          <w:tcPr>
            <w:tcW w:w="1159" w:type="dxa"/>
            <w:tcBorders>
              <w:top w:val="single" w:sz="4" w:space="0" w:color="000000"/>
              <w:bottom w:val="single" w:sz="4" w:space="0" w:color="000000"/>
            </w:tcBorders>
            <w:shd w:val="clear" w:color="auto" w:fill="auto"/>
          </w:tcPr>
          <w:p w14:paraId="24AA70E0" w14:textId="77777777" w:rsidR="00A74F6E" w:rsidRDefault="00A74F6E" w:rsidP="0010233B">
            <w:pPr>
              <w:spacing w:after="0" w:line="240" w:lineRule="auto"/>
              <w:ind w:right="-113"/>
              <w:jc w:val="center"/>
              <w:rPr>
                <w:rFonts w:ascii="Times New Roman" w:eastAsia="Times New Roman" w:hAnsi="Times New Roman" w:cs="Times New Roman"/>
              </w:rPr>
            </w:pPr>
            <w:r>
              <w:rPr>
                <w:rFonts w:ascii="Times New Roman" w:eastAsia="Times New Roman" w:hAnsi="Times New Roman" w:cs="Times New Roman"/>
              </w:rPr>
              <w:t>Regime 1</w:t>
            </w:r>
          </w:p>
        </w:tc>
        <w:tc>
          <w:tcPr>
            <w:tcW w:w="593" w:type="dxa"/>
            <w:tcBorders>
              <w:top w:val="single" w:sz="4" w:space="0" w:color="000000"/>
              <w:bottom w:val="single" w:sz="4" w:space="0" w:color="000000"/>
            </w:tcBorders>
            <w:shd w:val="clear" w:color="auto" w:fill="auto"/>
          </w:tcPr>
          <w:p w14:paraId="39B90AA8"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p>
        </w:tc>
        <w:tc>
          <w:tcPr>
            <w:tcW w:w="2881" w:type="dxa"/>
            <w:gridSpan w:val="2"/>
            <w:tcBorders>
              <w:top w:val="single" w:sz="4" w:space="0" w:color="000000"/>
              <w:bottom w:val="single" w:sz="4" w:space="0" w:color="000000"/>
            </w:tcBorders>
            <w:shd w:val="clear" w:color="auto" w:fill="auto"/>
          </w:tcPr>
          <w:p w14:paraId="0ADA9B3D"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Regime 2</w:t>
            </w:r>
          </w:p>
        </w:tc>
        <w:tc>
          <w:tcPr>
            <w:tcW w:w="2345" w:type="dxa"/>
            <w:gridSpan w:val="2"/>
            <w:tcBorders>
              <w:top w:val="single" w:sz="4" w:space="0" w:color="000000"/>
              <w:bottom w:val="single" w:sz="4" w:space="0" w:color="000000"/>
            </w:tcBorders>
            <w:shd w:val="clear" w:color="auto" w:fill="auto"/>
          </w:tcPr>
          <w:p w14:paraId="7F821C38"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r>
              <w:rPr>
                <w:rFonts w:ascii="Times New Roman" w:eastAsia="Times New Roman" w:hAnsi="Times New Roman" w:cs="Times New Roman"/>
                <w:i/>
                <w:color w:val="000000"/>
              </w:rPr>
              <w:t>p</w:t>
            </w:r>
            <w:r>
              <w:rPr>
                <w:rFonts w:ascii="Times New Roman" w:eastAsia="Times New Roman" w:hAnsi="Times New Roman" w:cs="Times New Roman"/>
                <w:color w:val="000000"/>
              </w:rPr>
              <w:t>-value for difference</w:t>
            </w:r>
          </w:p>
        </w:tc>
      </w:tr>
      <w:tr w:rsidR="00A74F6E" w14:paraId="7894A12E" w14:textId="77777777" w:rsidTr="0010233B">
        <w:trPr>
          <w:trHeight w:val="300"/>
          <w:jc w:val="center"/>
        </w:trPr>
        <w:tc>
          <w:tcPr>
            <w:tcW w:w="2204" w:type="dxa"/>
            <w:tcBorders>
              <w:top w:val="single" w:sz="4" w:space="0" w:color="000000"/>
              <w:bottom w:val="nil"/>
              <w:right w:val="nil"/>
            </w:tcBorders>
            <w:shd w:val="clear" w:color="auto" w:fill="auto"/>
            <w:vAlign w:val="bottom"/>
          </w:tcPr>
          <w:p w14:paraId="2BECBB21" w14:textId="77777777" w:rsidR="00A74F6E" w:rsidRDefault="00A74F6E" w:rsidP="0010233B">
            <w:pPr>
              <w:spacing w:after="0" w:line="240" w:lineRule="auto"/>
              <w:rPr>
                <w:rFonts w:ascii="Times New Roman" w:eastAsia="Times New Roman" w:hAnsi="Times New Roman" w:cs="Times New Roman"/>
                <w:i/>
                <w:color w:val="000000"/>
                <w:vertAlign w:val="subscript"/>
              </w:rPr>
            </w:pPr>
            <w:proofErr w:type="spellStart"/>
            <w:r>
              <w:rPr>
                <w:rFonts w:ascii="Times New Roman" w:eastAsia="Times New Roman" w:hAnsi="Times New Roman" w:cs="Times New Roman"/>
                <w:i/>
                <w:color w:val="000000"/>
              </w:rPr>
              <w:t>NI</w:t>
            </w:r>
            <w:r>
              <w:rPr>
                <w:rFonts w:ascii="Times New Roman" w:eastAsia="Times New Roman" w:hAnsi="Times New Roman" w:cs="Times New Roman"/>
                <w:i/>
                <w:color w:val="000000"/>
                <w:vertAlign w:val="subscript"/>
              </w:rPr>
              <w:t>t</w:t>
            </w:r>
            <w:proofErr w:type="spellEnd"/>
          </w:p>
        </w:tc>
        <w:tc>
          <w:tcPr>
            <w:tcW w:w="1159" w:type="dxa"/>
            <w:tcBorders>
              <w:top w:val="single" w:sz="4" w:space="0" w:color="000000"/>
              <w:left w:val="nil"/>
              <w:bottom w:val="nil"/>
              <w:right w:val="nil"/>
            </w:tcBorders>
            <w:shd w:val="clear" w:color="auto" w:fill="auto"/>
            <w:vAlign w:val="bottom"/>
          </w:tcPr>
          <w:p w14:paraId="33D3A879"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0.079</w:t>
            </w:r>
          </w:p>
        </w:tc>
        <w:tc>
          <w:tcPr>
            <w:tcW w:w="593" w:type="dxa"/>
            <w:tcBorders>
              <w:top w:val="single" w:sz="4" w:space="0" w:color="000000"/>
              <w:left w:val="nil"/>
              <w:bottom w:val="nil"/>
              <w:right w:val="nil"/>
            </w:tcBorders>
            <w:shd w:val="clear" w:color="auto" w:fill="auto"/>
            <w:vAlign w:val="bottom"/>
          </w:tcPr>
          <w:p w14:paraId="59F2E85F"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2288" w:type="dxa"/>
            <w:tcBorders>
              <w:top w:val="single" w:sz="4" w:space="0" w:color="000000"/>
              <w:left w:val="nil"/>
              <w:bottom w:val="nil"/>
              <w:right w:val="nil"/>
            </w:tcBorders>
            <w:shd w:val="clear" w:color="auto" w:fill="auto"/>
            <w:vAlign w:val="bottom"/>
          </w:tcPr>
          <w:p w14:paraId="56C96A1D"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0.084</w:t>
            </w:r>
          </w:p>
        </w:tc>
        <w:tc>
          <w:tcPr>
            <w:tcW w:w="593" w:type="dxa"/>
            <w:tcBorders>
              <w:top w:val="single" w:sz="4" w:space="0" w:color="000000"/>
              <w:left w:val="nil"/>
              <w:bottom w:val="nil"/>
              <w:right w:val="nil"/>
            </w:tcBorders>
            <w:shd w:val="clear" w:color="auto" w:fill="auto"/>
            <w:vAlign w:val="bottom"/>
          </w:tcPr>
          <w:p w14:paraId="07F8C011"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1541" w:type="dxa"/>
            <w:tcBorders>
              <w:top w:val="single" w:sz="4" w:space="0" w:color="000000"/>
              <w:left w:val="nil"/>
              <w:bottom w:val="nil"/>
              <w:right w:val="nil"/>
            </w:tcBorders>
            <w:shd w:val="clear" w:color="auto" w:fill="auto"/>
            <w:vAlign w:val="bottom"/>
          </w:tcPr>
          <w:p w14:paraId="6CED045F"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0.631</w:t>
            </w:r>
          </w:p>
        </w:tc>
        <w:tc>
          <w:tcPr>
            <w:tcW w:w="804" w:type="dxa"/>
            <w:tcBorders>
              <w:top w:val="single" w:sz="4" w:space="0" w:color="000000"/>
              <w:left w:val="nil"/>
              <w:bottom w:val="nil"/>
            </w:tcBorders>
            <w:shd w:val="clear" w:color="auto" w:fill="auto"/>
            <w:vAlign w:val="center"/>
          </w:tcPr>
          <w:p w14:paraId="5BCD9331"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3311BB80" w14:textId="77777777" w:rsidTr="0010233B">
        <w:trPr>
          <w:trHeight w:val="300"/>
          <w:jc w:val="center"/>
        </w:trPr>
        <w:tc>
          <w:tcPr>
            <w:tcW w:w="2204" w:type="dxa"/>
            <w:tcBorders>
              <w:top w:val="nil"/>
              <w:right w:val="nil"/>
            </w:tcBorders>
            <w:shd w:val="clear" w:color="auto" w:fill="auto"/>
            <w:vAlign w:val="bottom"/>
          </w:tcPr>
          <w:p w14:paraId="78F84E81" w14:textId="77777777" w:rsidR="00A74F6E" w:rsidRDefault="00A74F6E" w:rsidP="0010233B">
            <w:pPr>
              <w:spacing w:after="0" w:line="240" w:lineRule="auto"/>
              <w:rPr>
                <w:rFonts w:ascii="Times New Roman" w:eastAsia="Times New Roman" w:hAnsi="Times New Roman" w:cs="Times New Roman"/>
                <w:i/>
              </w:rPr>
            </w:pPr>
          </w:p>
        </w:tc>
        <w:tc>
          <w:tcPr>
            <w:tcW w:w="1159" w:type="dxa"/>
            <w:tcBorders>
              <w:top w:val="nil"/>
              <w:left w:val="nil"/>
              <w:bottom w:val="nil"/>
              <w:right w:val="nil"/>
            </w:tcBorders>
            <w:shd w:val="clear" w:color="auto" w:fill="auto"/>
            <w:vAlign w:val="bottom"/>
          </w:tcPr>
          <w:p w14:paraId="68E8A12C"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8.479</w:t>
            </w:r>
          </w:p>
        </w:tc>
        <w:tc>
          <w:tcPr>
            <w:tcW w:w="593" w:type="dxa"/>
            <w:tcBorders>
              <w:top w:val="nil"/>
              <w:left w:val="nil"/>
              <w:bottom w:val="nil"/>
              <w:right w:val="nil"/>
            </w:tcBorders>
            <w:shd w:val="clear" w:color="auto" w:fill="auto"/>
            <w:vAlign w:val="bottom"/>
          </w:tcPr>
          <w:p w14:paraId="3F7C0DFE"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2288" w:type="dxa"/>
            <w:tcBorders>
              <w:top w:val="nil"/>
              <w:left w:val="nil"/>
              <w:bottom w:val="nil"/>
              <w:right w:val="nil"/>
            </w:tcBorders>
            <w:shd w:val="clear" w:color="auto" w:fill="auto"/>
            <w:vAlign w:val="bottom"/>
          </w:tcPr>
          <w:p w14:paraId="1531B087"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13.256</w:t>
            </w:r>
          </w:p>
        </w:tc>
        <w:tc>
          <w:tcPr>
            <w:tcW w:w="593" w:type="dxa"/>
            <w:tcBorders>
              <w:top w:val="nil"/>
              <w:left w:val="nil"/>
              <w:bottom w:val="nil"/>
              <w:right w:val="nil"/>
            </w:tcBorders>
            <w:shd w:val="clear" w:color="auto" w:fill="auto"/>
            <w:vAlign w:val="bottom"/>
          </w:tcPr>
          <w:p w14:paraId="2E4DEA0F"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nil"/>
              <w:right w:val="nil"/>
            </w:tcBorders>
            <w:shd w:val="clear" w:color="auto" w:fill="auto"/>
            <w:vAlign w:val="bottom"/>
          </w:tcPr>
          <w:p w14:paraId="7E191212"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nil"/>
              <w:left w:val="nil"/>
              <w:bottom w:val="nil"/>
            </w:tcBorders>
            <w:shd w:val="clear" w:color="auto" w:fill="auto"/>
            <w:vAlign w:val="center"/>
          </w:tcPr>
          <w:p w14:paraId="22D72777"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2304B004" w14:textId="77777777" w:rsidTr="0010233B">
        <w:trPr>
          <w:trHeight w:val="300"/>
          <w:jc w:val="center"/>
        </w:trPr>
        <w:tc>
          <w:tcPr>
            <w:tcW w:w="2204" w:type="dxa"/>
            <w:tcBorders>
              <w:right w:val="nil"/>
            </w:tcBorders>
            <w:shd w:val="clear" w:color="auto" w:fill="auto"/>
            <w:vAlign w:val="bottom"/>
          </w:tcPr>
          <w:p w14:paraId="4A52EAFA" w14:textId="77777777" w:rsidR="00A74F6E" w:rsidRDefault="00A74F6E" w:rsidP="0010233B">
            <w:pPr>
              <w:spacing w:after="0" w:line="240" w:lineRule="auto"/>
              <w:rPr>
                <w:rFonts w:ascii="Times New Roman" w:eastAsia="Times New Roman" w:hAnsi="Times New Roman" w:cs="Times New Roman"/>
                <w:i/>
                <w:color w:val="000000"/>
                <w:vertAlign w:val="subscript"/>
              </w:rPr>
            </w:pPr>
            <w:r>
              <w:rPr>
                <w:rFonts w:ascii="Times New Roman" w:eastAsia="Times New Roman" w:hAnsi="Times New Roman" w:cs="Times New Roman"/>
                <w:i/>
                <w:color w:val="000000"/>
              </w:rPr>
              <w:t>DIV</w:t>
            </w:r>
            <w:r>
              <w:rPr>
                <w:rFonts w:ascii="Times New Roman" w:eastAsia="Times New Roman" w:hAnsi="Times New Roman" w:cs="Times New Roman"/>
                <w:i/>
                <w:color w:val="000000"/>
                <w:vertAlign w:val="subscript"/>
              </w:rPr>
              <w:t>t-1</w:t>
            </w:r>
          </w:p>
        </w:tc>
        <w:tc>
          <w:tcPr>
            <w:tcW w:w="1159" w:type="dxa"/>
            <w:tcBorders>
              <w:top w:val="nil"/>
              <w:left w:val="nil"/>
              <w:bottom w:val="nil"/>
              <w:right w:val="nil"/>
            </w:tcBorders>
            <w:shd w:val="clear" w:color="auto" w:fill="auto"/>
            <w:vAlign w:val="bottom"/>
          </w:tcPr>
          <w:p w14:paraId="6A0D4B9D"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-0.198</w:t>
            </w:r>
          </w:p>
        </w:tc>
        <w:tc>
          <w:tcPr>
            <w:tcW w:w="593" w:type="dxa"/>
            <w:tcBorders>
              <w:top w:val="nil"/>
              <w:left w:val="nil"/>
              <w:bottom w:val="nil"/>
              <w:right w:val="nil"/>
            </w:tcBorders>
            <w:shd w:val="clear" w:color="auto" w:fill="auto"/>
            <w:vAlign w:val="bottom"/>
          </w:tcPr>
          <w:p w14:paraId="1B1ABB3A" w14:textId="77777777" w:rsidR="00A74F6E" w:rsidRPr="003E6509" w:rsidRDefault="00A74F6E" w:rsidP="0010233B">
            <w:pPr>
              <w:spacing w:after="0" w:line="240" w:lineRule="auto"/>
              <w:ind w:left="-113" w:right="-113"/>
              <w:rPr>
                <w:rFonts w:ascii="Times New Roman" w:eastAsia="Times New Roman" w:hAnsi="Times New Roman" w:cs="Times New Roman"/>
                <w:b/>
                <w:bCs/>
                <w:color w:val="000000"/>
              </w:rPr>
            </w:pPr>
            <w:r w:rsidRPr="003E6509">
              <w:rPr>
                <w:rFonts w:ascii="Times New Roman" w:hAnsi="Times New Roman" w:cs="Times New Roman"/>
                <w:b/>
                <w:bCs/>
              </w:rPr>
              <w:t>***</w:t>
            </w:r>
          </w:p>
        </w:tc>
        <w:tc>
          <w:tcPr>
            <w:tcW w:w="2288" w:type="dxa"/>
            <w:tcBorders>
              <w:top w:val="nil"/>
              <w:left w:val="nil"/>
              <w:bottom w:val="nil"/>
              <w:right w:val="nil"/>
            </w:tcBorders>
            <w:shd w:val="clear" w:color="auto" w:fill="auto"/>
            <w:vAlign w:val="bottom"/>
          </w:tcPr>
          <w:p w14:paraId="6B8D56D7"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-0.111</w:t>
            </w:r>
          </w:p>
        </w:tc>
        <w:tc>
          <w:tcPr>
            <w:tcW w:w="593" w:type="dxa"/>
            <w:tcBorders>
              <w:top w:val="nil"/>
              <w:left w:val="nil"/>
              <w:bottom w:val="nil"/>
              <w:right w:val="nil"/>
            </w:tcBorders>
            <w:shd w:val="clear" w:color="auto" w:fill="auto"/>
            <w:vAlign w:val="bottom"/>
          </w:tcPr>
          <w:p w14:paraId="28496DD8"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1541" w:type="dxa"/>
            <w:tcBorders>
              <w:top w:val="nil"/>
              <w:left w:val="nil"/>
              <w:bottom w:val="nil"/>
              <w:right w:val="nil"/>
            </w:tcBorders>
            <w:shd w:val="clear" w:color="auto" w:fill="auto"/>
            <w:vAlign w:val="bottom"/>
          </w:tcPr>
          <w:p w14:paraId="2407B523"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r w:rsidRPr="00787C26">
              <w:rPr>
                <w:rFonts w:ascii="Times New Roman" w:hAnsi="Times New Roman" w:cs="Times New Roman"/>
                <w:b/>
                <w:bCs/>
              </w:rPr>
              <w:t>0.002</w:t>
            </w:r>
          </w:p>
        </w:tc>
        <w:tc>
          <w:tcPr>
            <w:tcW w:w="804" w:type="dxa"/>
            <w:tcBorders>
              <w:top w:val="nil"/>
              <w:left w:val="nil"/>
              <w:bottom w:val="nil"/>
            </w:tcBorders>
            <w:shd w:val="clear" w:color="auto" w:fill="auto"/>
            <w:vAlign w:val="center"/>
          </w:tcPr>
          <w:p w14:paraId="56BCC5FF"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2D962106" w14:textId="77777777" w:rsidTr="0010233B">
        <w:trPr>
          <w:trHeight w:val="300"/>
          <w:jc w:val="center"/>
        </w:trPr>
        <w:tc>
          <w:tcPr>
            <w:tcW w:w="2204" w:type="dxa"/>
            <w:tcBorders>
              <w:right w:val="nil"/>
            </w:tcBorders>
            <w:shd w:val="clear" w:color="auto" w:fill="auto"/>
            <w:vAlign w:val="bottom"/>
          </w:tcPr>
          <w:p w14:paraId="05E13DE8" w14:textId="77777777" w:rsidR="00A74F6E" w:rsidRDefault="00A74F6E" w:rsidP="0010233B">
            <w:pPr>
              <w:spacing w:after="0" w:line="240" w:lineRule="auto"/>
              <w:rPr>
                <w:rFonts w:ascii="Times New Roman" w:eastAsia="Times New Roman" w:hAnsi="Times New Roman" w:cs="Times New Roman"/>
                <w:i/>
              </w:rPr>
            </w:pPr>
          </w:p>
        </w:tc>
        <w:tc>
          <w:tcPr>
            <w:tcW w:w="1159" w:type="dxa"/>
            <w:tcBorders>
              <w:top w:val="nil"/>
              <w:left w:val="nil"/>
              <w:bottom w:val="nil"/>
              <w:right w:val="nil"/>
            </w:tcBorders>
            <w:shd w:val="clear" w:color="auto" w:fill="auto"/>
            <w:vAlign w:val="bottom"/>
          </w:tcPr>
          <w:p w14:paraId="2D10A674"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-7.133</w:t>
            </w:r>
          </w:p>
        </w:tc>
        <w:tc>
          <w:tcPr>
            <w:tcW w:w="593" w:type="dxa"/>
            <w:tcBorders>
              <w:top w:val="nil"/>
              <w:left w:val="nil"/>
              <w:bottom w:val="nil"/>
              <w:right w:val="nil"/>
            </w:tcBorders>
            <w:shd w:val="clear" w:color="auto" w:fill="auto"/>
            <w:vAlign w:val="bottom"/>
          </w:tcPr>
          <w:p w14:paraId="72CE7A51" w14:textId="77777777" w:rsidR="00A74F6E" w:rsidRPr="003E6509" w:rsidRDefault="00A74F6E" w:rsidP="0010233B">
            <w:pPr>
              <w:spacing w:after="0" w:line="240" w:lineRule="auto"/>
              <w:ind w:left="-113" w:right="-113"/>
              <w:rPr>
                <w:rFonts w:ascii="Times New Roman" w:eastAsia="Times New Roman" w:hAnsi="Times New Roman" w:cs="Times New Roman"/>
                <w:b/>
                <w:bCs/>
                <w:color w:val="000000"/>
              </w:rPr>
            </w:pPr>
          </w:p>
        </w:tc>
        <w:tc>
          <w:tcPr>
            <w:tcW w:w="2288" w:type="dxa"/>
            <w:tcBorders>
              <w:top w:val="nil"/>
              <w:left w:val="nil"/>
              <w:bottom w:val="nil"/>
              <w:right w:val="nil"/>
            </w:tcBorders>
            <w:shd w:val="clear" w:color="auto" w:fill="auto"/>
            <w:vAlign w:val="bottom"/>
          </w:tcPr>
          <w:p w14:paraId="76376EE2"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-6.506</w:t>
            </w:r>
          </w:p>
        </w:tc>
        <w:tc>
          <w:tcPr>
            <w:tcW w:w="593" w:type="dxa"/>
            <w:tcBorders>
              <w:top w:val="nil"/>
              <w:left w:val="nil"/>
              <w:bottom w:val="nil"/>
              <w:right w:val="nil"/>
            </w:tcBorders>
            <w:shd w:val="clear" w:color="auto" w:fill="auto"/>
            <w:vAlign w:val="bottom"/>
          </w:tcPr>
          <w:p w14:paraId="47A5BEE0"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nil"/>
              <w:right w:val="nil"/>
            </w:tcBorders>
            <w:shd w:val="clear" w:color="auto" w:fill="auto"/>
            <w:vAlign w:val="bottom"/>
          </w:tcPr>
          <w:p w14:paraId="3C986B12"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p>
        </w:tc>
        <w:tc>
          <w:tcPr>
            <w:tcW w:w="804" w:type="dxa"/>
            <w:tcBorders>
              <w:top w:val="nil"/>
              <w:left w:val="nil"/>
              <w:bottom w:val="nil"/>
            </w:tcBorders>
            <w:shd w:val="clear" w:color="auto" w:fill="auto"/>
            <w:vAlign w:val="center"/>
          </w:tcPr>
          <w:p w14:paraId="3E506742"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2E3CAFCD" w14:textId="77777777" w:rsidTr="0010233B">
        <w:trPr>
          <w:trHeight w:val="108"/>
          <w:jc w:val="center"/>
        </w:trPr>
        <w:tc>
          <w:tcPr>
            <w:tcW w:w="2204" w:type="dxa"/>
            <w:tcBorders>
              <w:top w:val="nil"/>
              <w:left w:val="single" w:sz="4" w:space="0" w:color="000000"/>
              <w:bottom w:val="nil"/>
              <w:right w:val="nil"/>
            </w:tcBorders>
            <w:shd w:val="clear" w:color="auto" w:fill="auto"/>
            <w:vAlign w:val="bottom"/>
          </w:tcPr>
          <w:p w14:paraId="737DB90B" w14:textId="77777777" w:rsidR="00A74F6E" w:rsidRDefault="00A74F6E" w:rsidP="0010233B">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Constant</w:t>
            </w:r>
          </w:p>
        </w:tc>
        <w:tc>
          <w:tcPr>
            <w:tcW w:w="1159" w:type="dxa"/>
            <w:tcBorders>
              <w:top w:val="nil"/>
              <w:left w:val="nil"/>
              <w:bottom w:val="nil"/>
              <w:right w:val="nil"/>
            </w:tcBorders>
            <w:shd w:val="clear" w:color="auto" w:fill="auto"/>
            <w:vAlign w:val="bottom"/>
          </w:tcPr>
          <w:p w14:paraId="3930E158"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0.008</w:t>
            </w:r>
          </w:p>
        </w:tc>
        <w:tc>
          <w:tcPr>
            <w:tcW w:w="593" w:type="dxa"/>
            <w:tcBorders>
              <w:top w:val="nil"/>
              <w:left w:val="nil"/>
              <w:bottom w:val="nil"/>
              <w:right w:val="nil"/>
            </w:tcBorders>
            <w:shd w:val="clear" w:color="auto" w:fill="auto"/>
            <w:vAlign w:val="bottom"/>
          </w:tcPr>
          <w:p w14:paraId="2341BAAC"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2288" w:type="dxa"/>
            <w:tcBorders>
              <w:top w:val="nil"/>
              <w:left w:val="nil"/>
              <w:bottom w:val="nil"/>
              <w:right w:val="nil"/>
            </w:tcBorders>
            <w:shd w:val="clear" w:color="auto" w:fill="auto"/>
            <w:vAlign w:val="bottom"/>
          </w:tcPr>
          <w:p w14:paraId="2BA319D3"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rPr>
              <w:t>0.001</w:t>
            </w:r>
          </w:p>
        </w:tc>
        <w:tc>
          <w:tcPr>
            <w:tcW w:w="593" w:type="dxa"/>
            <w:tcBorders>
              <w:top w:val="nil"/>
              <w:left w:val="nil"/>
              <w:bottom w:val="nil"/>
              <w:right w:val="nil"/>
            </w:tcBorders>
            <w:shd w:val="clear" w:color="auto" w:fill="auto"/>
            <w:vAlign w:val="bottom"/>
          </w:tcPr>
          <w:p w14:paraId="2B22761E"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nil"/>
              <w:right w:val="nil"/>
            </w:tcBorders>
            <w:shd w:val="clear" w:color="auto" w:fill="auto"/>
            <w:vAlign w:val="bottom"/>
          </w:tcPr>
          <w:p w14:paraId="641A14CB"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r w:rsidRPr="00787C26">
              <w:rPr>
                <w:rFonts w:ascii="Times New Roman" w:hAnsi="Times New Roman" w:cs="Times New Roman"/>
                <w:b/>
                <w:bCs/>
              </w:rPr>
              <w:t>0.000</w:t>
            </w:r>
          </w:p>
        </w:tc>
        <w:tc>
          <w:tcPr>
            <w:tcW w:w="804" w:type="dxa"/>
            <w:tcBorders>
              <w:top w:val="nil"/>
              <w:left w:val="nil"/>
              <w:bottom w:val="nil"/>
            </w:tcBorders>
            <w:shd w:val="clear" w:color="auto" w:fill="auto"/>
            <w:vAlign w:val="center"/>
          </w:tcPr>
          <w:p w14:paraId="579C9CEA"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78FDEF55" w14:textId="77777777" w:rsidTr="0010233B">
        <w:trPr>
          <w:trHeight w:val="300"/>
          <w:jc w:val="center"/>
        </w:trPr>
        <w:tc>
          <w:tcPr>
            <w:tcW w:w="2204" w:type="dxa"/>
            <w:tcBorders>
              <w:top w:val="nil"/>
              <w:left w:val="single" w:sz="4" w:space="0" w:color="000000"/>
              <w:bottom w:val="single" w:sz="4" w:space="0" w:color="000000"/>
              <w:right w:val="nil"/>
            </w:tcBorders>
            <w:shd w:val="clear" w:color="auto" w:fill="auto"/>
            <w:vAlign w:val="bottom"/>
          </w:tcPr>
          <w:p w14:paraId="69310970" w14:textId="77777777" w:rsidR="00A74F6E" w:rsidRDefault="00A74F6E" w:rsidP="0010233B">
            <w:pPr>
              <w:spacing w:after="0" w:line="240" w:lineRule="auto"/>
              <w:rPr>
                <w:rFonts w:ascii="Times New Roman" w:eastAsia="Times New Roman" w:hAnsi="Times New Roman" w:cs="Times New Roman"/>
                <w:color w:val="000000"/>
              </w:rPr>
            </w:pPr>
          </w:p>
        </w:tc>
        <w:tc>
          <w:tcPr>
            <w:tcW w:w="1159" w:type="dxa"/>
            <w:tcBorders>
              <w:top w:val="nil"/>
              <w:left w:val="nil"/>
              <w:bottom w:val="single" w:sz="4" w:space="0" w:color="000000"/>
              <w:right w:val="nil"/>
            </w:tcBorders>
            <w:shd w:val="clear" w:color="auto" w:fill="auto"/>
            <w:vAlign w:val="bottom"/>
          </w:tcPr>
          <w:p w14:paraId="1943EFD9"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4.417</w:t>
            </w:r>
          </w:p>
        </w:tc>
        <w:tc>
          <w:tcPr>
            <w:tcW w:w="593" w:type="dxa"/>
            <w:tcBorders>
              <w:top w:val="nil"/>
              <w:left w:val="nil"/>
              <w:bottom w:val="single" w:sz="4" w:space="0" w:color="000000"/>
              <w:right w:val="nil"/>
            </w:tcBorders>
            <w:shd w:val="clear" w:color="auto" w:fill="auto"/>
            <w:vAlign w:val="bottom"/>
          </w:tcPr>
          <w:p w14:paraId="5E55095C"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2288" w:type="dxa"/>
            <w:tcBorders>
              <w:top w:val="nil"/>
              <w:left w:val="nil"/>
              <w:bottom w:val="single" w:sz="4" w:space="0" w:color="000000"/>
              <w:right w:val="nil"/>
            </w:tcBorders>
            <w:shd w:val="clear" w:color="auto" w:fill="auto"/>
            <w:vAlign w:val="bottom"/>
          </w:tcPr>
          <w:p w14:paraId="7F54EABB"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rPr>
              <w:t>0.457</w:t>
            </w:r>
          </w:p>
        </w:tc>
        <w:tc>
          <w:tcPr>
            <w:tcW w:w="593" w:type="dxa"/>
            <w:tcBorders>
              <w:top w:val="nil"/>
              <w:left w:val="nil"/>
              <w:bottom w:val="single" w:sz="4" w:space="0" w:color="000000"/>
              <w:right w:val="nil"/>
            </w:tcBorders>
            <w:shd w:val="clear" w:color="auto" w:fill="auto"/>
            <w:vAlign w:val="bottom"/>
          </w:tcPr>
          <w:p w14:paraId="77BDFFBE"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single" w:sz="4" w:space="0" w:color="000000"/>
              <w:right w:val="nil"/>
            </w:tcBorders>
            <w:shd w:val="clear" w:color="auto" w:fill="auto"/>
            <w:vAlign w:val="bottom"/>
          </w:tcPr>
          <w:p w14:paraId="4F0906F2"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p>
        </w:tc>
        <w:tc>
          <w:tcPr>
            <w:tcW w:w="804" w:type="dxa"/>
            <w:tcBorders>
              <w:top w:val="nil"/>
              <w:left w:val="nil"/>
              <w:bottom w:val="single" w:sz="4" w:space="0" w:color="000000"/>
            </w:tcBorders>
            <w:shd w:val="clear" w:color="auto" w:fill="auto"/>
            <w:vAlign w:val="center"/>
          </w:tcPr>
          <w:p w14:paraId="285C538C"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4794BB83" w14:textId="77777777" w:rsidTr="0010233B">
        <w:trPr>
          <w:trHeight w:val="45"/>
          <w:jc w:val="center"/>
        </w:trPr>
        <w:tc>
          <w:tcPr>
            <w:tcW w:w="2204" w:type="dxa"/>
            <w:tcBorders>
              <w:top w:val="single" w:sz="4" w:space="0" w:color="000000"/>
              <w:bottom w:val="nil"/>
              <w:right w:val="nil"/>
            </w:tcBorders>
            <w:shd w:val="clear" w:color="auto" w:fill="auto"/>
          </w:tcPr>
          <w:p w14:paraId="40D3890A" w14:textId="77777777" w:rsidR="00A74F6E" w:rsidRDefault="00A74F6E" w:rsidP="00102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159" w:type="dxa"/>
            <w:tcBorders>
              <w:top w:val="single" w:sz="4" w:space="0" w:color="000000"/>
              <w:left w:val="nil"/>
              <w:bottom w:val="nil"/>
              <w:right w:val="nil"/>
            </w:tcBorders>
            <w:shd w:val="clear" w:color="auto" w:fill="auto"/>
            <w:vAlign w:val="bottom"/>
          </w:tcPr>
          <w:p w14:paraId="0E3D1389"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1467</w:t>
            </w:r>
          </w:p>
        </w:tc>
        <w:tc>
          <w:tcPr>
            <w:tcW w:w="593" w:type="dxa"/>
            <w:tcBorders>
              <w:top w:val="single" w:sz="4" w:space="0" w:color="000000"/>
              <w:left w:val="nil"/>
              <w:bottom w:val="nil"/>
              <w:right w:val="nil"/>
            </w:tcBorders>
            <w:shd w:val="clear" w:color="auto" w:fill="auto"/>
            <w:vAlign w:val="bottom"/>
          </w:tcPr>
          <w:p w14:paraId="58232C82"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2288" w:type="dxa"/>
            <w:tcBorders>
              <w:top w:val="single" w:sz="4" w:space="0" w:color="000000"/>
              <w:left w:val="nil"/>
              <w:bottom w:val="nil"/>
              <w:right w:val="nil"/>
            </w:tcBorders>
            <w:shd w:val="clear" w:color="auto" w:fill="auto"/>
            <w:vAlign w:val="bottom"/>
          </w:tcPr>
          <w:p w14:paraId="586F6AD7"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4732</w:t>
            </w:r>
          </w:p>
        </w:tc>
        <w:tc>
          <w:tcPr>
            <w:tcW w:w="593" w:type="dxa"/>
            <w:tcBorders>
              <w:top w:val="single" w:sz="4" w:space="0" w:color="000000"/>
              <w:left w:val="nil"/>
              <w:bottom w:val="nil"/>
              <w:right w:val="nil"/>
            </w:tcBorders>
            <w:shd w:val="clear" w:color="auto" w:fill="auto"/>
            <w:vAlign w:val="bottom"/>
          </w:tcPr>
          <w:p w14:paraId="45629E5C"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1541" w:type="dxa"/>
            <w:tcBorders>
              <w:top w:val="single" w:sz="4" w:space="0" w:color="000000"/>
              <w:left w:val="nil"/>
              <w:bottom w:val="nil"/>
              <w:right w:val="nil"/>
            </w:tcBorders>
            <w:shd w:val="clear" w:color="auto" w:fill="auto"/>
            <w:vAlign w:val="center"/>
          </w:tcPr>
          <w:p w14:paraId="73620A9B"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single" w:sz="4" w:space="0" w:color="000000"/>
              <w:left w:val="nil"/>
              <w:bottom w:val="nil"/>
            </w:tcBorders>
            <w:shd w:val="clear" w:color="auto" w:fill="auto"/>
            <w:vAlign w:val="center"/>
          </w:tcPr>
          <w:p w14:paraId="133DDEB0"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4194C636" w14:textId="77777777" w:rsidTr="0010233B">
        <w:trPr>
          <w:trHeight w:val="300"/>
          <w:jc w:val="center"/>
        </w:trPr>
        <w:tc>
          <w:tcPr>
            <w:tcW w:w="2204" w:type="dxa"/>
            <w:tcBorders>
              <w:top w:val="nil"/>
              <w:bottom w:val="single" w:sz="4" w:space="0" w:color="000000"/>
              <w:right w:val="nil"/>
            </w:tcBorders>
            <w:shd w:val="clear" w:color="auto" w:fill="auto"/>
          </w:tcPr>
          <w:p w14:paraId="2FEA658F" w14:textId="77777777" w:rsidR="00A74F6E" w:rsidRDefault="00A74F6E" w:rsidP="0010233B">
            <w:pPr>
              <w:spacing w:after="0" w:line="240" w:lineRule="auto"/>
              <w:rPr>
                <w:rFonts w:ascii="Times New Roman" w:eastAsia="Times New Roman" w:hAnsi="Times New Roman" w:cs="Times New Roman"/>
                <w:color w:val="000000"/>
                <w:vertAlign w:val="superscript"/>
              </w:rPr>
            </w:pPr>
            <w:proofErr w:type="spellStart"/>
            <w:r>
              <w:rPr>
                <w:rFonts w:ascii="Times New Roman" w:eastAsia="Times New Roman" w:hAnsi="Times New Roman" w:cs="Times New Roman"/>
                <w:color w:val="000000"/>
              </w:rPr>
              <w:t>Adusted</w:t>
            </w:r>
            <w:proofErr w:type="spellEnd"/>
            <w:r>
              <w:rPr>
                <w:rFonts w:ascii="Times New Roman" w:eastAsia="Times New Roman" w:hAnsi="Times New Roman" w:cs="Times New Roman"/>
                <w:color w:val="000000"/>
              </w:rPr>
              <w:t xml:space="preserve"> R</w:t>
            </w:r>
            <w:r>
              <w:rPr>
                <w:rFonts w:ascii="Times New Roman" w:eastAsia="Times New Roman" w:hAnsi="Times New Roman" w:cs="Times New Roman"/>
                <w:color w:val="000000"/>
                <w:vertAlign w:val="superscript"/>
              </w:rPr>
              <w:t>2</w:t>
            </w:r>
          </w:p>
        </w:tc>
        <w:tc>
          <w:tcPr>
            <w:tcW w:w="1159" w:type="dxa"/>
            <w:tcBorders>
              <w:top w:val="nil"/>
              <w:left w:val="nil"/>
              <w:bottom w:val="single" w:sz="4" w:space="0" w:color="000000"/>
              <w:right w:val="nil"/>
            </w:tcBorders>
            <w:shd w:val="clear" w:color="auto" w:fill="auto"/>
            <w:vAlign w:val="bottom"/>
          </w:tcPr>
          <w:p w14:paraId="4E46F80A"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0.247</w:t>
            </w:r>
          </w:p>
        </w:tc>
        <w:tc>
          <w:tcPr>
            <w:tcW w:w="593" w:type="dxa"/>
            <w:tcBorders>
              <w:top w:val="nil"/>
              <w:left w:val="nil"/>
              <w:bottom w:val="single" w:sz="4" w:space="0" w:color="000000"/>
              <w:right w:val="nil"/>
            </w:tcBorders>
            <w:shd w:val="clear" w:color="auto" w:fill="auto"/>
            <w:vAlign w:val="bottom"/>
          </w:tcPr>
          <w:p w14:paraId="13A6705A"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2288" w:type="dxa"/>
            <w:tcBorders>
              <w:top w:val="nil"/>
              <w:left w:val="nil"/>
              <w:bottom w:val="single" w:sz="4" w:space="0" w:color="000000"/>
              <w:right w:val="nil"/>
            </w:tcBorders>
            <w:shd w:val="clear" w:color="auto" w:fill="auto"/>
            <w:vAlign w:val="bottom"/>
          </w:tcPr>
          <w:p w14:paraId="7330E291"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0.183</w:t>
            </w:r>
          </w:p>
        </w:tc>
        <w:tc>
          <w:tcPr>
            <w:tcW w:w="593" w:type="dxa"/>
            <w:tcBorders>
              <w:top w:val="nil"/>
              <w:left w:val="nil"/>
              <w:bottom w:val="single" w:sz="4" w:space="0" w:color="000000"/>
              <w:right w:val="nil"/>
            </w:tcBorders>
            <w:shd w:val="clear" w:color="auto" w:fill="auto"/>
            <w:vAlign w:val="bottom"/>
          </w:tcPr>
          <w:p w14:paraId="3570C585"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1541" w:type="dxa"/>
            <w:tcBorders>
              <w:top w:val="nil"/>
              <w:left w:val="nil"/>
              <w:bottom w:val="single" w:sz="4" w:space="0" w:color="000000"/>
              <w:right w:val="nil"/>
            </w:tcBorders>
            <w:shd w:val="clear" w:color="auto" w:fill="auto"/>
            <w:vAlign w:val="center"/>
          </w:tcPr>
          <w:p w14:paraId="42564812"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nil"/>
              <w:left w:val="nil"/>
              <w:bottom w:val="single" w:sz="4" w:space="0" w:color="000000"/>
            </w:tcBorders>
            <w:shd w:val="clear" w:color="auto" w:fill="auto"/>
            <w:vAlign w:val="center"/>
          </w:tcPr>
          <w:p w14:paraId="0317C2B2"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4095FE43" w14:textId="77777777" w:rsidTr="0010233B">
        <w:trPr>
          <w:trHeight w:val="300"/>
          <w:jc w:val="center"/>
        </w:trPr>
        <w:tc>
          <w:tcPr>
            <w:tcW w:w="2204" w:type="dxa"/>
            <w:tcBorders>
              <w:top w:val="nil"/>
              <w:bottom w:val="nil"/>
              <w:right w:val="nil"/>
            </w:tcBorders>
            <w:shd w:val="clear" w:color="auto" w:fill="auto"/>
          </w:tcPr>
          <w:p w14:paraId="0384CB28" w14:textId="77777777" w:rsidR="00A74F6E" w:rsidRDefault="00A74F6E" w:rsidP="00102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Speed of adjustment</w:t>
            </w:r>
          </w:p>
        </w:tc>
        <w:tc>
          <w:tcPr>
            <w:tcW w:w="1159" w:type="dxa"/>
            <w:tcBorders>
              <w:top w:val="nil"/>
              <w:left w:val="nil"/>
              <w:bottom w:val="nil"/>
              <w:right w:val="nil"/>
            </w:tcBorders>
            <w:shd w:val="clear" w:color="auto" w:fill="auto"/>
            <w:vAlign w:val="bottom"/>
          </w:tcPr>
          <w:p w14:paraId="1872773B"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0.198</w:t>
            </w:r>
          </w:p>
        </w:tc>
        <w:tc>
          <w:tcPr>
            <w:tcW w:w="593" w:type="dxa"/>
            <w:tcBorders>
              <w:top w:val="nil"/>
              <w:left w:val="nil"/>
              <w:bottom w:val="nil"/>
              <w:right w:val="nil"/>
            </w:tcBorders>
            <w:shd w:val="clear" w:color="auto" w:fill="auto"/>
            <w:vAlign w:val="bottom"/>
          </w:tcPr>
          <w:p w14:paraId="7A54C0A9" w14:textId="77777777" w:rsidR="00A74F6E" w:rsidRPr="003E6509" w:rsidRDefault="00A74F6E" w:rsidP="0010233B">
            <w:pPr>
              <w:spacing w:after="0" w:line="240" w:lineRule="auto"/>
              <w:rPr>
                <w:rFonts w:ascii="Times New Roman" w:eastAsia="Times New Roman" w:hAnsi="Times New Roman" w:cs="Times New Roman"/>
                <w:b/>
                <w:bCs/>
                <w:color w:val="000000"/>
              </w:rPr>
            </w:pPr>
          </w:p>
        </w:tc>
        <w:tc>
          <w:tcPr>
            <w:tcW w:w="2288" w:type="dxa"/>
            <w:tcBorders>
              <w:top w:val="nil"/>
              <w:left w:val="nil"/>
              <w:bottom w:val="nil"/>
              <w:right w:val="nil"/>
            </w:tcBorders>
            <w:shd w:val="clear" w:color="auto" w:fill="auto"/>
            <w:vAlign w:val="bottom"/>
          </w:tcPr>
          <w:p w14:paraId="2070165F"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0.111</w:t>
            </w:r>
          </w:p>
        </w:tc>
        <w:tc>
          <w:tcPr>
            <w:tcW w:w="593" w:type="dxa"/>
            <w:tcBorders>
              <w:top w:val="nil"/>
              <w:left w:val="nil"/>
              <w:bottom w:val="nil"/>
              <w:right w:val="nil"/>
            </w:tcBorders>
            <w:shd w:val="clear" w:color="auto" w:fill="auto"/>
            <w:vAlign w:val="bottom"/>
          </w:tcPr>
          <w:p w14:paraId="07170179" w14:textId="77777777" w:rsidR="00A74F6E" w:rsidRPr="00787C26" w:rsidRDefault="00A74F6E" w:rsidP="0010233B">
            <w:pPr>
              <w:spacing w:after="0" w:line="240" w:lineRule="auto"/>
              <w:ind w:left="-113"/>
              <w:rPr>
                <w:rFonts w:ascii="Times New Roman" w:eastAsia="Times New Roman" w:hAnsi="Times New Roman" w:cs="Times New Roman"/>
                <w:color w:val="000000"/>
              </w:rPr>
            </w:pPr>
          </w:p>
        </w:tc>
        <w:tc>
          <w:tcPr>
            <w:tcW w:w="1541" w:type="dxa"/>
            <w:tcBorders>
              <w:top w:val="nil"/>
              <w:left w:val="nil"/>
              <w:bottom w:val="nil"/>
              <w:right w:val="nil"/>
            </w:tcBorders>
            <w:shd w:val="clear" w:color="auto" w:fill="auto"/>
            <w:vAlign w:val="center"/>
          </w:tcPr>
          <w:p w14:paraId="18A032F6"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nil"/>
              <w:left w:val="nil"/>
              <w:bottom w:val="nil"/>
            </w:tcBorders>
            <w:shd w:val="clear" w:color="auto" w:fill="auto"/>
            <w:vAlign w:val="center"/>
          </w:tcPr>
          <w:p w14:paraId="54CFBD17"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6386C668" w14:textId="77777777" w:rsidTr="0010233B">
        <w:trPr>
          <w:trHeight w:val="300"/>
          <w:jc w:val="center"/>
        </w:trPr>
        <w:tc>
          <w:tcPr>
            <w:tcW w:w="2204" w:type="dxa"/>
            <w:tcBorders>
              <w:top w:val="nil"/>
              <w:bottom w:val="single" w:sz="4" w:space="0" w:color="000000"/>
              <w:right w:val="nil"/>
            </w:tcBorders>
            <w:shd w:val="clear" w:color="auto" w:fill="auto"/>
          </w:tcPr>
          <w:p w14:paraId="55482130" w14:textId="77777777" w:rsidR="00A74F6E" w:rsidRDefault="00A74F6E" w:rsidP="00102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Target </w:t>
            </w:r>
            <w:proofErr w:type="spellStart"/>
            <w:r>
              <w:rPr>
                <w:rFonts w:ascii="Times New Roman" w:eastAsia="Times New Roman" w:hAnsi="Times New Roman" w:cs="Times New Roman"/>
                <w:color w:val="000000"/>
              </w:rPr>
              <w:t>payout</w:t>
            </w:r>
            <w:proofErr w:type="spellEnd"/>
            <w:r>
              <w:rPr>
                <w:rFonts w:ascii="Times New Roman" w:eastAsia="Times New Roman" w:hAnsi="Times New Roman" w:cs="Times New Roman"/>
                <w:color w:val="000000"/>
              </w:rPr>
              <w:t xml:space="preserve"> ratio</w:t>
            </w:r>
          </w:p>
        </w:tc>
        <w:tc>
          <w:tcPr>
            <w:tcW w:w="1159" w:type="dxa"/>
            <w:tcBorders>
              <w:top w:val="nil"/>
              <w:left w:val="nil"/>
              <w:bottom w:val="single" w:sz="4" w:space="0" w:color="000000"/>
              <w:right w:val="nil"/>
            </w:tcBorders>
            <w:shd w:val="clear" w:color="auto" w:fill="auto"/>
            <w:vAlign w:val="bottom"/>
          </w:tcPr>
          <w:p w14:paraId="4B2E07E7"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0.399</w:t>
            </w:r>
          </w:p>
        </w:tc>
        <w:tc>
          <w:tcPr>
            <w:tcW w:w="593" w:type="dxa"/>
            <w:tcBorders>
              <w:top w:val="nil"/>
              <w:left w:val="nil"/>
              <w:bottom w:val="single" w:sz="4" w:space="0" w:color="000000"/>
              <w:right w:val="nil"/>
            </w:tcBorders>
            <w:shd w:val="clear" w:color="auto" w:fill="auto"/>
            <w:vAlign w:val="bottom"/>
          </w:tcPr>
          <w:p w14:paraId="3FF1FE1D" w14:textId="77777777" w:rsidR="00A74F6E" w:rsidRPr="003E6509" w:rsidRDefault="00A74F6E" w:rsidP="0010233B">
            <w:pPr>
              <w:spacing w:after="0" w:line="240" w:lineRule="auto"/>
              <w:ind w:left="-113"/>
              <w:rPr>
                <w:rFonts w:ascii="Times New Roman" w:eastAsia="Times New Roman" w:hAnsi="Times New Roman" w:cs="Times New Roman"/>
                <w:b/>
                <w:bCs/>
                <w:color w:val="000000"/>
              </w:rPr>
            </w:pPr>
          </w:p>
        </w:tc>
        <w:tc>
          <w:tcPr>
            <w:tcW w:w="2288" w:type="dxa"/>
            <w:tcBorders>
              <w:top w:val="nil"/>
              <w:left w:val="nil"/>
              <w:bottom w:val="single" w:sz="4" w:space="0" w:color="000000"/>
              <w:right w:val="nil"/>
            </w:tcBorders>
            <w:shd w:val="clear" w:color="auto" w:fill="auto"/>
            <w:vAlign w:val="bottom"/>
          </w:tcPr>
          <w:p w14:paraId="41AE662B"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0.757</w:t>
            </w:r>
          </w:p>
        </w:tc>
        <w:tc>
          <w:tcPr>
            <w:tcW w:w="593" w:type="dxa"/>
            <w:tcBorders>
              <w:top w:val="nil"/>
              <w:left w:val="nil"/>
              <w:bottom w:val="single" w:sz="4" w:space="0" w:color="000000"/>
              <w:right w:val="nil"/>
            </w:tcBorders>
            <w:shd w:val="clear" w:color="auto" w:fill="auto"/>
            <w:vAlign w:val="bottom"/>
          </w:tcPr>
          <w:p w14:paraId="5A924BF9" w14:textId="77777777" w:rsidR="00A74F6E" w:rsidRPr="00787C26" w:rsidRDefault="00A74F6E" w:rsidP="0010233B">
            <w:pPr>
              <w:spacing w:after="0" w:line="240" w:lineRule="auto"/>
              <w:ind w:left="-113"/>
              <w:rPr>
                <w:rFonts w:ascii="Times New Roman" w:eastAsia="Times New Roman" w:hAnsi="Times New Roman" w:cs="Times New Roman"/>
                <w:b/>
                <w:color w:val="000000"/>
              </w:rPr>
            </w:pPr>
          </w:p>
        </w:tc>
        <w:tc>
          <w:tcPr>
            <w:tcW w:w="1541" w:type="dxa"/>
            <w:tcBorders>
              <w:top w:val="nil"/>
              <w:left w:val="nil"/>
              <w:bottom w:val="single" w:sz="4" w:space="0" w:color="000000"/>
              <w:right w:val="nil"/>
            </w:tcBorders>
            <w:shd w:val="clear" w:color="auto" w:fill="auto"/>
            <w:vAlign w:val="center"/>
          </w:tcPr>
          <w:p w14:paraId="39796CD2"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eastAsia="Times New Roman" w:hAnsi="Times New Roman" w:cs="Times New Roman"/>
                <w:b/>
                <w:color w:val="000000"/>
              </w:rPr>
              <w:t> </w:t>
            </w:r>
          </w:p>
        </w:tc>
        <w:tc>
          <w:tcPr>
            <w:tcW w:w="804" w:type="dxa"/>
            <w:tcBorders>
              <w:top w:val="nil"/>
              <w:left w:val="nil"/>
              <w:bottom w:val="single" w:sz="4" w:space="0" w:color="000000"/>
            </w:tcBorders>
            <w:shd w:val="clear" w:color="auto" w:fill="auto"/>
            <w:vAlign w:val="center"/>
          </w:tcPr>
          <w:p w14:paraId="02507435"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eastAsia="Times New Roman" w:hAnsi="Times New Roman" w:cs="Times New Roman"/>
                <w:color w:val="000000"/>
              </w:rPr>
              <w:t> </w:t>
            </w:r>
          </w:p>
        </w:tc>
      </w:tr>
      <w:tr w:rsidR="00A74F6E" w14:paraId="09F8545D" w14:textId="77777777" w:rsidTr="0010233B">
        <w:trPr>
          <w:trHeight w:val="300"/>
          <w:jc w:val="center"/>
        </w:trPr>
        <w:tc>
          <w:tcPr>
            <w:tcW w:w="9182" w:type="dxa"/>
            <w:gridSpan w:val="7"/>
            <w:tcBorders>
              <w:top w:val="single" w:sz="4" w:space="0" w:color="000000"/>
              <w:bottom w:val="single" w:sz="4" w:space="0" w:color="000000"/>
            </w:tcBorders>
            <w:shd w:val="clear" w:color="auto" w:fill="auto"/>
            <w:vAlign w:val="bottom"/>
          </w:tcPr>
          <w:p w14:paraId="4476639E" w14:textId="77777777" w:rsidR="00A74F6E" w:rsidRDefault="00A74F6E" w:rsidP="0010233B">
            <w:pPr>
              <w:spacing w:after="0" w:line="240" w:lineRule="auto"/>
              <w:rPr>
                <w:rFonts w:ascii="Times New Roman" w:eastAsia="Times New Roman" w:hAnsi="Times New Roman" w:cs="Times New Roman"/>
                <w:b/>
              </w:rPr>
            </w:pPr>
          </w:p>
          <w:p w14:paraId="0CD87B18" w14:textId="77777777" w:rsidR="00A74F6E" w:rsidRDefault="00A74F6E" w:rsidP="001023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Panel B: </w:t>
            </w:r>
            <m:oMath>
              <m:r>
                <w:rPr>
                  <w:rFonts w:ascii="Cambria Math" w:eastAsia="Cambria Math" w:hAnsi="Cambria Math" w:cs="Cambria Math"/>
                </w:rPr>
                <m:t>∆TOTALPAY=</m:t>
              </m:r>
              <m:sSub>
                <m:sSubPr>
                  <m:ctrlPr>
                    <w:rPr>
                      <w:rFonts w:ascii="Cambria Math" w:eastAsia="Cambria Math" w:hAnsi="Cambria Math" w:cs="Cambria Math"/>
                    </w:rPr>
                  </m:ctrlPr>
                </m:sSubPr>
                <m:e>
                  <m:r>
                    <w:rPr>
                      <w:rFonts w:ascii="Cambria Math" w:eastAsia="Cambria Math" w:hAnsi="Cambria Math" w:cs="Cambria Math"/>
                    </w:rPr>
                    <m:t>α</m:t>
                  </m:r>
                </m:e>
                <m:sub>
                  <m:r>
                    <w:rPr>
                      <w:rFonts w:ascii="Cambria Math" w:eastAsia="Cambria Math" w:hAnsi="Cambria Math" w:cs="Cambria Math"/>
                    </w:rPr>
                    <m:t>0</m:t>
                  </m:r>
                </m:sub>
              </m:sSub>
              <m:r>
                <w:rPr>
                  <w:rFonts w:ascii="Cambria Math" w:eastAsia="Cambria Math" w:hAnsi="Cambria Math" w:cs="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α</m:t>
                      </m:r>
                    </m:e>
                    <m:sub>
                      <m:r>
                        <w:rPr>
                          <w:rFonts w:ascii="Cambria Math" w:eastAsia="Cambria Math" w:hAnsi="Cambria Math" w:cs="Cambria Math"/>
                        </w:rPr>
                        <m:t>1</m:t>
                      </m:r>
                    </m:sub>
                  </m:sSub>
                  <m:r>
                    <w:rPr>
                      <w:rFonts w:ascii="Cambria Math" w:eastAsia="Cambria Math" w:hAnsi="Cambria Math" w:cs="Cambria Math"/>
                    </w:rPr>
                    <m:t>NI</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α</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TOTALPAY</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μ</m:t>
                  </m:r>
                </m:e>
                <m:sub>
                  <m:r>
                    <w:rPr>
                      <w:rFonts w:ascii="Cambria Math" w:eastAsia="Cambria Math" w:hAnsi="Cambria Math" w:cs="Cambria Math"/>
                    </w:rPr>
                    <m:t>t</m:t>
                  </m:r>
                </m:sub>
              </m:sSub>
            </m:oMath>
          </w:p>
          <w:p w14:paraId="67F70143"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p>
        </w:tc>
      </w:tr>
      <w:tr w:rsidR="00A74F6E" w14:paraId="73ACED47" w14:textId="77777777" w:rsidTr="0010233B">
        <w:trPr>
          <w:trHeight w:val="300"/>
          <w:jc w:val="center"/>
        </w:trPr>
        <w:tc>
          <w:tcPr>
            <w:tcW w:w="2204" w:type="dxa"/>
            <w:tcBorders>
              <w:top w:val="single" w:sz="4" w:space="0" w:color="000000"/>
              <w:bottom w:val="single" w:sz="4" w:space="0" w:color="000000"/>
            </w:tcBorders>
            <w:shd w:val="clear" w:color="auto" w:fill="auto"/>
            <w:vAlign w:val="bottom"/>
          </w:tcPr>
          <w:p w14:paraId="16C93247" w14:textId="77777777" w:rsidR="00A74F6E" w:rsidRDefault="00A74F6E" w:rsidP="0010233B">
            <w:pPr>
              <w:spacing w:after="0" w:line="240" w:lineRule="auto"/>
              <w:rPr>
                <w:rFonts w:ascii="Times New Roman" w:eastAsia="Times New Roman" w:hAnsi="Times New Roman" w:cs="Times New Roman"/>
                <w:i/>
                <w:color w:val="000000"/>
              </w:rPr>
            </w:pPr>
          </w:p>
        </w:tc>
        <w:tc>
          <w:tcPr>
            <w:tcW w:w="1159" w:type="dxa"/>
            <w:tcBorders>
              <w:top w:val="single" w:sz="4" w:space="0" w:color="000000"/>
              <w:bottom w:val="single" w:sz="4" w:space="0" w:color="000000"/>
            </w:tcBorders>
            <w:shd w:val="clear" w:color="auto" w:fill="auto"/>
          </w:tcPr>
          <w:p w14:paraId="3F9A9400" w14:textId="77777777" w:rsidR="00A74F6E" w:rsidRDefault="00A74F6E" w:rsidP="0010233B">
            <w:pPr>
              <w:spacing w:after="0" w:line="240" w:lineRule="auto"/>
              <w:ind w:right="-113"/>
              <w:rPr>
                <w:rFonts w:ascii="Times New Roman" w:eastAsia="Times New Roman" w:hAnsi="Times New Roman" w:cs="Times New Roman"/>
              </w:rPr>
            </w:pPr>
            <w:r>
              <w:rPr>
                <w:rFonts w:ascii="Times New Roman" w:eastAsia="Times New Roman" w:hAnsi="Times New Roman" w:cs="Times New Roman"/>
              </w:rPr>
              <w:t>Regime 1</w:t>
            </w:r>
          </w:p>
        </w:tc>
        <w:tc>
          <w:tcPr>
            <w:tcW w:w="593" w:type="dxa"/>
            <w:tcBorders>
              <w:top w:val="single" w:sz="4" w:space="0" w:color="000000"/>
              <w:bottom w:val="single" w:sz="4" w:space="0" w:color="000000"/>
            </w:tcBorders>
            <w:shd w:val="clear" w:color="auto" w:fill="auto"/>
          </w:tcPr>
          <w:p w14:paraId="282CA569"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p>
        </w:tc>
        <w:tc>
          <w:tcPr>
            <w:tcW w:w="2881" w:type="dxa"/>
            <w:gridSpan w:val="2"/>
            <w:tcBorders>
              <w:top w:val="single" w:sz="4" w:space="0" w:color="000000"/>
              <w:bottom w:val="single" w:sz="4" w:space="0" w:color="000000"/>
            </w:tcBorders>
            <w:shd w:val="clear" w:color="auto" w:fill="auto"/>
          </w:tcPr>
          <w:p w14:paraId="53D265B7" w14:textId="77777777" w:rsidR="00A74F6E" w:rsidRDefault="00A74F6E" w:rsidP="0010233B">
            <w:pPr>
              <w:spacing w:after="0" w:line="240" w:lineRule="auto"/>
              <w:ind w:left="-113"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Regime 2</w:t>
            </w:r>
          </w:p>
        </w:tc>
        <w:tc>
          <w:tcPr>
            <w:tcW w:w="2345" w:type="dxa"/>
            <w:gridSpan w:val="2"/>
            <w:tcBorders>
              <w:top w:val="single" w:sz="4" w:space="0" w:color="000000"/>
              <w:bottom w:val="single" w:sz="4" w:space="0" w:color="000000"/>
            </w:tcBorders>
            <w:shd w:val="clear" w:color="auto" w:fill="auto"/>
          </w:tcPr>
          <w:p w14:paraId="4994FCA4" w14:textId="77777777" w:rsidR="00A74F6E" w:rsidRDefault="00A74F6E" w:rsidP="0010233B">
            <w:pPr>
              <w:spacing w:after="0" w:line="240" w:lineRule="auto"/>
              <w:ind w:left="-113" w:right="-113"/>
              <w:rPr>
                <w:rFonts w:ascii="Times New Roman" w:eastAsia="Times New Roman" w:hAnsi="Times New Roman" w:cs="Times New Roman"/>
                <w:color w:val="000000"/>
              </w:rPr>
            </w:pPr>
            <w:r>
              <w:rPr>
                <w:rFonts w:ascii="Times New Roman" w:eastAsia="Times New Roman" w:hAnsi="Times New Roman" w:cs="Times New Roman"/>
                <w:i/>
                <w:color w:val="000000"/>
              </w:rPr>
              <w:t>p</w:t>
            </w:r>
            <w:r>
              <w:rPr>
                <w:rFonts w:ascii="Times New Roman" w:eastAsia="Times New Roman" w:hAnsi="Times New Roman" w:cs="Times New Roman"/>
                <w:color w:val="000000"/>
              </w:rPr>
              <w:t>-value for difference</w:t>
            </w:r>
          </w:p>
        </w:tc>
      </w:tr>
      <w:tr w:rsidR="00A74F6E" w14:paraId="60AF7D9E" w14:textId="77777777" w:rsidTr="0010233B">
        <w:trPr>
          <w:trHeight w:val="300"/>
          <w:jc w:val="center"/>
        </w:trPr>
        <w:tc>
          <w:tcPr>
            <w:tcW w:w="2204" w:type="dxa"/>
            <w:tcBorders>
              <w:top w:val="single" w:sz="4" w:space="0" w:color="000000"/>
              <w:bottom w:val="nil"/>
              <w:right w:val="nil"/>
            </w:tcBorders>
            <w:shd w:val="clear" w:color="auto" w:fill="auto"/>
            <w:vAlign w:val="bottom"/>
          </w:tcPr>
          <w:p w14:paraId="4C17A47E" w14:textId="77777777" w:rsidR="00A74F6E" w:rsidRDefault="00A74F6E" w:rsidP="0010233B">
            <w:pPr>
              <w:spacing w:after="0" w:line="240" w:lineRule="auto"/>
              <w:rPr>
                <w:rFonts w:ascii="Times New Roman" w:eastAsia="Times New Roman" w:hAnsi="Times New Roman" w:cs="Times New Roman"/>
                <w:i/>
                <w:color w:val="000000"/>
                <w:vertAlign w:val="subscript"/>
              </w:rPr>
            </w:pPr>
            <w:proofErr w:type="spellStart"/>
            <w:r>
              <w:rPr>
                <w:rFonts w:ascii="Times New Roman" w:eastAsia="Times New Roman" w:hAnsi="Times New Roman" w:cs="Times New Roman"/>
                <w:i/>
                <w:color w:val="000000"/>
              </w:rPr>
              <w:t>NI</w:t>
            </w:r>
            <w:r>
              <w:rPr>
                <w:rFonts w:ascii="Times New Roman" w:eastAsia="Times New Roman" w:hAnsi="Times New Roman" w:cs="Times New Roman"/>
                <w:i/>
                <w:color w:val="000000"/>
                <w:vertAlign w:val="subscript"/>
              </w:rPr>
              <w:t>t</w:t>
            </w:r>
            <w:proofErr w:type="spellEnd"/>
          </w:p>
        </w:tc>
        <w:tc>
          <w:tcPr>
            <w:tcW w:w="1159" w:type="dxa"/>
            <w:tcBorders>
              <w:top w:val="single" w:sz="4" w:space="0" w:color="000000"/>
              <w:left w:val="nil"/>
              <w:bottom w:val="nil"/>
              <w:right w:val="nil"/>
            </w:tcBorders>
            <w:shd w:val="clear" w:color="auto" w:fill="auto"/>
            <w:vAlign w:val="bottom"/>
          </w:tcPr>
          <w:p w14:paraId="420E5E99"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0.153</w:t>
            </w:r>
          </w:p>
        </w:tc>
        <w:tc>
          <w:tcPr>
            <w:tcW w:w="593" w:type="dxa"/>
            <w:tcBorders>
              <w:top w:val="single" w:sz="4" w:space="0" w:color="000000"/>
              <w:left w:val="nil"/>
              <w:bottom w:val="nil"/>
              <w:right w:val="nil"/>
            </w:tcBorders>
            <w:shd w:val="clear" w:color="auto" w:fill="auto"/>
            <w:vAlign w:val="bottom"/>
          </w:tcPr>
          <w:p w14:paraId="3C4FF1D8"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2288" w:type="dxa"/>
            <w:tcBorders>
              <w:top w:val="single" w:sz="4" w:space="0" w:color="000000"/>
              <w:left w:val="nil"/>
              <w:bottom w:val="nil"/>
              <w:right w:val="nil"/>
            </w:tcBorders>
            <w:shd w:val="clear" w:color="auto" w:fill="auto"/>
            <w:vAlign w:val="bottom"/>
          </w:tcPr>
          <w:p w14:paraId="61FDB246"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0.179</w:t>
            </w:r>
          </w:p>
        </w:tc>
        <w:tc>
          <w:tcPr>
            <w:tcW w:w="593" w:type="dxa"/>
            <w:tcBorders>
              <w:top w:val="single" w:sz="4" w:space="0" w:color="000000"/>
              <w:left w:val="nil"/>
              <w:bottom w:val="nil"/>
              <w:right w:val="nil"/>
            </w:tcBorders>
            <w:shd w:val="clear" w:color="auto" w:fill="auto"/>
            <w:vAlign w:val="bottom"/>
          </w:tcPr>
          <w:p w14:paraId="5CAD1A38"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1541" w:type="dxa"/>
            <w:tcBorders>
              <w:top w:val="single" w:sz="4" w:space="0" w:color="000000"/>
              <w:left w:val="nil"/>
              <w:bottom w:val="nil"/>
              <w:right w:val="nil"/>
            </w:tcBorders>
            <w:shd w:val="clear" w:color="auto" w:fill="auto"/>
            <w:vAlign w:val="bottom"/>
          </w:tcPr>
          <w:p w14:paraId="77D3BAAB"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0.249</w:t>
            </w:r>
          </w:p>
        </w:tc>
        <w:tc>
          <w:tcPr>
            <w:tcW w:w="804" w:type="dxa"/>
            <w:tcBorders>
              <w:top w:val="single" w:sz="4" w:space="0" w:color="000000"/>
              <w:left w:val="nil"/>
              <w:bottom w:val="nil"/>
            </w:tcBorders>
            <w:shd w:val="clear" w:color="auto" w:fill="auto"/>
            <w:vAlign w:val="center"/>
          </w:tcPr>
          <w:p w14:paraId="10AD3AA5"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4869A392" w14:textId="77777777" w:rsidTr="0010233B">
        <w:trPr>
          <w:trHeight w:val="300"/>
          <w:jc w:val="center"/>
        </w:trPr>
        <w:tc>
          <w:tcPr>
            <w:tcW w:w="2204" w:type="dxa"/>
            <w:tcBorders>
              <w:top w:val="nil"/>
              <w:right w:val="nil"/>
            </w:tcBorders>
            <w:shd w:val="clear" w:color="auto" w:fill="auto"/>
            <w:vAlign w:val="bottom"/>
          </w:tcPr>
          <w:p w14:paraId="477300A6" w14:textId="77777777" w:rsidR="00A74F6E" w:rsidRDefault="00A74F6E" w:rsidP="0010233B">
            <w:pPr>
              <w:spacing w:after="0" w:line="240" w:lineRule="auto"/>
              <w:rPr>
                <w:rFonts w:ascii="Times New Roman" w:eastAsia="Times New Roman" w:hAnsi="Times New Roman" w:cs="Times New Roman"/>
                <w:i/>
              </w:rPr>
            </w:pPr>
          </w:p>
        </w:tc>
        <w:tc>
          <w:tcPr>
            <w:tcW w:w="1159" w:type="dxa"/>
            <w:tcBorders>
              <w:top w:val="nil"/>
              <w:left w:val="nil"/>
              <w:bottom w:val="nil"/>
              <w:right w:val="nil"/>
            </w:tcBorders>
            <w:shd w:val="clear" w:color="auto" w:fill="auto"/>
            <w:vAlign w:val="bottom"/>
          </w:tcPr>
          <w:p w14:paraId="21ECA983" w14:textId="77777777" w:rsidR="00A74F6E" w:rsidRPr="00787C26" w:rsidRDefault="00A74F6E" w:rsidP="0010233B">
            <w:pPr>
              <w:spacing w:after="0" w:line="240" w:lineRule="auto"/>
              <w:ind w:right="-113"/>
              <w:jc w:val="right"/>
              <w:rPr>
                <w:rFonts w:ascii="Times New Roman" w:eastAsia="Times New Roman" w:hAnsi="Times New Roman" w:cs="Times New Roman"/>
                <w:b/>
                <w:i/>
                <w:color w:val="000000"/>
              </w:rPr>
            </w:pPr>
            <w:r w:rsidRPr="00787C26">
              <w:rPr>
                <w:rFonts w:ascii="Times New Roman" w:hAnsi="Times New Roman" w:cs="Times New Roman"/>
                <w:b/>
                <w:bCs/>
              </w:rPr>
              <w:t>8.290</w:t>
            </w:r>
          </w:p>
        </w:tc>
        <w:tc>
          <w:tcPr>
            <w:tcW w:w="593" w:type="dxa"/>
            <w:tcBorders>
              <w:top w:val="nil"/>
              <w:left w:val="nil"/>
              <w:bottom w:val="nil"/>
              <w:right w:val="nil"/>
            </w:tcBorders>
            <w:shd w:val="clear" w:color="auto" w:fill="auto"/>
            <w:vAlign w:val="bottom"/>
          </w:tcPr>
          <w:p w14:paraId="0F2FCBD4"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2288" w:type="dxa"/>
            <w:tcBorders>
              <w:top w:val="nil"/>
              <w:left w:val="nil"/>
              <w:bottom w:val="nil"/>
              <w:right w:val="nil"/>
            </w:tcBorders>
            <w:shd w:val="clear" w:color="auto" w:fill="auto"/>
            <w:vAlign w:val="bottom"/>
          </w:tcPr>
          <w:p w14:paraId="37AB3133" w14:textId="77777777" w:rsidR="00A74F6E" w:rsidRPr="00787C26" w:rsidRDefault="00A74F6E" w:rsidP="0010233B">
            <w:pPr>
              <w:spacing w:after="0" w:line="240" w:lineRule="auto"/>
              <w:ind w:right="-113"/>
              <w:jc w:val="right"/>
              <w:rPr>
                <w:rFonts w:ascii="Times New Roman" w:eastAsia="Times New Roman" w:hAnsi="Times New Roman" w:cs="Times New Roman"/>
                <w:b/>
                <w:i/>
                <w:color w:val="000000"/>
              </w:rPr>
            </w:pPr>
            <w:r w:rsidRPr="00787C26">
              <w:rPr>
                <w:rFonts w:ascii="Times New Roman" w:hAnsi="Times New Roman" w:cs="Times New Roman"/>
                <w:b/>
                <w:bCs/>
              </w:rPr>
              <w:t>13.230</w:t>
            </w:r>
          </w:p>
        </w:tc>
        <w:tc>
          <w:tcPr>
            <w:tcW w:w="593" w:type="dxa"/>
            <w:tcBorders>
              <w:top w:val="nil"/>
              <w:left w:val="nil"/>
              <w:bottom w:val="nil"/>
              <w:right w:val="nil"/>
            </w:tcBorders>
            <w:shd w:val="clear" w:color="auto" w:fill="auto"/>
            <w:vAlign w:val="bottom"/>
          </w:tcPr>
          <w:p w14:paraId="3D8B394F"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nil"/>
              <w:right w:val="nil"/>
            </w:tcBorders>
            <w:shd w:val="clear" w:color="auto" w:fill="auto"/>
            <w:vAlign w:val="bottom"/>
          </w:tcPr>
          <w:p w14:paraId="212265FD"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nil"/>
              <w:left w:val="nil"/>
              <w:bottom w:val="nil"/>
            </w:tcBorders>
            <w:shd w:val="clear" w:color="auto" w:fill="auto"/>
            <w:vAlign w:val="center"/>
          </w:tcPr>
          <w:p w14:paraId="3FAF7007"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51D1D841" w14:textId="77777777" w:rsidTr="0010233B">
        <w:trPr>
          <w:trHeight w:val="300"/>
          <w:jc w:val="center"/>
        </w:trPr>
        <w:tc>
          <w:tcPr>
            <w:tcW w:w="2204" w:type="dxa"/>
            <w:tcBorders>
              <w:right w:val="nil"/>
            </w:tcBorders>
            <w:shd w:val="clear" w:color="auto" w:fill="auto"/>
            <w:vAlign w:val="bottom"/>
          </w:tcPr>
          <w:p w14:paraId="17B4E884" w14:textId="77777777" w:rsidR="00A74F6E" w:rsidRDefault="00A74F6E" w:rsidP="0010233B">
            <w:pPr>
              <w:spacing w:after="0" w:line="240" w:lineRule="auto"/>
              <w:rPr>
                <w:rFonts w:ascii="Times New Roman" w:eastAsia="Times New Roman" w:hAnsi="Times New Roman" w:cs="Times New Roman"/>
                <w:i/>
                <w:color w:val="000000"/>
                <w:vertAlign w:val="subscript"/>
              </w:rPr>
            </w:pPr>
            <w:r>
              <w:rPr>
                <w:rFonts w:ascii="Times New Roman" w:eastAsia="Times New Roman" w:hAnsi="Times New Roman" w:cs="Times New Roman"/>
                <w:i/>
                <w:color w:val="000000"/>
              </w:rPr>
              <w:t>TOTALPAY</w:t>
            </w:r>
            <w:r>
              <w:rPr>
                <w:rFonts w:ascii="Times New Roman" w:eastAsia="Times New Roman" w:hAnsi="Times New Roman" w:cs="Times New Roman"/>
                <w:i/>
                <w:color w:val="000000"/>
                <w:vertAlign w:val="subscript"/>
              </w:rPr>
              <w:t>t-1</w:t>
            </w:r>
          </w:p>
        </w:tc>
        <w:tc>
          <w:tcPr>
            <w:tcW w:w="1159" w:type="dxa"/>
            <w:tcBorders>
              <w:top w:val="nil"/>
              <w:left w:val="nil"/>
              <w:bottom w:val="nil"/>
              <w:right w:val="nil"/>
            </w:tcBorders>
            <w:shd w:val="clear" w:color="auto" w:fill="auto"/>
            <w:vAlign w:val="bottom"/>
          </w:tcPr>
          <w:p w14:paraId="1248C694"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-0.357</w:t>
            </w:r>
          </w:p>
        </w:tc>
        <w:tc>
          <w:tcPr>
            <w:tcW w:w="593" w:type="dxa"/>
            <w:tcBorders>
              <w:top w:val="nil"/>
              <w:left w:val="nil"/>
              <w:bottom w:val="nil"/>
              <w:right w:val="nil"/>
            </w:tcBorders>
            <w:shd w:val="clear" w:color="auto" w:fill="auto"/>
            <w:vAlign w:val="bottom"/>
          </w:tcPr>
          <w:p w14:paraId="0CF6DF34"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2288" w:type="dxa"/>
            <w:tcBorders>
              <w:top w:val="nil"/>
              <w:left w:val="nil"/>
              <w:bottom w:val="nil"/>
              <w:right w:val="nil"/>
            </w:tcBorders>
            <w:shd w:val="clear" w:color="auto" w:fill="auto"/>
            <w:vAlign w:val="bottom"/>
          </w:tcPr>
          <w:p w14:paraId="75DD93A5"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-0.229</w:t>
            </w:r>
          </w:p>
        </w:tc>
        <w:tc>
          <w:tcPr>
            <w:tcW w:w="593" w:type="dxa"/>
            <w:tcBorders>
              <w:top w:val="nil"/>
              <w:left w:val="nil"/>
              <w:bottom w:val="nil"/>
              <w:right w:val="nil"/>
            </w:tcBorders>
            <w:shd w:val="clear" w:color="auto" w:fill="auto"/>
            <w:vAlign w:val="bottom"/>
          </w:tcPr>
          <w:p w14:paraId="50762544"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1541" w:type="dxa"/>
            <w:tcBorders>
              <w:top w:val="nil"/>
              <w:left w:val="nil"/>
              <w:bottom w:val="nil"/>
              <w:right w:val="nil"/>
            </w:tcBorders>
            <w:shd w:val="clear" w:color="auto" w:fill="auto"/>
            <w:vAlign w:val="bottom"/>
          </w:tcPr>
          <w:p w14:paraId="5F807326"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r w:rsidRPr="00787C26">
              <w:rPr>
                <w:rFonts w:ascii="Times New Roman" w:hAnsi="Times New Roman" w:cs="Times New Roman"/>
                <w:b/>
                <w:bCs/>
              </w:rPr>
              <w:t>0.002</w:t>
            </w:r>
          </w:p>
        </w:tc>
        <w:tc>
          <w:tcPr>
            <w:tcW w:w="804" w:type="dxa"/>
            <w:tcBorders>
              <w:top w:val="nil"/>
              <w:left w:val="nil"/>
              <w:bottom w:val="nil"/>
            </w:tcBorders>
            <w:shd w:val="clear" w:color="auto" w:fill="auto"/>
            <w:vAlign w:val="center"/>
          </w:tcPr>
          <w:p w14:paraId="5DCE63A7"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455B83D4" w14:textId="77777777" w:rsidTr="0010233B">
        <w:trPr>
          <w:trHeight w:val="300"/>
          <w:jc w:val="center"/>
        </w:trPr>
        <w:tc>
          <w:tcPr>
            <w:tcW w:w="2204" w:type="dxa"/>
            <w:tcBorders>
              <w:right w:val="nil"/>
            </w:tcBorders>
            <w:shd w:val="clear" w:color="auto" w:fill="auto"/>
            <w:vAlign w:val="bottom"/>
          </w:tcPr>
          <w:p w14:paraId="7A62269A" w14:textId="77777777" w:rsidR="00A74F6E" w:rsidRDefault="00A74F6E" w:rsidP="0010233B">
            <w:pPr>
              <w:spacing w:after="0" w:line="240" w:lineRule="auto"/>
              <w:rPr>
                <w:rFonts w:ascii="Times New Roman" w:eastAsia="Times New Roman" w:hAnsi="Times New Roman" w:cs="Times New Roman"/>
                <w:i/>
              </w:rPr>
            </w:pPr>
          </w:p>
        </w:tc>
        <w:tc>
          <w:tcPr>
            <w:tcW w:w="1159" w:type="dxa"/>
            <w:tcBorders>
              <w:top w:val="nil"/>
              <w:left w:val="nil"/>
              <w:bottom w:val="nil"/>
              <w:right w:val="nil"/>
            </w:tcBorders>
            <w:shd w:val="clear" w:color="auto" w:fill="auto"/>
            <w:vAlign w:val="bottom"/>
          </w:tcPr>
          <w:p w14:paraId="226FDEDA" w14:textId="77777777" w:rsidR="00A74F6E" w:rsidRPr="00787C26" w:rsidRDefault="00A74F6E" w:rsidP="0010233B">
            <w:pPr>
              <w:spacing w:after="0" w:line="240" w:lineRule="auto"/>
              <w:ind w:right="-113"/>
              <w:jc w:val="right"/>
              <w:rPr>
                <w:rFonts w:ascii="Times New Roman" w:eastAsia="Times New Roman" w:hAnsi="Times New Roman" w:cs="Times New Roman"/>
                <w:b/>
                <w:i/>
                <w:color w:val="000000"/>
              </w:rPr>
            </w:pPr>
            <w:r w:rsidRPr="00787C26">
              <w:rPr>
                <w:rFonts w:ascii="Times New Roman" w:hAnsi="Times New Roman" w:cs="Times New Roman"/>
                <w:b/>
                <w:bCs/>
              </w:rPr>
              <w:t>-12.765</w:t>
            </w:r>
          </w:p>
        </w:tc>
        <w:tc>
          <w:tcPr>
            <w:tcW w:w="593" w:type="dxa"/>
            <w:tcBorders>
              <w:top w:val="nil"/>
              <w:left w:val="nil"/>
              <w:bottom w:val="nil"/>
              <w:right w:val="nil"/>
            </w:tcBorders>
            <w:shd w:val="clear" w:color="auto" w:fill="auto"/>
            <w:vAlign w:val="bottom"/>
          </w:tcPr>
          <w:p w14:paraId="38C5233E"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2288" w:type="dxa"/>
            <w:tcBorders>
              <w:top w:val="nil"/>
              <w:left w:val="nil"/>
              <w:bottom w:val="nil"/>
              <w:right w:val="nil"/>
            </w:tcBorders>
            <w:shd w:val="clear" w:color="auto" w:fill="auto"/>
            <w:vAlign w:val="bottom"/>
          </w:tcPr>
          <w:p w14:paraId="7DE5D763" w14:textId="77777777" w:rsidR="00A74F6E" w:rsidRPr="00787C26" w:rsidRDefault="00A74F6E" w:rsidP="0010233B">
            <w:pPr>
              <w:spacing w:after="0" w:line="240" w:lineRule="auto"/>
              <w:ind w:right="-113"/>
              <w:jc w:val="right"/>
              <w:rPr>
                <w:rFonts w:ascii="Times New Roman" w:eastAsia="Times New Roman" w:hAnsi="Times New Roman" w:cs="Times New Roman"/>
                <w:b/>
                <w:i/>
                <w:color w:val="000000"/>
              </w:rPr>
            </w:pPr>
            <w:r w:rsidRPr="00787C26">
              <w:rPr>
                <w:rFonts w:ascii="Times New Roman" w:hAnsi="Times New Roman" w:cs="Times New Roman"/>
              </w:rPr>
              <w:t>-8.489</w:t>
            </w:r>
          </w:p>
        </w:tc>
        <w:tc>
          <w:tcPr>
            <w:tcW w:w="593" w:type="dxa"/>
            <w:tcBorders>
              <w:top w:val="nil"/>
              <w:left w:val="nil"/>
              <w:bottom w:val="nil"/>
              <w:right w:val="nil"/>
            </w:tcBorders>
            <w:shd w:val="clear" w:color="auto" w:fill="auto"/>
            <w:vAlign w:val="bottom"/>
          </w:tcPr>
          <w:p w14:paraId="7584F74F"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nil"/>
              <w:right w:val="nil"/>
            </w:tcBorders>
            <w:shd w:val="clear" w:color="auto" w:fill="auto"/>
            <w:vAlign w:val="bottom"/>
          </w:tcPr>
          <w:p w14:paraId="091085C4"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p>
        </w:tc>
        <w:tc>
          <w:tcPr>
            <w:tcW w:w="804" w:type="dxa"/>
            <w:tcBorders>
              <w:top w:val="nil"/>
              <w:left w:val="nil"/>
              <w:bottom w:val="nil"/>
            </w:tcBorders>
            <w:shd w:val="clear" w:color="auto" w:fill="auto"/>
            <w:vAlign w:val="center"/>
          </w:tcPr>
          <w:p w14:paraId="59E8719D"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6672E110" w14:textId="77777777" w:rsidTr="0010233B">
        <w:trPr>
          <w:trHeight w:val="108"/>
          <w:jc w:val="center"/>
        </w:trPr>
        <w:tc>
          <w:tcPr>
            <w:tcW w:w="2204" w:type="dxa"/>
            <w:tcBorders>
              <w:top w:val="nil"/>
              <w:left w:val="single" w:sz="4" w:space="0" w:color="000000"/>
              <w:bottom w:val="nil"/>
              <w:right w:val="nil"/>
            </w:tcBorders>
            <w:shd w:val="clear" w:color="auto" w:fill="auto"/>
            <w:vAlign w:val="bottom"/>
          </w:tcPr>
          <w:p w14:paraId="62DD3627" w14:textId="77777777" w:rsidR="00A74F6E" w:rsidRDefault="00A74F6E" w:rsidP="0010233B">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Constant</w:t>
            </w:r>
          </w:p>
        </w:tc>
        <w:tc>
          <w:tcPr>
            <w:tcW w:w="1159" w:type="dxa"/>
            <w:tcBorders>
              <w:top w:val="nil"/>
              <w:left w:val="nil"/>
              <w:bottom w:val="nil"/>
              <w:right w:val="nil"/>
            </w:tcBorders>
            <w:shd w:val="clear" w:color="auto" w:fill="auto"/>
            <w:vAlign w:val="bottom"/>
          </w:tcPr>
          <w:p w14:paraId="5B7363B6"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b/>
                <w:bCs/>
              </w:rPr>
              <w:t>0.025</w:t>
            </w:r>
          </w:p>
        </w:tc>
        <w:tc>
          <w:tcPr>
            <w:tcW w:w="593" w:type="dxa"/>
            <w:tcBorders>
              <w:top w:val="nil"/>
              <w:left w:val="nil"/>
              <w:bottom w:val="nil"/>
              <w:right w:val="nil"/>
            </w:tcBorders>
            <w:shd w:val="clear" w:color="auto" w:fill="auto"/>
            <w:vAlign w:val="bottom"/>
          </w:tcPr>
          <w:p w14:paraId="74C52C62"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r w:rsidRPr="00787C26">
              <w:rPr>
                <w:rFonts w:ascii="Times New Roman" w:hAnsi="Times New Roman" w:cs="Times New Roman"/>
                <w:b/>
                <w:bCs/>
              </w:rPr>
              <w:t>***</w:t>
            </w:r>
          </w:p>
        </w:tc>
        <w:tc>
          <w:tcPr>
            <w:tcW w:w="2288" w:type="dxa"/>
            <w:tcBorders>
              <w:top w:val="nil"/>
              <w:left w:val="nil"/>
              <w:bottom w:val="nil"/>
              <w:right w:val="nil"/>
            </w:tcBorders>
            <w:shd w:val="clear" w:color="auto" w:fill="auto"/>
            <w:vAlign w:val="bottom"/>
          </w:tcPr>
          <w:p w14:paraId="4B44A1B0"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rPr>
              <w:t>0.003</w:t>
            </w:r>
          </w:p>
        </w:tc>
        <w:tc>
          <w:tcPr>
            <w:tcW w:w="593" w:type="dxa"/>
            <w:tcBorders>
              <w:top w:val="nil"/>
              <w:left w:val="nil"/>
              <w:bottom w:val="nil"/>
              <w:right w:val="nil"/>
            </w:tcBorders>
            <w:shd w:val="clear" w:color="auto" w:fill="auto"/>
            <w:vAlign w:val="bottom"/>
          </w:tcPr>
          <w:p w14:paraId="22FBC0F8"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nil"/>
              <w:right w:val="nil"/>
            </w:tcBorders>
            <w:shd w:val="clear" w:color="auto" w:fill="auto"/>
            <w:vAlign w:val="bottom"/>
          </w:tcPr>
          <w:p w14:paraId="2F26B061" w14:textId="77777777" w:rsidR="00A74F6E" w:rsidRPr="00787C26" w:rsidRDefault="00A74F6E" w:rsidP="0010233B">
            <w:pPr>
              <w:spacing w:after="0" w:line="240" w:lineRule="auto"/>
              <w:ind w:right="-113"/>
              <w:jc w:val="right"/>
              <w:rPr>
                <w:rFonts w:ascii="Times New Roman" w:eastAsia="Times New Roman" w:hAnsi="Times New Roman" w:cs="Times New Roman"/>
                <w:b/>
                <w:bCs/>
                <w:color w:val="000000"/>
              </w:rPr>
            </w:pPr>
            <w:r w:rsidRPr="00787C26">
              <w:rPr>
                <w:rFonts w:ascii="Times New Roman" w:hAnsi="Times New Roman" w:cs="Times New Roman"/>
                <w:b/>
                <w:bCs/>
              </w:rPr>
              <w:t>0.000</w:t>
            </w:r>
          </w:p>
        </w:tc>
        <w:tc>
          <w:tcPr>
            <w:tcW w:w="804" w:type="dxa"/>
            <w:tcBorders>
              <w:top w:val="nil"/>
              <w:left w:val="nil"/>
              <w:bottom w:val="nil"/>
            </w:tcBorders>
            <w:shd w:val="clear" w:color="auto" w:fill="auto"/>
            <w:vAlign w:val="center"/>
          </w:tcPr>
          <w:p w14:paraId="7A493B3F"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3713C644" w14:textId="77777777" w:rsidTr="0010233B">
        <w:trPr>
          <w:trHeight w:val="300"/>
          <w:jc w:val="center"/>
        </w:trPr>
        <w:tc>
          <w:tcPr>
            <w:tcW w:w="2204" w:type="dxa"/>
            <w:tcBorders>
              <w:top w:val="nil"/>
              <w:left w:val="single" w:sz="4" w:space="0" w:color="000000"/>
              <w:bottom w:val="single" w:sz="4" w:space="0" w:color="000000"/>
              <w:right w:val="nil"/>
            </w:tcBorders>
            <w:shd w:val="clear" w:color="auto" w:fill="auto"/>
            <w:vAlign w:val="bottom"/>
          </w:tcPr>
          <w:p w14:paraId="60310258" w14:textId="77777777" w:rsidR="00A74F6E" w:rsidRDefault="00A74F6E" w:rsidP="0010233B">
            <w:pPr>
              <w:spacing w:after="0" w:line="240" w:lineRule="auto"/>
              <w:rPr>
                <w:rFonts w:ascii="Times New Roman" w:eastAsia="Times New Roman" w:hAnsi="Times New Roman" w:cs="Times New Roman"/>
                <w:color w:val="000000"/>
              </w:rPr>
            </w:pPr>
          </w:p>
        </w:tc>
        <w:tc>
          <w:tcPr>
            <w:tcW w:w="1159" w:type="dxa"/>
            <w:tcBorders>
              <w:top w:val="nil"/>
              <w:left w:val="nil"/>
              <w:bottom w:val="single" w:sz="4" w:space="0" w:color="000000"/>
              <w:right w:val="nil"/>
            </w:tcBorders>
            <w:shd w:val="clear" w:color="auto" w:fill="auto"/>
            <w:vAlign w:val="bottom"/>
          </w:tcPr>
          <w:p w14:paraId="5333DA83" w14:textId="77777777" w:rsidR="00A74F6E" w:rsidRPr="00787C26" w:rsidRDefault="00A74F6E" w:rsidP="0010233B">
            <w:pPr>
              <w:spacing w:after="0" w:line="240" w:lineRule="auto"/>
              <w:ind w:right="-113"/>
              <w:jc w:val="right"/>
              <w:rPr>
                <w:rFonts w:ascii="Times New Roman" w:eastAsia="Times New Roman" w:hAnsi="Times New Roman" w:cs="Times New Roman"/>
                <w:b/>
                <w:i/>
                <w:color w:val="000000"/>
              </w:rPr>
            </w:pPr>
            <w:r w:rsidRPr="00787C26">
              <w:rPr>
                <w:rFonts w:ascii="Times New Roman" w:hAnsi="Times New Roman" w:cs="Times New Roman"/>
                <w:b/>
                <w:bCs/>
              </w:rPr>
              <w:t>7.923</w:t>
            </w:r>
          </w:p>
        </w:tc>
        <w:tc>
          <w:tcPr>
            <w:tcW w:w="593" w:type="dxa"/>
            <w:tcBorders>
              <w:top w:val="nil"/>
              <w:left w:val="nil"/>
              <w:bottom w:val="single" w:sz="4" w:space="0" w:color="000000"/>
              <w:right w:val="nil"/>
            </w:tcBorders>
            <w:shd w:val="clear" w:color="auto" w:fill="auto"/>
            <w:vAlign w:val="bottom"/>
          </w:tcPr>
          <w:p w14:paraId="0752A6B0"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2288" w:type="dxa"/>
            <w:tcBorders>
              <w:top w:val="nil"/>
              <w:left w:val="nil"/>
              <w:bottom w:val="single" w:sz="4" w:space="0" w:color="000000"/>
              <w:right w:val="nil"/>
            </w:tcBorders>
            <w:shd w:val="clear" w:color="auto" w:fill="auto"/>
            <w:vAlign w:val="bottom"/>
          </w:tcPr>
          <w:p w14:paraId="08D17247"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r w:rsidRPr="00787C26">
              <w:rPr>
                <w:rFonts w:ascii="Times New Roman" w:hAnsi="Times New Roman" w:cs="Times New Roman"/>
              </w:rPr>
              <w:t>0.912</w:t>
            </w:r>
          </w:p>
        </w:tc>
        <w:tc>
          <w:tcPr>
            <w:tcW w:w="593" w:type="dxa"/>
            <w:tcBorders>
              <w:top w:val="nil"/>
              <w:left w:val="nil"/>
              <w:bottom w:val="single" w:sz="4" w:space="0" w:color="000000"/>
              <w:right w:val="nil"/>
            </w:tcBorders>
            <w:shd w:val="clear" w:color="auto" w:fill="auto"/>
            <w:vAlign w:val="bottom"/>
          </w:tcPr>
          <w:p w14:paraId="6619B414" w14:textId="77777777" w:rsidR="00A74F6E" w:rsidRPr="00787C26" w:rsidRDefault="00A74F6E" w:rsidP="0010233B">
            <w:pPr>
              <w:spacing w:after="0" w:line="240" w:lineRule="auto"/>
              <w:ind w:left="-113" w:right="-113"/>
              <w:rPr>
                <w:rFonts w:ascii="Times New Roman" w:eastAsia="Times New Roman" w:hAnsi="Times New Roman" w:cs="Times New Roman"/>
                <w:b/>
                <w:color w:val="000000"/>
              </w:rPr>
            </w:pPr>
          </w:p>
        </w:tc>
        <w:tc>
          <w:tcPr>
            <w:tcW w:w="1541" w:type="dxa"/>
            <w:tcBorders>
              <w:top w:val="nil"/>
              <w:left w:val="nil"/>
              <w:bottom w:val="single" w:sz="4" w:space="0" w:color="000000"/>
              <w:right w:val="nil"/>
            </w:tcBorders>
            <w:shd w:val="clear" w:color="auto" w:fill="auto"/>
            <w:vAlign w:val="center"/>
          </w:tcPr>
          <w:p w14:paraId="031E5C81"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color w:val="000000"/>
              </w:rPr>
              <w:t> </w:t>
            </w:r>
          </w:p>
        </w:tc>
        <w:tc>
          <w:tcPr>
            <w:tcW w:w="804" w:type="dxa"/>
            <w:tcBorders>
              <w:top w:val="nil"/>
              <w:left w:val="nil"/>
              <w:bottom w:val="single" w:sz="4" w:space="0" w:color="000000"/>
            </w:tcBorders>
            <w:shd w:val="clear" w:color="auto" w:fill="auto"/>
            <w:vAlign w:val="center"/>
          </w:tcPr>
          <w:p w14:paraId="3ECF704B" w14:textId="77777777" w:rsidR="00A74F6E" w:rsidRPr="00787C26" w:rsidRDefault="00A74F6E" w:rsidP="0010233B">
            <w:pPr>
              <w:spacing w:after="0" w:line="240" w:lineRule="auto"/>
              <w:ind w:left="-113" w:right="-113"/>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19EA08E1" w14:textId="77777777" w:rsidTr="0010233B">
        <w:trPr>
          <w:trHeight w:val="45"/>
          <w:jc w:val="center"/>
        </w:trPr>
        <w:tc>
          <w:tcPr>
            <w:tcW w:w="2204" w:type="dxa"/>
            <w:tcBorders>
              <w:top w:val="single" w:sz="4" w:space="0" w:color="000000"/>
              <w:bottom w:val="nil"/>
              <w:right w:val="nil"/>
            </w:tcBorders>
            <w:shd w:val="clear" w:color="auto" w:fill="auto"/>
          </w:tcPr>
          <w:p w14:paraId="0CA9E118" w14:textId="77777777" w:rsidR="00A74F6E" w:rsidRDefault="00A74F6E" w:rsidP="00102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159" w:type="dxa"/>
            <w:tcBorders>
              <w:top w:val="single" w:sz="4" w:space="0" w:color="000000"/>
              <w:left w:val="nil"/>
              <w:bottom w:val="nil"/>
              <w:right w:val="nil"/>
            </w:tcBorders>
            <w:shd w:val="clear" w:color="auto" w:fill="auto"/>
            <w:vAlign w:val="bottom"/>
          </w:tcPr>
          <w:p w14:paraId="6C2D06A5"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1467</w:t>
            </w:r>
          </w:p>
        </w:tc>
        <w:tc>
          <w:tcPr>
            <w:tcW w:w="593" w:type="dxa"/>
            <w:tcBorders>
              <w:top w:val="single" w:sz="4" w:space="0" w:color="000000"/>
              <w:left w:val="nil"/>
              <w:bottom w:val="nil"/>
              <w:right w:val="nil"/>
            </w:tcBorders>
            <w:shd w:val="clear" w:color="auto" w:fill="auto"/>
            <w:vAlign w:val="bottom"/>
          </w:tcPr>
          <w:p w14:paraId="1664D93C"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2288" w:type="dxa"/>
            <w:tcBorders>
              <w:top w:val="single" w:sz="4" w:space="0" w:color="000000"/>
              <w:left w:val="nil"/>
              <w:bottom w:val="nil"/>
              <w:right w:val="nil"/>
            </w:tcBorders>
            <w:shd w:val="clear" w:color="auto" w:fill="auto"/>
            <w:vAlign w:val="bottom"/>
          </w:tcPr>
          <w:p w14:paraId="35EE9EDA"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4732</w:t>
            </w:r>
          </w:p>
        </w:tc>
        <w:tc>
          <w:tcPr>
            <w:tcW w:w="593" w:type="dxa"/>
            <w:tcBorders>
              <w:top w:val="single" w:sz="4" w:space="0" w:color="000000"/>
              <w:left w:val="nil"/>
              <w:bottom w:val="nil"/>
              <w:right w:val="nil"/>
            </w:tcBorders>
            <w:shd w:val="clear" w:color="auto" w:fill="auto"/>
            <w:vAlign w:val="bottom"/>
          </w:tcPr>
          <w:p w14:paraId="1E50D2AF"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1541" w:type="dxa"/>
            <w:tcBorders>
              <w:top w:val="single" w:sz="4" w:space="0" w:color="000000"/>
              <w:left w:val="nil"/>
              <w:bottom w:val="nil"/>
              <w:right w:val="nil"/>
            </w:tcBorders>
            <w:shd w:val="clear" w:color="auto" w:fill="auto"/>
            <w:vAlign w:val="center"/>
          </w:tcPr>
          <w:p w14:paraId="1DAF53FA"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single" w:sz="4" w:space="0" w:color="000000"/>
              <w:left w:val="nil"/>
              <w:bottom w:val="nil"/>
            </w:tcBorders>
            <w:shd w:val="clear" w:color="auto" w:fill="auto"/>
            <w:vAlign w:val="center"/>
          </w:tcPr>
          <w:p w14:paraId="6A354D79"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4D733E52" w14:textId="77777777" w:rsidTr="0010233B">
        <w:trPr>
          <w:trHeight w:val="300"/>
          <w:jc w:val="center"/>
        </w:trPr>
        <w:tc>
          <w:tcPr>
            <w:tcW w:w="2204" w:type="dxa"/>
            <w:tcBorders>
              <w:top w:val="nil"/>
              <w:bottom w:val="single" w:sz="4" w:space="0" w:color="000000"/>
              <w:right w:val="nil"/>
            </w:tcBorders>
            <w:shd w:val="clear" w:color="auto" w:fill="auto"/>
          </w:tcPr>
          <w:p w14:paraId="4263651F" w14:textId="77777777" w:rsidR="00A74F6E" w:rsidRDefault="00A74F6E" w:rsidP="0010233B">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Adjusted R</w:t>
            </w:r>
            <w:r>
              <w:rPr>
                <w:rFonts w:ascii="Times New Roman" w:eastAsia="Times New Roman" w:hAnsi="Times New Roman" w:cs="Times New Roman"/>
                <w:color w:val="000000"/>
                <w:vertAlign w:val="superscript"/>
              </w:rPr>
              <w:t>2</w:t>
            </w:r>
          </w:p>
        </w:tc>
        <w:tc>
          <w:tcPr>
            <w:tcW w:w="1159" w:type="dxa"/>
            <w:tcBorders>
              <w:top w:val="nil"/>
              <w:left w:val="nil"/>
              <w:bottom w:val="single" w:sz="4" w:space="0" w:color="000000"/>
              <w:right w:val="nil"/>
            </w:tcBorders>
            <w:shd w:val="clear" w:color="auto" w:fill="auto"/>
            <w:vAlign w:val="bottom"/>
          </w:tcPr>
          <w:p w14:paraId="7A2B37BD"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0.260</w:t>
            </w:r>
          </w:p>
        </w:tc>
        <w:tc>
          <w:tcPr>
            <w:tcW w:w="593" w:type="dxa"/>
            <w:tcBorders>
              <w:top w:val="nil"/>
              <w:left w:val="nil"/>
              <w:bottom w:val="single" w:sz="4" w:space="0" w:color="000000"/>
              <w:right w:val="nil"/>
            </w:tcBorders>
            <w:shd w:val="clear" w:color="auto" w:fill="auto"/>
            <w:vAlign w:val="bottom"/>
          </w:tcPr>
          <w:p w14:paraId="670659ED"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2288" w:type="dxa"/>
            <w:tcBorders>
              <w:top w:val="nil"/>
              <w:left w:val="nil"/>
              <w:bottom w:val="single" w:sz="4" w:space="0" w:color="000000"/>
              <w:right w:val="nil"/>
            </w:tcBorders>
            <w:shd w:val="clear" w:color="auto" w:fill="auto"/>
            <w:vAlign w:val="bottom"/>
          </w:tcPr>
          <w:p w14:paraId="79B4B422"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rPr>
              <w:t>0.188</w:t>
            </w:r>
          </w:p>
        </w:tc>
        <w:tc>
          <w:tcPr>
            <w:tcW w:w="593" w:type="dxa"/>
            <w:tcBorders>
              <w:top w:val="nil"/>
              <w:left w:val="nil"/>
              <w:bottom w:val="single" w:sz="4" w:space="0" w:color="000000"/>
              <w:right w:val="nil"/>
            </w:tcBorders>
            <w:shd w:val="clear" w:color="auto" w:fill="auto"/>
            <w:vAlign w:val="bottom"/>
          </w:tcPr>
          <w:p w14:paraId="246F70CB" w14:textId="77777777" w:rsidR="00A74F6E" w:rsidRPr="00787C26" w:rsidRDefault="00A74F6E" w:rsidP="0010233B">
            <w:pPr>
              <w:spacing w:after="0" w:line="240" w:lineRule="auto"/>
              <w:ind w:left="-113"/>
              <w:jc w:val="right"/>
              <w:rPr>
                <w:rFonts w:ascii="Times New Roman" w:eastAsia="Times New Roman" w:hAnsi="Times New Roman" w:cs="Times New Roman"/>
                <w:color w:val="000000"/>
              </w:rPr>
            </w:pPr>
          </w:p>
        </w:tc>
        <w:tc>
          <w:tcPr>
            <w:tcW w:w="1541" w:type="dxa"/>
            <w:tcBorders>
              <w:top w:val="nil"/>
              <w:left w:val="nil"/>
              <w:bottom w:val="single" w:sz="4" w:space="0" w:color="000000"/>
              <w:right w:val="nil"/>
            </w:tcBorders>
            <w:shd w:val="clear" w:color="auto" w:fill="auto"/>
            <w:vAlign w:val="center"/>
          </w:tcPr>
          <w:p w14:paraId="6246D9B6"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p>
        </w:tc>
        <w:tc>
          <w:tcPr>
            <w:tcW w:w="804" w:type="dxa"/>
            <w:tcBorders>
              <w:top w:val="nil"/>
              <w:left w:val="nil"/>
              <w:bottom w:val="single" w:sz="4" w:space="0" w:color="000000"/>
            </w:tcBorders>
            <w:shd w:val="clear" w:color="auto" w:fill="auto"/>
            <w:vAlign w:val="center"/>
          </w:tcPr>
          <w:p w14:paraId="531AFD46"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hAnsi="Times New Roman" w:cs="Times New Roman"/>
                <w:color w:val="000000"/>
              </w:rPr>
              <w:t> </w:t>
            </w:r>
          </w:p>
        </w:tc>
      </w:tr>
      <w:tr w:rsidR="00A74F6E" w14:paraId="1B4E1114" w14:textId="77777777" w:rsidTr="0010233B">
        <w:trPr>
          <w:trHeight w:val="300"/>
          <w:jc w:val="center"/>
        </w:trPr>
        <w:tc>
          <w:tcPr>
            <w:tcW w:w="2204" w:type="dxa"/>
            <w:tcBorders>
              <w:top w:val="single" w:sz="4" w:space="0" w:color="000000"/>
              <w:bottom w:val="nil"/>
              <w:right w:val="nil"/>
            </w:tcBorders>
            <w:shd w:val="clear" w:color="auto" w:fill="auto"/>
          </w:tcPr>
          <w:p w14:paraId="592AAC19" w14:textId="77777777" w:rsidR="00A74F6E" w:rsidRDefault="00A74F6E" w:rsidP="00102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Speed of adjustment</w:t>
            </w:r>
          </w:p>
        </w:tc>
        <w:tc>
          <w:tcPr>
            <w:tcW w:w="1159" w:type="dxa"/>
            <w:tcBorders>
              <w:top w:val="single" w:sz="4" w:space="0" w:color="000000"/>
              <w:left w:val="nil"/>
              <w:bottom w:val="nil"/>
              <w:right w:val="nil"/>
            </w:tcBorders>
            <w:shd w:val="clear" w:color="auto" w:fill="auto"/>
            <w:vAlign w:val="bottom"/>
          </w:tcPr>
          <w:p w14:paraId="551932E4"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0.357</w:t>
            </w:r>
          </w:p>
        </w:tc>
        <w:tc>
          <w:tcPr>
            <w:tcW w:w="593" w:type="dxa"/>
            <w:tcBorders>
              <w:top w:val="single" w:sz="4" w:space="0" w:color="000000"/>
              <w:left w:val="nil"/>
              <w:bottom w:val="nil"/>
              <w:right w:val="nil"/>
            </w:tcBorders>
            <w:shd w:val="clear" w:color="auto" w:fill="auto"/>
            <w:vAlign w:val="bottom"/>
          </w:tcPr>
          <w:p w14:paraId="42C23FAD" w14:textId="77777777" w:rsidR="00A74F6E" w:rsidRPr="003E6509" w:rsidRDefault="00A74F6E" w:rsidP="0010233B">
            <w:pPr>
              <w:spacing w:after="0" w:line="240" w:lineRule="auto"/>
              <w:ind w:left="-113"/>
              <w:rPr>
                <w:rFonts w:ascii="Times New Roman" w:eastAsia="Times New Roman" w:hAnsi="Times New Roman" w:cs="Times New Roman"/>
                <w:b/>
                <w:bCs/>
                <w:color w:val="000000"/>
              </w:rPr>
            </w:pPr>
          </w:p>
        </w:tc>
        <w:tc>
          <w:tcPr>
            <w:tcW w:w="2288" w:type="dxa"/>
            <w:tcBorders>
              <w:top w:val="single" w:sz="4" w:space="0" w:color="000000"/>
              <w:left w:val="nil"/>
              <w:bottom w:val="nil"/>
              <w:right w:val="nil"/>
            </w:tcBorders>
            <w:shd w:val="clear" w:color="auto" w:fill="auto"/>
            <w:vAlign w:val="bottom"/>
          </w:tcPr>
          <w:p w14:paraId="3111AA70"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0.229</w:t>
            </w:r>
          </w:p>
        </w:tc>
        <w:tc>
          <w:tcPr>
            <w:tcW w:w="593" w:type="dxa"/>
            <w:tcBorders>
              <w:top w:val="single" w:sz="4" w:space="0" w:color="000000"/>
              <w:left w:val="nil"/>
              <w:bottom w:val="nil"/>
              <w:right w:val="nil"/>
            </w:tcBorders>
            <w:shd w:val="clear" w:color="auto" w:fill="auto"/>
            <w:vAlign w:val="bottom"/>
          </w:tcPr>
          <w:p w14:paraId="0DC45552" w14:textId="77777777" w:rsidR="00A74F6E" w:rsidRPr="00787C26" w:rsidRDefault="00A74F6E" w:rsidP="0010233B">
            <w:pPr>
              <w:spacing w:after="0" w:line="240" w:lineRule="auto"/>
              <w:ind w:left="-113"/>
              <w:rPr>
                <w:rFonts w:ascii="Times New Roman" w:eastAsia="Times New Roman" w:hAnsi="Times New Roman" w:cs="Times New Roman"/>
                <w:b/>
                <w:color w:val="000000"/>
              </w:rPr>
            </w:pPr>
          </w:p>
        </w:tc>
        <w:tc>
          <w:tcPr>
            <w:tcW w:w="1541" w:type="dxa"/>
            <w:tcBorders>
              <w:top w:val="single" w:sz="4" w:space="0" w:color="000000"/>
              <w:left w:val="nil"/>
              <w:bottom w:val="nil"/>
              <w:right w:val="nil"/>
            </w:tcBorders>
            <w:shd w:val="clear" w:color="auto" w:fill="auto"/>
            <w:vAlign w:val="center"/>
          </w:tcPr>
          <w:p w14:paraId="4009DAF8" w14:textId="77777777" w:rsidR="00A74F6E" w:rsidRPr="00787C26" w:rsidRDefault="00A74F6E" w:rsidP="0010233B">
            <w:pPr>
              <w:spacing w:after="0" w:line="240" w:lineRule="auto"/>
              <w:ind w:right="-113"/>
              <w:jc w:val="right"/>
              <w:rPr>
                <w:rFonts w:ascii="Times New Roman" w:eastAsia="Times New Roman" w:hAnsi="Times New Roman" w:cs="Times New Roman"/>
                <w:b/>
                <w:color w:val="000000"/>
              </w:rPr>
            </w:pPr>
          </w:p>
        </w:tc>
        <w:tc>
          <w:tcPr>
            <w:tcW w:w="804" w:type="dxa"/>
            <w:tcBorders>
              <w:top w:val="single" w:sz="4" w:space="0" w:color="000000"/>
              <w:left w:val="nil"/>
              <w:bottom w:val="nil"/>
            </w:tcBorders>
            <w:shd w:val="clear" w:color="auto" w:fill="auto"/>
            <w:vAlign w:val="center"/>
          </w:tcPr>
          <w:p w14:paraId="55222E10" w14:textId="77777777" w:rsidR="00A74F6E" w:rsidRPr="00787C26" w:rsidRDefault="00A74F6E" w:rsidP="0010233B">
            <w:pPr>
              <w:spacing w:after="0" w:line="240" w:lineRule="auto"/>
              <w:jc w:val="right"/>
              <w:rPr>
                <w:rFonts w:ascii="Times New Roman" w:eastAsia="Times New Roman" w:hAnsi="Times New Roman" w:cs="Times New Roman"/>
                <w:b/>
                <w:color w:val="000000"/>
              </w:rPr>
            </w:pPr>
          </w:p>
        </w:tc>
      </w:tr>
      <w:tr w:rsidR="00A74F6E" w14:paraId="5636B475" w14:textId="77777777" w:rsidTr="0010233B">
        <w:trPr>
          <w:trHeight w:val="300"/>
          <w:jc w:val="center"/>
        </w:trPr>
        <w:tc>
          <w:tcPr>
            <w:tcW w:w="2204" w:type="dxa"/>
            <w:tcBorders>
              <w:top w:val="nil"/>
              <w:bottom w:val="single" w:sz="4" w:space="0" w:color="000000"/>
              <w:right w:val="nil"/>
            </w:tcBorders>
            <w:shd w:val="clear" w:color="auto" w:fill="auto"/>
          </w:tcPr>
          <w:p w14:paraId="1CF1EA02" w14:textId="77777777" w:rsidR="00A74F6E" w:rsidRDefault="00A74F6E" w:rsidP="00102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Target </w:t>
            </w:r>
            <w:proofErr w:type="spellStart"/>
            <w:r>
              <w:rPr>
                <w:rFonts w:ascii="Times New Roman" w:eastAsia="Times New Roman" w:hAnsi="Times New Roman" w:cs="Times New Roman"/>
                <w:color w:val="000000"/>
              </w:rPr>
              <w:t>payout</w:t>
            </w:r>
            <w:proofErr w:type="spellEnd"/>
            <w:r>
              <w:rPr>
                <w:rFonts w:ascii="Times New Roman" w:eastAsia="Times New Roman" w:hAnsi="Times New Roman" w:cs="Times New Roman"/>
                <w:color w:val="000000"/>
              </w:rPr>
              <w:t xml:space="preserve"> ratio</w:t>
            </w:r>
          </w:p>
        </w:tc>
        <w:tc>
          <w:tcPr>
            <w:tcW w:w="1159" w:type="dxa"/>
            <w:tcBorders>
              <w:top w:val="nil"/>
              <w:left w:val="nil"/>
              <w:bottom w:val="single" w:sz="4" w:space="0" w:color="000000"/>
              <w:right w:val="nil"/>
            </w:tcBorders>
            <w:shd w:val="clear" w:color="auto" w:fill="auto"/>
            <w:vAlign w:val="bottom"/>
          </w:tcPr>
          <w:p w14:paraId="07AB1BFB"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0.429</w:t>
            </w:r>
          </w:p>
        </w:tc>
        <w:tc>
          <w:tcPr>
            <w:tcW w:w="593" w:type="dxa"/>
            <w:tcBorders>
              <w:top w:val="nil"/>
              <w:left w:val="nil"/>
              <w:bottom w:val="single" w:sz="4" w:space="0" w:color="000000"/>
              <w:right w:val="nil"/>
            </w:tcBorders>
            <w:shd w:val="clear" w:color="auto" w:fill="auto"/>
            <w:vAlign w:val="bottom"/>
          </w:tcPr>
          <w:p w14:paraId="4A5D2A13" w14:textId="77777777" w:rsidR="00A74F6E" w:rsidRPr="003E6509" w:rsidRDefault="00A74F6E" w:rsidP="0010233B">
            <w:pPr>
              <w:spacing w:after="0" w:line="240" w:lineRule="auto"/>
              <w:ind w:left="-113"/>
              <w:rPr>
                <w:rFonts w:ascii="Times New Roman" w:eastAsia="Times New Roman" w:hAnsi="Times New Roman" w:cs="Times New Roman"/>
                <w:b/>
                <w:bCs/>
                <w:color w:val="000000"/>
              </w:rPr>
            </w:pPr>
          </w:p>
        </w:tc>
        <w:tc>
          <w:tcPr>
            <w:tcW w:w="2288" w:type="dxa"/>
            <w:tcBorders>
              <w:top w:val="nil"/>
              <w:left w:val="nil"/>
              <w:bottom w:val="single" w:sz="4" w:space="0" w:color="000000"/>
              <w:right w:val="nil"/>
            </w:tcBorders>
            <w:shd w:val="clear" w:color="auto" w:fill="auto"/>
            <w:vAlign w:val="bottom"/>
          </w:tcPr>
          <w:p w14:paraId="7323F616" w14:textId="77777777" w:rsidR="00A74F6E" w:rsidRPr="003E6509" w:rsidRDefault="00A74F6E" w:rsidP="0010233B">
            <w:pPr>
              <w:spacing w:after="0" w:line="240" w:lineRule="auto"/>
              <w:ind w:right="-113"/>
              <w:jc w:val="right"/>
              <w:rPr>
                <w:rFonts w:ascii="Times New Roman" w:eastAsia="Times New Roman" w:hAnsi="Times New Roman" w:cs="Times New Roman"/>
                <w:b/>
                <w:bCs/>
                <w:color w:val="000000"/>
              </w:rPr>
            </w:pPr>
            <w:r w:rsidRPr="003E6509">
              <w:rPr>
                <w:rFonts w:ascii="Times New Roman" w:hAnsi="Times New Roman" w:cs="Times New Roman"/>
                <w:b/>
                <w:bCs/>
              </w:rPr>
              <w:t>0.782</w:t>
            </w:r>
          </w:p>
        </w:tc>
        <w:tc>
          <w:tcPr>
            <w:tcW w:w="593" w:type="dxa"/>
            <w:tcBorders>
              <w:top w:val="nil"/>
              <w:left w:val="nil"/>
              <w:bottom w:val="single" w:sz="4" w:space="0" w:color="000000"/>
              <w:right w:val="nil"/>
            </w:tcBorders>
            <w:shd w:val="clear" w:color="auto" w:fill="auto"/>
            <w:vAlign w:val="bottom"/>
          </w:tcPr>
          <w:p w14:paraId="45A4AC5E" w14:textId="77777777" w:rsidR="00A74F6E" w:rsidRPr="00787C26" w:rsidRDefault="00A74F6E" w:rsidP="0010233B">
            <w:pPr>
              <w:spacing w:after="0" w:line="240" w:lineRule="auto"/>
              <w:ind w:left="-113"/>
              <w:rPr>
                <w:rFonts w:ascii="Times New Roman" w:eastAsia="Times New Roman" w:hAnsi="Times New Roman" w:cs="Times New Roman"/>
                <w:b/>
                <w:color w:val="000000"/>
              </w:rPr>
            </w:pPr>
          </w:p>
        </w:tc>
        <w:tc>
          <w:tcPr>
            <w:tcW w:w="1541" w:type="dxa"/>
            <w:tcBorders>
              <w:top w:val="nil"/>
              <w:left w:val="nil"/>
              <w:bottom w:val="single" w:sz="4" w:space="0" w:color="000000"/>
              <w:right w:val="nil"/>
            </w:tcBorders>
            <w:shd w:val="clear" w:color="auto" w:fill="auto"/>
            <w:vAlign w:val="center"/>
          </w:tcPr>
          <w:p w14:paraId="59756E16" w14:textId="77777777" w:rsidR="00A74F6E" w:rsidRPr="00787C26" w:rsidRDefault="00A74F6E" w:rsidP="0010233B">
            <w:pPr>
              <w:spacing w:after="0" w:line="240" w:lineRule="auto"/>
              <w:ind w:right="-113"/>
              <w:jc w:val="right"/>
              <w:rPr>
                <w:rFonts w:ascii="Times New Roman" w:eastAsia="Times New Roman" w:hAnsi="Times New Roman" w:cs="Times New Roman"/>
                <w:color w:val="000000"/>
              </w:rPr>
            </w:pPr>
            <w:r w:rsidRPr="00787C26">
              <w:rPr>
                <w:rFonts w:ascii="Times New Roman" w:hAnsi="Times New Roman" w:cs="Times New Roman"/>
                <w:color w:val="000000"/>
              </w:rPr>
              <w:t> </w:t>
            </w:r>
          </w:p>
        </w:tc>
        <w:tc>
          <w:tcPr>
            <w:tcW w:w="804" w:type="dxa"/>
            <w:tcBorders>
              <w:top w:val="nil"/>
              <w:left w:val="nil"/>
              <w:bottom w:val="single" w:sz="4" w:space="0" w:color="000000"/>
            </w:tcBorders>
            <w:shd w:val="clear" w:color="auto" w:fill="auto"/>
            <w:vAlign w:val="center"/>
          </w:tcPr>
          <w:p w14:paraId="090D16F7" w14:textId="77777777" w:rsidR="00A74F6E" w:rsidRPr="00787C26" w:rsidRDefault="00A74F6E" w:rsidP="0010233B">
            <w:pPr>
              <w:spacing w:after="0" w:line="240" w:lineRule="auto"/>
              <w:jc w:val="right"/>
              <w:rPr>
                <w:rFonts w:ascii="Times New Roman" w:eastAsia="Times New Roman" w:hAnsi="Times New Roman" w:cs="Times New Roman"/>
                <w:color w:val="000000"/>
              </w:rPr>
            </w:pPr>
            <w:r w:rsidRPr="00787C26">
              <w:rPr>
                <w:rFonts w:ascii="Times New Roman" w:hAnsi="Times New Roman" w:cs="Times New Roman"/>
                <w:color w:val="000000"/>
              </w:rPr>
              <w:t> </w:t>
            </w:r>
          </w:p>
        </w:tc>
      </w:tr>
    </w:tbl>
    <w:p w14:paraId="0BB5C539" w14:textId="77777777" w:rsidR="00A74F6E" w:rsidRDefault="00A74F6E" w:rsidP="00A74F6E">
      <w:pPr>
        <w:spacing w:after="0" w:line="240" w:lineRule="auto"/>
        <w:ind w:left="-284" w:right="-285"/>
        <w:jc w:val="both"/>
        <w:rPr>
          <w:rFonts w:ascii="Times New Roman" w:eastAsia="Times New Roman" w:hAnsi="Times New Roman" w:cs="Times New Roman"/>
          <w:i/>
        </w:rPr>
      </w:pPr>
    </w:p>
    <w:p w14:paraId="575BD194" w14:textId="77777777" w:rsidR="00A74F6E" w:rsidRDefault="00A74F6E" w:rsidP="00A74F6E">
      <w:pPr>
        <w:spacing w:after="0" w:line="240" w:lineRule="auto"/>
        <w:ind w:left="-284" w:right="-285"/>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Notes</w:t>
      </w:r>
      <w:r>
        <w:rPr>
          <w:rFonts w:ascii="Times New Roman" w:eastAsia="Times New Roman" w:hAnsi="Times New Roman" w:cs="Times New Roman"/>
          <w:sz w:val="22"/>
          <w:szCs w:val="22"/>
        </w:rPr>
        <w:t xml:space="preserve">: This table presents the results for Models (3) and (4) by regime. </w:t>
      </w:r>
      <w:r>
        <w:rPr>
          <w:rFonts w:ascii="Times New Roman" w:eastAsia="Times New Roman" w:hAnsi="Times New Roman" w:cs="Times New Roman"/>
          <w:i/>
          <w:sz w:val="22"/>
          <w:szCs w:val="22"/>
        </w:rPr>
        <w:t xml:space="preserve">REGIME1 </w:t>
      </w:r>
      <w:r>
        <w:rPr>
          <w:rFonts w:ascii="Times New Roman" w:eastAsia="Times New Roman" w:hAnsi="Times New Roman" w:cs="Times New Roman"/>
          <w:sz w:val="22"/>
          <w:szCs w:val="22"/>
        </w:rPr>
        <w:t xml:space="preserve">represents observations from 2000-2003; and </w:t>
      </w:r>
      <w:r>
        <w:rPr>
          <w:rFonts w:ascii="Times New Roman" w:eastAsia="Times New Roman" w:hAnsi="Times New Roman" w:cs="Times New Roman"/>
          <w:i/>
          <w:sz w:val="22"/>
          <w:szCs w:val="22"/>
        </w:rPr>
        <w:t xml:space="preserve">REGIME2 </w:t>
      </w:r>
      <w:r>
        <w:rPr>
          <w:rFonts w:ascii="Times New Roman" w:eastAsia="Times New Roman" w:hAnsi="Times New Roman" w:cs="Times New Roman"/>
          <w:sz w:val="22"/>
          <w:szCs w:val="22"/>
        </w:rPr>
        <w:t xml:space="preserve">indicates an observation is from 2004-2016.  Panel A reports results of Lintner regressions using </w:t>
      </w:r>
      <w:proofErr w:type="gramStart"/>
      <w:r>
        <w:rPr>
          <w:rFonts w:ascii="Times New Roman" w:eastAsia="Times New Roman" w:hAnsi="Times New Roman" w:cs="Times New Roman"/>
          <w:sz w:val="22"/>
          <w:szCs w:val="22"/>
        </w:rPr>
        <w:t>dividends;</w:t>
      </w:r>
      <w:proofErr w:type="gramEnd"/>
      <w:r>
        <w:rPr>
          <w:rFonts w:ascii="Times New Roman" w:eastAsia="Times New Roman" w:hAnsi="Times New Roman" w:cs="Times New Roman"/>
          <w:sz w:val="22"/>
          <w:szCs w:val="22"/>
        </w:rPr>
        <w:t xml:space="preserve"> whereas Panel B reports results of amended Lintner regressions using total </w:t>
      </w:r>
      <w:proofErr w:type="spellStart"/>
      <w:r>
        <w:rPr>
          <w:rFonts w:ascii="Times New Roman" w:eastAsia="Times New Roman" w:hAnsi="Times New Roman" w:cs="Times New Roman"/>
          <w:sz w:val="22"/>
          <w:szCs w:val="22"/>
        </w:rPr>
        <w:t>payout</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All other variables are defined in Table 2. </w:t>
      </w:r>
      <w:r>
        <w:rPr>
          <w:rFonts w:ascii="Times New Roman" w:eastAsia="Times New Roman" w:hAnsi="Times New Roman" w:cs="Times New Roman"/>
          <w:sz w:val="22"/>
          <w:szCs w:val="22"/>
        </w:rPr>
        <w:t>Coefficient estimates that are statistically significant at 10%, 5% or 1% indicated by *, ** and *** (two-tailed).</w:t>
      </w:r>
    </w:p>
    <w:p w14:paraId="78840B9B" w14:textId="77777777" w:rsidR="00A74F6E" w:rsidRDefault="00A74F6E" w:rsidP="00A74F6E">
      <w:r>
        <w:br w:type="page"/>
      </w:r>
    </w:p>
    <w:p w14:paraId="7CBE2846" w14:textId="77777777" w:rsidR="00A74F6E" w:rsidRDefault="00A74F6E" w:rsidP="00A74F6E">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Table 9: Share Repurchase Amount as a Proportion of Total </w:t>
      </w:r>
      <w:proofErr w:type="spellStart"/>
      <w:r>
        <w:rPr>
          <w:rFonts w:ascii="Times New Roman" w:eastAsia="Times New Roman" w:hAnsi="Times New Roman" w:cs="Times New Roman"/>
          <w:b/>
        </w:rPr>
        <w:t>Payout</w:t>
      </w:r>
      <w:proofErr w:type="spellEnd"/>
      <w:r>
        <w:rPr>
          <w:rFonts w:ascii="Times New Roman" w:eastAsia="Times New Roman" w:hAnsi="Times New Roman" w:cs="Times New Roman"/>
          <w:b/>
        </w:rPr>
        <w:t xml:space="preserve"> </w:t>
      </w:r>
    </w:p>
    <w:tbl>
      <w:tblPr>
        <w:tblW w:w="1006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29"/>
        <w:gridCol w:w="250"/>
        <w:gridCol w:w="1203"/>
        <w:gridCol w:w="833"/>
        <w:gridCol w:w="1203"/>
        <w:gridCol w:w="833"/>
        <w:gridCol w:w="1203"/>
        <w:gridCol w:w="833"/>
        <w:gridCol w:w="973"/>
      </w:tblGrid>
      <w:tr w:rsidR="00A74F6E" w14:paraId="7AFA0F04" w14:textId="77777777" w:rsidTr="0010233B">
        <w:trPr>
          <w:trHeight w:val="300"/>
          <w:jc w:val="center"/>
        </w:trPr>
        <w:tc>
          <w:tcPr>
            <w:tcW w:w="2979" w:type="dxa"/>
            <w:gridSpan w:val="2"/>
            <w:shd w:val="clear" w:color="auto" w:fill="auto"/>
          </w:tcPr>
          <w:p w14:paraId="261C0615" w14:textId="77777777" w:rsidR="00A74F6E" w:rsidRDefault="00A74F6E" w:rsidP="0010233B">
            <w:pPr>
              <w:spacing w:after="0" w:line="240" w:lineRule="auto"/>
              <w:jc w:val="right"/>
              <w:rPr>
                <w:rFonts w:ascii="Times New Roman" w:eastAsia="Times New Roman" w:hAnsi="Times New Roman" w:cs="Times New Roman"/>
                <w:b/>
                <w:sz w:val="22"/>
                <w:szCs w:val="22"/>
              </w:rPr>
            </w:pPr>
          </w:p>
        </w:tc>
        <w:tc>
          <w:tcPr>
            <w:tcW w:w="2036" w:type="dxa"/>
            <w:gridSpan w:val="2"/>
            <w:shd w:val="clear" w:color="auto" w:fill="auto"/>
            <w:vAlign w:val="center"/>
          </w:tcPr>
          <w:p w14:paraId="1C2228D3"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Repurchase Ratio</w:t>
            </w:r>
          </w:p>
          <w:p w14:paraId="6584EE48"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Full</w:t>
            </w:r>
          </w:p>
        </w:tc>
        <w:tc>
          <w:tcPr>
            <w:tcW w:w="2036" w:type="dxa"/>
            <w:gridSpan w:val="2"/>
            <w:shd w:val="clear" w:color="auto" w:fill="auto"/>
            <w:vAlign w:val="center"/>
          </w:tcPr>
          <w:p w14:paraId="37B632DF"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Repurchase Ratio</w:t>
            </w:r>
          </w:p>
          <w:p w14:paraId="63CA725F"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Regime 1</w:t>
            </w:r>
          </w:p>
        </w:tc>
        <w:tc>
          <w:tcPr>
            <w:tcW w:w="2036" w:type="dxa"/>
            <w:gridSpan w:val="2"/>
            <w:shd w:val="clear" w:color="auto" w:fill="auto"/>
            <w:vAlign w:val="center"/>
          </w:tcPr>
          <w:p w14:paraId="68928CC9"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Repurchase Ratio</w:t>
            </w:r>
          </w:p>
          <w:p w14:paraId="592FF8E6"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Regime 2</w:t>
            </w:r>
          </w:p>
        </w:tc>
        <w:tc>
          <w:tcPr>
            <w:tcW w:w="973" w:type="dxa"/>
            <w:vAlign w:val="center"/>
          </w:tcPr>
          <w:p w14:paraId="206C6F64" w14:textId="77777777" w:rsidR="00A74F6E" w:rsidRDefault="00A74F6E" w:rsidP="0010233B">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p</w:t>
            </w:r>
            <w:r>
              <w:rPr>
                <w:rFonts w:ascii="Times New Roman" w:eastAsia="Times New Roman" w:hAnsi="Times New Roman" w:cs="Times New Roman"/>
                <w:b/>
                <w:color w:val="000000"/>
                <w:sz w:val="22"/>
                <w:szCs w:val="22"/>
              </w:rPr>
              <w:t>-values</w:t>
            </w:r>
          </w:p>
        </w:tc>
      </w:tr>
      <w:tr w:rsidR="00A74F6E" w14:paraId="6338E1AD" w14:textId="77777777" w:rsidTr="0010233B">
        <w:trPr>
          <w:trHeight w:val="300"/>
          <w:jc w:val="center"/>
        </w:trPr>
        <w:tc>
          <w:tcPr>
            <w:tcW w:w="2979" w:type="dxa"/>
            <w:gridSpan w:val="2"/>
            <w:tcBorders>
              <w:top w:val="single" w:sz="4" w:space="0" w:color="000000"/>
              <w:bottom w:val="nil"/>
            </w:tcBorders>
            <w:shd w:val="clear" w:color="auto" w:fill="auto"/>
            <w:vAlign w:val="bottom"/>
          </w:tcPr>
          <w:p w14:paraId="661EF56D"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LEVIND</w:t>
            </w:r>
            <w:r>
              <w:rPr>
                <w:rFonts w:ascii="Times New Roman" w:eastAsia="Times New Roman" w:hAnsi="Times New Roman" w:cs="Times New Roman"/>
                <w:i/>
                <w:sz w:val="22"/>
                <w:szCs w:val="22"/>
                <w:vertAlign w:val="subscript"/>
              </w:rPr>
              <w:t>t-1</w:t>
            </w:r>
          </w:p>
        </w:tc>
        <w:tc>
          <w:tcPr>
            <w:tcW w:w="1203" w:type="dxa"/>
            <w:tcBorders>
              <w:top w:val="single" w:sz="4" w:space="0" w:color="000000"/>
              <w:bottom w:val="nil"/>
            </w:tcBorders>
            <w:shd w:val="clear" w:color="auto" w:fill="auto"/>
            <w:vAlign w:val="bottom"/>
          </w:tcPr>
          <w:p w14:paraId="4CBA42DE"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0.000</w:t>
            </w:r>
          </w:p>
        </w:tc>
        <w:tc>
          <w:tcPr>
            <w:tcW w:w="833" w:type="dxa"/>
            <w:tcBorders>
              <w:top w:val="single" w:sz="4" w:space="0" w:color="000000"/>
              <w:bottom w:val="nil"/>
            </w:tcBorders>
            <w:shd w:val="clear" w:color="auto" w:fill="auto"/>
            <w:vAlign w:val="bottom"/>
          </w:tcPr>
          <w:p w14:paraId="20A42A8C"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tcBorders>
              <w:top w:val="single" w:sz="4" w:space="0" w:color="000000"/>
              <w:bottom w:val="nil"/>
            </w:tcBorders>
            <w:shd w:val="clear" w:color="auto" w:fill="auto"/>
            <w:vAlign w:val="bottom"/>
          </w:tcPr>
          <w:p w14:paraId="550105EA" w14:textId="77777777" w:rsidR="00A74F6E" w:rsidRPr="006103EE" w:rsidRDefault="00A74F6E" w:rsidP="0010233B">
            <w:pPr>
              <w:spacing w:after="0" w:line="240" w:lineRule="auto"/>
              <w:ind w:right="-113"/>
              <w:jc w:val="right"/>
              <w:rPr>
                <w:rFonts w:ascii="Times New Roman" w:eastAsia="Times New Roman" w:hAnsi="Times New Roman" w:cs="Times New Roman"/>
                <w:b/>
                <w:color w:val="FF0000"/>
                <w:sz w:val="22"/>
                <w:szCs w:val="22"/>
              </w:rPr>
            </w:pPr>
            <w:r w:rsidRPr="006103EE">
              <w:rPr>
                <w:rFonts w:ascii="Times New Roman" w:hAnsi="Times New Roman" w:cs="Times New Roman"/>
                <w:color w:val="000000"/>
                <w:sz w:val="22"/>
                <w:szCs w:val="22"/>
              </w:rPr>
              <w:t>-0.054</w:t>
            </w:r>
          </w:p>
        </w:tc>
        <w:tc>
          <w:tcPr>
            <w:tcW w:w="833" w:type="dxa"/>
            <w:tcBorders>
              <w:top w:val="single" w:sz="4" w:space="0" w:color="000000"/>
              <w:bottom w:val="nil"/>
            </w:tcBorders>
            <w:shd w:val="clear" w:color="auto" w:fill="auto"/>
            <w:vAlign w:val="bottom"/>
          </w:tcPr>
          <w:p w14:paraId="234CBFAC"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tcBorders>
              <w:top w:val="single" w:sz="4" w:space="0" w:color="000000"/>
              <w:bottom w:val="nil"/>
            </w:tcBorders>
            <w:shd w:val="clear" w:color="auto" w:fill="auto"/>
            <w:vAlign w:val="bottom"/>
          </w:tcPr>
          <w:p w14:paraId="5261DEE8"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0.001</w:t>
            </w:r>
          </w:p>
        </w:tc>
        <w:tc>
          <w:tcPr>
            <w:tcW w:w="833" w:type="dxa"/>
            <w:tcBorders>
              <w:top w:val="single" w:sz="4" w:space="0" w:color="000000"/>
              <w:bottom w:val="nil"/>
            </w:tcBorders>
            <w:shd w:val="clear" w:color="auto" w:fill="auto"/>
            <w:vAlign w:val="bottom"/>
          </w:tcPr>
          <w:p w14:paraId="0FB157AE"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973" w:type="dxa"/>
            <w:tcBorders>
              <w:top w:val="single" w:sz="4" w:space="0" w:color="000000"/>
              <w:bottom w:val="nil"/>
            </w:tcBorders>
            <w:vAlign w:val="bottom"/>
          </w:tcPr>
          <w:p w14:paraId="217D692F"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p>
        </w:tc>
      </w:tr>
      <w:tr w:rsidR="00A74F6E" w14:paraId="05BF738C" w14:textId="77777777" w:rsidTr="0010233B">
        <w:trPr>
          <w:trHeight w:val="300"/>
          <w:jc w:val="center"/>
        </w:trPr>
        <w:tc>
          <w:tcPr>
            <w:tcW w:w="2979" w:type="dxa"/>
            <w:gridSpan w:val="2"/>
            <w:tcBorders>
              <w:top w:val="nil"/>
            </w:tcBorders>
            <w:shd w:val="clear" w:color="auto" w:fill="auto"/>
            <w:vAlign w:val="bottom"/>
          </w:tcPr>
          <w:p w14:paraId="18368D21" w14:textId="77777777" w:rsidR="00A74F6E" w:rsidRDefault="00A74F6E" w:rsidP="0010233B">
            <w:pPr>
              <w:spacing w:after="0" w:line="240" w:lineRule="auto"/>
              <w:rPr>
                <w:rFonts w:ascii="Times New Roman" w:eastAsia="Times New Roman" w:hAnsi="Times New Roman" w:cs="Times New Roman"/>
                <w:i/>
                <w:sz w:val="22"/>
                <w:szCs w:val="22"/>
              </w:rPr>
            </w:pPr>
          </w:p>
        </w:tc>
        <w:tc>
          <w:tcPr>
            <w:tcW w:w="1203" w:type="dxa"/>
            <w:tcBorders>
              <w:top w:val="nil"/>
            </w:tcBorders>
            <w:shd w:val="clear" w:color="auto" w:fill="auto"/>
            <w:vAlign w:val="bottom"/>
          </w:tcPr>
          <w:p w14:paraId="7FD0F850"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0.887</w:t>
            </w:r>
          </w:p>
        </w:tc>
        <w:tc>
          <w:tcPr>
            <w:tcW w:w="833" w:type="dxa"/>
            <w:tcBorders>
              <w:top w:val="nil"/>
            </w:tcBorders>
            <w:shd w:val="clear" w:color="auto" w:fill="auto"/>
            <w:vAlign w:val="bottom"/>
          </w:tcPr>
          <w:p w14:paraId="0ED3004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tcBorders>
              <w:top w:val="nil"/>
            </w:tcBorders>
            <w:shd w:val="clear" w:color="auto" w:fill="auto"/>
            <w:vAlign w:val="bottom"/>
          </w:tcPr>
          <w:p w14:paraId="4FBEC7A9" w14:textId="77777777" w:rsidR="00A74F6E" w:rsidRPr="006103EE" w:rsidRDefault="00A74F6E" w:rsidP="0010233B">
            <w:pPr>
              <w:spacing w:after="0" w:line="240" w:lineRule="auto"/>
              <w:ind w:right="-113"/>
              <w:jc w:val="right"/>
              <w:rPr>
                <w:rFonts w:ascii="Times New Roman" w:eastAsia="Times New Roman" w:hAnsi="Times New Roman" w:cs="Times New Roman"/>
                <w:b/>
                <w:color w:val="FF0000"/>
                <w:sz w:val="22"/>
                <w:szCs w:val="22"/>
              </w:rPr>
            </w:pPr>
            <w:r w:rsidRPr="006103EE">
              <w:rPr>
                <w:rFonts w:ascii="Times New Roman" w:hAnsi="Times New Roman" w:cs="Times New Roman"/>
                <w:color w:val="000000"/>
                <w:sz w:val="22"/>
                <w:szCs w:val="22"/>
              </w:rPr>
              <w:t>0.105</w:t>
            </w:r>
          </w:p>
        </w:tc>
        <w:tc>
          <w:tcPr>
            <w:tcW w:w="833" w:type="dxa"/>
            <w:tcBorders>
              <w:top w:val="nil"/>
            </w:tcBorders>
            <w:shd w:val="clear" w:color="auto" w:fill="auto"/>
            <w:vAlign w:val="bottom"/>
          </w:tcPr>
          <w:p w14:paraId="64FE81B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tcBorders>
              <w:top w:val="nil"/>
            </w:tcBorders>
            <w:shd w:val="clear" w:color="auto" w:fill="auto"/>
            <w:vAlign w:val="bottom"/>
          </w:tcPr>
          <w:p w14:paraId="12C4770C"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0.697</w:t>
            </w:r>
          </w:p>
        </w:tc>
        <w:tc>
          <w:tcPr>
            <w:tcW w:w="833" w:type="dxa"/>
            <w:tcBorders>
              <w:top w:val="nil"/>
            </w:tcBorders>
            <w:shd w:val="clear" w:color="auto" w:fill="auto"/>
            <w:vAlign w:val="bottom"/>
          </w:tcPr>
          <w:p w14:paraId="1617C81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tcBorders>
              <w:top w:val="nil"/>
            </w:tcBorders>
            <w:vAlign w:val="bottom"/>
          </w:tcPr>
          <w:p w14:paraId="29643E86"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0.078</w:t>
            </w:r>
          </w:p>
        </w:tc>
      </w:tr>
      <w:tr w:rsidR="00A74F6E" w14:paraId="5A16CF70" w14:textId="77777777" w:rsidTr="0010233B">
        <w:trPr>
          <w:trHeight w:val="300"/>
          <w:jc w:val="center"/>
        </w:trPr>
        <w:tc>
          <w:tcPr>
            <w:tcW w:w="2979" w:type="dxa"/>
            <w:gridSpan w:val="2"/>
            <w:shd w:val="clear" w:color="auto" w:fill="auto"/>
            <w:vAlign w:val="bottom"/>
          </w:tcPr>
          <w:p w14:paraId="1CC085AC"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XSCASH</w:t>
            </w:r>
            <w:r>
              <w:rPr>
                <w:rFonts w:ascii="Times New Roman" w:eastAsia="Times New Roman" w:hAnsi="Times New Roman" w:cs="Times New Roman"/>
                <w:i/>
                <w:sz w:val="22"/>
                <w:szCs w:val="22"/>
                <w:vertAlign w:val="subscript"/>
              </w:rPr>
              <w:t xml:space="preserve"> t-1</w:t>
            </w:r>
          </w:p>
        </w:tc>
        <w:tc>
          <w:tcPr>
            <w:tcW w:w="1203" w:type="dxa"/>
            <w:shd w:val="clear" w:color="auto" w:fill="auto"/>
            <w:vAlign w:val="bottom"/>
          </w:tcPr>
          <w:p w14:paraId="20D4D9B9"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0.259</w:t>
            </w:r>
          </w:p>
        </w:tc>
        <w:tc>
          <w:tcPr>
            <w:tcW w:w="833" w:type="dxa"/>
            <w:shd w:val="clear" w:color="auto" w:fill="auto"/>
            <w:vAlign w:val="bottom"/>
          </w:tcPr>
          <w:p w14:paraId="20B15790"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4E79027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0.657</w:t>
            </w:r>
          </w:p>
        </w:tc>
        <w:tc>
          <w:tcPr>
            <w:tcW w:w="833" w:type="dxa"/>
            <w:shd w:val="clear" w:color="auto" w:fill="auto"/>
            <w:vAlign w:val="bottom"/>
          </w:tcPr>
          <w:p w14:paraId="13611A5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0F3CB73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0.204</w:t>
            </w:r>
          </w:p>
        </w:tc>
        <w:tc>
          <w:tcPr>
            <w:tcW w:w="833" w:type="dxa"/>
            <w:shd w:val="clear" w:color="auto" w:fill="auto"/>
            <w:vAlign w:val="bottom"/>
          </w:tcPr>
          <w:p w14:paraId="274DFF51"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973" w:type="dxa"/>
            <w:vAlign w:val="bottom"/>
          </w:tcPr>
          <w:p w14:paraId="764898B2"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36085B0E" w14:textId="77777777" w:rsidTr="0010233B">
        <w:trPr>
          <w:trHeight w:val="300"/>
          <w:jc w:val="center"/>
        </w:trPr>
        <w:tc>
          <w:tcPr>
            <w:tcW w:w="2979" w:type="dxa"/>
            <w:gridSpan w:val="2"/>
            <w:shd w:val="clear" w:color="auto" w:fill="auto"/>
            <w:vAlign w:val="bottom"/>
          </w:tcPr>
          <w:p w14:paraId="3820CF62" w14:textId="77777777" w:rsidR="00A74F6E" w:rsidRDefault="00A74F6E" w:rsidP="0010233B">
            <w:pPr>
              <w:spacing w:after="0" w:line="240" w:lineRule="auto"/>
              <w:rPr>
                <w:rFonts w:ascii="Times New Roman" w:eastAsia="Times New Roman" w:hAnsi="Times New Roman" w:cs="Times New Roman"/>
                <w:i/>
                <w:sz w:val="22"/>
                <w:szCs w:val="22"/>
              </w:rPr>
            </w:pPr>
          </w:p>
        </w:tc>
        <w:tc>
          <w:tcPr>
            <w:tcW w:w="1203" w:type="dxa"/>
            <w:shd w:val="clear" w:color="auto" w:fill="auto"/>
            <w:vAlign w:val="bottom"/>
          </w:tcPr>
          <w:p w14:paraId="5DC0B85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0.001</w:t>
            </w:r>
          </w:p>
        </w:tc>
        <w:tc>
          <w:tcPr>
            <w:tcW w:w="833" w:type="dxa"/>
            <w:shd w:val="clear" w:color="auto" w:fill="auto"/>
            <w:vAlign w:val="bottom"/>
          </w:tcPr>
          <w:p w14:paraId="456BF3D6"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59762E9C"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0.007</w:t>
            </w:r>
          </w:p>
        </w:tc>
        <w:tc>
          <w:tcPr>
            <w:tcW w:w="833" w:type="dxa"/>
            <w:shd w:val="clear" w:color="auto" w:fill="auto"/>
            <w:vAlign w:val="bottom"/>
          </w:tcPr>
          <w:p w14:paraId="25E6F6A8"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289158A9"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0.009</w:t>
            </w:r>
          </w:p>
        </w:tc>
        <w:tc>
          <w:tcPr>
            <w:tcW w:w="833" w:type="dxa"/>
            <w:shd w:val="clear" w:color="auto" w:fill="auto"/>
            <w:vAlign w:val="bottom"/>
          </w:tcPr>
          <w:p w14:paraId="6B0305C3"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6E00F6C8"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0.348</w:t>
            </w:r>
          </w:p>
        </w:tc>
      </w:tr>
      <w:tr w:rsidR="00A74F6E" w14:paraId="57607DC4" w14:textId="77777777" w:rsidTr="0010233B">
        <w:trPr>
          <w:trHeight w:val="300"/>
          <w:jc w:val="center"/>
        </w:trPr>
        <w:tc>
          <w:tcPr>
            <w:tcW w:w="2979" w:type="dxa"/>
            <w:gridSpan w:val="2"/>
            <w:shd w:val="clear" w:color="auto" w:fill="auto"/>
            <w:vAlign w:val="bottom"/>
          </w:tcPr>
          <w:p w14:paraId="799A006C"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CFO/TA</w:t>
            </w:r>
            <w:r>
              <w:rPr>
                <w:rFonts w:ascii="Times New Roman" w:eastAsia="Times New Roman" w:hAnsi="Times New Roman" w:cs="Times New Roman"/>
                <w:i/>
                <w:sz w:val="22"/>
                <w:szCs w:val="22"/>
                <w:vertAlign w:val="subscript"/>
              </w:rPr>
              <w:t>t-1</w:t>
            </w:r>
          </w:p>
        </w:tc>
        <w:tc>
          <w:tcPr>
            <w:tcW w:w="1203" w:type="dxa"/>
            <w:shd w:val="clear" w:color="auto" w:fill="auto"/>
            <w:vAlign w:val="bottom"/>
          </w:tcPr>
          <w:p w14:paraId="240F355C"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0.188</w:t>
            </w:r>
          </w:p>
        </w:tc>
        <w:tc>
          <w:tcPr>
            <w:tcW w:w="833" w:type="dxa"/>
            <w:shd w:val="clear" w:color="auto" w:fill="auto"/>
            <w:vAlign w:val="bottom"/>
          </w:tcPr>
          <w:p w14:paraId="767EC34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7816E8E9"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0.605</w:t>
            </w:r>
          </w:p>
        </w:tc>
        <w:tc>
          <w:tcPr>
            <w:tcW w:w="833" w:type="dxa"/>
            <w:shd w:val="clear" w:color="auto" w:fill="auto"/>
            <w:vAlign w:val="bottom"/>
          </w:tcPr>
          <w:p w14:paraId="21F23CB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6510EF8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0.086</w:t>
            </w:r>
          </w:p>
        </w:tc>
        <w:tc>
          <w:tcPr>
            <w:tcW w:w="833" w:type="dxa"/>
            <w:shd w:val="clear" w:color="auto" w:fill="auto"/>
            <w:vAlign w:val="bottom"/>
          </w:tcPr>
          <w:p w14:paraId="55C127B1"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6E1C867E"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p>
        </w:tc>
      </w:tr>
      <w:tr w:rsidR="00A74F6E" w14:paraId="7CA84A6C" w14:textId="77777777" w:rsidTr="0010233B">
        <w:trPr>
          <w:trHeight w:val="300"/>
          <w:jc w:val="center"/>
        </w:trPr>
        <w:tc>
          <w:tcPr>
            <w:tcW w:w="2979" w:type="dxa"/>
            <w:gridSpan w:val="2"/>
            <w:shd w:val="clear" w:color="auto" w:fill="auto"/>
            <w:vAlign w:val="bottom"/>
          </w:tcPr>
          <w:p w14:paraId="2BC5BAEB"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5BA0A6B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0.208</w:t>
            </w:r>
          </w:p>
        </w:tc>
        <w:tc>
          <w:tcPr>
            <w:tcW w:w="833" w:type="dxa"/>
            <w:shd w:val="clear" w:color="auto" w:fill="auto"/>
            <w:vAlign w:val="bottom"/>
          </w:tcPr>
          <w:p w14:paraId="3D293A36"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71AB012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0.206</w:t>
            </w:r>
          </w:p>
        </w:tc>
        <w:tc>
          <w:tcPr>
            <w:tcW w:w="833" w:type="dxa"/>
            <w:shd w:val="clear" w:color="auto" w:fill="auto"/>
            <w:vAlign w:val="bottom"/>
          </w:tcPr>
          <w:p w14:paraId="4857552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596BD233"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0.591</w:t>
            </w:r>
          </w:p>
        </w:tc>
        <w:tc>
          <w:tcPr>
            <w:tcW w:w="833" w:type="dxa"/>
            <w:shd w:val="clear" w:color="auto" w:fill="auto"/>
            <w:vAlign w:val="bottom"/>
          </w:tcPr>
          <w:p w14:paraId="186BDE79"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7D4289AA"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0.360</w:t>
            </w:r>
          </w:p>
        </w:tc>
      </w:tr>
      <w:tr w:rsidR="00A74F6E" w14:paraId="5E260474" w14:textId="77777777" w:rsidTr="0010233B">
        <w:trPr>
          <w:trHeight w:val="300"/>
          <w:jc w:val="center"/>
        </w:trPr>
        <w:tc>
          <w:tcPr>
            <w:tcW w:w="2979" w:type="dxa"/>
            <w:gridSpan w:val="2"/>
            <w:shd w:val="clear" w:color="auto" w:fill="auto"/>
            <w:vAlign w:val="bottom"/>
          </w:tcPr>
          <w:p w14:paraId="5F3C0140"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MTBIND</w:t>
            </w:r>
            <w:r>
              <w:rPr>
                <w:rFonts w:ascii="Times New Roman" w:eastAsia="Times New Roman" w:hAnsi="Times New Roman" w:cs="Times New Roman"/>
                <w:i/>
                <w:sz w:val="22"/>
                <w:szCs w:val="22"/>
                <w:vertAlign w:val="subscript"/>
              </w:rPr>
              <w:t xml:space="preserve"> t-1</w:t>
            </w:r>
          </w:p>
        </w:tc>
        <w:tc>
          <w:tcPr>
            <w:tcW w:w="1203" w:type="dxa"/>
            <w:shd w:val="clear" w:color="auto" w:fill="auto"/>
            <w:vAlign w:val="bottom"/>
          </w:tcPr>
          <w:p w14:paraId="1C08E35F"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-0.027</w:t>
            </w:r>
          </w:p>
        </w:tc>
        <w:tc>
          <w:tcPr>
            <w:tcW w:w="833" w:type="dxa"/>
            <w:shd w:val="clear" w:color="auto" w:fill="auto"/>
            <w:vAlign w:val="bottom"/>
          </w:tcPr>
          <w:p w14:paraId="1C07754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652BD0E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-0.084</w:t>
            </w:r>
          </w:p>
        </w:tc>
        <w:tc>
          <w:tcPr>
            <w:tcW w:w="833" w:type="dxa"/>
            <w:shd w:val="clear" w:color="auto" w:fill="auto"/>
            <w:vAlign w:val="bottom"/>
          </w:tcPr>
          <w:p w14:paraId="5CF933A2"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5F3EBD45"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-0.016</w:t>
            </w:r>
          </w:p>
        </w:tc>
        <w:tc>
          <w:tcPr>
            <w:tcW w:w="833" w:type="dxa"/>
            <w:shd w:val="clear" w:color="auto" w:fill="auto"/>
            <w:vAlign w:val="bottom"/>
          </w:tcPr>
          <w:p w14:paraId="04EFDDBB"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011A045D"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p>
        </w:tc>
      </w:tr>
      <w:tr w:rsidR="00A74F6E" w14:paraId="1900595C" w14:textId="77777777" w:rsidTr="0010233B">
        <w:trPr>
          <w:trHeight w:val="300"/>
          <w:jc w:val="center"/>
        </w:trPr>
        <w:tc>
          <w:tcPr>
            <w:tcW w:w="2979" w:type="dxa"/>
            <w:gridSpan w:val="2"/>
            <w:shd w:val="clear" w:color="auto" w:fill="auto"/>
            <w:vAlign w:val="bottom"/>
          </w:tcPr>
          <w:p w14:paraId="7385B779"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6BDC8062"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0.016</w:t>
            </w:r>
          </w:p>
        </w:tc>
        <w:tc>
          <w:tcPr>
            <w:tcW w:w="833" w:type="dxa"/>
            <w:shd w:val="clear" w:color="auto" w:fill="auto"/>
            <w:vAlign w:val="bottom"/>
          </w:tcPr>
          <w:p w14:paraId="0536314E"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0B0E4100"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0.017</w:t>
            </w:r>
          </w:p>
        </w:tc>
        <w:tc>
          <w:tcPr>
            <w:tcW w:w="833" w:type="dxa"/>
            <w:shd w:val="clear" w:color="auto" w:fill="auto"/>
            <w:vAlign w:val="bottom"/>
          </w:tcPr>
          <w:p w14:paraId="3CE0514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049BC893"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0.190</w:t>
            </w:r>
          </w:p>
        </w:tc>
        <w:tc>
          <w:tcPr>
            <w:tcW w:w="833" w:type="dxa"/>
            <w:shd w:val="clear" w:color="auto" w:fill="auto"/>
            <w:vAlign w:val="bottom"/>
          </w:tcPr>
          <w:p w14:paraId="676A5B75"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76439036"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0.144</w:t>
            </w:r>
          </w:p>
        </w:tc>
      </w:tr>
      <w:tr w:rsidR="00A74F6E" w14:paraId="5E833A00" w14:textId="77777777" w:rsidTr="0010233B">
        <w:trPr>
          <w:trHeight w:val="300"/>
          <w:jc w:val="center"/>
        </w:trPr>
        <w:tc>
          <w:tcPr>
            <w:tcW w:w="2979" w:type="dxa"/>
            <w:gridSpan w:val="2"/>
            <w:shd w:val="clear" w:color="auto" w:fill="auto"/>
            <w:vAlign w:val="bottom"/>
          </w:tcPr>
          <w:p w14:paraId="3D70EE12"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ABRET</w:t>
            </w:r>
            <w:r>
              <w:rPr>
                <w:rFonts w:ascii="Times New Roman" w:eastAsia="Times New Roman" w:hAnsi="Times New Roman" w:cs="Times New Roman"/>
                <w:i/>
                <w:sz w:val="22"/>
                <w:szCs w:val="22"/>
                <w:vertAlign w:val="subscript"/>
              </w:rPr>
              <w:t>t-1</w:t>
            </w:r>
          </w:p>
        </w:tc>
        <w:tc>
          <w:tcPr>
            <w:tcW w:w="1203" w:type="dxa"/>
            <w:shd w:val="clear" w:color="auto" w:fill="auto"/>
            <w:vAlign w:val="bottom"/>
          </w:tcPr>
          <w:p w14:paraId="306A059A"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-0.042</w:t>
            </w:r>
          </w:p>
        </w:tc>
        <w:tc>
          <w:tcPr>
            <w:tcW w:w="833" w:type="dxa"/>
            <w:shd w:val="clear" w:color="auto" w:fill="auto"/>
            <w:vAlign w:val="bottom"/>
          </w:tcPr>
          <w:p w14:paraId="6E65AF59"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4E04D155"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-0.110</w:t>
            </w:r>
          </w:p>
        </w:tc>
        <w:tc>
          <w:tcPr>
            <w:tcW w:w="833" w:type="dxa"/>
            <w:shd w:val="clear" w:color="auto" w:fill="auto"/>
            <w:vAlign w:val="bottom"/>
          </w:tcPr>
          <w:p w14:paraId="29DF8837"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203" w:type="dxa"/>
            <w:shd w:val="clear" w:color="auto" w:fill="auto"/>
            <w:vAlign w:val="bottom"/>
          </w:tcPr>
          <w:p w14:paraId="7F7973C1"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-0.030</w:t>
            </w:r>
          </w:p>
        </w:tc>
        <w:tc>
          <w:tcPr>
            <w:tcW w:w="833" w:type="dxa"/>
            <w:shd w:val="clear" w:color="auto" w:fill="auto"/>
            <w:vAlign w:val="bottom"/>
          </w:tcPr>
          <w:p w14:paraId="715AA1C8"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973" w:type="dxa"/>
            <w:vAlign w:val="bottom"/>
          </w:tcPr>
          <w:p w14:paraId="3CFD5A6F"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p>
        </w:tc>
      </w:tr>
      <w:tr w:rsidR="00A74F6E" w14:paraId="4CEC12A8" w14:textId="77777777" w:rsidTr="0010233B">
        <w:trPr>
          <w:trHeight w:val="300"/>
          <w:jc w:val="center"/>
        </w:trPr>
        <w:tc>
          <w:tcPr>
            <w:tcW w:w="2979" w:type="dxa"/>
            <w:gridSpan w:val="2"/>
            <w:shd w:val="clear" w:color="auto" w:fill="auto"/>
            <w:vAlign w:val="bottom"/>
          </w:tcPr>
          <w:p w14:paraId="6B54FE7E"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36B42893"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0.044</w:t>
            </w:r>
          </w:p>
        </w:tc>
        <w:tc>
          <w:tcPr>
            <w:tcW w:w="833" w:type="dxa"/>
            <w:shd w:val="clear" w:color="auto" w:fill="auto"/>
            <w:vAlign w:val="bottom"/>
          </w:tcPr>
          <w:p w14:paraId="38857289"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7287B128"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0.131</w:t>
            </w:r>
          </w:p>
        </w:tc>
        <w:tc>
          <w:tcPr>
            <w:tcW w:w="833" w:type="dxa"/>
            <w:shd w:val="clear" w:color="auto" w:fill="auto"/>
            <w:vAlign w:val="bottom"/>
          </w:tcPr>
          <w:p w14:paraId="5AA43EFF"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203" w:type="dxa"/>
            <w:shd w:val="clear" w:color="auto" w:fill="auto"/>
            <w:vAlign w:val="bottom"/>
          </w:tcPr>
          <w:p w14:paraId="6A119307"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0.188</w:t>
            </w:r>
          </w:p>
        </w:tc>
        <w:tc>
          <w:tcPr>
            <w:tcW w:w="833" w:type="dxa"/>
            <w:shd w:val="clear" w:color="auto" w:fill="auto"/>
            <w:vAlign w:val="bottom"/>
          </w:tcPr>
          <w:p w14:paraId="3F425DF1"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973" w:type="dxa"/>
            <w:vAlign w:val="bottom"/>
          </w:tcPr>
          <w:p w14:paraId="701ABDB1"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0.373</w:t>
            </w:r>
          </w:p>
        </w:tc>
      </w:tr>
      <w:tr w:rsidR="00A74F6E" w14:paraId="211C673B" w14:textId="77777777" w:rsidTr="0010233B">
        <w:trPr>
          <w:trHeight w:val="300"/>
          <w:jc w:val="center"/>
        </w:trPr>
        <w:tc>
          <w:tcPr>
            <w:tcW w:w="2979" w:type="dxa"/>
            <w:gridSpan w:val="2"/>
            <w:shd w:val="clear" w:color="auto" w:fill="auto"/>
            <w:vAlign w:val="bottom"/>
          </w:tcPr>
          <w:p w14:paraId="17948B7A" w14:textId="77777777" w:rsidR="00A74F6E" w:rsidRDefault="00A74F6E" w:rsidP="0010233B">
            <w:pPr>
              <w:spacing w:after="0" w:line="240" w:lineRule="auto"/>
              <w:rPr>
                <w:rFonts w:ascii="Times New Roman" w:eastAsia="Times New Roman" w:hAnsi="Times New Roman" w:cs="Times New Roman"/>
                <w:b/>
                <w:i/>
                <w:color w:val="000000"/>
                <w:sz w:val="22"/>
                <w:szCs w:val="22"/>
              </w:rPr>
            </w:pPr>
            <w:proofErr w:type="spellStart"/>
            <w:r>
              <w:rPr>
                <w:rFonts w:ascii="Times New Roman" w:eastAsia="Times New Roman" w:hAnsi="Times New Roman" w:cs="Times New Roman"/>
                <w:i/>
                <w:color w:val="000000"/>
                <w:sz w:val="22"/>
                <w:szCs w:val="22"/>
              </w:rPr>
              <w:t>ROA</w:t>
            </w:r>
            <w:r>
              <w:rPr>
                <w:rFonts w:ascii="Times New Roman" w:eastAsia="Times New Roman" w:hAnsi="Times New Roman" w:cs="Times New Roman"/>
                <w:i/>
                <w:color w:val="000000"/>
                <w:sz w:val="22"/>
                <w:szCs w:val="22"/>
                <w:vertAlign w:val="subscript"/>
              </w:rPr>
              <w:t>t</w:t>
            </w:r>
            <w:proofErr w:type="spellEnd"/>
          </w:p>
        </w:tc>
        <w:tc>
          <w:tcPr>
            <w:tcW w:w="1203" w:type="dxa"/>
            <w:shd w:val="clear" w:color="auto" w:fill="auto"/>
            <w:vAlign w:val="bottom"/>
          </w:tcPr>
          <w:p w14:paraId="38B795FF"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0.532</w:t>
            </w:r>
          </w:p>
        </w:tc>
        <w:tc>
          <w:tcPr>
            <w:tcW w:w="833" w:type="dxa"/>
            <w:shd w:val="clear" w:color="auto" w:fill="auto"/>
            <w:vAlign w:val="bottom"/>
          </w:tcPr>
          <w:p w14:paraId="760226D5"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4B98B95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0.735</w:t>
            </w:r>
          </w:p>
        </w:tc>
        <w:tc>
          <w:tcPr>
            <w:tcW w:w="833" w:type="dxa"/>
            <w:shd w:val="clear" w:color="auto" w:fill="auto"/>
            <w:vAlign w:val="bottom"/>
          </w:tcPr>
          <w:p w14:paraId="3D0BBB30"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06190632"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0.495</w:t>
            </w:r>
          </w:p>
        </w:tc>
        <w:tc>
          <w:tcPr>
            <w:tcW w:w="833" w:type="dxa"/>
            <w:shd w:val="clear" w:color="auto" w:fill="auto"/>
            <w:vAlign w:val="bottom"/>
          </w:tcPr>
          <w:p w14:paraId="090F52E8"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973" w:type="dxa"/>
            <w:vAlign w:val="bottom"/>
          </w:tcPr>
          <w:p w14:paraId="2BEC3E3D"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29B8121F" w14:textId="77777777" w:rsidTr="0010233B">
        <w:trPr>
          <w:trHeight w:val="300"/>
          <w:jc w:val="center"/>
        </w:trPr>
        <w:tc>
          <w:tcPr>
            <w:tcW w:w="2979" w:type="dxa"/>
            <w:gridSpan w:val="2"/>
            <w:shd w:val="clear" w:color="auto" w:fill="auto"/>
            <w:vAlign w:val="bottom"/>
          </w:tcPr>
          <w:p w14:paraId="59B0F755"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03" w:type="dxa"/>
            <w:shd w:val="clear" w:color="auto" w:fill="auto"/>
            <w:vAlign w:val="bottom"/>
          </w:tcPr>
          <w:p w14:paraId="750D5AD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1C6381BE"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3075050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0.156</w:t>
            </w:r>
          </w:p>
        </w:tc>
        <w:tc>
          <w:tcPr>
            <w:tcW w:w="833" w:type="dxa"/>
            <w:shd w:val="clear" w:color="auto" w:fill="auto"/>
            <w:vAlign w:val="bottom"/>
          </w:tcPr>
          <w:p w14:paraId="144DCCE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07BBB0F0"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467F9EE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2901160F"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0.888</w:t>
            </w:r>
          </w:p>
        </w:tc>
      </w:tr>
      <w:tr w:rsidR="00A74F6E" w14:paraId="2591D736" w14:textId="77777777" w:rsidTr="0010233B">
        <w:trPr>
          <w:trHeight w:val="300"/>
          <w:jc w:val="center"/>
        </w:trPr>
        <w:tc>
          <w:tcPr>
            <w:tcW w:w="2979" w:type="dxa"/>
            <w:gridSpan w:val="2"/>
            <w:shd w:val="clear" w:color="auto" w:fill="auto"/>
            <w:vAlign w:val="bottom"/>
          </w:tcPr>
          <w:p w14:paraId="159BEC7B"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sz w:val="22"/>
                <w:szCs w:val="22"/>
              </w:rPr>
              <w:t>SP/TOTALPAY</w:t>
            </w:r>
            <w:r>
              <w:rPr>
                <w:rFonts w:ascii="Times New Roman" w:eastAsia="Times New Roman" w:hAnsi="Times New Roman" w:cs="Times New Roman"/>
                <w:i/>
                <w:sz w:val="22"/>
                <w:szCs w:val="22"/>
                <w:vertAlign w:val="subscript"/>
              </w:rPr>
              <w:t xml:space="preserve"> t-1</w:t>
            </w:r>
          </w:p>
        </w:tc>
        <w:tc>
          <w:tcPr>
            <w:tcW w:w="1203" w:type="dxa"/>
            <w:shd w:val="clear" w:color="auto" w:fill="auto"/>
            <w:vAlign w:val="bottom"/>
          </w:tcPr>
          <w:p w14:paraId="19CBED8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0.940</w:t>
            </w:r>
          </w:p>
        </w:tc>
        <w:tc>
          <w:tcPr>
            <w:tcW w:w="833" w:type="dxa"/>
            <w:shd w:val="clear" w:color="auto" w:fill="auto"/>
            <w:vAlign w:val="bottom"/>
          </w:tcPr>
          <w:p w14:paraId="3F63E20E"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75E40BA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1.209</w:t>
            </w:r>
          </w:p>
        </w:tc>
        <w:tc>
          <w:tcPr>
            <w:tcW w:w="833" w:type="dxa"/>
            <w:shd w:val="clear" w:color="auto" w:fill="auto"/>
            <w:vAlign w:val="bottom"/>
          </w:tcPr>
          <w:p w14:paraId="489FD3F8"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3693A3E4"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0.884</w:t>
            </w:r>
          </w:p>
        </w:tc>
        <w:tc>
          <w:tcPr>
            <w:tcW w:w="833" w:type="dxa"/>
            <w:shd w:val="clear" w:color="auto" w:fill="auto"/>
            <w:vAlign w:val="bottom"/>
          </w:tcPr>
          <w:p w14:paraId="590330A7"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973" w:type="dxa"/>
            <w:vAlign w:val="bottom"/>
          </w:tcPr>
          <w:p w14:paraId="6A6E53CD"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3251026E" w14:textId="77777777" w:rsidTr="0010233B">
        <w:trPr>
          <w:trHeight w:val="300"/>
          <w:jc w:val="center"/>
        </w:trPr>
        <w:tc>
          <w:tcPr>
            <w:tcW w:w="2979" w:type="dxa"/>
            <w:gridSpan w:val="2"/>
            <w:shd w:val="clear" w:color="auto" w:fill="auto"/>
            <w:vAlign w:val="bottom"/>
          </w:tcPr>
          <w:p w14:paraId="66F9F022"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03" w:type="dxa"/>
            <w:shd w:val="clear" w:color="auto" w:fill="auto"/>
            <w:vAlign w:val="bottom"/>
          </w:tcPr>
          <w:p w14:paraId="1D7E2710"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0BAD5B12"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148B753E"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451D8BB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19869EB0"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5C829549"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18A5F913"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0.688</w:t>
            </w:r>
          </w:p>
        </w:tc>
      </w:tr>
      <w:tr w:rsidR="00A74F6E" w14:paraId="060E9F11" w14:textId="77777777" w:rsidTr="0010233B">
        <w:trPr>
          <w:trHeight w:val="300"/>
          <w:jc w:val="center"/>
        </w:trPr>
        <w:tc>
          <w:tcPr>
            <w:tcW w:w="2979" w:type="dxa"/>
            <w:gridSpan w:val="2"/>
            <w:shd w:val="clear" w:color="auto" w:fill="auto"/>
            <w:vAlign w:val="bottom"/>
          </w:tcPr>
          <w:p w14:paraId="68D6F619"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BOARDOWN</w:t>
            </w:r>
            <w:r>
              <w:rPr>
                <w:rFonts w:ascii="Times New Roman" w:eastAsia="Times New Roman" w:hAnsi="Times New Roman" w:cs="Times New Roman"/>
                <w:i/>
                <w:sz w:val="22"/>
                <w:szCs w:val="22"/>
                <w:vertAlign w:val="subscript"/>
              </w:rPr>
              <w:t>t-1</w:t>
            </w:r>
          </w:p>
        </w:tc>
        <w:tc>
          <w:tcPr>
            <w:tcW w:w="1203" w:type="dxa"/>
            <w:shd w:val="clear" w:color="auto" w:fill="auto"/>
            <w:vAlign w:val="bottom"/>
          </w:tcPr>
          <w:p w14:paraId="19AC0982"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-0.034</w:t>
            </w:r>
          </w:p>
        </w:tc>
        <w:tc>
          <w:tcPr>
            <w:tcW w:w="833" w:type="dxa"/>
            <w:shd w:val="clear" w:color="auto" w:fill="auto"/>
            <w:vAlign w:val="bottom"/>
          </w:tcPr>
          <w:p w14:paraId="77F56D55"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1D703D0F"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-0.155</w:t>
            </w:r>
          </w:p>
        </w:tc>
        <w:tc>
          <w:tcPr>
            <w:tcW w:w="833" w:type="dxa"/>
            <w:shd w:val="clear" w:color="auto" w:fill="auto"/>
            <w:vAlign w:val="bottom"/>
          </w:tcPr>
          <w:p w14:paraId="75E32091"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25655CC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-0.011</w:t>
            </w:r>
          </w:p>
        </w:tc>
        <w:tc>
          <w:tcPr>
            <w:tcW w:w="833" w:type="dxa"/>
            <w:shd w:val="clear" w:color="auto" w:fill="auto"/>
            <w:vAlign w:val="bottom"/>
          </w:tcPr>
          <w:p w14:paraId="3CA4182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7E405BCC"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72158845" w14:textId="77777777" w:rsidTr="0010233B">
        <w:trPr>
          <w:trHeight w:val="300"/>
          <w:jc w:val="center"/>
        </w:trPr>
        <w:tc>
          <w:tcPr>
            <w:tcW w:w="2979" w:type="dxa"/>
            <w:gridSpan w:val="2"/>
            <w:shd w:val="clear" w:color="auto" w:fill="auto"/>
            <w:vAlign w:val="bottom"/>
          </w:tcPr>
          <w:p w14:paraId="79F90FB0"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62DBBBD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0.517</w:t>
            </w:r>
          </w:p>
        </w:tc>
        <w:tc>
          <w:tcPr>
            <w:tcW w:w="833" w:type="dxa"/>
            <w:shd w:val="clear" w:color="auto" w:fill="auto"/>
            <w:vAlign w:val="bottom"/>
          </w:tcPr>
          <w:p w14:paraId="22C1E5F9"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03A0442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0.450</w:t>
            </w:r>
          </w:p>
        </w:tc>
        <w:tc>
          <w:tcPr>
            <w:tcW w:w="833" w:type="dxa"/>
            <w:shd w:val="clear" w:color="auto" w:fill="auto"/>
            <w:vAlign w:val="bottom"/>
          </w:tcPr>
          <w:p w14:paraId="36630C3E"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10D9875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0.828</w:t>
            </w:r>
          </w:p>
        </w:tc>
        <w:tc>
          <w:tcPr>
            <w:tcW w:w="833" w:type="dxa"/>
            <w:shd w:val="clear" w:color="auto" w:fill="auto"/>
            <w:vAlign w:val="bottom"/>
          </w:tcPr>
          <w:p w14:paraId="0429956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4A5676BA"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0.272</w:t>
            </w:r>
          </w:p>
        </w:tc>
      </w:tr>
      <w:tr w:rsidR="00A74F6E" w14:paraId="5A6342E9" w14:textId="77777777" w:rsidTr="0010233B">
        <w:trPr>
          <w:trHeight w:val="300"/>
          <w:jc w:val="center"/>
        </w:trPr>
        <w:tc>
          <w:tcPr>
            <w:tcW w:w="2979" w:type="dxa"/>
            <w:gridSpan w:val="2"/>
            <w:shd w:val="clear" w:color="auto" w:fill="auto"/>
            <w:vAlign w:val="bottom"/>
          </w:tcPr>
          <w:p w14:paraId="3F19C2F1"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PROPNED</w:t>
            </w:r>
            <w:r>
              <w:rPr>
                <w:rFonts w:ascii="Times New Roman" w:eastAsia="Times New Roman" w:hAnsi="Times New Roman" w:cs="Times New Roman"/>
                <w:i/>
                <w:sz w:val="22"/>
                <w:szCs w:val="22"/>
                <w:vertAlign w:val="subscript"/>
              </w:rPr>
              <w:t>t-1</w:t>
            </w:r>
          </w:p>
        </w:tc>
        <w:tc>
          <w:tcPr>
            <w:tcW w:w="1203" w:type="dxa"/>
            <w:shd w:val="clear" w:color="auto" w:fill="auto"/>
            <w:vAlign w:val="bottom"/>
          </w:tcPr>
          <w:p w14:paraId="5A58656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0.185</w:t>
            </w:r>
          </w:p>
        </w:tc>
        <w:tc>
          <w:tcPr>
            <w:tcW w:w="833" w:type="dxa"/>
            <w:shd w:val="clear" w:color="auto" w:fill="auto"/>
            <w:vAlign w:val="bottom"/>
          </w:tcPr>
          <w:p w14:paraId="0C36EFB2"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329639E2"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0.446</w:t>
            </w:r>
          </w:p>
        </w:tc>
        <w:tc>
          <w:tcPr>
            <w:tcW w:w="833" w:type="dxa"/>
            <w:shd w:val="clear" w:color="auto" w:fill="auto"/>
            <w:vAlign w:val="bottom"/>
          </w:tcPr>
          <w:p w14:paraId="4837721C"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1221824D"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0.123</w:t>
            </w:r>
          </w:p>
        </w:tc>
        <w:tc>
          <w:tcPr>
            <w:tcW w:w="833" w:type="dxa"/>
            <w:shd w:val="clear" w:color="auto" w:fill="auto"/>
            <w:vAlign w:val="bottom"/>
          </w:tcPr>
          <w:p w14:paraId="2A908D8E"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0693424D"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p>
        </w:tc>
      </w:tr>
      <w:tr w:rsidR="00A74F6E" w14:paraId="3B0AE491" w14:textId="77777777" w:rsidTr="0010233B">
        <w:trPr>
          <w:trHeight w:val="300"/>
          <w:jc w:val="center"/>
        </w:trPr>
        <w:tc>
          <w:tcPr>
            <w:tcW w:w="2979" w:type="dxa"/>
            <w:gridSpan w:val="2"/>
            <w:shd w:val="clear" w:color="auto" w:fill="auto"/>
            <w:vAlign w:val="bottom"/>
          </w:tcPr>
          <w:p w14:paraId="2D0AD4AA"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138D4671"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0.009</w:t>
            </w:r>
          </w:p>
        </w:tc>
        <w:tc>
          <w:tcPr>
            <w:tcW w:w="833" w:type="dxa"/>
            <w:shd w:val="clear" w:color="auto" w:fill="auto"/>
            <w:vAlign w:val="bottom"/>
          </w:tcPr>
          <w:p w14:paraId="2DD417D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3CA4900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0.053</w:t>
            </w:r>
          </w:p>
        </w:tc>
        <w:tc>
          <w:tcPr>
            <w:tcW w:w="833" w:type="dxa"/>
            <w:shd w:val="clear" w:color="auto" w:fill="auto"/>
            <w:vAlign w:val="bottom"/>
          </w:tcPr>
          <w:p w14:paraId="1036BB28"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1EB6BA1C"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0.104</w:t>
            </w:r>
          </w:p>
        </w:tc>
        <w:tc>
          <w:tcPr>
            <w:tcW w:w="833" w:type="dxa"/>
            <w:shd w:val="clear" w:color="auto" w:fill="auto"/>
            <w:vAlign w:val="bottom"/>
          </w:tcPr>
          <w:p w14:paraId="630E9013"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40BA02D1"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0.252</w:t>
            </w:r>
          </w:p>
        </w:tc>
      </w:tr>
      <w:tr w:rsidR="00A74F6E" w14:paraId="01D287AB" w14:textId="77777777" w:rsidTr="0010233B">
        <w:trPr>
          <w:trHeight w:val="300"/>
          <w:jc w:val="center"/>
        </w:trPr>
        <w:tc>
          <w:tcPr>
            <w:tcW w:w="2979" w:type="dxa"/>
            <w:gridSpan w:val="2"/>
            <w:shd w:val="clear" w:color="auto" w:fill="auto"/>
            <w:vAlign w:val="bottom"/>
          </w:tcPr>
          <w:p w14:paraId="2BEF63F2"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sz w:val="22"/>
                <w:szCs w:val="22"/>
              </w:rPr>
              <w:t>ESO</w:t>
            </w:r>
            <w:r>
              <w:rPr>
                <w:rFonts w:ascii="Times New Roman" w:eastAsia="Times New Roman" w:hAnsi="Times New Roman" w:cs="Times New Roman"/>
                <w:i/>
                <w:sz w:val="22"/>
                <w:szCs w:val="22"/>
                <w:vertAlign w:val="subscript"/>
              </w:rPr>
              <w:t>t-1</w:t>
            </w:r>
          </w:p>
        </w:tc>
        <w:tc>
          <w:tcPr>
            <w:tcW w:w="1203" w:type="dxa"/>
            <w:shd w:val="clear" w:color="auto" w:fill="auto"/>
            <w:vAlign w:val="bottom"/>
          </w:tcPr>
          <w:p w14:paraId="19DA0984"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0.003</w:t>
            </w:r>
          </w:p>
        </w:tc>
        <w:tc>
          <w:tcPr>
            <w:tcW w:w="833" w:type="dxa"/>
            <w:shd w:val="clear" w:color="auto" w:fill="auto"/>
            <w:vAlign w:val="bottom"/>
          </w:tcPr>
          <w:p w14:paraId="5CABD52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471E49CF"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0.048</w:t>
            </w:r>
          </w:p>
        </w:tc>
        <w:tc>
          <w:tcPr>
            <w:tcW w:w="833" w:type="dxa"/>
            <w:shd w:val="clear" w:color="auto" w:fill="auto"/>
            <w:vAlign w:val="bottom"/>
          </w:tcPr>
          <w:p w14:paraId="70026CF4"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281AB5E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-0.006</w:t>
            </w:r>
          </w:p>
        </w:tc>
        <w:tc>
          <w:tcPr>
            <w:tcW w:w="833" w:type="dxa"/>
            <w:shd w:val="clear" w:color="auto" w:fill="auto"/>
            <w:vAlign w:val="bottom"/>
          </w:tcPr>
          <w:p w14:paraId="23C1B3CB"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591B27CB"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2575DEA8" w14:textId="77777777" w:rsidTr="0010233B">
        <w:trPr>
          <w:trHeight w:val="300"/>
          <w:jc w:val="center"/>
        </w:trPr>
        <w:tc>
          <w:tcPr>
            <w:tcW w:w="2979" w:type="dxa"/>
            <w:gridSpan w:val="2"/>
            <w:shd w:val="clear" w:color="auto" w:fill="auto"/>
            <w:vAlign w:val="bottom"/>
          </w:tcPr>
          <w:p w14:paraId="04AB5456"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3BCF16F9"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0.909</w:t>
            </w:r>
          </w:p>
        </w:tc>
        <w:tc>
          <w:tcPr>
            <w:tcW w:w="833" w:type="dxa"/>
            <w:shd w:val="clear" w:color="auto" w:fill="auto"/>
            <w:vAlign w:val="bottom"/>
          </w:tcPr>
          <w:p w14:paraId="12B133FB"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3323CD18"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0.529</w:t>
            </w:r>
          </w:p>
        </w:tc>
        <w:tc>
          <w:tcPr>
            <w:tcW w:w="833" w:type="dxa"/>
            <w:shd w:val="clear" w:color="auto" w:fill="auto"/>
            <w:vAlign w:val="bottom"/>
          </w:tcPr>
          <w:p w14:paraId="7F7FF24C"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6A7F52FB"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0.781</w:t>
            </w:r>
          </w:p>
        </w:tc>
        <w:tc>
          <w:tcPr>
            <w:tcW w:w="833" w:type="dxa"/>
            <w:shd w:val="clear" w:color="auto" w:fill="auto"/>
            <w:vAlign w:val="bottom"/>
          </w:tcPr>
          <w:p w14:paraId="319F4D50"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4765BFA4"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0.509</w:t>
            </w:r>
          </w:p>
        </w:tc>
      </w:tr>
      <w:tr w:rsidR="00A74F6E" w14:paraId="216522FE" w14:textId="77777777" w:rsidTr="0010233B">
        <w:trPr>
          <w:trHeight w:val="300"/>
          <w:jc w:val="center"/>
        </w:trPr>
        <w:tc>
          <w:tcPr>
            <w:tcW w:w="2979" w:type="dxa"/>
            <w:gridSpan w:val="2"/>
            <w:shd w:val="clear" w:color="auto" w:fill="auto"/>
            <w:vAlign w:val="bottom"/>
          </w:tcPr>
          <w:p w14:paraId="35EB91F9"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INSTOWNt-1</w:t>
            </w:r>
          </w:p>
        </w:tc>
        <w:tc>
          <w:tcPr>
            <w:tcW w:w="1203" w:type="dxa"/>
            <w:shd w:val="clear" w:color="auto" w:fill="auto"/>
            <w:vAlign w:val="bottom"/>
          </w:tcPr>
          <w:p w14:paraId="294BC71D"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0.027</w:t>
            </w:r>
          </w:p>
        </w:tc>
        <w:tc>
          <w:tcPr>
            <w:tcW w:w="833" w:type="dxa"/>
            <w:shd w:val="clear" w:color="auto" w:fill="auto"/>
            <w:vAlign w:val="bottom"/>
          </w:tcPr>
          <w:p w14:paraId="5B226C37"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529E5B29"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-0.073</w:t>
            </w:r>
          </w:p>
        </w:tc>
        <w:tc>
          <w:tcPr>
            <w:tcW w:w="833" w:type="dxa"/>
            <w:shd w:val="clear" w:color="auto" w:fill="auto"/>
            <w:vAlign w:val="bottom"/>
          </w:tcPr>
          <w:p w14:paraId="201C244A"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72A8F00A"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0.021</w:t>
            </w:r>
          </w:p>
        </w:tc>
        <w:tc>
          <w:tcPr>
            <w:tcW w:w="833" w:type="dxa"/>
            <w:shd w:val="clear" w:color="auto" w:fill="auto"/>
            <w:vAlign w:val="bottom"/>
          </w:tcPr>
          <w:p w14:paraId="560DA292"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973" w:type="dxa"/>
            <w:vAlign w:val="bottom"/>
          </w:tcPr>
          <w:p w14:paraId="6422AD74"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p>
        </w:tc>
      </w:tr>
      <w:tr w:rsidR="00A74F6E" w14:paraId="45C7A6E0" w14:textId="77777777" w:rsidTr="0010233B">
        <w:trPr>
          <w:trHeight w:val="300"/>
          <w:jc w:val="center"/>
        </w:trPr>
        <w:tc>
          <w:tcPr>
            <w:tcW w:w="2979" w:type="dxa"/>
            <w:gridSpan w:val="2"/>
            <w:shd w:val="clear" w:color="auto" w:fill="auto"/>
            <w:vAlign w:val="bottom"/>
          </w:tcPr>
          <w:p w14:paraId="3FFC3AAC"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4A63AE80"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0.651</w:t>
            </w:r>
          </w:p>
        </w:tc>
        <w:tc>
          <w:tcPr>
            <w:tcW w:w="833" w:type="dxa"/>
            <w:shd w:val="clear" w:color="auto" w:fill="auto"/>
            <w:vAlign w:val="bottom"/>
          </w:tcPr>
          <w:p w14:paraId="6D2A526B"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0BA8BE9F"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0.689</w:t>
            </w:r>
          </w:p>
        </w:tc>
        <w:tc>
          <w:tcPr>
            <w:tcW w:w="833" w:type="dxa"/>
            <w:shd w:val="clear" w:color="auto" w:fill="auto"/>
            <w:vAlign w:val="bottom"/>
          </w:tcPr>
          <w:p w14:paraId="63A59507"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62532161"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0.746</w:t>
            </w:r>
          </w:p>
        </w:tc>
        <w:tc>
          <w:tcPr>
            <w:tcW w:w="833" w:type="dxa"/>
            <w:shd w:val="clear" w:color="auto" w:fill="auto"/>
            <w:vAlign w:val="bottom"/>
          </w:tcPr>
          <w:p w14:paraId="2A347F66"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973" w:type="dxa"/>
            <w:vAlign w:val="bottom"/>
          </w:tcPr>
          <w:p w14:paraId="3B083AE1"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0.413</w:t>
            </w:r>
          </w:p>
        </w:tc>
      </w:tr>
      <w:tr w:rsidR="00A74F6E" w14:paraId="247D103C" w14:textId="77777777" w:rsidTr="0010233B">
        <w:trPr>
          <w:trHeight w:val="300"/>
          <w:jc w:val="center"/>
        </w:trPr>
        <w:tc>
          <w:tcPr>
            <w:tcW w:w="2979" w:type="dxa"/>
            <w:gridSpan w:val="2"/>
            <w:shd w:val="clear" w:color="auto" w:fill="auto"/>
            <w:vAlign w:val="bottom"/>
          </w:tcPr>
          <w:p w14:paraId="1759B0C0"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MCAP</w:t>
            </w:r>
            <w:r>
              <w:rPr>
                <w:rFonts w:ascii="Times New Roman" w:eastAsia="Times New Roman" w:hAnsi="Times New Roman" w:cs="Times New Roman"/>
                <w:i/>
                <w:sz w:val="22"/>
                <w:szCs w:val="22"/>
                <w:vertAlign w:val="subscript"/>
              </w:rPr>
              <w:t>t-1</w:t>
            </w:r>
          </w:p>
        </w:tc>
        <w:tc>
          <w:tcPr>
            <w:tcW w:w="1203" w:type="dxa"/>
            <w:shd w:val="clear" w:color="auto" w:fill="auto"/>
            <w:vAlign w:val="bottom"/>
          </w:tcPr>
          <w:p w14:paraId="66DE7344"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0.033</w:t>
            </w:r>
          </w:p>
        </w:tc>
        <w:tc>
          <w:tcPr>
            <w:tcW w:w="833" w:type="dxa"/>
            <w:shd w:val="clear" w:color="auto" w:fill="auto"/>
            <w:vAlign w:val="bottom"/>
          </w:tcPr>
          <w:p w14:paraId="7EF8D669"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2B466AC3"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0.044</w:t>
            </w:r>
          </w:p>
        </w:tc>
        <w:tc>
          <w:tcPr>
            <w:tcW w:w="833" w:type="dxa"/>
            <w:shd w:val="clear" w:color="auto" w:fill="auto"/>
            <w:vAlign w:val="bottom"/>
          </w:tcPr>
          <w:p w14:paraId="477A94F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44B2285E"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0.034</w:t>
            </w:r>
          </w:p>
        </w:tc>
        <w:tc>
          <w:tcPr>
            <w:tcW w:w="833" w:type="dxa"/>
            <w:shd w:val="clear" w:color="auto" w:fill="auto"/>
            <w:vAlign w:val="bottom"/>
          </w:tcPr>
          <w:p w14:paraId="01C3670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973" w:type="dxa"/>
            <w:vAlign w:val="bottom"/>
          </w:tcPr>
          <w:p w14:paraId="405553CF"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p>
        </w:tc>
      </w:tr>
      <w:tr w:rsidR="00A74F6E" w14:paraId="02DA6C27" w14:textId="77777777" w:rsidTr="0010233B">
        <w:trPr>
          <w:trHeight w:val="300"/>
          <w:jc w:val="center"/>
        </w:trPr>
        <w:tc>
          <w:tcPr>
            <w:tcW w:w="2979" w:type="dxa"/>
            <w:gridSpan w:val="2"/>
            <w:shd w:val="clear" w:color="auto" w:fill="auto"/>
            <w:vAlign w:val="bottom"/>
          </w:tcPr>
          <w:p w14:paraId="6CE484B8"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15C46628"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2A8FC1CF"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680ADB4B"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0.047</w:t>
            </w:r>
          </w:p>
        </w:tc>
        <w:tc>
          <w:tcPr>
            <w:tcW w:w="833" w:type="dxa"/>
            <w:shd w:val="clear" w:color="auto" w:fill="auto"/>
            <w:vAlign w:val="bottom"/>
          </w:tcPr>
          <w:p w14:paraId="038BB5D3"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21CB1082"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06450F31"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2264749D" w14:textId="77777777" w:rsidR="00A74F6E" w:rsidRPr="006103EE" w:rsidRDefault="00A74F6E" w:rsidP="0010233B">
            <w:pPr>
              <w:spacing w:after="0" w:line="240" w:lineRule="auto"/>
              <w:ind w:left="-113" w:right="-113"/>
              <w:jc w:val="center"/>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0.401</w:t>
            </w:r>
          </w:p>
        </w:tc>
      </w:tr>
      <w:tr w:rsidR="00A74F6E" w14:paraId="6FE31095" w14:textId="77777777" w:rsidTr="0010233B">
        <w:trPr>
          <w:trHeight w:val="300"/>
          <w:jc w:val="center"/>
        </w:trPr>
        <w:tc>
          <w:tcPr>
            <w:tcW w:w="2979" w:type="dxa"/>
            <w:gridSpan w:val="2"/>
            <w:shd w:val="clear" w:color="auto" w:fill="auto"/>
            <w:vAlign w:val="bottom"/>
          </w:tcPr>
          <w:p w14:paraId="1073C1BA" w14:textId="77777777" w:rsidR="00A74F6E" w:rsidRDefault="00A74F6E" w:rsidP="0010233B">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i/>
                <w:color w:val="000000"/>
                <w:sz w:val="22"/>
                <w:szCs w:val="22"/>
              </w:rPr>
              <w:t>AGE</w:t>
            </w:r>
            <w:r>
              <w:rPr>
                <w:rFonts w:ascii="Times New Roman" w:eastAsia="Times New Roman" w:hAnsi="Times New Roman" w:cs="Times New Roman"/>
                <w:i/>
                <w:sz w:val="22"/>
                <w:szCs w:val="22"/>
                <w:vertAlign w:val="subscript"/>
              </w:rPr>
              <w:t xml:space="preserve"> t-1</w:t>
            </w:r>
          </w:p>
        </w:tc>
        <w:tc>
          <w:tcPr>
            <w:tcW w:w="1203" w:type="dxa"/>
            <w:shd w:val="clear" w:color="auto" w:fill="auto"/>
            <w:vAlign w:val="bottom"/>
          </w:tcPr>
          <w:p w14:paraId="43DBC0D5" w14:textId="77777777" w:rsidR="00A74F6E" w:rsidRPr="006103EE" w:rsidRDefault="00A74F6E" w:rsidP="0010233B">
            <w:pPr>
              <w:spacing w:after="0" w:line="240" w:lineRule="auto"/>
              <w:ind w:right="-113"/>
              <w:jc w:val="right"/>
              <w:rPr>
                <w:rFonts w:ascii="Times New Roman" w:eastAsia="Times New Roman" w:hAnsi="Times New Roman" w:cs="Times New Roman"/>
                <w:sz w:val="22"/>
                <w:szCs w:val="22"/>
              </w:rPr>
            </w:pPr>
            <w:r w:rsidRPr="006103EE">
              <w:rPr>
                <w:rFonts w:ascii="Times New Roman" w:hAnsi="Times New Roman" w:cs="Times New Roman"/>
                <w:color w:val="000000"/>
                <w:sz w:val="22"/>
                <w:szCs w:val="22"/>
              </w:rPr>
              <w:t>0.002</w:t>
            </w:r>
          </w:p>
        </w:tc>
        <w:tc>
          <w:tcPr>
            <w:tcW w:w="833" w:type="dxa"/>
            <w:shd w:val="clear" w:color="auto" w:fill="auto"/>
            <w:vAlign w:val="bottom"/>
          </w:tcPr>
          <w:p w14:paraId="60818810"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203" w:type="dxa"/>
            <w:shd w:val="clear" w:color="auto" w:fill="auto"/>
            <w:vAlign w:val="bottom"/>
          </w:tcPr>
          <w:p w14:paraId="644DC219"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0.036</w:t>
            </w:r>
          </w:p>
        </w:tc>
        <w:tc>
          <w:tcPr>
            <w:tcW w:w="833" w:type="dxa"/>
            <w:shd w:val="clear" w:color="auto" w:fill="auto"/>
            <w:vAlign w:val="bottom"/>
          </w:tcPr>
          <w:p w14:paraId="161C35B1"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53447D66" w14:textId="77777777" w:rsidR="00A74F6E" w:rsidRPr="007D60D6" w:rsidRDefault="00A74F6E" w:rsidP="0010233B">
            <w:pPr>
              <w:spacing w:after="0" w:line="240" w:lineRule="auto"/>
              <w:ind w:right="-113"/>
              <w:jc w:val="right"/>
              <w:rPr>
                <w:rFonts w:ascii="Times New Roman" w:eastAsia="Times New Roman" w:hAnsi="Times New Roman" w:cs="Times New Roman"/>
                <w:sz w:val="22"/>
                <w:szCs w:val="22"/>
              </w:rPr>
            </w:pPr>
            <w:r w:rsidRPr="007D60D6">
              <w:rPr>
                <w:rFonts w:ascii="Times New Roman" w:hAnsi="Times New Roman" w:cs="Times New Roman"/>
                <w:color w:val="000000"/>
                <w:sz w:val="22"/>
                <w:szCs w:val="22"/>
              </w:rPr>
              <w:t>-0.004</w:t>
            </w:r>
          </w:p>
        </w:tc>
        <w:tc>
          <w:tcPr>
            <w:tcW w:w="833" w:type="dxa"/>
            <w:shd w:val="clear" w:color="auto" w:fill="auto"/>
            <w:vAlign w:val="bottom"/>
          </w:tcPr>
          <w:p w14:paraId="058B9171"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973" w:type="dxa"/>
            <w:vAlign w:val="bottom"/>
          </w:tcPr>
          <w:p w14:paraId="5657584B"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5BC3D5ED" w14:textId="77777777" w:rsidTr="0010233B">
        <w:trPr>
          <w:trHeight w:val="300"/>
          <w:jc w:val="center"/>
        </w:trPr>
        <w:tc>
          <w:tcPr>
            <w:tcW w:w="2979" w:type="dxa"/>
            <w:gridSpan w:val="2"/>
            <w:shd w:val="clear" w:color="auto" w:fill="auto"/>
            <w:vAlign w:val="bottom"/>
          </w:tcPr>
          <w:p w14:paraId="75000E13"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1E28E91D" w14:textId="77777777" w:rsidR="00A74F6E" w:rsidRPr="006103EE" w:rsidRDefault="00A74F6E" w:rsidP="0010233B">
            <w:pPr>
              <w:spacing w:after="0" w:line="240" w:lineRule="auto"/>
              <w:ind w:right="-113"/>
              <w:jc w:val="right"/>
              <w:rPr>
                <w:rFonts w:ascii="Times New Roman" w:eastAsia="Times New Roman" w:hAnsi="Times New Roman" w:cs="Times New Roman"/>
                <w:sz w:val="22"/>
                <w:szCs w:val="22"/>
              </w:rPr>
            </w:pPr>
            <w:r w:rsidRPr="006103EE">
              <w:rPr>
                <w:rFonts w:ascii="Times New Roman" w:hAnsi="Times New Roman" w:cs="Times New Roman"/>
                <w:color w:val="000000"/>
                <w:sz w:val="22"/>
                <w:szCs w:val="22"/>
              </w:rPr>
              <w:t>0.802</w:t>
            </w:r>
          </w:p>
        </w:tc>
        <w:tc>
          <w:tcPr>
            <w:tcW w:w="833" w:type="dxa"/>
            <w:shd w:val="clear" w:color="auto" w:fill="auto"/>
            <w:vAlign w:val="bottom"/>
          </w:tcPr>
          <w:p w14:paraId="2283BAE7" w14:textId="77777777" w:rsidR="00A74F6E" w:rsidRPr="006103EE" w:rsidRDefault="00A74F6E" w:rsidP="0010233B">
            <w:pPr>
              <w:spacing w:after="0" w:line="240" w:lineRule="auto"/>
              <w:ind w:left="-113" w:right="-113"/>
              <w:rPr>
                <w:rFonts w:ascii="Times New Roman" w:eastAsia="Times New Roman" w:hAnsi="Times New Roman" w:cs="Times New Roman"/>
                <w:color w:val="000000"/>
                <w:sz w:val="22"/>
                <w:szCs w:val="22"/>
              </w:rPr>
            </w:pPr>
          </w:p>
        </w:tc>
        <w:tc>
          <w:tcPr>
            <w:tcW w:w="1203" w:type="dxa"/>
            <w:shd w:val="clear" w:color="auto" w:fill="auto"/>
            <w:vAlign w:val="bottom"/>
          </w:tcPr>
          <w:p w14:paraId="32A600B1"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0.332</w:t>
            </w:r>
          </w:p>
        </w:tc>
        <w:tc>
          <w:tcPr>
            <w:tcW w:w="833" w:type="dxa"/>
            <w:shd w:val="clear" w:color="auto" w:fill="auto"/>
            <w:vAlign w:val="bottom"/>
          </w:tcPr>
          <w:p w14:paraId="257558CC"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21DC636D" w14:textId="77777777" w:rsidR="00A74F6E" w:rsidRPr="007D60D6" w:rsidRDefault="00A74F6E" w:rsidP="0010233B">
            <w:pPr>
              <w:spacing w:after="0" w:line="240" w:lineRule="auto"/>
              <w:ind w:right="-113"/>
              <w:jc w:val="right"/>
              <w:rPr>
                <w:rFonts w:ascii="Times New Roman" w:eastAsia="Times New Roman" w:hAnsi="Times New Roman" w:cs="Times New Roman"/>
                <w:sz w:val="22"/>
                <w:szCs w:val="22"/>
              </w:rPr>
            </w:pPr>
            <w:r w:rsidRPr="007D60D6">
              <w:rPr>
                <w:rFonts w:ascii="Times New Roman" w:hAnsi="Times New Roman" w:cs="Times New Roman"/>
                <w:color w:val="000000"/>
                <w:sz w:val="22"/>
                <w:szCs w:val="22"/>
              </w:rPr>
              <w:t>0.681</w:t>
            </w:r>
          </w:p>
        </w:tc>
        <w:tc>
          <w:tcPr>
            <w:tcW w:w="833" w:type="dxa"/>
            <w:shd w:val="clear" w:color="auto" w:fill="auto"/>
            <w:vAlign w:val="bottom"/>
          </w:tcPr>
          <w:p w14:paraId="1EDF13DB"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973" w:type="dxa"/>
            <w:vAlign w:val="bottom"/>
          </w:tcPr>
          <w:p w14:paraId="6F09886E"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0.348</w:t>
            </w:r>
          </w:p>
        </w:tc>
      </w:tr>
      <w:tr w:rsidR="00A74F6E" w14:paraId="616ECCAC" w14:textId="77777777" w:rsidTr="0010233B">
        <w:trPr>
          <w:trHeight w:val="300"/>
          <w:jc w:val="center"/>
        </w:trPr>
        <w:tc>
          <w:tcPr>
            <w:tcW w:w="2979" w:type="dxa"/>
            <w:gridSpan w:val="2"/>
            <w:shd w:val="clear" w:color="auto" w:fill="auto"/>
            <w:vAlign w:val="bottom"/>
          </w:tcPr>
          <w:p w14:paraId="02F2C995"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RE/TA</w:t>
            </w:r>
            <w:r>
              <w:rPr>
                <w:rFonts w:ascii="Times New Roman" w:eastAsia="Times New Roman" w:hAnsi="Times New Roman" w:cs="Times New Roman"/>
                <w:i/>
                <w:sz w:val="22"/>
                <w:szCs w:val="22"/>
                <w:vertAlign w:val="subscript"/>
              </w:rPr>
              <w:t xml:space="preserve"> t-1</w:t>
            </w:r>
          </w:p>
        </w:tc>
        <w:tc>
          <w:tcPr>
            <w:tcW w:w="1203" w:type="dxa"/>
            <w:shd w:val="clear" w:color="auto" w:fill="auto"/>
            <w:vAlign w:val="bottom"/>
          </w:tcPr>
          <w:p w14:paraId="372BFC7F"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0.046</w:t>
            </w:r>
          </w:p>
        </w:tc>
        <w:tc>
          <w:tcPr>
            <w:tcW w:w="833" w:type="dxa"/>
            <w:shd w:val="clear" w:color="auto" w:fill="auto"/>
            <w:vAlign w:val="bottom"/>
          </w:tcPr>
          <w:p w14:paraId="2D8263C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7E3B0A14"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-0.028</w:t>
            </w:r>
          </w:p>
        </w:tc>
        <w:tc>
          <w:tcPr>
            <w:tcW w:w="833" w:type="dxa"/>
            <w:shd w:val="clear" w:color="auto" w:fill="auto"/>
            <w:vAlign w:val="bottom"/>
          </w:tcPr>
          <w:p w14:paraId="39FEAF55"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7A991256"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0.043</w:t>
            </w:r>
          </w:p>
        </w:tc>
        <w:tc>
          <w:tcPr>
            <w:tcW w:w="833" w:type="dxa"/>
            <w:shd w:val="clear" w:color="auto" w:fill="auto"/>
            <w:vAlign w:val="bottom"/>
          </w:tcPr>
          <w:p w14:paraId="5D6171D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7E5A189A"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p>
        </w:tc>
      </w:tr>
      <w:tr w:rsidR="00A74F6E" w14:paraId="04768D78" w14:textId="77777777" w:rsidTr="0010233B">
        <w:trPr>
          <w:trHeight w:val="300"/>
          <w:jc w:val="center"/>
        </w:trPr>
        <w:tc>
          <w:tcPr>
            <w:tcW w:w="2979" w:type="dxa"/>
            <w:gridSpan w:val="2"/>
            <w:shd w:val="clear" w:color="auto" w:fill="auto"/>
            <w:vAlign w:val="bottom"/>
          </w:tcPr>
          <w:p w14:paraId="72AEBEB8" w14:textId="77777777" w:rsidR="00A74F6E" w:rsidRDefault="00A74F6E" w:rsidP="0010233B">
            <w:pPr>
              <w:spacing w:after="0" w:line="240" w:lineRule="auto"/>
              <w:rPr>
                <w:rFonts w:ascii="Times New Roman" w:eastAsia="Times New Roman" w:hAnsi="Times New Roman" w:cs="Times New Roman"/>
                <w:b/>
                <w:i/>
                <w:color w:val="000000"/>
                <w:sz w:val="22"/>
                <w:szCs w:val="22"/>
              </w:rPr>
            </w:pPr>
          </w:p>
        </w:tc>
        <w:tc>
          <w:tcPr>
            <w:tcW w:w="1203" w:type="dxa"/>
            <w:shd w:val="clear" w:color="auto" w:fill="auto"/>
            <w:vAlign w:val="bottom"/>
          </w:tcPr>
          <w:p w14:paraId="34D789B0"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0.167</w:t>
            </w:r>
          </w:p>
        </w:tc>
        <w:tc>
          <w:tcPr>
            <w:tcW w:w="833" w:type="dxa"/>
            <w:shd w:val="clear" w:color="auto" w:fill="auto"/>
            <w:vAlign w:val="bottom"/>
          </w:tcPr>
          <w:p w14:paraId="4BC9EDB1"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1CB08774"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0.851</w:t>
            </w:r>
          </w:p>
        </w:tc>
        <w:tc>
          <w:tcPr>
            <w:tcW w:w="833" w:type="dxa"/>
            <w:shd w:val="clear" w:color="auto" w:fill="auto"/>
            <w:vAlign w:val="bottom"/>
          </w:tcPr>
          <w:p w14:paraId="3B49330D"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1203" w:type="dxa"/>
            <w:shd w:val="clear" w:color="auto" w:fill="auto"/>
            <w:vAlign w:val="bottom"/>
          </w:tcPr>
          <w:p w14:paraId="02383F43" w14:textId="77777777" w:rsidR="00A74F6E" w:rsidRPr="006103EE" w:rsidRDefault="00A74F6E" w:rsidP="0010233B">
            <w:pPr>
              <w:spacing w:after="0" w:line="240" w:lineRule="auto"/>
              <w:ind w:right="-113"/>
              <w:jc w:val="right"/>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0.164</w:t>
            </w:r>
          </w:p>
        </w:tc>
        <w:tc>
          <w:tcPr>
            <w:tcW w:w="833" w:type="dxa"/>
            <w:shd w:val="clear" w:color="auto" w:fill="auto"/>
            <w:vAlign w:val="bottom"/>
          </w:tcPr>
          <w:p w14:paraId="42DF9008"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15A56092"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color w:val="000000"/>
                <w:sz w:val="22"/>
                <w:szCs w:val="22"/>
              </w:rPr>
              <w:t>0.679</w:t>
            </w:r>
          </w:p>
        </w:tc>
      </w:tr>
      <w:tr w:rsidR="00A74F6E" w14:paraId="1EB89371" w14:textId="77777777" w:rsidTr="0010233B">
        <w:trPr>
          <w:trHeight w:val="300"/>
          <w:jc w:val="center"/>
        </w:trPr>
        <w:tc>
          <w:tcPr>
            <w:tcW w:w="2979" w:type="dxa"/>
            <w:gridSpan w:val="2"/>
            <w:shd w:val="clear" w:color="auto" w:fill="auto"/>
            <w:vAlign w:val="bottom"/>
          </w:tcPr>
          <w:p w14:paraId="531DF28F" w14:textId="77777777" w:rsidR="00A74F6E" w:rsidRDefault="00A74F6E" w:rsidP="0010233B">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CC/</w:t>
            </w:r>
            <w:proofErr w:type="spellStart"/>
            <w:r>
              <w:rPr>
                <w:rFonts w:ascii="Times New Roman" w:eastAsia="Times New Roman" w:hAnsi="Times New Roman" w:cs="Times New Roman"/>
                <w:i/>
                <w:color w:val="000000"/>
                <w:sz w:val="22"/>
                <w:szCs w:val="22"/>
              </w:rPr>
              <w:t>NI</w:t>
            </w:r>
            <w:r>
              <w:rPr>
                <w:rFonts w:ascii="Times New Roman" w:eastAsia="Times New Roman" w:hAnsi="Times New Roman" w:cs="Times New Roman"/>
                <w:i/>
                <w:color w:val="000000"/>
                <w:sz w:val="22"/>
                <w:szCs w:val="22"/>
                <w:vertAlign w:val="subscript"/>
              </w:rPr>
              <w:t>t</w:t>
            </w:r>
            <w:proofErr w:type="spellEnd"/>
          </w:p>
        </w:tc>
        <w:tc>
          <w:tcPr>
            <w:tcW w:w="1203" w:type="dxa"/>
            <w:shd w:val="clear" w:color="auto" w:fill="auto"/>
            <w:vAlign w:val="bottom"/>
          </w:tcPr>
          <w:p w14:paraId="3EEF3A1B"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-0.001</w:t>
            </w:r>
          </w:p>
        </w:tc>
        <w:tc>
          <w:tcPr>
            <w:tcW w:w="833" w:type="dxa"/>
            <w:shd w:val="clear" w:color="auto" w:fill="auto"/>
            <w:vAlign w:val="bottom"/>
          </w:tcPr>
          <w:p w14:paraId="7A94F5B2"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3FA2B057"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-0.020</w:t>
            </w:r>
          </w:p>
        </w:tc>
        <w:tc>
          <w:tcPr>
            <w:tcW w:w="833" w:type="dxa"/>
            <w:shd w:val="clear" w:color="auto" w:fill="auto"/>
            <w:vAlign w:val="bottom"/>
          </w:tcPr>
          <w:p w14:paraId="5F53CB0D"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2CA19C92"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0.003</w:t>
            </w:r>
          </w:p>
        </w:tc>
        <w:tc>
          <w:tcPr>
            <w:tcW w:w="833" w:type="dxa"/>
            <w:shd w:val="clear" w:color="auto" w:fill="auto"/>
            <w:vAlign w:val="bottom"/>
          </w:tcPr>
          <w:p w14:paraId="4F0067A0"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973" w:type="dxa"/>
            <w:vAlign w:val="bottom"/>
          </w:tcPr>
          <w:p w14:paraId="5D94561E"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3AD8020B" w14:textId="77777777" w:rsidTr="0010233B">
        <w:trPr>
          <w:trHeight w:val="300"/>
          <w:jc w:val="center"/>
        </w:trPr>
        <w:tc>
          <w:tcPr>
            <w:tcW w:w="2979" w:type="dxa"/>
            <w:gridSpan w:val="2"/>
            <w:shd w:val="clear" w:color="auto" w:fill="auto"/>
            <w:vAlign w:val="bottom"/>
          </w:tcPr>
          <w:p w14:paraId="29FD2806" w14:textId="77777777" w:rsidR="00A74F6E" w:rsidRDefault="00A74F6E" w:rsidP="0010233B">
            <w:pPr>
              <w:spacing w:after="0" w:line="240" w:lineRule="auto"/>
              <w:rPr>
                <w:rFonts w:ascii="Times New Roman" w:eastAsia="Times New Roman" w:hAnsi="Times New Roman" w:cs="Times New Roman"/>
                <w:i/>
                <w:color w:val="000000"/>
                <w:sz w:val="22"/>
                <w:szCs w:val="22"/>
              </w:rPr>
            </w:pPr>
          </w:p>
        </w:tc>
        <w:tc>
          <w:tcPr>
            <w:tcW w:w="1203" w:type="dxa"/>
            <w:shd w:val="clear" w:color="auto" w:fill="auto"/>
            <w:vAlign w:val="bottom"/>
          </w:tcPr>
          <w:p w14:paraId="6FF53D14"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0.746</w:t>
            </w:r>
          </w:p>
        </w:tc>
        <w:tc>
          <w:tcPr>
            <w:tcW w:w="833" w:type="dxa"/>
            <w:shd w:val="clear" w:color="auto" w:fill="auto"/>
            <w:vAlign w:val="bottom"/>
          </w:tcPr>
          <w:p w14:paraId="2E350C5F"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442865C3"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0.266</w:t>
            </w:r>
          </w:p>
        </w:tc>
        <w:tc>
          <w:tcPr>
            <w:tcW w:w="833" w:type="dxa"/>
            <w:shd w:val="clear" w:color="auto" w:fill="auto"/>
            <w:vAlign w:val="bottom"/>
          </w:tcPr>
          <w:p w14:paraId="5CD4CE18"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1203" w:type="dxa"/>
            <w:shd w:val="clear" w:color="auto" w:fill="auto"/>
            <w:vAlign w:val="bottom"/>
          </w:tcPr>
          <w:p w14:paraId="6AF349E7" w14:textId="77777777" w:rsidR="00A74F6E" w:rsidRPr="006103EE" w:rsidRDefault="00A74F6E" w:rsidP="0010233B">
            <w:pPr>
              <w:spacing w:after="0" w:line="240" w:lineRule="auto"/>
              <w:ind w:right="-113"/>
              <w:jc w:val="right"/>
              <w:rPr>
                <w:rFonts w:ascii="Times New Roman" w:eastAsia="Times New Roman" w:hAnsi="Times New Roman" w:cs="Times New Roman"/>
                <w:b/>
                <w:sz w:val="22"/>
                <w:szCs w:val="22"/>
              </w:rPr>
            </w:pPr>
            <w:r w:rsidRPr="006103EE">
              <w:rPr>
                <w:rFonts w:ascii="Times New Roman" w:hAnsi="Times New Roman" w:cs="Times New Roman"/>
                <w:color w:val="000000"/>
                <w:sz w:val="22"/>
                <w:szCs w:val="22"/>
              </w:rPr>
              <w:t>0.514</w:t>
            </w:r>
          </w:p>
        </w:tc>
        <w:tc>
          <w:tcPr>
            <w:tcW w:w="833" w:type="dxa"/>
            <w:shd w:val="clear" w:color="auto" w:fill="auto"/>
            <w:vAlign w:val="bottom"/>
          </w:tcPr>
          <w:p w14:paraId="1267254C" w14:textId="77777777" w:rsidR="00A74F6E" w:rsidRPr="006103EE" w:rsidRDefault="00A74F6E" w:rsidP="0010233B">
            <w:pPr>
              <w:spacing w:after="0" w:line="240" w:lineRule="auto"/>
              <w:ind w:left="-113" w:right="-113"/>
              <w:rPr>
                <w:rFonts w:ascii="Times New Roman" w:eastAsia="Times New Roman" w:hAnsi="Times New Roman" w:cs="Times New Roman"/>
                <w:b/>
                <w:sz w:val="22"/>
                <w:szCs w:val="22"/>
              </w:rPr>
            </w:pPr>
          </w:p>
        </w:tc>
        <w:tc>
          <w:tcPr>
            <w:tcW w:w="973" w:type="dxa"/>
            <w:vAlign w:val="bottom"/>
          </w:tcPr>
          <w:p w14:paraId="1A0E8A30"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r w:rsidRPr="006103EE">
              <w:rPr>
                <w:rFonts w:ascii="Times New Roman" w:hAnsi="Times New Roman" w:cs="Times New Roman"/>
                <w:b/>
                <w:bCs/>
                <w:color w:val="000000"/>
                <w:sz w:val="22"/>
                <w:szCs w:val="22"/>
              </w:rPr>
              <w:t>0.041</w:t>
            </w:r>
          </w:p>
        </w:tc>
      </w:tr>
      <w:tr w:rsidR="00A74F6E" w14:paraId="2873BA09" w14:textId="77777777" w:rsidTr="0010233B">
        <w:trPr>
          <w:trHeight w:val="300"/>
          <w:jc w:val="center"/>
        </w:trPr>
        <w:tc>
          <w:tcPr>
            <w:tcW w:w="2979" w:type="dxa"/>
            <w:gridSpan w:val="2"/>
            <w:shd w:val="clear" w:color="auto" w:fill="auto"/>
            <w:vAlign w:val="bottom"/>
          </w:tcPr>
          <w:p w14:paraId="0BD33917" w14:textId="77777777" w:rsidR="00A74F6E" w:rsidRDefault="00A74F6E" w:rsidP="0010233B">
            <w:pPr>
              <w:spacing w:after="0" w:line="24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Constant</w:t>
            </w:r>
          </w:p>
        </w:tc>
        <w:tc>
          <w:tcPr>
            <w:tcW w:w="1203" w:type="dxa"/>
            <w:shd w:val="clear" w:color="auto" w:fill="auto"/>
            <w:vAlign w:val="bottom"/>
          </w:tcPr>
          <w:p w14:paraId="4141D9B5" w14:textId="77777777" w:rsidR="00A74F6E" w:rsidRPr="006103EE" w:rsidRDefault="00A74F6E" w:rsidP="0010233B">
            <w:pPr>
              <w:spacing w:after="0" w:line="240" w:lineRule="auto"/>
              <w:ind w:right="-113"/>
              <w:jc w:val="right"/>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-0.797</w:t>
            </w:r>
          </w:p>
        </w:tc>
        <w:tc>
          <w:tcPr>
            <w:tcW w:w="833" w:type="dxa"/>
            <w:shd w:val="clear" w:color="auto" w:fill="auto"/>
            <w:vAlign w:val="bottom"/>
          </w:tcPr>
          <w:p w14:paraId="1649D0FE" w14:textId="77777777" w:rsidR="00A74F6E" w:rsidRPr="006103EE" w:rsidRDefault="00A74F6E" w:rsidP="0010233B">
            <w:pPr>
              <w:spacing w:after="0" w:line="240" w:lineRule="auto"/>
              <w:ind w:left="-113" w:right="-113"/>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28E36AC1" w14:textId="77777777" w:rsidR="00A74F6E" w:rsidRPr="006103EE" w:rsidRDefault="00A74F6E" w:rsidP="0010233B">
            <w:pPr>
              <w:spacing w:after="0" w:line="240" w:lineRule="auto"/>
              <w:ind w:right="-113"/>
              <w:jc w:val="right"/>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-1.891</w:t>
            </w:r>
          </w:p>
        </w:tc>
        <w:tc>
          <w:tcPr>
            <w:tcW w:w="833" w:type="dxa"/>
            <w:shd w:val="clear" w:color="auto" w:fill="auto"/>
            <w:vAlign w:val="bottom"/>
          </w:tcPr>
          <w:p w14:paraId="378336B8" w14:textId="77777777" w:rsidR="00A74F6E" w:rsidRPr="006103EE" w:rsidRDefault="00A74F6E" w:rsidP="0010233B">
            <w:pPr>
              <w:spacing w:after="0" w:line="240" w:lineRule="auto"/>
              <w:ind w:left="-113" w:right="-113"/>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w:t>
            </w:r>
          </w:p>
        </w:tc>
        <w:tc>
          <w:tcPr>
            <w:tcW w:w="1203" w:type="dxa"/>
            <w:shd w:val="clear" w:color="auto" w:fill="auto"/>
            <w:vAlign w:val="bottom"/>
          </w:tcPr>
          <w:p w14:paraId="3FD70B0F" w14:textId="77777777" w:rsidR="00A74F6E" w:rsidRPr="006103EE" w:rsidRDefault="00A74F6E" w:rsidP="0010233B">
            <w:pPr>
              <w:spacing w:after="0" w:line="240" w:lineRule="auto"/>
              <w:ind w:right="-113"/>
              <w:jc w:val="right"/>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-0.691</w:t>
            </w:r>
          </w:p>
        </w:tc>
        <w:tc>
          <w:tcPr>
            <w:tcW w:w="833" w:type="dxa"/>
            <w:shd w:val="clear" w:color="auto" w:fill="auto"/>
            <w:vAlign w:val="bottom"/>
          </w:tcPr>
          <w:p w14:paraId="37D00C9A"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w:t>
            </w:r>
          </w:p>
        </w:tc>
        <w:tc>
          <w:tcPr>
            <w:tcW w:w="973" w:type="dxa"/>
            <w:vAlign w:val="bottom"/>
          </w:tcPr>
          <w:p w14:paraId="438034BB" w14:textId="77777777" w:rsidR="00A74F6E" w:rsidRPr="006103EE" w:rsidRDefault="00A74F6E" w:rsidP="0010233B">
            <w:pPr>
              <w:spacing w:after="0" w:line="240" w:lineRule="auto"/>
              <w:ind w:left="-113" w:right="-113"/>
              <w:jc w:val="center"/>
              <w:rPr>
                <w:rFonts w:ascii="Times New Roman" w:eastAsia="Times New Roman" w:hAnsi="Times New Roman" w:cs="Times New Roman"/>
                <w:b/>
                <w:sz w:val="22"/>
                <w:szCs w:val="22"/>
              </w:rPr>
            </w:pPr>
          </w:p>
        </w:tc>
      </w:tr>
      <w:tr w:rsidR="00A74F6E" w14:paraId="0CC1A99E" w14:textId="77777777" w:rsidTr="0010233B">
        <w:trPr>
          <w:trHeight w:val="300"/>
          <w:jc w:val="center"/>
        </w:trPr>
        <w:tc>
          <w:tcPr>
            <w:tcW w:w="2979" w:type="dxa"/>
            <w:gridSpan w:val="2"/>
            <w:shd w:val="clear" w:color="auto" w:fill="auto"/>
            <w:vAlign w:val="bottom"/>
          </w:tcPr>
          <w:p w14:paraId="7AB4A569" w14:textId="77777777" w:rsidR="00A74F6E" w:rsidRDefault="00A74F6E" w:rsidP="0010233B">
            <w:pPr>
              <w:spacing w:after="0" w:line="240" w:lineRule="auto"/>
              <w:rPr>
                <w:rFonts w:ascii="Times New Roman" w:eastAsia="Times New Roman" w:hAnsi="Times New Roman" w:cs="Times New Roman"/>
                <w:b/>
                <w:i/>
                <w:sz w:val="22"/>
                <w:szCs w:val="22"/>
              </w:rPr>
            </w:pPr>
          </w:p>
        </w:tc>
        <w:tc>
          <w:tcPr>
            <w:tcW w:w="1203" w:type="dxa"/>
            <w:shd w:val="clear" w:color="auto" w:fill="auto"/>
            <w:vAlign w:val="bottom"/>
          </w:tcPr>
          <w:p w14:paraId="7F3AAB8C" w14:textId="77777777" w:rsidR="00A74F6E" w:rsidRPr="006103EE" w:rsidRDefault="00A74F6E" w:rsidP="0010233B">
            <w:pPr>
              <w:spacing w:after="0" w:line="240" w:lineRule="auto"/>
              <w:ind w:right="-113"/>
              <w:jc w:val="right"/>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08D40430" w14:textId="77777777" w:rsidR="00A74F6E" w:rsidRPr="006103EE" w:rsidRDefault="00A74F6E" w:rsidP="0010233B">
            <w:pPr>
              <w:spacing w:after="0" w:line="240" w:lineRule="auto"/>
              <w:ind w:left="-113" w:right="-113"/>
              <w:rPr>
                <w:rFonts w:ascii="Times New Roman" w:eastAsia="Times New Roman" w:hAnsi="Times New Roman" w:cs="Times New Roman"/>
                <w:b/>
                <w:bCs/>
                <w:color w:val="000000"/>
                <w:sz w:val="22"/>
                <w:szCs w:val="22"/>
              </w:rPr>
            </w:pPr>
          </w:p>
        </w:tc>
        <w:tc>
          <w:tcPr>
            <w:tcW w:w="1203" w:type="dxa"/>
            <w:shd w:val="clear" w:color="auto" w:fill="auto"/>
            <w:vAlign w:val="bottom"/>
          </w:tcPr>
          <w:p w14:paraId="48B14F52" w14:textId="77777777" w:rsidR="00A74F6E" w:rsidRPr="006103EE" w:rsidRDefault="00A74F6E" w:rsidP="0010233B">
            <w:pPr>
              <w:spacing w:after="0" w:line="240" w:lineRule="auto"/>
              <w:ind w:right="-113"/>
              <w:jc w:val="right"/>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553CEB3B" w14:textId="77777777" w:rsidR="00A74F6E" w:rsidRPr="006103EE" w:rsidRDefault="00A74F6E" w:rsidP="0010233B">
            <w:pPr>
              <w:spacing w:after="0" w:line="240" w:lineRule="auto"/>
              <w:ind w:left="-113" w:right="-113"/>
              <w:rPr>
                <w:rFonts w:ascii="Times New Roman" w:eastAsia="Times New Roman" w:hAnsi="Times New Roman" w:cs="Times New Roman"/>
                <w:b/>
                <w:bCs/>
                <w:color w:val="000000"/>
                <w:sz w:val="22"/>
                <w:szCs w:val="22"/>
              </w:rPr>
            </w:pPr>
          </w:p>
        </w:tc>
        <w:tc>
          <w:tcPr>
            <w:tcW w:w="1203" w:type="dxa"/>
            <w:shd w:val="clear" w:color="auto" w:fill="auto"/>
            <w:vAlign w:val="bottom"/>
          </w:tcPr>
          <w:p w14:paraId="1D192C99" w14:textId="77777777" w:rsidR="00A74F6E" w:rsidRPr="006103EE" w:rsidRDefault="00A74F6E" w:rsidP="0010233B">
            <w:pPr>
              <w:spacing w:after="0" w:line="240" w:lineRule="auto"/>
              <w:ind w:right="-113"/>
              <w:jc w:val="right"/>
              <w:rPr>
                <w:rFonts w:ascii="Times New Roman" w:eastAsia="Times New Roman" w:hAnsi="Times New Roman" w:cs="Times New Roman"/>
                <w:b/>
                <w:bCs/>
                <w:color w:val="000000"/>
                <w:sz w:val="22"/>
                <w:szCs w:val="22"/>
              </w:rPr>
            </w:pPr>
            <w:r w:rsidRPr="006103EE">
              <w:rPr>
                <w:rFonts w:ascii="Times New Roman" w:hAnsi="Times New Roman" w:cs="Times New Roman"/>
                <w:b/>
                <w:bCs/>
                <w:color w:val="000000"/>
                <w:sz w:val="22"/>
                <w:szCs w:val="22"/>
              </w:rPr>
              <w:t>0.000</w:t>
            </w:r>
          </w:p>
        </w:tc>
        <w:tc>
          <w:tcPr>
            <w:tcW w:w="833" w:type="dxa"/>
            <w:shd w:val="clear" w:color="auto" w:fill="auto"/>
            <w:vAlign w:val="bottom"/>
          </w:tcPr>
          <w:p w14:paraId="69D0AE37" w14:textId="77777777" w:rsidR="00A74F6E" w:rsidRPr="006103EE" w:rsidRDefault="00A74F6E" w:rsidP="0010233B">
            <w:pPr>
              <w:spacing w:after="0" w:line="240" w:lineRule="auto"/>
              <w:ind w:left="-113" w:right="-113"/>
              <w:rPr>
                <w:rFonts w:ascii="Times New Roman" w:eastAsia="Times New Roman" w:hAnsi="Times New Roman" w:cs="Times New Roman"/>
                <w:b/>
                <w:color w:val="000000"/>
                <w:sz w:val="22"/>
                <w:szCs w:val="22"/>
              </w:rPr>
            </w:pPr>
          </w:p>
        </w:tc>
        <w:tc>
          <w:tcPr>
            <w:tcW w:w="973" w:type="dxa"/>
            <w:vAlign w:val="bottom"/>
          </w:tcPr>
          <w:p w14:paraId="05B85C82" w14:textId="77777777" w:rsidR="00A74F6E" w:rsidRPr="006103EE" w:rsidRDefault="00A74F6E" w:rsidP="0010233B">
            <w:pPr>
              <w:spacing w:after="0" w:line="240" w:lineRule="auto"/>
              <w:ind w:left="-113" w:right="-113"/>
              <w:jc w:val="center"/>
              <w:rPr>
                <w:rFonts w:ascii="Times New Roman" w:eastAsia="Times New Roman" w:hAnsi="Times New Roman" w:cs="Times New Roman"/>
                <w:b/>
                <w:color w:val="000000"/>
                <w:sz w:val="22"/>
                <w:szCs w:val="22"/>
              </w:rPr>
            </w:pPr>
            <w:r w:rsidRPr="006103EE">
              <w:rPr>
                <w:rFonts w:ascii="Times New Roman" w:hAnsi="Times New Roman" w:cs="Times New Roman"/>
                <w:b/>
                <w:bCs/>
                <w:color w:val="000000"/>
                <w:sz w:val="22"/>
                <w:szCs w:val="22"/>
              </w:rPr>
              <w:t>0.000</w:t>
            </w:r>
          </w:p>
        </w:tc>
      </w:tr>
      <w:tr w:rsidR="00A74F6E" w14:paraId="33C65DF9" w14:textId="77777777" w:rsidTr="0010233B">
        <w:trPr>
          <w:trHeight w:val="300"/>
          <w:jc w:val="center"/>
        </w:trPr>
        <w:tc>
          <w:tcPr>
            <w:tcW w:w="2979" w:type="dxa"/>
            <w:gridSpan w:val="2"/>
            <w:tcBorders>
              <w:top w:val="single" w:sz="4" w:space="0" w:color="000000"/>
              <w:bottom w:val="nil"/>
            </w:tcBorders>
            <w:shd w:val="clear" w:color="auto" w:fill="auto"/>
            <w:vAlign w:val="center"/>
          </w:tcPr>
          <w:p w14:paraId="7C94C353" w14:textId="77777777" w:rsidR="00A74F6E" w:rsidRDefault="00A74F6E" w:rsidP="0010233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p>
        </w:tc>
        <w:tc>
          <w:tcPr>
            <w:tcW w:w="1203" w:type="dxa"/>
            <w:tcBorders>
              <w:top w:val="single" w:sz="4" w:space="0" w:color="000000"/>
              <w:bottom w:val="nil"/>
            </w:tcBorders>
            <w:vAlign w:val="bottom"/>
          </w:tcPr>
          <w:p w14:paraId="72163871"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5045</w:t>
            </w:r>
          </w:p>
        </w:tc>
        <w:tc>
          <w:tcPr>
            <w:tcW w:w="833" w:type="dxa"/>
            <w:tcBorders>
              <w:top w:val="single" w:sz="4" w:space="0" w:color="000000"/>
              <w:bottom w:val="nil"/>
            </w:tcBorders>
            <w:vAlign w:val="bottom"/>
          </w:tcPr>
          <w:p w14:paraId="59803977"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single" w:sz="4" w:space="0" w:color="000000"/>
              <w:bottom w:val="nil"/>
            </w:tcBorders>
            <w:vAlign w:val="bottom"/>
          </w:tcPr>
          <w:p w14:paraId="27297228"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1206</w:t>
            </w:r>
          </w:p>
        </w:tc>
        <w:tc>
          <w:tcPr>
            <w:tcW w:w="833" w:type="dxa"/>
            <w:tcBorders>
              <w:top w:val="single" w:sz="4" w:space="0" w:color="000000"/>
              <w:bottom w:val="nil"/>
            </w:tcBorders>
            <w:vAlign w:val="bottom"/>
          </w:tcPr>
          <w:p w14:paraId="7C0D3FE5"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single" w:sz="4" w:space="0" w:color="000000"/>
              <w:bottom w:val="nil"/>
            </w:tcBorders>
            <w:vAlign w:val="bottom"/>
          </w:tcPr>
          <w:p w14:paraId="23592C74"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r w:rsidRPr="006103EE">
              <w:rPr>
                <w:rFonts w:ascii="Times New Roman" w:hAnsi="Times New Roman" w:cs="Times New Roman"/>
                <w:color w:val="000000"/>
                <w:sz w:val="22"/>
                <w:szCs w:val="22"/>
              </w:rPr>
              <w:t>3839</w:t>
            </w:r>
          </w:p>
        </w:tc>
        <w:tc>
          <w:tcPr>
            <w:tcW w:w="833" w:type="dxa"/>
            <w:tcBorders>
              <w:top w:val="single" w:sz="4" w:space="0" w:color="000000"/>
              <w:bottom w:val="nil"/>
            </w:tcBorders>
          </w:tcPr>
          <w:p w14:paraId="2F0B2626"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973" w:type="dxa"/>
            <w:tcBorders>
              <w:top w:val="single" w:sz="4" w:space="0" w:color="000000"/>
              <w:bottom w:val="nil"/>
            </w:tcBorders>
          </w:tcPr>
          <w:p w14:paraId="59C348A2"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p>
        </w:tc>
      </w:tr>
      <w:tr w:rsidR="00A74F6E" w14:paraId="064AC21F" w14:textId="77777777" w:rsidTr="0010233B">
        <w:trPr>
          <w:trHeight w:val="300"/>
          <w:jc w:val="center"/>
        </w:trPr>
        <w:tc>
          <w:tcPr>
            <w:tcW w:w="2979" w:type="dxa"/>
            <w:gridSpan w:val="2"/>
            <w:tcBorders>
              <w:top w:val="nil"/>
              <w:bottom w:val="nil"/>
            </w:tcBorders>
            <w:shd w:val="clear" w:color="auto" w:fill="auto"/>
            <w:vAlign w:val="center"/>
          </w:tcPr>
          <w:p w14:paraId="5C0FDB3E" w14:textId="77777777" w:rsidR="00A74F6E" w:rsidRDefault="00A74F6E" w:rsidP="0010233B">
            <w:pPr>
              <w:spacing w:after="0" w:line="240" w:lineRule="auto"/>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Pseudo R</w:t>
            </w:r>
            <w:r>
              <w:rPr>
                <w:rFonts w:ascii="Times New Roman" w:eastAsia="Times New Roman" w:hAnsi="Times New Roman" w:cs="Times New Roman"/>
                <w:color w:val="000000"/>
                <w:sz w:val="22"/>
                <w:szCs w:val="22"/>
                <w:vertAlign w:val="superscript"/>
              </w:rPr>
              <w:t>2</w:t>
            </w:r>
          </w:p>
        </w:tc>
        <w:tc>
          <w:tcPr>
            <w:tcW w:w="1203" w:type="dxa"/>
            <w:tcBorders>
              <w:top w:val="nil"/>
              <w:bottom w:val="nil"/>
            </w:tcBorders>
            <w:vAlign w:val="bottom"/>
          </w:tcPr>
          <w:p w14:paraId="675AC5CB" w14:textId="77777777" w:rsidR="00A74F6E" w:rsidRPr="00E17C90" w:rsidRDefault="00A74F6E" w:rsidP="0010233B">
            <w:pPr>
              <w:spacing w:after="0" w:line="240" w:lineRule="auto"/>
              <w:ind w:right="-113"/>
              <w:jc w:val="right"/>
              <w:rPr>
                <w:rFonts w:ascii="Times New Roman" w:eastAsia="Times New Roman" w:hAnsi="Times New Roman" w:cs="Times New Roman"/>
                <w:color w:val="000000"/>
                <w:sz w:val="22"/>
                <w:szCs w:val="22"/>
              </w:rPr>
            </w:pPr>
            <w:r w:rsidRPr="00E17C90">
              <w:rPr>
                <w:rFonts w:ascii="Times New Roman" w:hAnsi="Times New Roman" w:cs="Times New Roman"/>
                <w:color w:val="000000"/>
                <w:sz w:val="22"/>
                <w:szCs w:val="22"/>
              </w:rPr>
              <w:t>0.293</w:t>
            </w:r>
          </w:p>
        </w:tc>
        <w:tc>
          <w:tcPr>
            <w:tcW w:w="833" w:type="dxa"/>
            <w:tcBorders>
              <w:top w:val="nil"/>
              <w:bottom w:val="nil"/>
            </w:tcBorders>
            <w:vAlign w:val="bottom"/>
          </w:tcPr>
          <w:p w14:paraId="2062E8A5" w14:textId="77777777" w:rsidR="00A74F6E" w:rsidRPr="00E17C90"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bottom w:val="nil"/>
            </w:tcBorders>
            <w:vAlign w:val="bottom"/>
          </w:tcPr>
          <w:p w14:paraId="0D83CB00" w14:textId="77777777" w:rsidR="00A74F6E" w:rsidRPr="00E17C90" w:rsidRDefault="00A74F6E" w:rsidP="0010233B">
            <w:pPr>
              <w:spacing w:after="0" w:line="240" w:lineRule="auto"/>
              <w:ind w:right="-113"/>
              <w:jc w:val="right"/>
              <w:rPr>
                <w:rFonts w:ascii="Times New Roman" w:eastAsia="Times New Roman" w:hAnsi="Times New Roman" w:cs="Times New Roman"/>
                <w:color w:val="000000"/>
                <w:sz w:val="22"/>
                <w:szCs w:val="22"/>
              </w:rPr>
            </w:pPr>
            <w:r w:rsidRPr="00E17C90">
              <w:rPr>
                <w:rFonts w:ascii="Times New Roman" w:hAnsi="Times New Roman" w:cs="Times New Roman"/>
                <w:color w:val="000000"/>
                <w:sz w:val="22"/>
                <w:szCs w:val="22"/>
              </w:rPr>
              <w:t>0.199</w:t>
            </w:r>
          </w:p>
        </w:tc>
        <w:tc>
          <w:tcPr>
            <w:tcW w:w="833" w:type="dxa"/>
            <w:tcBorders>
              <w:top w:val="nil"/>
              <w:bottom w:val="nil"/>
            </w:tcBorders>
            <w:vAlign w:val="bottom"/>
          </w:tcPr>
          <w:p w14:paraId="140F764D" w14:textId="77777777" w:rsidR="00A74F6E" w:rsidRPr="00E17C90"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bottom w:val="nil"/>
            </w:tcBorders>
            <w:vAlign w:val="bottom"/>
          </w:tcPr>
          <w:p w14:paraId="303A1D66" w14:textId="77777777" w:rsidR="00A74F6E" w:rsidRPr="00E17C90" w:rsidRDefault="00A74F6E" w:rsidP="0010233B">
            <w:pPr>
              <w:spacing w:after="0" w:line="240" w:lineRule="auto"/>
              <w:ind w:right="-113"/>
              <w:jc w:val="right"/>
              <w:rPr>
                <w:rFonts w:ascii="Times New Roman" w:eastAsia="Times New Roman" w:hAnsi="Times New Roman" w:cs="Times New Roman"/>
                <w:color w:val="000000"/>
                <w:sz w:val="22"/>
                <w:szCs w:val="22"/>
              </w:rPr>
            </w:pPr>
            <w:r w:rsidRPr="00E17C90">
              <w:rPr>
                <w:rFonts w:ascii="Times New Roman" w:hAnsi="Times New Roman" w:cs="Times New Roman"/>
                <w:color w:val="000000"/>
                <w:sz w:val="22"/>
                <w:szCs w:val="22"/>
              </w:rPr>
              <w:t>0.318</w:t>
            </w:r>
          </w:p>
        </w:tc>
        <w:tc>
          <w:tcPr>
            <w:tcW w:w="833" w:type="dxa"/>
            <w:tcBorders>
              <w:top w:val="nil"/>
              <w:bottom w:val="nil"/>
            </w:tcBorders>
          </w:tcPr>
          <w:p w14:paraId="40869916"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973" w:type="dxa"/>
            <w:tcBorders>
              <w:top w:val="nil"/>
              <w:bottom w:val="nil"/>
            </w:tcBorders>
          </w:tcPr>
          <w:p w14:paraId="06ABC254" w14:textId="77777777" w:rsidR="00A74F6E" w:rsidRPr="006103EE" w:rsidRDefault="00A74F6E" w:rsidP="0010233B">
            <w:pPr>
              <w:spacing w:after="0" w:line="240" w:lineRule="auto"/>
              <w:ind w:right="-113"/>
              <w:jc w:val="right"/>
              <w:rPr>
                <w:rFonts w:ascii="Times New Roman" w:eastAsia="Times New Roman" w:hAnsi="Times New Roman" w:cs="Times New Roman"/>
                <w:color w:val="000000"/>
                <w:sz w:val="22"/>
                <w:szCs w:val="22"/>
              </w:rPr>
            </w:pPr>
          </w:p>
        </w:tc>
      </w:tr>
      <w:tr w:rsidR="00A74F6E" w14:paraId="0F8C8BB4" w14:textId="77777777" w:rsidTr="0010233B">
        <w:trPr>
          <w:trHeight w:val="300"/>
          <w:jc w:val="center"/>
        </w:trPr>
        <w:tc>
          <w:tcPr>
            <w:tcW w:w="2729" w:type="dxa"/>
            <w:tcBorders>
              <w:top w:val="nil"/>
            </w:tcBorders>
            <w:vAlign w:val="center"/>
          </w:tcPr>
          <w:p w14:paraId="7D05DC2D" w14:textId="77777777" w:rsidR="00A74F6E" w:rsidRDefault="00A74F6E" w:rsidP="0010233B">
            <w:pPr>
              <w:spacing w:after="0" w:line="240" w:lineRule="auto"/>
              <w:ind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YEAR CONTROLS</w:t>
            </w:r>
          </w:p>
        </w:tc>
        <w:tc>
          <w:tcPr>
            <w:tcW w:w="250" w:type="dxa"/>
            <w:tcBorders>
              <w:top w:val="nil"/>
            </w:tcBorders>
          </w:tcPr>
          <w:p w14:paraId="64DC9E09" w14:textId="77777777" w:rsidR="00A74F6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tcBorders>
          </w:tcPr>
          <w:p w14:paraId="7EA7AA7D"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r w:rsidRPr="002C6E98">
              <w:rPr>
                <w:rFonts w:ascii="Times New Roman" w:eastAsia="Times New Roman" w:hAnsi="Times New Roman" w:cs="Times New Roman"/>
                <w:color w:val="000000"/>
                <w:sz w:val="22"/>
                <w:szCs w:val="22"/>
              </w:rPr>
              <w:t>YES</w:t>
            </w:r>
          </w:p>
        </w:tc>
        <w:tc>
          <w:tcPr>
            <w:tcW w:w="833" w:type="dxa"/>
            <w:tcBorders>
              <w:top w:val="nil"/>
            </w:tcBorders>
          </w:tcPr>
          <w:p w14:paraId="01447AD8"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tcBorders>
          </w:tcPr>
          <w:p w14:paraId="3B2966A4"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r w:rsidRPr="002C6E98">
              <w:rPr>
                <w:rFonts w:ascii="Times New Roman" w:eastAsia="Times New Roman" w:hAnsi="Times New Roman" w:cs="Times New Roman"/>
                <w:color w:val="000000"/>
                <w:sz w:val="22"/>
                <w:szCs w:val="22"/>
              </w:rPr>
              <w:t>YES</w:t>
            </w:r>
          </w:p>
        </w:tc>
        <w:tc>
          <w:tcPr>
            <w:tcW w:w="833" w:type="dxa"/>
            <w:tcBorders>
              <w:top w:val="nil"/>
            </w:tcBorders>
          </w:tcPr>
          <w:p w14:paraId="3E5387EF"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tcBorders>
          </w:tcPr>
          <w:p w14:paraId="25929F69"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r w:rsidRPr="002C6E98">
              <w:rPr>
                <w:rFonts w:ascii="Times New Roman" w:eastAsia="Times New Roman" w:hAnsi="Times New Roman" w:cs="Times New Roman"/>
                <w:color w:val="000000"/>
                <w:sz w:val="22"/>
                <w:szCs w:val="22"/>
              </w:rPr>
              <w:t>YES</w:t>
            </w:r>
          </w:p>
        </w:tc>
        <w:tc>
          <w:tcPr>
            <w:tcW w:w="833" w:type="dxa"/>
            <w:tcBorders>
              <w:top w:val="nil"/>
            </w:tcBorders>
          </w:tcPr>
          <w:p w14:paraId="04FA52D8"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973" w:type="dxa"/>
            <w:tcBorders>
              <w:top w:val="nil"/>
            </w:tcBorders>
          </w:tcPr>
          <w:p w14:paraId="1248D7D4"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r>
      <w:tr w:rsidR="00A74F6E" w14:paraId="65431AD2" w14:textId="77777777" w:rsidTr="0010233B">
        <w:trPr>
          <w:trHeight w:val="300"/>
          <w:jc w:val="center"/>
        </w:trPr>
        <w:tc>
          <w:tcPr>
            <w:tcW w:w="2729" w:type="dxa"/>
            <w:tcBorders>
              <w:top w:val="nil"/>
            </w:tcBorders>
            <w:vAlign w:val="center"/>
          </w:tcPr>
          <w:p w14:paraId="1DD827E6" w14:textId="77777777" w:rsidR="00A74F6E" w:rsidRDefault="00A74F6E" w:rsidP="0010233B">
            <w:pPr>
              <w:spacing w:after="0" w:line="240" w:lineRule="auto"/>
              <w:ind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INDUSTRY CONTROLS</w:t>
            </w:r>
          </w:p>
        </w:tc>
        <w:tc>
          <w:tcPr>
            <w:tcW w:w="250" w:type="dxa"/>
            <w:tcBorders>
              <w:top w:val="nil"/>
            </w:tcBorders>
          </w:tcPr>
          <w:p w14:paraId="087F5C2E" w14:textId="77777777" w:rsidR="00A74F6E"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tcBorders>
          </w:tcPr>
          <w:p w14:paraId="18FFF7FA"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r w:rsidRPr="002C6E98">
              <w:rPr>
                <w:rFonts w:ascii="Times New Roman" w:eastAsia="Times New Roman" w:hAnsi="Times New Roman" w:cs="Times New Roman"/>
                <w:color w:val="000000"/>
                <w:sz w:val="22"/>
                <w:szCs w:val="22"/>
              </w:rPr>
              <w:t>YES</w:t>
            </w:r>
          </w:p>
        </w:tc>
        <w:tc>
          <w:tcPr>
            <w:tcW w:w="833" w:type="dxa"/>
            <w:tcBorders>
              <w:top w:val="nil"/>
            </w:tcBorders>
          </w:tcPr>
          <w:p w14:paraId="2ED8EC31"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tcBorders>
          </w:tcPr>
          <w:p w14:paraId="52E9DA62"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r w:rsidRPr="002C6E98">
              <w:rPr>
                <w:rFonts w:ascii="Times New Roman" w:eastAsia="Times New Roman" w:hAnsi="Times New Roman" w:cs="Times New Roman"/>
                <w:color w:val="000000"/>
                <w:sz w:val="22"/>
                <w:szCs w:val="22"/>
              </w:rPr>
              <w:t>YES</w:t>
            </w:r>
          </w:p>
        </w:tc>
        <w:tc>
          <w:tcPr>
            <w:tcW w:w="833" w:type="dxa"/>
            <w:tcBorders>
              <w:top w:val="nil"/>
            </w:tcBorders>
          </w:tcPr>
          <w:p w14:paraId="706BBF7C"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1203" w:type="dxa"/>
            <w:tcBorders>
              <w:top w:val="nil"/>
            </w:tcBorders>
          </w:tcPr>
          <w:p w14:paraId="709DE8BD"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r w:rsidRPr="002C6E98">
              <w:rPr>
                <w:rFonts w:ascii="Times New Roman" w:eastAsia="Times New Roman" w:hAnsi="Times New Roman" w:cs="Times New Roman"/>
                <w:color w:val="000000"/>
                <w:sz w:val="22"/>
                <w:szCs w:val="22"/>
              </w:rPr>
              <w:t>YES</w:t>
            </w:r>
          </w:p>
        </w:tc>
        <w:tc>
          <w:tcPr>
            <w:tcW w:w="833" w:type="dxa"/>
            <w:tcBorders>
              <w:top w:val="nil"/>
            </w:tcBorders>
          </w:tcPr>
          <w:p w14:paraId="74F67BB0"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c>
          <w:tcPr>
            <w:tcW w:w="973" w:type="dxa"/>
            <w:tcBorders>
              <w:top w:val="nil"/>
            </w:tcBorders>
          </w:tcPr>
          <w:p w14:paraId="2EF417D5" w14:textId="77777777" w:rsidR="00A74F6E" w:rsidRPr="002C6E98" w:rsidRDefault="00A74F6E" w:rsidP="0010233B">
            <w:pPr>
              <w:spacing w:after="0" w:line="240" w:lineRule="auto"/>
              <w:ind w:right="-113"/>
              <w:jc w:val="right"/>
              <w:rPr>
                <w:rFonts w:ascii="Times New Roman" w:eastAsia="Times New Roman" w:hAnsi="Times New Roman" w:cs="Times New Roman"/>
                <w:color w:val="000000"/>
                <w:sz w:val="22"/>
                <w:szCs w:val="22"/>
              </w:rPr>
            </w:pPr>
          </w:p>
        </w:tc>
      </w:tr>
    </w:tbl>
    <w:p w14:paraId="5A68DF53" w14:textId="77777777" w:rsidR="00A74F6E" w:rsidRDefault="00A74F6E" w:rsidP="00A74F6E">
      <w:pPr>
        <w:jc w:val="both"/>
        <w:rPr>
          <w:color w:val="000000"/>
          <w:sz w:val="22"/>
          <w:szCs w:val="22"/>
        </w:rPr>
      </w:pPr>
      <w:r>
        <w:rPr>
          <w:rFonts w:ascii="Times New Roman" w:eastAsia="Times New Roman" w:hAnsi="Times New Roman" w:cs="Times New Roman"/>
          <w:i/>
          <w:color w:val="000000"/>
          <w:sz w:val="22"/>
          <w:szCs w:val="22"/>
        </w:rPr>
        <w:t>Notes</w:t>
      </w:r>
      <w:r>
        <w:rPr>
          <w:rFonts w:ascii="Times New Roman" w:eastAsia="Times New Roman" w:hAnsi="Times New Roman" w:cs="Times New Roman"/>
          <w:color w:val="000000"/>
          <w:sz w:val="22"/>
          <w:szCs w:val="22"/>
        </w:rPr>
        <w:t xml:space="preserve">: a two-sided </w:t>
      </w:r>
      <w:proofErr w:type="spellStart"/>
      <w:r>
        <w:rPr>
          <w:rFonts w:ascii="Times New Roman" w:eastAsia="Times New Roman" w:hAnsi="Times New Roman" w:cs="Times New Roman"/>
          <w:color w:val="000000"/>
          <w:sz w:val="22"/>
          <w:szCs w:val="22"/>
        </w:rPr>
        <w:t>tobit</w:t>
      </w:r>
      <w:proofErr w:type="spellEnd"/>
      <w:r>
        <w:rPr>
          <w:rFonts w:ascii="Times New Roman" w:eastAsia="Times New Roman" w:hAnsi="Times New Roman" w:cs="Times New Roman"/>
          <w:color w:val="000000"/>
          <w:sz w:val="22"/>
          <w:szCs w:val="22"/>
        </w:rPr>
        <w:t xml:space="preserve"> model for repurchases as a share of </w:t>
      </w:r>
      <w:proofErr w:type="spellStart"/>
      <w:r>
        <w:rPr>
          <w:rFonts w:ascii="Times New Roman" w:eastAsia="Times New Roman" w:hAnsi="Times New Roman" w:cs="Times New Roman"/>
          <w:color w:val="000000"/>
          <w:sz w:val="22"/>
          <w:szCs w:val="22"/>
        </w:rPr>
        <w:t>payouts</w:t>
      </w:r>
      <w:proofErr w:type="spellEnd"/>
      <w:r>
        <w:rPr>
          <w:rFonts w:ascii="Times New Roman" w:eastAsia="Times New Roman" w:hAnsi="Times New Roman" w:cs="Times New Roman"/>
          <w:color w:val="000000"/>
          <w:sz w:val="22"/>
          <w:szCs w:val="22"/>
        </w:rPr>
        <w:t>, which is censored at zero and one.</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The dependent variable, </w:t>
      </w:r>
      <w:r>
        <w:rPr>
          <w:rFonts w:ascii="Times New Roman" w:eastAsia="Times New Roman" w:hAnsi="Times New Roman" w:cs="Times New Roman"/>
          <w:i/>
          <w:color w:val="000000"/>
          <w:sz w:val="22"/>
          <w:szCs w:val="22"/>
        </w:rPr>
        <w:t>SP/</w:t>
      </w:r>
      <w:proofErr w:type="spellStart"/>
      <w:r>
        <w:rPr>
          <w:rFonts w:ascii="Times New Roman" w:eastAsia="Times New Roman" w:hAnsi="Times New Roman" w:cs="Times New Roman"/>
          <w:i/>
          <w:color w:val="000000"/>
          <w:sz w:val="22"/>
          <w:szCs w:val="22"/>
        </w:rPr>
        <w:t>TOTALPAY</w:t>
      </w:r>
      <w:r>
        <w:rPr>
          <w:rFonts w:ascii="Times New Roman" w:eastAsia="Times New Roman" w:hAnsi="Times New Roman" w:cs="Times New Roman"/>
          <w:i/>
          <w:color w:val="000000"/>
          <w:sz w:val="22"/>
          <w:szCs w:val="22"/>
          <w:vertAlign w:val="subscript"/>
        </w:rPr>
        <w:t>t</w:t>
      </w:r>
      <w:proofErr w:type="spellEnd"/>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is defined as in table 3. All other variables are as defined for the main tests.  </w:t>
      </w:r>
    </w:p>
    <w:p w14:paraId="044C68B8" w14:textId="77777777" w:rsidR="00A74F6E" w:rsidRDefault="00A74F6E" w:rsidP="00A74F6E">
      <w:pPr>
        <w:rPr>
          <w:rFonts w:ascii="Times New Roman" w:eastAsia="Times New Roman" w:hAnsi="Times New Roman" w:cs="Times New Roman"/>
        </w:rPr>
      </w:pPr>
    </w:p>
    <w:p w14:paraId="3662E9F0" w14:textId="77777777" w:rsidR="00A74F6E" w:rsidRPr="00F21601" w:rsidRDefault="00A74F6E" w:rsidP="00F21601">
      <w:pPr>
        <w:spacing w:after="0" w:line="480" w:lineRule="auto"/>
        <w:ind w:left="720" w:hanging="720"/>
        <w:rPr>
          <w:color w:val="000000"/>
          <w:sz w:val="22"/>
          <w:szCs w:val="22"/>
        </w:rPr>
      </w:pPr>
    </w:p>
    <w:sectPr w:rsidR="00A74F6E" w:rsidRPr="00F21601" w:rsidSect="002119F3">
      <w:footerReference w:type="default" r:id="rId18"/>
      <w:pgSz w:w="11906" w:h="16838"/>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B08E" w14:textId="77777777" w:rsidR="00C46A1E" w:rsidRDefault="00C46A1E">
      <w:pPr>
        <w:spacing w:after="0" w:line="240" w:lineRule="auto"/>
      </w:pPr>
      <w:r>
        <w:separator/>
      </w:r>
    </w:p>
  </w:endnote>
  <w:endnote w:type="continuationSeparator" w:id="0">
    <w:p w14:paraId="1A7C9BA9" w14:textId="77777777" w:rsidR="00C46A1E" w:rsidRDefault="00C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CCFI B+ Adv Bbask">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BEBOD K+ Adv Bbas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77D3" w14:textId="77777777" w:rsidR="00A707CF" w:rsidRDefault="0055054A">
    <w:pPr>
      <w:pBdr>
        <w:top w:val="nil"/>
        <w:left w:val="nil"/>
        <w:bottom w:val="nil"/>
        <w:right w:val="nil"/>
        <w:between w:val="nil"/>
      </w:pBdr>
      <w:tabs>
        <w:tab w:val="center" w:pos="4513"/>
        <w:tab w:val="right" w:pos="9026"/>
      </w:tabs>
      <w:spacing w:after="0"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25892">
      <w:rPr>
        <w:noProof/>
        <w:color w:val="000000"/>
        <w:sz w:val="22"/>
        <w:szCs w:val="22"/>
      </w:rPr>
      <w:t>1</w:t>
    </w:r>
    <w:r>
      <w:rPr>
        <w:color w:val="000000"/>
        <w:sz w:val="22"/>
        <w:szCs w:val="22"/>
      </w:rPr>
      <w:fldChar w:fldCharType="end"/>
    </w:r>
  </w:p>
  <w:p w14:paraId="64ADBEA7" w14:textId="77777777" w:rsidR="00A707CF" w:rsidRDefault="00A707CF">
    <w:pPr>
      <w:pBdr>
        <w:top w:val="nil"/>
        <w:left w:val="nil"/>
        <w:bottom w:val="nil"/>
        <w:right w:val="nil"/>
        <w:between w:val="nil"/>
      </w:pBdr>
      <w:tabs>
        <w:tab w:val="center" w:pos="4513"/>
        <w:tab w:val="right" w:pos="9026"/>
      </w:tabs>
      <w:spacing w:after="0" w:line="240"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1797" w14:textId="77777777" w:rsidR="00A74F6E" w:rsidRDefault="00A74F6E">
    <w:pPr>
      <w:pBdr>
        <w:top w:val="nil"/>
        <w:left w:val="nil"/>
        <w:bottom w:val="nil"/>
        <w:right w:val="nil"/>
        <w:between w:val="nil"/>
      </w:pBdr>
      <w:tabs>
        <w:tab w:val="center" w:pos="4513"/>
        <w:tab w:val="right" w:pos="9026"/>
      </w:tabs>
      <w:spacing w:after="0"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p w14:paraId="58D0B998" w14:textId="77777777" w:rsidR="00A74F6E" w:rsidRDefault="00A74F6E">
    <w:pPr>
      <w:pBdr>
        <w:top w:val="nil"/>
        <w:left w:val="nil"/>
        <w:bottom w:val="nil"/>
        <w:right w:val="nil"/>
        <w:between w:val="nil"/>
      </w:pBdr>
      <w:tabs>
        <w:tab w:val="center" w:pos="4513"/>
        <w:tab w:val="right" w:pos="9026"/>
      </w:tabs>
      <w:spacing w:after="0" w:line="240"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6D7F" w14:textId="7415E171" w:rsidR="00A707CF" w:rsidRDefault="0055054A">
    <w:pPr>
      <w:pBdr>
        <w:top w:val="nil"/>
        <w:left w:val="nil"/>
        <w:bottom w:val="nil"/>
        <w:right w:val="nil"/>
        <w:between w:val="nil"/>
      </w:pBdr>
      <w:tabs>
        <w:tab w:val="center" w:pos="4513"/>
        <w:tab w:val="right" w:pos="9026"/>
      </w:tabs>
      <w:spacing w:after="0"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25892">
      <w:rPr>
        <w:noProof/>
        <w:color w:val="000000"/>
        <w:sz w:val="22"/>
        <w:szCs w:val="22"/>
      </w:rPr>
      <w:t>43</w:t>
    </w:r>
    <w:r>
      <w:rPr>
        <w:color w:val="000000"/>
        <w:sz w:val="22"/>
        <w:szCs w:val="22"/>
      </w:rPr>
      <w:fldChar w:fldCharType="end"/>
    </w:r>
  </w:p>
  <w:p w14:paraId="74C266F8" w14:textId="77777777" w:rsidR="00A707CF" w:rsidRDefault="00A707CF">
    <w:pPr>
      <w:pBdr>
        <w:top w:val="nil"/>
        <w:left w:val="nil"/>
        <w:bottom w:val="nil"/>
        <w:right w:val="nil"/>
        <w:between w:val="nil"/>
      </w:pBdr>
      <w:tabs>
        <w:tab w:val="center" w:pos="4513"/>
        <w:tab w:val="right" w:pos="9026"/>
      </w:tabs>
      <w:spacing w:after="0"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9471" w14:textId="77777777" w:rsidR="00C46A1E" w:rsidRDefault="00C46A1E">
      <w:pPr>
        <w:spacing w:after="0" w:line="240" w:lineRule="auto"/>
      </w:pPr>
      <w:r>
        <w:separator/>
      </w:r>
    </w:p>
  </w:footnote>
  <w:footnote w:type="continuationSeparator" w:id="0">
    <w:p w14:paraId="174FC9F6" w14:textId="77777777" w:rsidR="00C46A1E" w:rsidRDefault="00C46A1E">
      <w:pPr>
        <w:spacing w:after="0" w:line="240" w:lineRule="auto"/>
      </w:pPr>
      <w:r>
        <w:continuationSeparator/>
      </w:r>
    </w:p>
  </w:footnote>
  <w:footnote w:id="1">
    <w:p w14:paraId="31862C37" w14:textId="77777777" w:rsidR="00A707CF" w:rsidRDefault="0055054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We calculate this from data provided in Table 2 of Floyd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(2015).</w:t>
      </w:r>
    </w:p>
  </w:footnote>
  <w:footnote w:id="2">
    <w:p w14:paraId="567AC095" w14:textId="77777777" w:rsidR="006563CC" w:rsidRDefault="006563CC" w:rsidP="006563CC">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Style w:val="FootnoteReference"/>
        </w:rPr>
        <w:footnoteRef/>
      </w:r>
      <w:r>
        <w:rPr>
          <w:rFonts w:ascii="Bookman Old Style" w:eastAsia="Bookman Old Style" w:hAnsi="Bookman Old Style" w:cs="Bookman Old Style"/>
          <w:color w:val="000000"/>
          <w:sz w:val="20"/>
          <w:szCs w:val="20"/>
        </w:rPr>
        <w:t xml:space="preserve"> </w:t>
      </w:r>
      <w:r>
        <w:rPr>
          <w:rFonts w:ascii="Times New Roman" w:eastAsia="Times New Roman" w:hAnsi="Times New Roman" w:cs="Times New Roman"/>
          <w:color w:val="000000"/>
          <w:sz w:val="20"/>
          <w:szCs w:val="20"/>
        </w:rPr>
        <w:t>Here ‘qualifying’ refers to a stock being listed on at least one of: (1) the Official List; (2) AIM; (3) an official European Economic Area market; or (4) any other regulated market.</w:t>
      </w:r>
    </w:p>
  </w:footnote>
  <w:footnote w:id="3">
    <w:p w14:paraId="5847EEA2" w14:textId="77777777" w:rsidR="00A707CF" w:rsidRDefault="0055054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Renneboog and Trojanowski (2011) have one year (2004) of post-reform data.</w:t>
      </w:r>
    </w:p>
  </w:footnote>
  <w:footnote w:id="4">
    <w:p w14:paraId="5A9A98CA" w14:textId="77777777" w:rsidR="00A707CF" w:rsidRDefault="0055054A">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Style w:val="FootnoteReference"/>
        </w:rPr>
        <w:footnoteRef/>
      </w:r>
      <w:r>
        <w:rPr>
          <w:rFonts w:ascii="Bookman Old Style" w:eastAsia="Bookman Old Style" w:hAnsi="Bookman Old Style" w:cs="Bookman Old Style"/>
          <w:color w:val="000000"/>
          <w:sz w:val="20"/>
          <w:szCs w:val="20"/>
        </w:rPr>
        <w:t xml:space="preserve"> </w:t>
      </w:r>
      <w:r>
        <w:rPr>
          <w:rFonts w:ascii="Times New Roman" w:eastAsia="Times New Roman" w:hAnsi="Times New Roman" w:cs="Times New Roman"/>
          <w:color w:val="000000"/>
          <w:sz w:val="20"/>
          <w:szCs w:val="20"/>
        </w:rPr>
        <w:t xml:space="preserve">To be categorised as institutional investors, the investor will be one of the following type, Bank and Trust, Endowment Fund, Foundation, Hedge Fund, Investment Advisor, Insurance Company, Pension Fund, Private Equity, Venture Capital, Sovereign Wealth Fund, Brokerage Firms, Research Firm, Independent Research Firm, Mutual Fund, Hedge Fund Portfolio, Pension Fund Portfolio or </w:t>
      </w:r>
      <w:r>
        <w:rPr>
          <w:rFonts w:ascii="Times New Roman" w:eastAsia="Times New Roman" w:hAnsi="Times New Roman" w:cs="Times New Roman"/>
          <w:color w:val="000000"/>
          <w:sz w:val="20"/>
          <w:szCs w:val="20"/>
        </w:rPr>
        <w:tab/>
        <w:t>Institution.</w:t>
      </w:r>
    </w:p>
  </w:footnote>
  <w:footnote w:id="5">
    <w:p w14:paraId="77E45259" w14:textId="77777777" w:rsidR="00A707CF" w:rsidRDefault="0055054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We repeat our main tests after excluding loss-making firm years as part of our additional analyses in S.6.</w:t>
      </w:r>
    </w:p>
  </w:footnote>
  <w:footnote w:id="6">
    <w:p w14:paraId="6BF38AB0" w14:textId="77777777" w:rsidR="009968A7" w:rsidRDefault="009968A7" w:rsidP="009968A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We do not winsorise bounded variables such as </w:t>
      </w:r>
      <w:r>
        <w:rPr>
          <w:rFonts w:ascii="Times New Roman" w:eastAsia="Times New Roman" w:hAnsi="Times New Roman" w:cs="Times New Roman"/>
          <w:i/>
          <w:color w:val="000000"/>
          <w:sz w:val="20"/>
          <w:szCs w:val="20"/>
        </w:rPr>
        <w:t>PROPNED.</w:t>
      </w:r>
    </w:p>
  </w:footnote>
  <w:footnote w:id="7">
    <w:p w14:paraId="11EA294C" w14:textId="77777777" w:rsidR="007F34F4" w:rsidRDefault="007F34F4" w:rsidP="007F34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comparison, Skinner (2008) reports the speed of adjustment coefficient in the same model as being 0.18 (time period: 1980-1994) or 0.29 (time period: 1995-2005) in the US. In Germany, Andres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(2015) report a speed of adjustment of 0.198 in their OLS model of dividends only.</w:t>
      </w:r>
    </w:p>
  </w:footnote>
  <w:footnote w:id="8">
    <w:p w14:paraId="4B64FA67" w14:textId="77777777" w:rsidR="00A707CF" w:rsidRDefault="0055054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comparison, Skinner (2008) reports speed of adjustment coefficients for total payouts of 0.4 (1980-1994) and 0.55 (1995-2005). For German data, Andres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(2015) report a coefficient of 0.453.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37872"/>
    <w:multiLevelType w:val="hybridMultilevel"/>
    <w:tmpl w:val="51F24154"/>
    <w:lvl w:ilvl="0" w:tplc="A2C6FE38">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 w15:restartNumberingAfterBreak="0">
    <w:nsid w:val="61942520"/>
    <w:multiLevelType w:val="hybridMultilevel"/>
    <w:tmpl w:val="7870E6E4"/>
    <w:lvl w:ilvl="0" w:tplc="0809001B">
      <w:start w:val="1"/>
      <w:numFmt w:val="lowerRoman"/>
      <w:lvlText w:val="%1."/>
      <w:lvlJc w:val="righ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CF"/>
    <w:rsid w:val="000021D3"/>
    <w:rsid w:val="00007315"/>
    <w:rsid w:val="00012181"/>
    <w:rsid w:val="00024649"/>
    <w:rsid w:val="00061C7D"/>
    <w:rsid w:val="0006395B"/>
    <w:rsid w:val="000639E8"/>
    <w:rsid w:val="00065AC7"/>
    <w:rsid w:val="00073336"/>
    <w:rsid w:val="00076FA2"/>
    <w:rsid w:val="000776AD"/>
    <w:rsid w:val="000B4AAF"/>
    <w:rsid w:val="000B7796"/>
    <w:rsid w:val="000D779E"/>
    <w:rsid w:val="000E7493"/>
    <w:rsid w:val="00102310"/>
    <w:rsid w:val="00111C7D"/>
    <w:rsid w:val="001144F9"/>
    <w:rsid w:val="001526E6"/>
    <w:rsid w:val="00157B00"/>
    <w:rsid w:val="00184CB6"/>
    <w:rsid w:val="00185DF6"/>
    <w:rsid w:val="00187E32"/>
    <w:rsid w:val="0019262C"/>
    <w:rsid w:val="00194E3B"/>
    <w:rsid w:val="001B2DD4"/>
    <w:rsid w:val="001C1252"/>
    <w:rsid w:val="001E2900"/>
    <w:rsid w:val="001E7CB1"/>
    <w:rsid w:val="001F1A6B"/>
    <w:rsid w:val="00206FBF"/>
    <w:rsid w:val="002119F3"/>
    <w:rsid w:val="00213A98"/>
    <w:rsid w:val="00222386"/>
    <w:rsid w:val="00225892"/>
    <w:rsid w:val="0023367C"/>
    <w:rsid w:val="00241ABD"/>
    <w:rsid w:val="0024656A"/>
    <w:rsid w:val="00264EB4"/>
    <w:rsid w:val="002652E0"/>
    <w:rsid w:val="002700DD"/>
    <w:rsid w:val="0028005D"/>
    <w:rsid w:val="00286706"/>
    <w:rsid w:val="002C3537"/>
    <w:rsid w:val="002E0E3B"/>
    <w:rsid w:val="002F1EA4"/>
    <w:rsid w:val="003174A5"/>
    <w:rsid w:val="0034681B"/>
    <w:rsid w:val="003866B8"/>
    <w:rsid w:val="0038727E"/>
    <w:rsid w:val="003A1402"/>
    <w:rsid w:val="003A15F5"/>
    <w:rsid w:val="003C0A89"/>
    <w:rsid w:val="003C2F2B"/>
    <w:rsid w:val="003D0FE7"/>
    <w:rsid w:val="003D6C3B"/>
    <w:rsid w:val="003E22E5"/>
    <w:rsid w:val="003F585F"/>
    <w:rsid w:val="00415DF1"/>
    <w:rsid w:val="00417707"/>
    <w:rsid w:val="004303CD"/>
    <w:rsid w:val="00432B0B"/>
    <w:rsid w:val="00437A34"/>
    <w:rsid w:val="00440B89"/>
    <w:rsid w:val="0046094E"/>
    <w:rsid w:val="004A1123"/>
    <w:rsid w:val="004A21DD"/>
    <w:rsid w:val="004D3BB4"/>
    <w:rsid w:val="004D6E6E"/>
    <w:rsid w:val="004E0FD6"/>
    <w:rsid w:val="004F1B2B"/>
    <w:rsid w:val="00500255"/>
    <w:rsid w:val="00501D9C"/>
    <w:rsid w:val="00512ED7"/>
    <w:rsid w:val="005178B2"/>
    <w:rsid w:val="005209E0"/>
    <w:rsid w:val="005454D2"/>
    <w:rsid w:val="0055054A"/>
    <w:rsid w:val="0055612F"/>
    <w:rsid w:val="00562B77"/>
    <w:rsid w:val="00565BC7"/>
    <w:rsid w:val="0057656D"/>
    <w:rsid w:val="005A3A16"/>
    <w:rsid w:val="005B2D93"/>
    <w:rsid w:val="005D5DC0"/>
    <w:rsid w:val="005E0062"/>
    <w:rsid w:val="005E13A5"/>
    <w:rsid w:val="005E3840"/>
    <w:rsid w:val="005F1A30"/>
    <w:rsid w:val="00616566"/>
    <w:rsid w:val="00617FFA"/>
    <w:rsid w:val="006446F8"/>
    <w:rsid w:val="00647D7A"/>
    <w:rsid w:val="00647E06"/>
    <w:rsid w:val="0065236D"/>
    <w:rsid w:val="006563CC"/>
    <w:rsid w:val="00674A09"/>
    <w:rsid w:val="00693392"/>
    <w:rsid w:val="00694AE9"/>
    <w:rsid w:val="006A047B"/>
    <w:rsid w:val="006A5782"/>
    <w:rsid w:val="006B6565"/>
    <w:rsid w:val="006C746D"/>
    <w:rsid w:val="006C7D73"/>
    <w:rsid w:val="006C7DD7"/>
    <w:rsid w:val="006F5E23"/>
    <w:rsid w:val="00703244"/>
    <w:rsid w:val="00724875"/>
    <w:rsid w:val="00727BF8"/>
    <w:rsid w:val="007305EB"/>
    <w:rsid w:val="00734086"/>
    <w:rsid w:val="0073656D"/>
    <w:rsid w:val="00745BD2"/>
    <w:rsid w:val="0074611D"/>
    <w:rsid w:val="00750807"/>
    <w:rsid w:val="007511F8"/>
    <w:rsid w:val="0077762C"/>
    <w:rsid w:val="00786F31"/>
    <w:rsid w:val="007B41D0"/>
    <w:rsid w:val="007C2FA7"/>
    <w:rsid w:val="007C720E"/>
    <w:rsid w:val="007C76F4"/>
    <w:rsid w:val="007D00C1"/>
    <w:rsid w:val="007D3A07"/>
    <w:rsid w:val="007E2307"/>
    <w:rsid w:val="007E6386"/>
    <w:rsid w:val="007F34F4"/>
    <w:rsid w:val="00820A5F"/>
    <w:rsid w:val="00820D60"/>
    <w:rsid w:val="008442A8"/>
    <w:rsid w:val="008514FE"/>
    <w:rsid w:val="00855542"/>
    <w:rsid w:val="00871D71"/>
    <w:rsid w:val="008A0A45"/>
    <w:rsid w:val="008A2DA4"/>
    <w:rsid w:val="008C17F9"/>
    <w:rsid w:val="009126B8"/>
    <w:rsid w:val="00914BF0"/>
    <w:rsid w:val="009219B4"/>
    <w:rsid w:val="00923D99"/>
    <w:rsid w:val="009255DC"/>
    <w:rsid w:val="009563BB"/>
    <w:rsid w:val="00971E95"/>
    <w:rsid w:val="0098781D"/>
    <w:rsid w:val="009968A7"/>
    <w:rsid w:val="009A2277"/>
    <w:rsid w:val="009A76EA"/>
    <w:rsid w:val="009B5975"/>
    <w:rsid w:val="009C4FA2"/>
    <w:rsid w:val="009D5BDF"/>
    <w:rsid w:val="009E4521"/>
    <w:rsid w:val="009F25AB"/>
    <w:rsid w:val="009F4322"/>
    <w:rsid w:val="00A11F99"/>
    <w:rsid w:val="00A140FB"/>
    <w:rsid w:val="00A273D1"/>
    <w:rsid w:val="00A3134F"/>
    <w:rsid w:val="00A613FF"/>
    <w:rsid w:val="00A707CF"/>
    <w:rsid w:val="00A74F6E"/>
    <w:rsid w:val="00A87375"/>
    <w:rsid w:val="00A90A8F"/>
    <w:rsid w:val="00A95265"/>
    <w:rsid w:val="00A97FDD"/>
    <w:rsid w:val="00AA2110"/>
    <w:rsid w:val="00AA3195"/>
    <w:rsid w:val="00AB59E0"/>
    <w:rsid w:val="00AB60B3"/>
    <w:rsid w:val="00AC1338"/>
    <w:rsid w:val="00AE3D61"/>
    <w:rsid w:val="00B02862"/>
    <w:rsid w:val="00B2299A"/>
    <w:rsid w:val="00B22C10"/>
    <w:rsid w:val="00B41F79"/>
    <w:rsid w:val="00B56719"/>
    <w:rsid w:val="00B71585"/>
    <w:rsid w:val="00B748AB"/>
    <w:rsid w:val="00B857A4"/>
    <w:rsid w:val="00B87D76"/>
    <w:rsid w:val="00B90C07"/>
    <w:rsid w:val="00BA6E51"/>
    <w:rsid w:val="00BA77C0"/>
    <w:rsid w:val="00BC1020"/>
    <w:rsid w:val="00BF6886"/>
    <w:rsid w:val="00C04F3E"/>
    <w:rsid w:val="00C31E20"/>
    <w:rsid w:val="00C463F8"/>
    <w:rsid w:val="00C46A1E"/>
    <w:rsid w:val="00C4751A"/>
    <w:rsid w:val="00C557A9"/>
    <w:rsid w:val="00C56544"/>
    <w:rsid w:val="00C57A17"/>
    <w:rsid w:val="00C57E6F"/>
    <w:rsid w:val="00C616FB"/>
    <w:rsid w:val="00C62AFE"/>
    <w:rsid w:val="00CA0445"/>
    <w:rsid w:val="00CA0C2D"/>
    <w:rsid w:val="00CA509F"/>
    <w:rsid w:val="00CB56C0"/>
    <w:rsid w:val="00CE20E6"/>
    <w:rsid w:val="00CE5AD1"/>
    <w:rsid w:val="00CF5020"/>
    <w:rsid w:val="00CF5B9F"/>
    <w:rsid w:val="00D06635"/>
    <w:rsid w:val="00D0729D"/>
    <w:rsid w:val="00D114B8"/>
    <w:rsid w:val="00D610F2"/>
    <w:rsid w:val="00D90226"/>
    <w:rsid w:val="00D91603"/>
    <w:rsid w:val="00DA338F"/>
    <w:rsid w:val="00DB0ED3"/>
    <w:rsid w:val="00DC20CC"/>
    <w:rsid w:val="00DC6198"/>
    <w:rsid w:val="00DD13DE"/>
    <w:rsid w:val="00DD183C"/>
    <w:rsid w:val="00DD4238"/>
    <w:rsid w:val="00DD6596"/>
    <w:rsid w:val="00DF0B36"/>
    <w:rsid w:val="00DF104E"/>
    <w:rsid w:val="00DF10C6"/>
    <w:rsid w:val="00E470A8"/>
    <w:rsid w:val="00E642F5"/>
    <w:rsid w:val="00E74AF0"/>
    <w:rsid w:val="00E7648B"/>
    <w:rsid w:val="00E87442"/>
    <w:rsid w:val="00E93484"/>
    <w:rsid w:val="00EB33AA"/>
    <w:rsid w:val="00EB34D3"/>
    <w:rsid w:val="00EC4FE6"/>
    <w:rsid w:val="00EC6537"/>
    <w:rsid w:val="00ED0E2E"/>
    <w:rsid w:val="00EF14E2"/>
    <w:rsid w:val="00EF1B1C"/>
    <w:rsid w:val="00F10BE1"/>
    <w:rsid w:val="00F179D1"/>
    <w:rsid w:val="00F21601"/>
    <w:rsid w:val="00F41209"/>
    <w:rsid w:val="00F9167D"/>
    <w:rsid w:val="00F93B08"/>
    <w:rsid w:val="00FB6D6A"/>
    <w:rsid w:val="00FC2427"/>
    <w:rsid w:val="00FC4137"/>
    <w:rsid w:val="00FD464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6FB2"/>
  <w15:docId w15:val="{9DDDF936-BAAF-45D0-A533-BE0BCC93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18"/>
  </w:style>
  <w:style w:type="paragraph" w:styleId="Heading1">
    <w:name w:val="heading 1"/>
    <w:basedOn w:val="Normal"/>
    <w:link w:val="Heading1Char"/>
    <w:uiPriority w:val="9"/>
    <w:qFormat/>
    <w:rsid w:val="00FC0B98"/>
    <w:pPr>
      <w:spacing w:before="120" w:after="210" w:line="240" w:lineRule="auto"/>
      <w:ind w:left="115" w:right="130"/>
      <w:outlineLvl w:val="0"/>
    </w:pPr>
    <w:rPr>
      <w:rFonts w:ascii="Arial" w:eastAsia="SimSun" w:hAnsi="Arial" w:cs="Arial"/>
      <w:b/>
      <w:bCs/>
      <w:color w:val="000080"/>
      <w:kern w:val="36"/>
      <w:sz w:val="28"/>
      <w:szCs w:val="28"/>
      <w:lang w:eastAsia="zh-CN"/>
    </w:rPr>
  </w:style>
  <w:style w:type="paragraph" w:styleId="Heading2">
    <w:name w:val="heading 2"/>
    <w:basedOn w:val="Normal"/>
    <w:next w:val="Normal"/>
    <w:link w:val="Heading2Char"/>
    <w:uiPriority w:val="9"/>
    <w:semiHidden/>
    <w:unhideWhenUsed/>
    <w:qFormat/>
    <w:rsid w:val="00FF4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7A3D"/>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C0B98"/>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C0B98"/>
    <w:rPr>
      <w:rFonts w:ascii="Arial" w:eastAsia="SimSun" w:hAnsi="Arial" w:cs="Arial"/>
      <w:b/>
      <w:bCs/>
      <w:color w:val="000080"/>
      <w:kern w:val="36"/>
      <w:sz w:val="28"/>
      <w:szCs w:val="28"/>
      <w:lang w:eastAsia="zh-CN"/>
    </w:rPr>
  </w:style>
  <w:style w:type="character" w:styleId="CommentReference">
    <w:name w:val="annotation reference"/>
    <w:basedOn w:val="DefaultParagraphFont"/>
    <w:uiPriority w:val="99"/>
    <w:semiHidden/>
    <w:unhideWhenUsed/>
    <w:rsid w:val="00DC4018"/>
    <w:rPr>
      <w:sz w:val="16"/>
      <w:szCs w:val="16"/>
    </w:rPr>
  </w:style>
  <w:style w:type="paragraph" w:styleId="CommentText">
    <w:name w:val="annotation text"/>
    <w:basedOn w:val="Normal"/>
    <w:link w:val="CommentTextChar"/>
    <w:uiPriority w:val="99"/>
    <w:semiHidden/>
    <w:unhideWhenUsed/>
    <w:rsid w:val="00DC4018"/>
    <w:pPr>
      <w:spacing w:line="240" w:lineRule="auto"/>
    </w:pPr>
    <w:rPr>
      <w:sz w:val="20"/>
      <w:szCs w:val="20"/>
    </w:rPr>
  </w:style>
  <w:style w:type="character" w:customStyle="1" w:styleId="CommentTextChar">
    <w:name w:val="Comment Text Char"/>
    <w:basedOn w:val="DefaultParagraphFont"/>
    <w:link w:val="CommentText"/>
    <w:uiPriority w:val="99"/>
    <w:semiHidden/>
    <w:rsid w:val="00DC4018"/>
    <w:rPr>
      <w:sz w:val="20"/>
      <w:szCs w:val="20"/>
    </w:rPr>
  </w:style>
  <w:style w:type="paragraph" w:styleId="FootnoteText">
    <w:name w:val="footnote text"/>
    <w:basedOn w:val="Normal"/>
    <w:link w:val="FootnoteTextChar"/>
    <w:unhideWhenUsed/>
    <w:rsid w:val="00DC4018"/>
    <w:pPr>
      <w:spacing w:after="0" w:line="240" w:lineRule="auto"/>
    </w:pPr>
    <w:rPr>
      <w:rFonts w:ascii="Bookman Old Style" w:hAnsi="Bookman Old Style"/>
      <w:sz w:val="20"/>
      <w:szCs w:val="20"/>
    </w:rPr>
  </w:style>
  <w:style w:type="character" w:customStyle="1" w:styleId="FootnoteTextChar">
    <w:name w:val="Footnote Text Char"/>
    <w:basedOn w:val="DefaultParagraphFont"/>
    <w:link w:val="FootnoteText"/>
    <w:rsid w:val="00DC4018"/>
    <w:rPr>
      <w:rFonts w:ascii="Bookman Old Style" w:hAnsi="Bookman Old Style"/>
      <w:sz w:val="20"/>
      <w:szCs w:val="20"/>
    </w:rPr>
  </w:style>
  <w:style w:type="character" w:styleId="FootnoteReference">
    <w:name w:val="footnote reference"/>
    <w:basedOn w:val="DefaultParagraphFont"/>
    <w:semiHidden/>
    <w:unhideWhenUsed/>
    <w:rsid w:val="00DC4018"/>
    <w:rPr>
      <w:vertAlign w:val="superscript"/>
    </w:rPr>
  </w:style>
  <w:style w:type="paragraph" w:customStyle="1" w:styleId="itemdesc">
    <w:name w:val="itemdesc"/>
    <w:basedOn w:val="Normal"/>
    <w:rsid w:val="00DC4018"/>
    <w:pPr>
      <w:spacing w:before="15" w:after="100" w:line="240" w:lineRule="auto"/>
      <w:ind w:left="113" w:right="130"/>
    </w:pPr>
    <w:rPr>
      <w:rFonts w:ascii="Arial" w:eastAsia="SimSun" w:hAnsi="Arial" w:cs="Arial"/>
      <w:sz w:val="16"/>
      <w:szCs w:val="16"/>
      <w:lang w:eastAsia="zh-CN"/>
    </w:rPr>
  </w:style>
  <w:style w:type="table" w:styleId="TableGrid">
    <w:name w:val="Table Grid"/>
    <w:basedOn w:val="TableNormal"/>
    <w:uiPriority w:val="39"/>
    <w:rsid w:val="00DC401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18"/>
    <w:rPr>
      <w:rFonts w:ascii="Segoe UI" w:hAnsi="Segoe UI" w:cs="Segoe UI"/>
      <w:sz w:val="18"/>
      <w:szCs w:val="18"/>
    </w:rPr>
  </w:style>
  <w:style w:type="character" w:customStyle="1" w:styleId="font241">
    <w:name w:val="font241"/>
    <w:basedOn w:val="DefaultParagraphFont"/>
    <w:rsid w:val="00BA13AE"/>
    <w:rPr>
      <w:rFonts w:ascii="Calibri" w:hAnsi="Calibri" w:cs="Calibri" w:hint="default"/>
      <w:b/>
      <w:bCs/>
      <w:i w:val="0"/>
      <w:iCs w:val="0"/>
      <w:strike w:val="0"/>
      <w:dstrike w:val="0"/>
      <w:color w:val="000000"/>
      <w:sz w:val="20"/>
      <w:szCs w:val="20"/>
      <w:u w:val="none"/>
      <w:effect w:val="none"/>
    </w:rPr>
  </w:style>
  <w:style w:type="character" w:customStyle="1" w:styleId="Heading4Char">
    <w:name w:val="Heading 4 Char"/>
    <w:basedOn w:val="DefaultParagraphFont"/>
    <w:link w:val="Heading4"/>
    <w:uiPriority w:val="9"/>
    <w:semiHidden/>
    <w:rsid w:val="00FC0B98"/>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FC0B98"/>
    <w:pPr>
      <w:spacing w:after="200" w:line="276" w:lineRule="auto"/>
      <w:ind w:left="720"/>
      <w:contextualSpacing/>
    </w:pPr>
    <w:rPr>
      <w:rFonts w:asciiTheme="minorHAnsi" w:eastAsiaTheme="minorEastAsia" w:hAnsiTheme="minorHAnsi"/>
      <w:sz w:val="22"/>
    </w:rPr>
  </w:style>
  <w:style w:type="paragraph" w:styleId="BodyText">
    <w:name w:val="Body Text"/>
    <w:basedOn w:val="Normal"/>
    <w:link w:val="BodyTextChar"/>
    <w:rsid w:val="00FC0B98"/>
    <w:pPr>
      <w:widowControl w:val="0"/>
      <w:spacing w:after="0" w:line="240" w:lineRule="auto"/>
      <w:jc w:val="both"/>
    </w:pPr>
    <w:rPr>
      <w:rFonts w:ascii="Times New Roman" w:eastAsia="SimSun" w:hAnsi="Times New Roman" w:cs="Times New Roman"/>
      <w:color w:val="000000"/>
      <w:kern w:val="2"/>
      <w:lang w:eastAsia="zh-CN"/>
    </w:rPr>
  </w:style>
  <w:style w:type="character" w:customStyle="1" w:styleId="BodyTextChar">
    <w:name w:val="Body Text Char"/>
    <w:basedOn w:val="DefaultParagraphFont"/>
    <w:link w:val="BodyText"/>
    <w:rsid w:val="00FC0B98"/>
    <w:rPr>
      <w:rFonts w:ascii="Times New Roman" w:eastAsia="SimSun" w:hAnsi="Times New Roman" w:cs="Times New Roman"/>
      <w:color w:val="000000"/>
      <w:kern w:val="2"/>
      <w:szCs w:val="24"/>
      <w:lang w:eastAsia="zh-CN"/>
    </w:rPr>
  </w:style>
  <w:style w:type="paragraph" w:customStyle="1" w:styleId="text">
    <w:name w:val="text"/>
    <w:aliases w:val="t"/>
    <w:basedOn w:val="Normal"/>
    <w:rsid w:val="00FC0B98"/>
    <w:pPr>
      <w:overflowPunct w:val="0"/>
      <w:autoSpaceDE w:val="0"/>
      <w:autoSpaceDN w:val="0"/>
      <w:adjustRightInd w:val="0"/>
      <w:spacing w:after="0" w:line="480" w:lineRule="atLeast"/>
      <w:ind w:firstLine="720"/>
      <w:jc w:val="both"/>
      <w:textAlignment w:val="baseline"/>
    </w:pPr>
    <w:rPr>
      <w:rFonts w:ascii="Times" w:eastAsia="SimSun" w:hAnsi="Times" w:cs="Times New Roman"/>
      <w:szCs w:val="20"/>
      <w:lang w:val="en-US"/>
    </w:rPr>
  </w:style>
  <w:style w:type="paragraph" w:styleId="Header">
    <w:name w:val="header"/>
    <w:basedOn w:val="Normal"/>
    <w:link w:val="HeaderChar"/>
    <w:uiPriority w:val="99"/>
    <w:unhideWhenUsed/>
    <w:rsid w:val="00FC0B98"/>
    <w:pPr>
      <w:tabs>
        <w:tab w:val="center" w:pos="4513"/>
        <w:tab w:val="right" w:pos="9026"/>
      </w:tabs>
      <w:spacing w:after="0" w:line="240" w:lineRule="auto"/>
    </w:pPr>
    <w:rPr>
      <w:rFonts w:eastAsiaTheme="minorEastAsia"/>
      <w:sz w:val="22"/>
    </w:rPr>
  </w:style>
  <w:style w:type="character" w:customStyle="1" w:styleId="HeaderChar">
    <w:name w:val="Header Char"/>
    <w:basedOn w:val="DefaultParagraphFont"/>
    <w:link w:val="Header"/>
    <w:uiPriority w:val="99"/>
    <w:rsid w:val="00FC0B98"/>
    <w:rPr>
      <w:rFonts w:eastAsiaTheme="minorEastAsia"/>
      <w:sz w:val="22"/>
      <w:lang w:eastAsia="en-GB"/>
    </w:rPr>
  </w:style>
  <w:style w:type="paragraph" w:styleId="Footer">
    <w:name w:val="footer"/>
    <w:basedOn w:val="Normal"/>
    <w:link w:val="FooterChar"/>
    <w:uiPriority w:val="99"/>
    <w:unhideWhenUsed/>
    <w:rsid w:val="00FC0B98"/>
    <w:pPr>
      <w:tabs>
        <w:tab w:val="center" w:pos="4513"/>
        <w:tab w:val="right" w:pos="9026"/>
      </w:tabs>
      <w:spacing w:after="0" w:line="240" w:lineRule="auto"/>
    </w:pPr>
    <w:rPr>
      <w:rFonts w:eastAsiaTheme="minorEastAsia"/>
      <w:sz w:val="22"/>
    </w:rPr>
  </w:style>
  <w:style w:type="character" w:customStyle="1" w:styleId="FooterChar">
    <w:name w:val="Footer Char"/>
    <w:basedOn w:val="DefaultParagraphFont"/>
    <w:link w:val="Footer"/>
    <w:uiPriority w:val="99"/>
    <w:rsid w:val="00FC0B98"/>
    <w:rPr>
      <w:rFonts w:eastAsiaTheme="minorEastAsia"/>
      <w:sz w:val="22"/>
      <w:lang w:eastAsia="en-GB"/>
    </w:rPr>
  </w:style>
  <w:style w:type="paragraph" w:customStyle="1" w:styleId="CM22">
    <w:name w:val="CM22"/>
    <w:basedOn w:val="Normal"/>
    <w:next w:val="Normal"/>
    <w:rsid w:val="00FC0B98"/>
    <w:pPr>
      <w:widowControl w:val="0"/>
      <w:autoSpaceDE w:val="0"/>
      <w:autoSpaceDN w:val="0"/>
      <w:adjustRightInd w:val="0"/>
      <w:spacing w:after="0" w:line="200" w:lineRule="atLeast"/>
    </w:pPr>
    <w:rPr>
      <w:rFonts w:ascii="CCCFI B+ Adv Bbask" w:eastAsia="Times New Roman" w:hAnsi="CCCFI B+ Adv Bbask" w:cs="Cordia New"/>
      <w:lang w:val="en-US" w:bidi="th-TH"/>
    </w:rPr>
  </w:style>
  <w:style w:type="paragraph" w:customStyle="1" w:styleId="Default">
    <w:name w:val="Default"/>
    <w:rsid w:val="00FC0B98"/>
    <w:pPr>
      <w:widowControl w:val="0"/>
      <w:autoSpaceDE w:val="0"/>
      <w:autoSpaceDN w:val="0"/>
      <w:adjustRightInd w:val="0"/>
      <w:spacing w:after="0" w:line="240" w:lineRule="auto"/>
    </w:pPr>
    <w:rPr>
      <w:rFonts w:ascii="Times" w:eastAsia="Times New Roman" w:hAnsi="Times" w:cs="Times"/>
      <w:color w:val="000000"/>
      <w:lang w:val="en-US" w:bidi="th-TH"/>
    </w:rPr>
  </w:style>
  <w:style w:type="paragraph" w:customStyle="1" w:styleId="CM21">
    <w:name w:val="CM21"/>
    <w:basedOn w:val="Default"/>
    <w:next w:val="Default"/>
    <w:rsid w:val="00FC0B98"/>
    <w:pPr>
      <w:spacing w:line="200" w:lineRule="atLeast"/>
    </w:pPr>
    <w:rPr>
      <w:rFonts w:ascii="BEBOD K+ Adv Bbask" w:hAnsi="BEBOD K+ Adv Bbask" w:cs="Cordia New"/>
      <w:color w:val="auto"/>
    </w:rPr>
  </w:style>
  <w:style w:type="character" w:customStyle="1" w:styleId="CommentSubjectChar">
    <w:name w:val="Comment Subject Char"/>
    <w:basedOn w:val="CommentTextChar"/>
    <w:link w:val="CommentSubject"/>
    <w:uiPriority w:val="99"/>
    <w:semiHidden/>
    <w:rsid w:val="00FC0B98"/>
    <w:rPr>
      <w:b/>
      <w:bCs/>
      <w:sz w:val="20"/>
      <w:szCs w:val="20"/>
    </w:rPr>
  </w:style>
  <w:style w:type="paragraph" w:styleId="CommentSubject">
    <w:name w:val="annotation subject"/>
    <w:basedOn w:val="CommentText"/>
    <w:next w:val="CommentText"/>
    <w:link w:val="CommentSubjectChar"/>
    <w:uiPriority w:val="99"/>
    <w:semiHidden/>
    <w:unhideWhenUsed/>
    <w:rsid w:val="00FC0B98"/>
    <w:pPr>
      <w:spacing w:after="200"/>
    </w:pPr>
    <w:rPr>
      <w:b/>
      <w:bCs/>
    </w:rPr>
  </w:style>
  <w:style w:type="character" w:customStyle="1" w:styleId="CommentSubjectChar1">
    <w:name w:val="Comment Subject Char1"/>
    <w:basedOn w:val="CommentTextChar"/>
    <w:uiPriority w:val="99"/>
    <w:semiHidden/>
    <w:rsid w:val="00FC0B98"/>
    <w:rPr>
      <w:b/>
      <w:bCs/>
      <w:sz w:val="20"/>
      <w:szCs w:val="20"/>
    </w:rPr>
  </w:style>
  <w:style w:type="paragraph" w:customStyle="1" w:styleId="MTDisplayEquation">
    <w:name w:val="MTDisplayEquation"/>
    <w:basedOn w:val="Normal"/>
    <w:next w:val="Normal"/>
    <w:link w:val="MTDisplayEquationChar"/>
    <w:rsid w:val="00FC0B98"/>
    <w:pPr>
      <w:tabs>
        <w:tab w:val="center" w:pos="4520"/>
        <w:tab w:val="right" w:pos="9020"/>
      </w:tabs>
      <w:spacing w:after="200" w:line="276" w:lineRule="auto"/>
    </w:pPr>
    <w:rPr>
      <w:rFonts w:asciiTheme="minorHAnsi" w:hAnsiTheme="minorHAnsi"/>
      <w:sz w:val="22"/>
    </w:rPr>
  </w:style>
  <w:style w:type="character" w:customStyle="1" w:styleId="MTDisplayEquationChar">
    <w:name w:val="MTDisplayEquation Char"/>
    <w:basedOn w:val="DefaultParagraphFont"/>
    <w:link w:val="MTDisplayEquation"/>
    <w:rsid w:val="00FC0B98"/>
    <w:rPr>
      <w:rFonts w:asciiTheme="minorHAnsi" w:hAnsiTheme="minorHAnsi"/>
      <w:sz w:val="22"/>
    </w:rPr>
  </w:style>
  <w:style w:type="character" w:customStyle="1" w:styleId="hlfld-title">
    <w:name w:val="hlfld-title"/>
    <w:basedOn w:val="DefaultParagraphFont"/>
    <w:rsid w:val="00FC0B98"/>
  </w:style>
  <w:style w:type="character" w:customStyle="1" w:styleId="publicationinfo">
    <w:name w:val="publicationinfo"/>
    <w:basedOn w:val="DefaultParagraphFont"/>
    <w:rsid w:val="00FC0B98"/>
  </w:style>
  <w:style w:type="character" w:customStyle="1" w:styleId="notrecommendedinfo">
    <w:name w:val="notrecommendedinfo"/>
    <w:basedOn w:val="DefaultParagraphFont"/>
    <w:rsid w:val="00FC0B98"/>
  </w:style>
  <w:style w:type="character" w:customStyle="1" w:styleId="hlfld-abstract">
    <w:name w:val="hlfld-abstract"/>
    <w:basedOn w:val="DefaultParagraphFont"/>
    <w:rsid w:val="00FC0B98"/>
  </w:style>
  <w:style w:type="paragraph" w:customStyle="1" w:styleId="msonormal0">
    <w:name w:val="msonormal"/>
    <w:basedOn w:val="Normal"/>
    <w:rsid w:val="00A83B4C"/>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A83B4C"/>
    <w:rPr>
      <w:color w:val="808080"/>
    </w:rPr>
  </w:style>
  <w:style w:type="paragraph" w:styleId="NoSpacing">
    <w:name w:val="No Spacing"/>
    <w:uiPriority w:val="1"/>
    <w:qFormat/>
    <w:rsid w:val="00933369"/>
    <w:pPr>
      <w:spacing w:after="0" w:line="240" w:lineRule="auto"/>
    </w:pPr>
  </w:style>
  <w:style w:type="table" w:styleId="TableGridLight">
    <w:name w:val="Grid Table Light"/>
    <w:basedOn w:val="TableNormal"/>
    <w:uiPriority w:val="40"/>
    <w:rsid w:val="009333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697A3D"/>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697A3D"/>
    <w:rPr>
      <w:color w:val="0000FF"/>
      <w:u w:val="single"/>
    </w:rPr>
  </w:style>
  <w:style w:type="character" w:customStyle="1" w:styleId="UnresolvedMention1">
    <w:name w:val="Unresolved Mention1"/>
    <w:basedOn w:val="DefaultParagraphFont"/>
    <w:uiPriority w:val="99"/>
    <w:semiHidden/>
    <w:unhideWhenUsed/>
    <w:rsid w:val="00D047AF"/>
    <w:rPr>
      <w:color w:val="605E5C"/>
      <w:shd w:val="clear" w:color="auto" w:fill="E1DFDD"/>
    </w:rPr>
  </w:style>
  <w:style w:type="character" w:customStyle="1" w:styleId="Heading2Char">
    <w:name w:val="Heading 2 Char"/>
    <w:basedOn w:val="DefaultParagraphFont"/>
    <w:link w:val="Heading2"/>
    <w:uiPriority w:val="9"/>
    <w:rsid w:val="00FF4BB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169A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pPr>
      <w:spacing w:after="0" w:line="240" w:lineRule="auto"/>
    </w:pPr>
    <w:rPr>
      <w:sz w:val="22"/>
      <w:szCs w:val="22"/>
    </w:rPr>
    <w:tblPr>
      <w:tblStyleRowBandSize w:val="1"/>
      <w:tblStyleColBandSize w:val="1"/>
    </w:tblPr>
  </w:style>
  <w:style w:type="table" w:customStyle="1" w:styleId="18">
    <w:name w:val="18"/>
    <w:basedOn w:val="TableNormal"/>
    <w:pPr>
      <w:spacing w:after="0" w:line="240" w:lineRule="auto"/>
    </w:pPr>
    <w:rPr>
      <w:sz w:val="22"/>
      <w:szCs w:val="22"/>
    </w:rPr>
    <w:tblPr>
      <w:tblStyleRowBandSize w:val="1"/>
      <w:tblStyleColBandSize w:val="1"/>
    </w:tblPr>
  </w:style>
  <w:style w:type="table" w:customStyle="1" w:styleId="17">
    <w:name w:val="17"/>
    <w:basedOn w:val="TableNormal"/>
    <w:pPr>
      <w:spacing w:after="0" w:line="240" w:lineRule="auto"/>
    </w:pPr>
    <w:rPr>
      <w:sz w:val="22"/>
      <w:szCs w:val="22"/>
    </w:rPr>
    <w:tblPr>
      <w:tblStyleRowBandSize w:val="1"/>
      <w:tblStyleColBandSize w:val="1"/>
    </w:tblPr>
  </w:style>
  <w:style w:type="table" w:customStyle="1" w:styleId="16">
    <w:name w:val="16"/>
    <w:basedOn w:val="TableNormal"/>
    <w:pPr>
      <w:spacing w:after="0" w:line="240" w:lineRule="auto"/>
    </w:pPr>
    <w:rPr>
      <w:sz w:val="22"/>
      <w:szCs w:val="22"/>
    </w:rPr>
    <w:tblPr>
      <w:tblStyleRowBandSize w:val="1"/>
      <w:tblStyleColBandSize w:val="1"/>
    </w:tblPr>
  </w:style>
  <w:style w:type="table" w:customStyle="1" w:styleId="15">
    <w:name w:val="15"/>
    <w:basedOn w:val="TableNormal"/>
    <w:pPr>
      <w:spacing w:after="0" w:line="240" w:lineRule="auto"/>
    </w:pPr>
    <w:rPr>
      <w:sz w:val="22"/>
      <w:szCs w:val="22"/>
    </w:rPr>
    <w:tblPr>
      <w:tblStyleRowBandSize w:val="1"/>
      <w:tblStyleColBandSize w:val="1"/>
    </w:tblPr>
  </w:style>
  <w:style w:type="table" w:customStyle="1" w:styleId="14">
    <w:name w:val="14"/>
    <w:basedOn w:val="TableNormal"/>
    <w:pPr>
      <w:spacing w:after="0" w:line="240" w:lineRule="auto"/>
    </w:pPr>
    <w:rPr>
      <w:sz w:val="22"/>
      <w:szCs w:val="22"/>
    </w:rPr>
    <w:tblPr>
      <w:tblStyleRowBandSize w:val="1"/>
      <w:tblStyleColBandSize w:val="1"/>
    </w:tblPr>
  </w:style>
  <w:style w:type="table" w:customStyle="1" w:styleId="13">
    <w:name w:val="13"/>
    <w:basedOn w:val="TableNormal"/>
    <w:pPr>
      <w:spacing w:after="0" w:line="240" w:lineRule="auto"/>
    </w:pPr>
    <w:rPr>
      <w:sz w:val="22"/>
      <w:szCs w:val="22"/>
    </w:rPr>
    <w:tblPr>
      <w:tblStyleRowBandSize w:val="1"/>
      <w:tblStyleColBandSize w:val="1"/>
    </w:tblPr>
  </w:style>
  <w:style w:type="table" w:customStyle="1" w:styleId="12">
    <w:name w:val="12"/>
    <w:basedOn w:val="TableNormal"/>
    <w:pPr>
      <w:spacing w:after="0" w:line="240" w:lineRule="auto"/>
    </w:pPr>
    <w:rPr>
      <w:sz w:val="22"/>
      <w:szCs w:val="22"/>
    </w:rPr>
    <w:tblPr>
      <w:tblStyleRowBandSize w:val="1"/>
      <w:tblStyleColBandSize w:val="1"/>
    </w:tblPr>
  </w:style>
  <w:style w:type="table" w:customStyle="1" w:styleId="11">
    <w:name w:val="11"/>
    <w:basedOn w:val="TableNormal"/>
    <w:pPr>
      <w:spacing w:after="0" w:line="240" w:lineRule="auto"/>
    </w:pPr>
    <w:rPr>
      <w:sz w:val="22"/>
      <w:szCs w:val="22"/>
    </w:rPr>
    <w:tblPr>
      <w:tblStyleRowBandSize w:val="1"/>
      <w:tblStyleColBandSize w:val="1"/>
    </w:tblPr>
  </w:style>
  <w:style w:type="table" w:customStyle="1" w:styleId="10">
    <w:name w:val="10"/>
    <w:basedOn w:val="TableNormal"/>
    <w:pPr>
      <w:spacing w:after="0" w:line="240" w:lineRule="auto"/>
    </w:pPr>
    <w:rPr>
      <w:sz w:val="22"/>
      <w:szCs w:val="22"/>
    </w:rPr>
    <w:tblPr>
      <w:tblStyleRowBandSize w:val="1"/>
      <w:tblStyleColBandSize w:val="1"/>
    </w:tblPr>
  </w:style>
  <w:style w:type="table" w:customStyle="1" w:styleId="9">
    <w:name w:val="9"/>
    <w:basedOn w:val="TableNormal"/>
    <w:pPr>
      <w:spacing w:after="0" w:line="240" w:lineRule="auto"/>
    </w:pPr>
    <w:rPr>
      <w:sz w:val="22"/>
      <w:szCs w:val="22"/>
    </w:rPr>
    <w:tblPr>
      <w:tblStyleRowBandSize w:val="1"/>
      <w:tblStyleColBandSize w:val="1"/>
    </w:tblPr>
  </w:style>
  <w:style w:type="table" w:customStyle="1" w:styleId="8">
    <w:name w:val="8"/>
    <w:basedOn w:val="TableNormal"/>
    <w:pPr>
      <w:spacing w:after="0" w:line="240" w:lineRule="auto"/>
    </w:pPr>
    <w:rPr>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3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6/46/contents"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uk/uksi/1981/1684/contents/made"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hare-repurchases-executive-pay-and-investment" TargetMode="External"/><Relationship Id="rId5" Type="http://schemas.openxmlformats.org/officeDocument/2006/relationships/settings" Target="settings.xml"/><Relationship Id="rId15" Type="http://schemas.openxmlformats.org/officeDocument/2006/relationships/hyperlink" Target="https://publications.parliament.uk/pa/ld200203/ldselect/ldeconaf/121-ii/121.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dmane@edgehill.ac.uk" TargetMode="External"/><Relationship Id="rId14" Type="http://schemas.openxmlformats.org/officeDocument/2006/relationships/hyperlink" Target="https://papers.ssrn.com/sol3/papers.cfm?abstract_id=253567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isa\Google%20Drive\Share%20Repurchases%202018\Data\Table%20comparing%20SP%20trends%20from%20different%20studies%20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latin typeface="Times New Roman" panose="02020603050405020304" pitchFamily="18" charset="0"/>
                <a:cs typeface="Times New Roman" panose="02020603050405020304" pitchFamily="18" charset="0"/>
              </a:rPr>
              <a:t>Figure 1: </a:t>
            </a:r>
          </a:p>
          <a:p>
            <a:pPr>
              <a:defRPr/>
            </a:pPr>
            <a:r>
              <a:rPr lang="en-GB" sz="1200">
                <a:latin typeface="Times New Roman" panose="02020603050405020304" pitchFamily="18" charset="0"/>
                <a:cs typeface="Times New Roman" panose="02020603050405020304" pitchFamily="18" charset="0"/>
              </a:rPr>
              <a:t>US and UK Trends in Proportion of Firms Repurchasing Shares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 data'!$A$8</c:f>
              <c:strCache>
                <c:ptCount val="1"/>
                <c:pt idx="0">
                  <c:v>US Floyd et al. (2015)</c:v>
                </c:pt>
              </c:strCache>
            </c:strRef>
          </c:tx>
          <c:spPr>
            <a:ln w="28575" cap="rnd">
              <a:solidFill>
                <a:sysClr val="windowText" lastClr="000000"/>
              </a:solidFill>
              <a:prstDash val="dash"/>
              <a:round/>
            </a:ln>
            <a:effectLst/>
          </c:spPr>
          <c:marker>
            <c:symbol val="none"/>
          </c:marker>
          <c:cat>
            <c:numRef>
              <c:f>'Table data'!$B$7:$X$7</c:f>
              <c:numCache>
                <c:formatCode>General</c:formatCode>
                <c:ptCount val="23"/>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'Table data'!$B$8:$X$8</c:f>
              <c:numCache>
                <c:formatCode>0.00</c:formatCode>
                <c:ptCount val="23"/>
                <c:pt idx="0">
                  <c:v>0.18</c:v>
                </c:pt>
                <c:pt idx="1">
                  <c:v>0.18099999999999999</c:v>
                </c:pt>
                <c:pt idx="2">
                  <c:v>0.18099999999999999</c:v>
                </c:pt>
                <c:pt idx="3">
                  <c:v>0.21099999999999999</c:v>
                </c:pt>
                <c:pt idx="4">
                  <c:v>0.26700000000000002</c:v>
                </c:pt>
                <c:pt idx="5">
                  <c:v>0.25700000000000001</c:v>
                </c:pt>
                <c:pt idx="6">
                  <c:v>0.23100000000000001</c:v>
                </c:pt>
                <c:pt idx="7">
                  <c:v>0.20899999999999999</c:v>
                </c:pt>
                <c:pt idx="8">
                  <c:v>0.20899999999999999</c:v>
                </c:pt>
                <c:pt idx="9">
                  <c:v>0.19600000000000001</c:v>
                </c:pt>
                <c:pt idx="10">
                  <c:v>0.17299999999999999</c:v>
                </c:pt>
                <c:pt idx="11">
                  <c:v>0.19700000000000001</c:v>
                </c:pt>
                <c:pt idx="12">
                  <c:v>0.22800000000000001</c:v>
                </c:pt>
                <c:pt idx="13">
                  <c:v>0.25700000000000001</c:v>
                </c:pt>
                <c:pt idx="14">
                  <c:v>0.32200000000000001</c:v>
                </c:pt>
                <c:pt idx="15">
                  <c:v>0.22900000000000001</c:v>
                </c:pt>
                <c:pt idx="16">
                  <c:v>0.25</c:v>
                </c:pt>
                <c:pt idx="17">
                  <c:v>0.29899999999999999</c:v>
                </c:pt>
                <c:pt idx="18">
                  <c:v>0.28799999999999998</c:v>
                </c:pt>
              </c:numCache>
            </c:numRef>
          </c:val>
          <c:smooth val="0"/>
          <c:extLst>
            <c:ext xmlns:c16="http://schemas.microsoft.com/office/drawing/2014/chart" uri="{C3380CC4-5D6E-409C-BE32-E72D297353CC}">
              <c16:uniqueId val="{00000000-DDD9-4AB9-ACB1-0C922AE4A1CA}"/>
            </c:ext>
          </c:extLst>
        </c:ser>
        <c:ser>
          <c:idx val="1"/>
          <c:order val="1"/>
          <c:tx>
            <c:strRef>
              <c:f>'Table data'!$A$9</c:f>
              <c:strCache>
                <c:ptCount val="1"/>
                <c:pt idx="0">
                  <c:v>UK R&amp;T (2010)</c:v>
                </c:pt>
              </c:strCache>
            </c:strRef>
          </c:tx>
          <c:spPr>
            <a:ln w="28575" cap="rnd">
              <a:solidFill>
                <a:schemeClr val="tx1">
                  <a:lumMod val="50000"/>
                  <a:lumOff val="50000"/>
                </a:schemeClr>
              </a:solidFill>
              <a:round/>
            </a:ln>
            <a:effectLst/>
          </c:spPr>
          <c:marker>
            <c:symbol val="none"/>
          </c:marker>
          <c:cat>
            <c:numRef>
              <c:f>'Table data'!$B$7:$X$7</c:f>
              <c:numCache>
                <c:formatCode>General</c:formatCode>
                <c:ptCount val="23"/>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'Table data'!$B$9:$X$9</c:f>
              <c:numCache>
                <c:formatCode>0.00</c:formatCode>
                <c:ptCount val="23"/>
                <c:pt idx="0">
                  <c:v>4.5400000000000003E-2</c:v>
                </c:pt>
                <c:pt idx="1">
                  <c:v>4.0899999999999999E-2</c:v>
                </c:pt>
                <c:pt idx="2">
                  <c:v>6.3500000000000001E-2</c:v>
                </c:pt>
                <c:pt idx="3">
                  <c:v>9.1199999999999989E-2</c:v>
                </c:pt>
                <c:pt idx="4">
                  <c:v>0.12590000000000001</c:v>
                </c:pt>
                <c:pt idx="5">
                  <c:v>0.1216</c:v>
                </c:pt>
                <c:pt idx="6">
                  <c:v>0.1479</c:v>
                </c:pt>
                <c:pt idx="7">
                  <c:v>0.125</c:v>
                </c:pt>
                <c:pt idx="8">
                  <c:v>0.1358</c:v>
                </c:pt>
                <c:pt idx="9">
                  <c:v>0.15609999999999999</c:v>
                </c:pt>
                <c:pt idx="10">
                  <c:v>0.15969999999999998</c:v>
                </c:pt>
              </c:numCache>
            </c:numRef>
          </c:val>
          <c:smooth val="0"/>
          <c:extLst>
            <c:ext xmlns:c16="http://schemas.microsoft.com/office/drawing/2014/chart" uri="{C3380CC4-5D6E-409C-BE32-E72D297353CC}">
              <c16:uniqueId val="{00000001-DDD9-4AB9-ACB1-0C922AE4A1CA}"/>
            </c:ext>
          </c:extLst>
        </c:ser>
        <c:ser>
          <c:idx val="2"/>
          <c:order val="2"/>
          <c:tx>
            <c:strRef>
              <c:f>'Table data'!$A$10</c:f>
              <c:strCache>
                <c:ptCount val="1"/>
                <c:pt idx="0">
                  <c:v>UK this study</c:v>
                </c:pt>
              </c:strCache>
            </c:strRef>
          </c:tx>
          <c:spPr>
            <a:ln w="28575" cap="rnd">
              <a:solidFill>
                <a:sysClr val="windowText" lastClr="000000"/>
              </a:solidFill>
              <a:prstDash val="sysDot"/>
              <a:round/>
            </a:ln>
            <a:effectLst/>
          </c:spPr>
          <c:marker>
            <c:symbol val="none"/>
          </c:marker>
          <c:cat>
            <c:numRef>
              <c:f>'Table data'!$B$7:$X$7</c:f>
              <c:numCache>
                <c:formatCode>General</c:formatCode>
                <c:ptCount val="23"/>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'Table data'!$B$10:$X$10</c:f>
              <c:numCache>
                <c:formatCode>General</c:formatCode>
                <c:ptCount val="23"/>
                <c:pt idx="6" formatCode="0.00">
                  <c:v>0.18</c:v>
                </c:pt>
                <c:pt idx="7" formatCode="0.00">
                  <c:v>0.16</c:v>
                </c:pt>
                <c:pt idx="8" formatCode="0.00">
                  <c:v>0.14000000000000001</c:v>
                </c:pt>
                <c:pt idx="9" formatCode="0.00">
                  <c:v>0.14000000000000001</c:v>
                </c:pt>
                <c:pt idx="10" formatCode="0.00">
                  <c:v>0.23</c:v>
                </c:pt>
                <c:pt idx="11" formatCode="0.00">
                  <c:v>0.3</c:v>
                </c:pt>
                <c:pt idx="12" formatCode="0.00">
                  <c:v>0.38</c:v>
                </c:pt>
                <c:pt idx="13" formatCode="0.00">
                  <c:v>0.46</c:v>
                </c:pt>
                <c:pt idx="14" formatCode="0.00">
                  <c:v>0.47</c:v>
                </c:pt>
                <c:pt idx="15" formatCode="0.00">
                  <c:v>0.33</c:v>
                </c:pt>
                <c:pt idx="16" formatCode="0.00">
                  <c:v>0.38</c:v>
                </c:pt>
                <c:pt idx="17" formatCode="0.00">
                  <c:v>0.45</c:v>
                </c:pt>
                <c:pt idx="18" formatCode="0.00">
                  <c:v>0.41</c:v>
                </c:pt>
                <c:pt idx="19" formatCode="0.00">
                  <c:v>0.43</c:v>
                </c:pt>
                <c:pt idx="20" formatCode="0.00">
                  <c:v>0.47</c:v>
                </c:pt>
                <c:pt idx="21" formatCode="0.00">
                  <c:v>0.44</c:v>
                </c:pt>
                <c:pt idx="22" formatCode="0.00">
                  <c:v>0.47</c:v>
                </c:pt>
              </c:numCache>
            </c:numRef>
          </c:val>
          <c:smooth val="0"/>
          <c:extLst>
            <c:ext xmlns:c16="http://schemas.microsoft.com/office/drawing/2014/chart" uri="{C3380CC4-5D6E-409C-BE32-E72D297353CC}">
              <c16:uniqueId val="{00000002-DDD9-4AB9-ACB1-0C922AE4A1CA}"/>
            </c:ext>
          </c:extLst>
        </c:ser>
        <c:dLbls>
          <c:showLegendKey val="0"/>
          <c:showVal val="0"/>
          <c:showCatName val="0"/>
          <c:showSerName val="0"/>
          <c:showPercent val="0"/>
          <c:showBubbleSize val="0"/>
        </c:dLbls>
        <c:smooth val="0"/>
        <c:axId val="439225208"/>
        <c:axId val="439225600"/>
      </c:lineChart>
      <c:catAx>
        <c:axId val="43922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9225600"/>
        <c:crosses val="autoZero"/>
        <c:auto val="1"/>
        <c:lblAlgn val="ctr"/>
        <c:lblOffset val="100"/>
        <c:noMultiLvlLbl val="0"/>
      </c:catAx>
      <c:valAx>
        <c:axId val="439225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922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9xOQZxlFp+i/upWyDZORrUlPQ==">AMUW2mU5Y1aHWp6xDTpOB5AA4B7f80i+B7CZ7d2/Vmg99D49lZQsB2L6i3ol0l2xxf5V9so0qkP91U5gJOvPy5njS/Zlm4/bpSDCUbj5fYUC3ewJVFyOW3aNHgcEiduZBe4bFsMJny9j8gWelQjKusZfYtYuANmDg/o5ypMRsttwb7u3JA2wR15tUNctL3qSY3bcHGhoEEsSmwfBjnODfNhdWWJExWYeSAVz0Wqs9JUbK/kf8/iOAgJF1Quww5a7GnZzoNQjwMUd</go:docsCustomData>
</go:gDocsCustomXmlDataStorage>
</file>

<file path=customXml/itemProps1.xml><?xml version="1.0" encoding="utf-8"?>
<ds:datastoreItem xmlns:ds="http://schemas.openxmlformats.org/officeDocument/2006/customXml" ds:itemID="{3AB6B8C6-8333-452F-9D48-53683D10D7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16925</Words>
  <Characters>96475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Dedman Elisabeth</dc:creator>
  <cp:keywords/>
  <dc:description/>
  <cp:lastModifiedBy>Thanamas Kungwal</cp:lastModifiedBy>
  <cp:revision>2</cp:revision>
  <cp:lastPrinted>2021-09-19T16:50:00Z</cp:lastPrinted>
  <dcterms:created xsi:type="dcterms:W3CDTF">2022-02-25T08:03:00Z</dcterms:created>
  <dcterms:modified xsi:type="dcterms:W3CDTF">2022-02-25T08:03:00Z</dcterms:modified>
</cp:coreProperties>
</file>