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A6AC" w14:textId="1602FD69" w:rsidR="00561F1F" w:rsidRPr="006311C5" w:rsidRDefault="00BC5542" w:rsidP="00527539">
      <w:pPr>
        <w:pStyle w:val="Title"/>
      </w:pPr>
      <w:r w:rsidRPr="006311C5">
        <w:t>Psycho</w:t>
      </w:r>
      <w:r w:rsidR="00396998" w:rsidRPr="006311C5">
        <w:t>logical</w:t>
      </w:r>
      <w:r w:rsidRPr="006311C5">
        <w:t xml:space="preserve"> factors associated with </w:t>
      </w:r>
      <w:r w:rsidR="00790EB9" w:rsidRPr="006311C5">
        <w:t xml:space="preserve">reporting </w:t>
      </w:r>
      <w:r w:rsidRPr="006311C5">
        <w:t>side effects following COVID-19 vaccination: a prospective cohort study</w:t>
      </w:r>
      <w:r w:rsidR="00BE65AB" w:rsidRPr="006311C5">
        <w:t xml:space="preserve"> (</w:t>
      </w:r>
      <w:proofErr w:type="spellStart"/>
      <w:r w:rsidR="00BE65AB" w:rsidRPr="006311C5">
        <w:t>CoVAccS</w:t>
      </w:r>
      <w:proofErr w:type="spellEnd"/>
      <w:r w:rsidR="00BE65AB" w:rsidRPr="006311C5">
        <w:t xml:space="preserve"> – wave 3)</w:t>
      </w:r>
    </w:p>
    <w:p w14:paraId="42883840" w14:textId="50307A43" w:rsidR="000E7C33" w:rsidRPr="006311C5" w:rsidRDefault="000E7C33" w:rsidP="000E7C33">
      <w:r w:rsidRPr="006311C5">
        <w:t xml:space="preserve">Short title: </w:t>
      </w:r>
      <w:r w:rsidR="008E40F8" w:rsidRPr="006311C5">
        <w:t>Factors associated with COVID-19 vaccine side effects</w:t>
      </w:r>
    </w:p>
    <w:p w14:paraId="76042C2C" w14:textId="77777777" w:rsidR="00BC5542" w:rsidRPr="006311C5" w:rsidRDefault="00BC5542"/>
    <w:p w14:paraId="7F061CEF" w14:textId="5EA233DD" w:rsidR="00BC5542" w:rsidRPr="006311C5" w:rsidRDefault="00BC5542" w:rsidP="00BC5542">
      <w:r w:rsidRPr="006311C5">
        <w:t>Louise E. Smith PhD</w:t>
      </w:r>
      <w:r w:rsidRPr="006311C5">
        <w:rPr>
          <w:vertAlign w:val="superscript"/>
        </w:rPr>
        <w:t xml:space="preserve"> 1,2</w:t>
      </w:r>
      <w:r w:rsidRPr="006311C5">
        <w:t xml:space="preserve"> (0000-0002-1277-2564), Julius Sim PhD</w:t>
      </w:r>
      <w:r w:rsidRPr="006311C5">
        <w:rPr>
          <w:vertAlign w:val="superscript"/>
        </w:rPr>
        <w:t xml:space="preserve"> </w:t>
      </w:r>
      <w:r w:rsidR="008E40F8" w:rsidRPr="006311C5">
        <w:rPr>
          <w:vertAlign w:val="superscript"/>
        </w:rPr>
        <w:t>3</w:t>
      </w:r>
      <w:r w:rsidRPr="006311C5">
        <w:t xml:space="preserve"> (0000-0002-1816-1676), </w:t>
      </w:r>
      <w:r w:rsidR="000C6FAB" w:rsidRPr="006311C5">
        <w:t>Susan M. Sherman PhD</w:t>
      </w:r>
      <w:r w:rsidR="000C6FAB" w:rsidRPr="006311C5">
        <w:rPr>
          <w:vertAlign w:val="superscript"/>
        </w:rPr>
        <w:t xml:space="preserve"> </w:t>
      </w:r>
      <w:r w:rsidR="008E40F8" w:rsidRPr="006311C5">
        <w:rPr>
          <w:vertAlign w:val="superscript"/>
        </w:rPr>
        <w:t>4</w:t>
      </w:r>
      <w:r w:rsidR="000C6FAB" w:rsidRPr="006311C5">
        <w:t xml:space="preserve"> (0000-0001-6708-3398), </w:t>
      </w:r>
      <w:r w:rsidRPr="006311C5">
        <w:t xml:space="preserve">Richard Amlôt PhD </w:t>
      </w:r>
      <w:r w:rsidRPr="006311C5">
        <w:rPr>
          <w:vertAlign w:val="superscript"/>
        </w:rPr>
        <w:t>2,5</w:t>
      </w:r>
      <w:r w:rsidRPr="006311C5">
        <w:t xml:space="preserve"> (0000-0003-3481-6588), Megan Cutts</w:t>
      </w:r>
      <w:r w:rsidRPr="006311C5">
        <w:rPr>
          <w:vertAlign w:val="superscript"/>
        </w:rPr>
        <w:t>5</w:t>
      </w:r>
      <w:r w:rsidRPr="006311C5">
        <w:t xml:space="preserve"> MSc, Hannah Dasch</w:t>
      </w:r>
      <w:r w:rsidRPr="006311C5">
        <w:rPr>
          <w:vertAlign w:val="superscript"/>
        </w:rPr>
        <w:t xml:space="preserve">1,6 </w:t>
      </w:r>
      <w:r w:rsidRPr="006311C5">
        <w:t>MSc, Nick Sevdalis PhD</w:t>
      </w:r>
      <w:r w:rsidRPr="006311C5">
        <w:rPr>
          <w:vertAlign w:val="superscript"/>
        </w:rPr>
        <w:t xml:space="preserve"> 1,6</w:t>
      </w:r>
      <w:r w:rsidRPr="006311C5">
        <w:t xml:space="preserve"> (0000-0001-7560-8924), G James Rubin PhD</w:t>
      </w:r>
      <w:r w:rsidRPr="006311C5">
        <w:rPr>
          <w:vertAlign w:val="superscript"/>
        </w:rPr>
        <w:t xml:space="preserve"> 1,2</w:t>
      </w:r>
      <w:r w:rsidRPr="006311C5">
        <w:t xml:space="preserve"> (0000-0002-4440-0570).</w:t>
      </w:r>
    </w:p>
    <w:p w14:paraId="2890F9F5" w14:textId="77777777" w:rsidR="00BC5542" w:rsidRPr="006311C5" w:rsidRDefault="00BC5542" w:rsidP="00BC5542"/>
    <w:p w14:paraId="5CD1ECAA" w14:textId="77777777" w:rsidR="00BC5542" w:rsidRPr="006311C5" w:rsidRDefault="00BC5542" w:rsidP="00BC5542">
      <w:r w:rsidRPr="006311C5">
        <w:t>1 King’s College London, Institute of Psychiatry, Psychology and Neuroscience</w:t>
      </w:r>
    </w:p>
    <w:p w14:paraId="7C712C97" w14:textId="77777777" w:rsidR="00BC5542" w:rsidRPr="006311C5" w:rsidRDefault="00BC5542" w:rsidP="00BC5542">
      <w:r w:rsidRPr="006311C5">
        <w:t>2 NIHR Health Protection Research Unit in Emergency Preparedness and Response</w:t>
      </w:r>
    </w:p>
    <w:p w14:paraId="06B29E38" w14:textId="77777777" w:rsidR="008E40F8" w:rsidRPr="006311C5" w:rsidRDefault="008E40F8" w:rsidP="008E40F8">
      <w:r w:rsidRPr="006311C5">
        <w:t xml:space="preserve">3 </w:t>
      </w:r>
      <w:proofErr w:type="spellStart"/>
      <w:r w:rsidRPr="006311C5">
        <w:t>Keele</w:t>
      </w:r>
      <w:proofErr w:type="spellEnd"/>
      <w:r w:rsidRPr="006311C5">
        <w:t xml:space="preserve"> University, School of Medicine </w:t>
      </w:r>
    </w:p>
    <w:p w14:paraId="1CC8A035" w14:textId="6750C366" w:rsidR="00BC5542" w:rsidRPr="006311C5" w:rsidRDefault="008E40F8" w:rsidP="00BC5542">
      <w:r w:rsidRPr="006311C5">
        <w:t>4</w:t>
      </w:r>
      <w:r w:rsidR="00BC5542" w:rsidRPr="006311C5">
        <w:t xml:space="preserve"> </w:t>
      </w:r>
      <w:proofErr w:type="spellStart"/>
      <w:r w:rsidR="00BC5542" w:rsidRPr="006311C5">
        <w:t>Keele</w:t>
      </w:r>
      <w:proofErr w:type="spellEnd"/>
      <w:r w:rsidR="00BC5542" w:rsidRPr="006311C5">
        <w:t xml:space="preserve"> University, School of Psychology</w:t>
      </w:r>
    </w:p>
    <w:p w14:paraId="1C0D2FEF" w14:textId="77777777" w:rsidR="00BC5542" w:rsidRPr="006311C5" w:rsidRDefault="00BC5542" w:rsidP="00BC5542">
      <w:r w:rsidRPr="006311C5">
        <w:t>5 UK Health Security Agency, Behavioural Science and Insights Unit</w:t>
      </w:r>
    </w:p>
    <w:p w14:paraId="40F4974D" w14:textId="77777777" w:rsidR="00BC5542" w:rsidRPr="006311C5" w:rsidRDefault="00BC5542" w:rsidP="00BC5542">
      <w:pPr>
        <w:rPr>
          <w:rStyle w:val="Hyperlink"/>
          <w:color w:val="auto"/>
          <w:u w:val="none"/>
        </w:rPr>
      </w:pPr>
      <w:r w:rsidRPr="006311C5">
        <w:rPr>
          <w:rStyle w:val="Hyperlink"/>
          <w:color w:val="auto"/>
          <w:u w:val="none"/>
        </w:rPr>
        <w:t>6 King’s College London, Centre for Implementation Science</w:t>
      </w:r>
    </w:p>
    <w:p w14:paraId="025D36A6" w14:textId="77777777" w:rsidR="00BC5542" w:rsidRPr="006311C5" w:rsidRDefault="00BC5542" w:rsidP="00BC5542">
      <w:pPr>
        <w:rPr>
          <w:rStyle w:val="Hyperlink"/>
          <w:color w:val="auto"/>
        </w:rPr>
      </w:pPr>
    </w:p>
    <w:p w14:paraId="4D063155" w14:textId="57295A63" w:rsidR="00BC5542" w:rsidRPr="00D06318" w:rsidRDefault="00BC5542" w:rsidP="00BC5542">
      <w:pPr>
        <w:rPr>
          <w:rStyle w:val="Hyperlink"/>
          <w:color w:val="auto"/>
        </w:rPr>
      </w:pPr>
      <w:r w:rsidRPr="006311C5">
        <w:t xml:space="preserve">Corresponding author: Louise E Smith, Department of Psychological Medicine, Weston Education Centre, </w:t>
      </w:r>
      <w:proofErr w:type="spellStart"/>
      <w:r w:rsidRPr="006311C5">
        <w:t>Cutcombe</w:t>
      </w:r>
      <w:proofErr w:type="spellEnd"/>
      <w:r w:rsidRPr="006311C5">
        <w:t xml:space="preserve"> Road, London, SE5 9RJ</w:t>
      </w:r>
      <w:r w:rsidR="00D60D00" w:rsidRPr="006311C5">
        <w:t xml:space="preserve">. </w:t>
      </w:r>
      <w:r w:rsidRPr="006311C5">
        <w:t>Email:</w:t>
      </w:r>
      <w:r w:rsidR="00D60D00" w:rsidRPr="006311C5">
        <w:t xml:space="preserve"> </w:t>
      </w:r>
      <w:hyperlink r:id="rId11" w:history="1">
        <w:r w:rsidR="00D60D00" w:rsidRPr="006311C5">
          <w:rPr>
            <w:rStyle w:val="Hyperlink"/>
          </w:rPr>
          <w:t>louise.e.smith@kcl.ac.uk</w:t>
        </w:r>
      </w:hyperlink>
      <w:r w:rsidR="00D60D00" w:rsidRPr="006311C5">
        <w:t xml:space="preserve">. Phone: 0207 </w:t>
      </w:r>
      <w:r w:rsidR="00D60D00" w:rsidRPr="00D06318">
        <w:t>848</w:t>
      </w:r>
      <w:r w:rsidR="00CF4A1D" w:rsidRPr="00D06318">
        <w:t xml:space="preserve"> 7084</w:t>
      </w:r>
      <w:r w:rsidR="00D06318">
        <w:t>.</w:t>
      </w:r>
    </w:p>
    <w:p w14:paraId="0A331BDF" w14:textId="1B5EAE5E" w:rsidR="003A23CA" w:rsidRPr="003A23CA" w:rsidRDefault="00BC5542" w:rsidP="003A23CA">
      <w:pPr>
        <w:pStyle w:val="Heading1"/>
        <w:tabs>
          <w:tab w:val="left" w:pos="3480"/>
        </w:tabs>
        <w:spacing w:after="240"/>
        <w:rPr>
          <w:rStyle w:val="Hyperlink"/>
          <w:rFonts w:cstheme="minorHAnsi"/>
          <w:b w:val="0"/>
          <w:bCs/>
          <w:color w:val="auto"/>
          <w:szCs w:val="24"/>
          <w:u w:val="none"/>
        </w:rPr>
      </w:pPr>
      <w:r w:rsidRPr="003A23CA">
        <w:rPr>
          <w:rStyle w:val="Hyperlink"/>
          <w:color w:val="auto"/>
          <w:u w:val="none"/>
        </w:rPr>
        <w:br w:type="page"/>
      </w:r>
      <w:r w:rsidR="003A23CA" w:rsidRPr="003A23CA">
        <w:rPr>
          <w:rStyle w:val="Hyperlink"/>
          <w:rFonts w:cstheme="minorHAnsi"/>
          <w:bCs/>
          <w:color w:val="auto"/>
          <w:szCs w:val="24"/>
          <w:u w:val="none"/>
        </w:rPr>
        <w:lastRenderedPageBreak/>
        <w:t>Highlights</w:t>
      </w:r>
      <w:r w:rsidR="003A23CA">
        <w:rPr>
          <w:rStyle w:val="Hyperlink"/>
          <w:rFonts w:cstheme="minorHAnsi"/>
          <w:bCs/>
          <w:color w:val="auto"/>
          <w:szCs w:val="24"/>
          <w:u w:val="none"/>
        </w:rPr>
        <w:tab/>
      </w:r>
    </w:p>
    <w:p w14:paraId="65C0FF65" w14:textId="77777777" w:rsidR="003A23CA" w:rsidRPr="003A23CA" w:rsidRDefault="003A23CA" w:rsidP="003A23CA">
      <w:pPr>
        <w:pStyle w:val="ListParagraph"/>
        <w:numPr>
          <w:ilvl w:val="0"/>
          <w:numId w:val="11"/>
        </w:numPr>
        <w:rPr>
          <w:rStyle w:val="Hyperlink"/>
          <w:rFonts w:cstheme="minorHAnsi"/>
          <w:b/>
          <w:color w:val="auto"/>
          <w:sz w:val="24"/>
          <w:szCs w:val="32"/>
          <w:u w:val="none"/>
        </w:rPr>
      </w:pPr>
      <w:r w:rsidRPr="003A23CA">
        <w:rPr>
          <w:rStyle w:val="Hyperlink"/>
          <w:rFonts w:cstheme="minorHAnsi"/>
          <w:color w:val="auto"/>
          <w:u w:val="none"/>
        </w:rPr>
        <w:t>We measured symptom reporting and attributions from the COVID-19 vaccines.</w:t>
      </w:r>
    </w:p>
    <w:p w14:paraId="3812B2AD" w14:textId="77777777" w:rsidR="003A23CA" w:rsidRPr="003A23CA" w:rsidRDefault="003A23CA" w:rsidP="003A23CA">
      <w:pPr>
        <w:pStyle w:val="ListParagraph"/>
        <w:numPr>
          <w:ilvl w:val="0"/>
          <w:numId w:val="11"/>
        </w:numPr>
        <w:rPr>
          <w:rStyle w:val="Hyperlink"/>
          <w:rFonts w:cstheme="minorHAnsi"/>
          <w:b/>
          <w:color w:val="auto"/>
          <w:sz w:val="24"/>
          <w:szCs w:val="32"/>
          <w:u w:val="none"/>
        </w:rPr>
      </w:pPr>
      <w:r w:rsidRPr="003A23CA">
        <w:rPr>
          <w:rStyle w:val="Hyperlink"/>
          <w:rFonts w:cstheme="minorHAnsi"/>
          <w:color w:val="auto"/>
          <w:u w:val="none"/>
        </w:rPr>
        <w:t>A prospective cohort study was used (T1: January 2021, T2: October 2021).</w:t>
      </w:r>
    </w:p>
    <w:p w14:paraId="405D6513" w14:textId="77777777" w:rsidR="003A23CA" w:rsidRPr="003A23CA" w:rsidRDefault="003A23CA" w:rsidP="003A23CA">
      <w:pPr>
        <w:pStyle w:val="ListParagraph"/>
        <w:numPr>
          <w:ilvl w:val="0"/>
          <w:numId w:val="11"/>
        </w:numPr>
        <w:rPr>
          <w:rStyle w:val="Hyperlink"/>
          <w:rFonts w:cstheme="minorHAnsi"/>
          <w:b/>
          <w:color w:val="auto"/>
          <w:sz w:val="24"/>
          <w:szCs w:val="32"/>
          <w:u w:val="none"/>
        </w:rPr>
      </w:pPr>
      <w:r w:rsidRPr="003A23CA">
        <w:rPr>
          <w:rStyle w:val="Hyperlink"/>
          <w:rFonts w:cstheme="minorHAnsi"/>
          <w:color w:val="auto"/>
          <w:u w:val="none"/>
        </w:rPr>
        <w:t>Women and younger people were more likely to report side effects.</w:t>
      </w:r>
    </w:p>
    <w:p w14:paraId="0B247625" w14:textId="3C90E802" w:rsidR="003A23CA" w:rsidRPr="003A23CA" w:rsidRDefault="003A23CA" w:rsidP="003A23CA">
      <w:pPr>
        <w:pStyle w:val="ListParagraph"/>
        <w:numPr>
          <w:ilvl w:val="0"/>
          <w:numId w:val="11"/>
        </w:numPr>
        <w:rPr>
          <w:rStyle w:val="Hyperlink"/>
          <w:rFonts w:cstheme="minorHAnsi"/>
          <w:color w:val="auto"/>
          <w:u w:val="none"/>
        </w:rPr>
      </w:pPr>
      <w:r w:rsidRPr="003A23CA">
        <w:rPr>
          <w:rStyle w:val="Hyperlink"/>
          <w:rFonts w:cstheme="minorHAnsi"/>
          <w:color w:val="auto"/>
          <w:u w:val="none"/>
        </w:rPr>
        <w:t>Side effects reporting after the first and second dose was strongly associated.</w:t>
      </w:r>
    </w:p>
    <w:p w14:paraId="04285C04" w14:textId="1A54065F" w:rsidR="003A23CA" w:rsidRDefault="003A23CA">
      <w:pPr>
        <w:spacing w:line="259" w:lineRule="auto"/>
        <w:rPr>
          <w:rStyle w:val="Hyperlink"/>
          <w:rFonts w:eastAsiaTheme="majorEastAsia" w:cstheme="majorBidi"/>
          <w:b/>
          <w:color w:val="auto"/>
          <w:sz w:val="24"/>
          <w:szCs w:val="32"/>
          <w:u w:val="none"/>
        </w:rPr>
      </w:pPr>
    </w:p>
    <w:p w14:paraId="3488401E" w14:textId="1E21723D" w:rsidR="00D06318" w:rsidRPr="003A23CA" w:rsidRDefault="00D06318" w:rsidP="00D06318">
      <w:pPr>
        <w:pStyle w:val="Heading1"/>
        <w:rPr>
          <w:rStyle w:val="Hyperlink"/>
          <w:color w:val="auto"/>
          <w:u w:val="none"/>
        </w:rPr>
      </w:pPr>
      <w:r w:rsidRPr="003A23CA">
        <w:rPr>
          <w:rStyle w:val="Hyperlink"/>
          <w:color w:val="auto"/>
          <w:u w:val="none"/>
        </w:rPr>
        <w:t>Abstract</w:t>
      </w:r>
    </w:p>
    <w:p w14:paraId="6A108E18" w14:textId="77777777" w:rsidR="00D06318" w:rsidRPr="00D06318" w:rsidRDefault="00D06318" w:rsidP="00D06318">
      <w:pPr>
        <w:spacing w:line="259" w:lineRule="auto"/>
        <w:rPr>
          <w:rStyle w:val="Hyperlink"/>
          <w:color w:val="auto"/>
          <w:u w:val="none"/>
        </w:rPr>
      </w:pPr>
      <w:r w:rsidRPr="003A23CA">
        <w:rPr>
          <w:rStyle w:val="Hyperlink"/>
          <w:color w:val="auto"/>
          <w:u w:val="none"/>
        </w:rPr>
        <w:t xml:space="preserve">Objective: To investigate </w:t>
      </w:r>
      <w:r w:rsidRPr="00D06318">
        <w:rPr>
          <w:rStyle w:val="Hyperlink"/>
          <w:color w:val="auto"/>
          <w:u w:val="none"/>
        </w:rPr>
        <w:t>symptom reporting following the first and second COVID-19 vaccine doses, attribution of symptoms to the vaccine, and factors associated with symptom reporting.</w:t>
      </w:r>
    </w:p>
    <w:p w14:paraId="18282EB3" w14:textId="77777777" w:rsidR="00D06318" w:rsidRPr="00D06318" w:rsidRDefault="00D06318" w:rsidP="00D06318">
      <w:pPr>
        <w:spacing w:line="259" w:lineRule="auto"/>
        <w:rPr>
          <w:rStyle w:val="Hyperlink"/>
          <w:color w:val="auto"/>
          <w:u w:val="none"/>
        </w:rPr>
      </w:pPr>
      <w:r w:rsidRPr="00D06318">
        <w:rPr>
          <w:rStyle w:val="Hyperlink"/>
          <w:color w:val="auto"/>
          <w:u w:val="none"/>
        </w:rPr>
        <w:t xml:space="preserve">Methods: Prospective cohort study (T1: 13-15 January 2021, T2: 4-15 October 2021). Participants were aged 18 years or older, living in the UK. Personal, clinical, and psychological factors were investigated at T1. Symptoms were reported at T2. We used logistic regression analyses to investigate associations. </w:t>
      </w:r>
    </w:p>
    <w:p w14:paraId="589445CB" w14:textId="77777777" w:rsidR="00D06318" w:rsidRPr="00D06318" w:rsidRDefault="00D06318" w:rsidP="00D06318">
      <w:r w:rsidRPr="00D06318">
        <w:rPr>
          <w:rStyle w:val="Hyperlink"/>
          <w:color w:val="auto"/>
          <w:u w:val="none"/>
        </w:rPr>
        <w:t>Results:</w:t>
      </w:r>
      <w:r w:rsidRPr="00D06318">
        <w:t xml:space="preserve"> After the first COVID-19 vaccine dose, 74.1% (95% CI 71.4% to 76.7%, </w:t>
      </w:r>
      <w:r w:rsidRPr="00D06318">
        <w:rPr>
          <w:i/>
          <w:iCs/>
        </w:rPr>
        <w:t>n</w:t>
      </w:r>
      <w:r w:rsidRPr="00D06318">
        <w:t xml:space="preserve">=762/1028) of participants reported at least one injection-site symptom, while 65.0% (95% CI 62.0% to 67.9%, </w:t>
      </w:r>
      <w:r w:rsidRPr="00D06318">
        <w:rPr>
          <w:i/>
          <w:iCs/>
        </w:rPr>
        <w:t>n</w:t>
      </w:r>
      <w:r w:rsidRPr="00D06318">
        <w:t xml:space="preserve">=669/1029) reported at least one other (non-injection-site) symptom. Symptom reporting was associated with being a woman and younger. After the second dose, 52.9% (95% CI 49.8% to 56.0%, </w:t>
      </w:r>
      <w:r w:rsidRPr="00D06318">
        <w:rPr>
          <w:i/>
          <w:iCs/>
        </w:rPr>
        <w:t>n</w:t>
      </w:r>
      <w:r w:rsidRPr="00D06318">
        <w:t xml:space="preserve">=532/1005) of participants reported at least one injection-site symptom and 43.7% (95% CI 40.7% to 46.8%, </w:t>
      </w:r>
      <w:r w:rsidRPr="00D06318">
        <w:rPr>
          <w:i/>
          <w:iCs/>
        </w:rPr>
        <w:t>n</w:t>
      </w:r>
      <w:r w:rsidRPr="00D06318">
        <w:t xml:space="preserve">=440/1006) reported at least one other (non-injection-site) symptom. Symptom reporting was associated with having reported symptoms after the first dose, having an illness that put one at higher risk of COVID-19 (non-injection-site symptoms only), and not believing that one had enough information about COVID-19 to make an informed decision about vaccination (injection-site symptoms only). </w:t>
      </w:r>
    </w:p>
    <w:p w14:paraId="4B466280" w14:textId="77777777" w:rsidR="00D06318" w:rsidRPr="00D06318" w:rsidRDefault="00D06318" w:rsidP="00D06318">
      <w:pPr>
        <w:spacing w:line="259" w:lineRule="auto"/>
        <w:rPr>
          <w:rStyle w:val="Hyperlink"/>
          <w:color w:val="auto"/>
          <w:u w:val="none"/>
        </w:rPr>
      </w:pPr>
      <w:r w:rsidRPr="00D06318">
        <w:rPr>
          <w:rStyle w:val="Hyperlink"/>
          <w:color w:val="auto"/>
          <w:u w:val="none"/>
        </w:rPr>
        <w:t>Conclusions: Women and younger people were more likely to report symptoms from vaccination. People who had reported symptoms from previous doses were also more likely to report symptoms subsequently, although symptom reporting following the second vaccine was lower than following the first vaccine. Few psychological factors were associated with symptom reporting.</w:t>
      </w:r>
    </w:p>
    <w:p w14:paraId="663D9599" w14:textId="77777777" w:rsidR="00D06318" w:rsidRPr="00D06318" w:rsidRDefault="00D06318" w:rsidP="00D06318">
      <w:pPr>
        <w:spacing w:line="259" w:lineRule="auto"/>
        <w:rPr>
          <w:rStyle w:val="Hyperlink"/>
          <w:color w:val="auto"/>
          <w:u w:val="none"/>
        </w:rPr>
      </w:pPr>
      <w:r w:rsidRPr="00D06318">
        <w:rPr>
          <w:rStyle w:val="Hyperlink"/>
          <w:color w:val="auto"/>
          <w:u w:val="none"/>
        </w:rPr>
        <w:t>Abstract word count: 248/250</w:t>
      </w:r>
    </w:p>
    <w:p w14:paraId="0797B628" w14:textId="1A9B6974" w:rsidR="00D06318" w:rsidRPr="00D06318" w:rsidRDefault="00D06318" w:rsidP="00D06318">
      <w:pPr>
        <w:rPr>
          <w:rStyle w:val="Hyperlink"/>
          <w:color w:val="auto"/>
          <w:u w:val="none"/>
        </w:rPr>
      </w:pPr>
      <w:r w:rsidRPr="00D06318">
        <w:rPr>
          <w:rStyle w:val="Hyperlink"/>
          <w:color w:val="auto"/>
          <w:u w:val="none"/>
        </w:rPr>
        <w:t>Keywords: adverse effects, COVID-19, immunization, psychological factors, symptom perception</w:t>
      </w:r>
      <w:r w:rsidRPr="00D06318">
        <w:rPr>
          <w:rStyle w:val="Hyperlink"/>
          <w:color w:val="auto"/>
        </w:rPr>
        <w:br w:type="page"/>
      </w:r>
    </w:p>
    <w:p w14:paraId="02D636E8" w14:textId="7F733F8B" w:rsidR="00BC5542" w:rsidRPr="00D06318" w:rsidRDefault="00BC5542" w:rsidP="00BC5542">
      <w:pPr>
        <w:pStyle w:val="Heading1"/>
        <w:rPr>
          <w:rStyle w:val="Hyperlink"/>
          <w:color w:val="auto"/>
          <w:u w:val="none"/>
        </w:rPr>
      </w:pPr>
      <w:r w:rsidRPr="00D06318">
        <w:rPr>
          <w:rStyle w:val="Hyperlink"/>
          <w:color w:val="auto"/>
          <w:u w:val="none"/>
        </w:rPr>
        <w:lastRenderedPageBreak/>
        <w:t>Introduction</w:t>
      </w:r>
    </w:p>
    <w:p w14:paraId="19EDD140" w14:textId="344EF0E9" w:rsidR="007629D5" w:rsidRPr="00D06318" w:rsidRDefault="00AA0238" w:rsidP="00BB7D8E">
      <w:r w:rsidRPr="00D06318">
        <w:t>S</w:t>
      </w:r>
      <w:r w:rsidR="008E0976" w:rsidRPr="00D06318">
        <w:t xml:space="preserve">ide effects </w:t>
      </w:r>
      <w:r w:rsidR="00CF430F" w:rsidRPr="00D06318">
        <w:t xml:space="preserve">can </w:t>
      </w:r>
      <w:r w:rsidR="008E0976" w:rsidRPr="00D06318">
        <w:t xml:space="preserve">occur </w:t>
      </w:r>
      <w:r w:rsidR="00CF430F" w:rsidRPr="00D06318">
        <w:t xml:space="preserve">after taking a medication, including being vaccinated. While some side effects may be due to the pharmacological action of the drug, others may </w:t>
      </w:r>
      <w:r w:rsidR="00CD49C7" w:rsidRPr="00D06318">
        <w:t xml:space="preserve">arise from the </w:t>
      </w:r>
      <w:r w:rsidR="00762233" w:rsidRPr="00D06318">
        <w:t>so-called ‘</w:t>
      </w:r>
      <w:r w:rsidR="00CD49C7" w:rsidRPr="00D06318">
        <w:t>nocebo effect</w:t>
      </w:r>
      <w:r w:rsidR="00762233" w:rsidRPr="00D06318">
        <w:t>’</w:t>
      </w:r>
      <w:r w:rsidR="0040040D" w:rsidRPr="00D06318">
        <w:t>,</w:t>
      </w:r>
      <w:r w:rsidR="0040040D" w:rsidRPr="00D06318">
        <w:rPr>
          <w:rFonts w:cs="Times New Roman"/>
        </w:rPr>
        <w:t xml:space="preserve"> a</w:t>
      </w:r>
      <w:r w:rsidR="0040040D" w:rsidRPr="00D06318">
        <w:rPr>
          <w:rFonts w:eastAsia="Times New Roman" w:cs="Times New Roman"/>
        </w:rPr>
        <w:t xml:space="preserve"> phenomenon whereby the expectation that symptoms will develop becomes self-fulfilling</w:t>
      </w:r>
      <w:r w:rsidR="005C6916" w:rsidRPr="00D06318">
        <w:rPr>
          <w:rFonts w:eastAsia="Times New Roman" w:cs="Times New Roman"/>
        </w:rPr>
        <w:t>.</w:t>
      </w:r>
      <w:r w:rsidR="003D7738" w:rsidRPr="00D06318">
        <w:rPr>
          <w:rFonts w:eastAsia="Times New Roman" w:cs="Times New Roman"/>
          <w:noProof/>
        </w:rPr>
        <w:t xml:space="preserve"> [1]</w:t>
      </w:r>
      <w:r w:rsidR="00F630CA" w:rsidRPr="00D06318">
        <w:t xml:space="preserve"> </w:t>
      </w:r>
      <w:r w:rsidR="006D5B89" w:rsidRPr="00D06318">
        <w:t xml:space="preserve">The role of expectation in later perception of side effects has been </w:t>
      </w:r>
      <w:r w:rsidR="00C101E8" w:rsidRPr="00D06318">
        <w:t>well-</w:t>
      </w:r>
      <w:r w:rsidR="006D5B89" w:rsidRPr="00D06318">
        <w:t xml:space="preserve">documented for </w:t>
      </w:r>
      <w:r w:rsidR="00C101E8" w:rsidRPr="00D06318">
        <w:t>medications</w:t>
      </w:r>
      <w:r w:rsidR="003D7738" w:rsidRPr="00D06318">
        <w:rPr>
          <w:noProof/>
        </w:rPr>
        <w:t xml:space="preserve"> [2, 3]</w:t>
      </w:r>
      <w:r w:rsidR="00C101E8" w:rsidRPr="00D06318">
        <w:t xml:space="preserve"> a</w:t>
      </w:r>
      <w:r w:rsidR="00586123" w:rsidRPr="00D06318">
        <w:t>nd</w:t>
      </w:r>
      <w:r w:rsidR="00C101E8" w:rsidRPr="00D06318">
        <w:t xml:space="preserve"> </w:t>
      </w:r>
      <w:r w:rsidR="006D5B89" w:rsidRPr="00D06318">
        <w:t>vaccin</w:t>
      </w:r>
      <w:r w:rsidR="001824F1" w:rsidRPr="00D06318">
        <w:t>ation</w:t>
      </w:r>
      <w:r w:rsidR="00586123" w:rsidRPr="00D06318">
        <w:t>s</w:t>
      </w:r>
      <w:r w:rsidR="006D5B89" w:rsidRPr="00D06318">
        <w:t>.</w:t>
      </w:r>
      <w:r w:rsidR="003D7738" w:rsidRPr="00D06318">
        <w:rPr>
          <w:noProof/>
        </w:rPr>
        <w:t xml:space="preserve"> [4]</w:t>
      </w:r>
      <w:r w:rsidR="006D5B89" w:rsidRPr="00D06318">
        <w:t xml:space="preserve"> </w:t>
      </w:r>
      <w:r w:rsidR="00F630CA" w:rsidRPr="00D06318">
        <w:t>Psychosocial factors may contribute to the nocebo effect</w:t>
      </w:r>
      <w:r w:rsidR="008C1B89" w:rsidRPr="00D06318">
        <w:t>;</w:t>
      </w:r>
      <w:r w:rsidR="00F630CA" w:rsidRPr="00D06318">
        <w:t xml:space="preserve"> for example</w:t>
      </w:r>
      <w:r w:rsidR="008C1B89" w:rsidRPr="00D06318">
        <w:t>,</w:t>
      </w:r>
      <w:r w:rsidR="00F630CA" w:rsidRPr="00D06318">
        <w:t xml:space="preserve"> seeing or hearing that a vaccine causes side effects</w:t>
      </w:r>
      <w:r w:rsidR="00CC1715" w:rsidRPr="00D06318">
        <w:t>,</w:t>
      </w:r>
      <w:r w:rsidR="003D7738" w:rsidRPr="00D06318">
        <w:rPr>
          <w:noProof/>
        </w:rPr>
        <w:t xml:space="preserve"> [5]</w:t>
      </w:r>
      <w:r w:rsidR="00070CFD" w:rsidRPr="00D06318">
        <w:t xml:space="preserve"> or holding more negative beliefs about </w:t>
      </w:r>
      <w:r w:rsidR="00445EAF" w:rsidRPr="00D06318">
        <w:t>medications</w:t>
      </w:r>
      <w:r w:rsidR="00070CFD" w:rsidRPr="00D06318">
        <w:t>.</w:t>
      </w:r>
      <w:r w:rsidR="003D7738" w:rsidRPr="00D06318">
        <w:rPr>
          <w:noProof/>
        </w:rPr>
        <w:t xml:space="preserve"> [6, 7]</w:t>
      </w:r>
    </w:p>
    <w:p w14:paraId="518DBBD4" w14:textId="354A84D8" w:rsidR="002D3DA4" w:rsidRPr="006311C5" w:rsidRDefault="00AD4E37" w:rsidP="00BB7D8E">
      <w:r w:rsidRPr="00D06318">
        <w:t>Clinical trial data</w:t>
      </w:r>
      <w:r w:rsidR="000D553D" w:rsidRPr="00D06318">
        <w:t xml:space="preserve"> for UK approved</w:t>
      </w:r>
      <w:r w:rsidRPr="00D06318">
        <w:t xml:space="preserve"> </w:t>
      </w:r>
      <w:r w:rsidR="000D553D" w:rsidRPr="00D06318">
        <w:t xml:space="preserve">COVID-19 vaccines </w:t>
      </w:r>
      <w:r w:rsidR="008C1B89" w:rsidRPr="00D06318">
        <w:t xml:space="preserve">(AstraZeneca, Pfizer-BioNTech, Moderna) </w:t>
      </w:r>
      <w:r w:rsidRPr="00D06318">
        <w:t xml:space="preserve">indicate that </w:t>
      </w:r>
      <w:r w:rsidR="00AE55AC" w:rsidRPr="00D06318">
        <w:t>side</w:t>
      </w:r>
      <w:r w:rsidR="00CF5A0F" w:rsidRPr="00D06318">
        <w:t>-</w:t>
      </w:r>
      <w:r w:rsidR="000D28C0" w:rsidRPr="00D06318">
        <w:t xml:space="preserve">effect reporting is lower in </w:t>
      </w:r>
      <w:r w:rsidR="00210E60" w:rsidRPr="00D06318">
        <w:t>older adults</w:t>
      </w:r>
      <w:r w:rsidR="00B34E4B" w:rsidRPr="00D06318">
        <w:t>.</w:t>
      </w:r>
      <w:r w:rsidR="003D7738" w:rsidRPr="00D06318">
        <w:rPr>
          <w:noProof/>
        </w:rPr>
        <w:t xml:space="preserve"> [8-10]</w:t>
      </w:r>
      <w:r w:rsidR="00CD30FF" w:rsidRPr="00D06318">
        <w:t xml:space="preserve"> </w:t>
      </w:r>
      <w:r w:rsidR="003F3015" w:rsidRPr="00D06318">
        <w:t xml:space="preserve">However, the association with </w:t>
      </w:r>
      <w:r w:rsidR="003F3015" w:rsidRPr="006311C5">
        <w:t>vaccine dose is less clear cut, with different patterns emerging for the different vaccines. For the AstraZeneca vaccine, s</w:t>
      </w:r>
      <w:r w:rsidR="00B34E4B" w:rsidRPr="006311C5">
        <w:t>ide</w:t>
      </w:r>
      <w:r w:rsidR="00CF5A0F" w:rsidRPr="006311C5">
        <w:t>-</w:t>
      </w:r>
      <w:r w:rsidR="00B34E4B" w:rsidRPr="006311C5">
        <w:t xml:space="preserve">effect reporting </w:t>
      </w:r>
      <w:r w:rsidR="003F3015" w:rsidRPr="006311C5">
        <w:t xml:space="preserve">was </w:t>
      </w:r>
      <w:r w:rsidR="00B34E4B" w:rsidRPr="006311C5">
        <w:t xml:space="preserve">lower </w:t>
      </w:r>
      <w:r w:rsidR="00210E60" w:rsidRPr="006311C5">
        <w:t>after the second dose</w:t>
      </w:r>
      <w:r w:rsidR="008C1B89" w:rsidRPr="006311C5">
        <w:t xml:space="preserve"> than after the first</w:t>
      </w:r>
      <w:r w:rsidR="00210E60" w:rsidRPr="006311C5">
        <w:t>.</w:t>
      </w:r>
      <w:r w:rsidR="003D7738" w:rsidRPr="006311C5">
        <w:rPr>
          <w:noProof/>
        </w:rPr>
        <w:t xml:space="preserve"> [8]</w:t>
      </w:r>
      <w:r w:rsidR="001255AF" w:rsidRPr="006311C5">
        <w:t xml:space="preserve"> For the Pfizer</w:t>
      </w:r>
      <w:r w:rsidR="00714327" w:rsidRPr="006311C5">
        <w:t>-BioNTech</w:t>
      </w:r>
      <w:r w:rsidR="001255AF" w:rsidRPr="006311C5">
        <w:t xml:space="preserve"> vaccine, there was no difference in </w:t>
      </w:r>
      <w:r w:rsidR="004A66F7" w:rsidRPr="006311C5">
        <w:t xml:space="preserve">the percentage of </w:t>
      </w:r>
      <w:r w:rsidR="006E51FE" w:rsidRPr="006311C5">
        <w:t xml:space="preserve">people experiencing </w:t>
      </w:r>
      <w:r w:rsidR="004A66F7" w:rsidRPr="006311C5">
        <w:t>local reactions following the first and second dose</w:t>
      </w:r>
      <w:r w:rsidR="00046ABB" w:rsidRPr="006311C5">
        <w:t>.</w:t>
      </w:r>
      <w:r w:rsidR="003D7738" w:rsidRPr="006311C5">
        <w:rPr>
          <w:noProof/>
        </w:rPr>
        <w:t xml:space="preserve"> [9, 11]</w:t>
      </w:r>
      <w:r w:rsidR="00046ABB" w:rsidRPr="006311C5">
        <w:t xml:space="preserve"> </w:t>
      </w:r>
      <w:r w:rsidR="00914455" w:rsidRPr="006311C5">
        <w:t xml:space="preserve">One UK study investigating symptom reporting on an app (over 627,000 vaccinated app users) found that people who had the Pfizer-BioNTech vaccine reported more systemic effects </w:t>
      </w:r>
      <w:r w:rsidR="008C1B89" w:rsidRPr="006311C5">
        <w:t xml:space="preserve">(e.g. fatigue and headache) </w:t>
      </w:r>
      <w:r w:rsidR="00914455" w:rsidRPr="006311C5">
        <w:t>after the second dose, compared to the first.</w:t>
      </w:r>
      <w:r w:rsidR="003D7738" w:rsidRPr="006311C5">
        <w:rPr>
          <w:noProof/>
        </w:rPr>
        <w:t xml:space="preserve"> [12]</w:t>
      </w:r>
      <w:r w:rsidR="00DF4DCC" w:rsidRPr="006311C5">
        <w:t xml:space="preserve"> </w:t>
      </w:r>
      <w:r w:rsidR="00046ABB" w:rsidRPr="006311C5">
        <w:t xml:space="preserve">The pattern for </w:t>
      </w:r>
      <w:r w:rsidR="004A66F7" w:rsidRPr="006311C5">
        <w:t xml:space="preserve">reporting systemic reactions </w:t>
      </w:r>
      <w:r w:rsidR="00046ABB" w:rsidRPr="006311C5">
        <w:t xml:space="preserve">differed by previous SARS-CoV-2 infection, with those with </w:t>
      </w:r>
      <w:r w:rsidR="00FD535A" w:rsidRPr="006311C5">
        <w:t xml:space="preserve">evidence of previous infection </w:t>
      </w:r>
      <w:r w:rsidR="00046ABB" w:rsidRPr="006311C5">
        <w:t xml:space="preserve">reporting more systemic reactions </w:t>
      </w:r>
      <w:r w:rsidR="00032540" w:rsidRPr="006311C5">
        <w:t xml:space="preserve">after the </w:t>
      </w:r>
      <w:r w:rsidR="004B4B49" w:rsidRPr="006311C5">
        <w:t>first</w:t>
      </w:r>
      <w:r w:rsidR="00032540" w:rsidRPr="006311C5">
        <w:t xml:space="preserve"> dose</w:t>
      </w:r>
      <w:r w:rsidR="00046ABB" w:rsidRPr="006311C5">
        <w:t xml:space="preserve"> and those with no evidence of previous infection</w:t>
      </w:r>
      <w:r w:rsidR="00E62CF8" w:rsidRPr="006311C5">
        <w:t xml:space="preserve"> reporting more systemic reactions after the second dose.</w:t>
      </w:r>
      <w:r w:rsidR="003D7738" w:rsidRPr="006311C5">
        <w:rPr>
          <w:noProof/>
        </w:rPr>
        <w:t xml:space="preserve"> [11]</w:t>
      </w:r>
      <w:r w:rsidR="00672065" w:rsidRPr="006311C5">
        <w:t xml:space="preserve"> Reported adverse effects for the Moderna vaccine were more severe following the second than </w:t>
      </w:r>
      <w:r w:rsidR="008C1B89" w:rsidRPr="006311C5">
        <w:t xml:space="preserve">following </w:t>
      </w:r>
      <w:r w:rsidR="00672065" w:rsidRPr="006311C5">
        <w:t>the first dose.</w:t>
      </w:r>
      <w:r w:rsidR="003D7738" w:rsidRPr="006311C5">
        <w:rPr>
          <w:noProof/>
        </w:rPr>
        <w:t xml:space="preserve"> [10]</w:t>
      </w:r>
      <w:r w:rsidR="00371308" w:rsidRPr="006311C5">
        <w:t xml:space="preserve"> </w:t>
      </w:r>
    </w:p>
    <w:p w14:paraId="12E9444E" w14:textId="5F7AAC22" w:rsidR="007F3294" w:rsidRPr="006311C5" w:rsidRDefault="00916B69" w:rsidP="00BB7D8E">
      <w:r w:rsidRPr="006311C5">
        <w:t>R</w:t>
      </w:r>
      <w:r w:rsidR="007E73E6" w:rsidRPr="006311C5">
        <w:t xml:space="preserve">esearch investigating symptom reporting following </w:t>
      </w:r>
      <w:r w:rsidR="00FD5223" w:rsidRPr="006311C5">
        <w:t>vaccination for COVID</w:t>
      </w:r>
      <w:r w:rsidR="007E73E6" w:rsidRPr="006311C5">
        <w:t>-19</w:t>
      </w:r>
      <w:r w:rsidR="00360930" w:rsidRPr="006311C5">
        <w:t xml:space="preserve"> </w:t>
      </w:r>
      <w:r w:rsidR="003628B6" w:rsidRPr="006311C5">
        <w:t>has focused</w:t>
      </w:r>
      <w:r w:rsidR="007E73E6" w:rsidRPr="006311C5">
        <w:t xml:space="preserve"> on </w:t>
      </w:r>
      <w:r w:rsidR="00145117" w:rsidRPr="006311C5">
        <w:t xml:space="preserve">the </w:t>
      </w:r>
      <w:r w:rsidR="007E73E6" w:rsidRPr="006311C5">
        <w:t>soci</w:t>
      </w:r>
      <w:r w:rsidR="00E67AD4" w:rsidRPr="006311C5">
        <w:t>odemographic factors</w:t>
      </w:r>
      <w:r w:rsidR="007F3294" w:rsidRPr="006311C5">
        <w:t xml:space="preserve"> associated with symptom reporting</w:t>
      </w:r>
      <w:r w:rsidR="00196999" w:rsidRPr="006311C5">
        <w:t xml:space="preserve">. </w:t>
      </w:r>
      <w:r w:rsidR="00375B63" w:rsidRPr="006311C5">
        <w:t xml:space="preserve">One US </w:t>
      </w:r>
      <w:r w:rsidR="00C23343" w:rsidRPr="006311C5">
        <w:t>survey (over 19,000</w:t>
      </w:r>
      <w:r w:rsidR="00F76764" w:rsidRPr="006311C5">
        <w:t xml:space="preserve"> respondents</w:t>
      </w:r>
      <w:r w:rsidR="00C23343" w:rsidRPr="006311C5">
        <w:t>)</w:t>
      </w:r>
      <w:r w:rsidR="00375B63" w:rsidRPr="006311C5">
        <w:t xml:space="preserve"> found that </w:t>
      </w:r>
      <w:r w:rsidR="000B4871" w:rsidRPr="006311C5">
        <w:t xml:space="preserve">reporting adverse effects was associated with </w:t>
      </w:r>
      <w:r w:rsidR="00594170" w:rsidRPr="006311C5">
        <w:t xml:space="preserve">being </w:t>
      </w:r>
      <w:r w:rsidR="00714327" w:rsidRPr="006311C5">
        <w:t xml:space="preserve">younger, </w:t>
      </w:r>
      <w:r w:rsidR="00594170" w:rsidRPr="006311C5">
        <w:t xml:space="preserve">female, Asian ethnicity (compared to white), having had COVID-19 before, and it being the </w:t>
      </w:r>
      <w:r w:rsidR="00714327" w:rsidRPr="006311C5">
        <w:t>second vaccine dose (Moderna and Pfizer-BioNTech)</w:t>
      </w:r>
      <w:r w:rsidR="00594170" w:rsidRPr="006311C5">
        <w:t>.</w:t>
      </w:r>
      <w:r w:rsidR="003D7738" w:rsidRPr="006311C5">
        <w:rPr>
          <w:noProof/>
        </w:rPr>
        <w:t xml:space="preserve"> [13]</w:t>
      </w:r>
      <w:r w:rsidR="002D1CD2" w:rsidRPr="006311C5">
        <w:t xml:space="preserve"> </w:t>
      </w:r>
      <w:r w:rsidR="00EE1431" w:rsidRPr="006311C5">
        <w:t xml:space="preserve">A study of UK app users </w:t>
      </w:r>
      <w:r w:rsidR="00A74C0E" w:rsidRPr="006311C5">
        <w:t xml:space="preserve">(over </w:t>
      </w:r>
      <w:r w:rsidR="00D5246D" w:rsidRPr="006311C5">
        <w:t>627,000</w:t>
      </w:r>
      <w:r w:rsidR="00F76764" w:rsidRPr="006311C5">
        <w:t xml:space="preserve"> respondents</w:t>
      </w:r>
      <w:r w:rsidR="00D5246D" w:rsidRPr="006311C5">
        <w:t xml:space="preserve">) </w:t>
      </w:r>
      <w:r w:rsidR="00EE1431" w:rsidRPr="006311C5">
        <w:t xml:space="preserve">found that </w:t>
      </w:r>
      <w:r w:rsidR="00477CC8" w:rsidRPr="006311C5">
        <w:t>wo</w:t>
      </w:r>
      <w:r w:rsidR="0029739D" w:rsidRPr="006311C5">
        <w:t>men</w:t>
      </w:r>
      <w:r w:rsidR="00993608" w:rsidRPr="006311C5">
        <w:t xml:space="preserve">, </w:t>
      </w:r>
      <w:r w:rsidR="003C0E3E" w:rsidRPr="006311C5">
        <w:t>younger people</w:t>
      </w:r>
      <w:r w:rsidR="00993608" w:rsidRPr="006311C5">
        <w:t xml:space="preserve">, and those with </w:t>
      </w:r>
      <w:r w:rsidR="00183799" w:rsidRPr="006311C5">
        <w:t>previous SARS-CoV-2 infection</w:t>
      </w:r>
      <w:r w:rsidR="0029739D" w:rsidRPr="006311C5">
        <w:t xml:space="preserve"> were more likely to report symptoms (local and systemic, both AstraZeneca and Pfizer-BioNTech)</w:t>
      </w:r>
      <w:r w:rsidR="009D7785" w:rsidRPr="006311C5">
        <w:t xml:space="preserve">, but found no clear trend with vaccine </w:t>
      </w:r>
      <w:r w:rsidR="00A15A77" w:rsidRPr="006311C5">
        <w:t>type</w:t>
      </w:r>
      <w:r w:rsidR="00F76764" w:rsidRPr="006311C5">
        <w:t>,</w:t>
      </w:r>
      <w:r w:rsidR="00A15A77" w:rsidRPr="006311C5">
        <w:t xml:space="preserve"> dose </w:t>
      </w:r>
      <w:r w:rsidR="00F76764" w:rsidRPr="006311C5">
        <w:t xml:space="preserve">or </w:t>
      </w:r>
      <w:r w:rsidR="00A15A77" w:rsidRPr="006311C5">
        <w:t>comorbidity</w:t>
      </w:r>
      <w:r w:rsidR="0029739D" w:rsidRPr="006311C5">
        <w:t>.</w:t>
      </w:r>
      <w:r w:rsidR="003D7738" w:rsidRPr="006311C5">
        <w:rPr>
          <w:noProof/>
        </w:rPr>
        <w:t xml:space="preserve"> [12]</w:t>
      </w:r>
    </w:p>
    <w:p w14:paraId="21684EF3" w14:textId="61A70B0A" w:rsidR="00AD2B4B" w:rsidRPr="006311C5" w:rsidRDefault="00BF7223" w:rsidP="00BB7D8E">
      <w:r w:rsidRPr="006311C5">
        <w:t xml:space="preserve">Fewer studies have investigated the association between psychological factors and </w:t>
      </w:r>
      <w:r w:rsidR="00336EFB" w:rsidRPr="006311C5">
        <w:t>COVID-19 vaccine side</w:t>
      </w:r>
      <w:r w:rsidR="00CF5A0F" w:rsidRPr="006311C5">
        <w:t>-</w:t>
      </w:r>
      <w:r w:rsidR="00336EFB" w:rsidRPr="006311C5">
        <w:t xml:space="preserve">effect reporting. </w:t>
      </w:r>
      <w:r w:rsidR="00196999" w:rsidRPr="006311C5">
        <w:t xml:space="preserve">Where they </w:t>
      </w:r>
      <w:r w:rsidR="00336EFB" w:rsidRPr="006311C5">
        <w:t xml:space="preserve">have, studies have focused on the influence of </w:t>
      </w:r>
      <w:r w:rsidR="0085634D" w:rsidRPr="006311C5">
        <w:t xml:space="preserve">seeing or hearing about </w:t>
      </w:r>
      <w:r w:rsidR="00336EFB" w:rsidRPr="006311C5">
        <w:t>symptom reporting</w:t>
      </w:r>
      <w:r w:rsidR="0085634D" w:rsidRPr="006311C5">
        <w:t xml:space="preserve"> in others</w:t>
      </w:r>
      <w:r w:rsidR="00336EFB" w:rsidRPr="006311C5">
        <w:t>.</w:t>
      </w:r>
      <w:r w:rsidR="0085634D" w:rsidRPr="006311C5">
        <w:t xml:space="preserve"> For example, one study found that seeing more social media posts about COVID-19 vaccine side effects </w:t>
      </w:r>
      <w:r w:rsidR="008726C1" w:rsidRPr="006311C5">
        <w:t xml:space="preserve">and </w:t>
      </w:r>
      <w:r w:rsidR="00CC4AEE" w:rsidRPr="006311C5">
        <w:t xml:space="preserve">severity of impressions from news stories and personal contacts </w:t>
      </w:r>
      <w:r w:rsidR="00B50874" w:rsidRPr="006311C5">
        <w:t xml:space="preserve">were </w:t>
      </w:r>
      <w:r w:rsidR="0085634D" w:rsidRPr="006311C5">
        <w:t xml:space="preserve">associated with </w:t>
      </w:r>
      <w:r w:rsidR="008726C1" w:rsidRPr="006311C5">
        <w:t>later experiencing side effects.</w:t>
      </w:r>
      <w:r w:rsidR="003D7738" w:rsidRPr="006311C5">
        <w:rPr>
          <w:noProof/>
        </w:rPr>
        <w:t xml:space="preserve"> [14]</w:t>
      </w:r>
      <w:r w:rsidR="00411449" w:rsidRPr="006311C5">
        <w:t xml:space="preserve"> Another study found that </w:t>
      </w:r>
      <w:r w:rsidR="00AE6332" w:rsidRPr="006311C5">
        <w:t xml:space="preserve">following the reporting of severe adverse events in the media, reporting to the </w:t>
      </w:r>
      <w:r w:rsidR="00D54721" w:rsidRPr="006311C5">
        <w:t xml:space="preserve">national </w:t>
      </w:r>
      <w:r w:rsidR="00773E51" w:rsidRPr="006311C5">
        <w:t>Centre for Adverse Reactions Monitoring (N</w:t>
      </w:r>
      <w:r w:rsidR="008C727F" w:rsidRPr="006311C5">
        <w:t xml:space="preserve">ew </w:t>
      </w:r>
      <w:r w:rsidR="00773E51" w:rsidRPr="006311C5">
        <w:t>Z</w:t>
      </w:r>
      <w:r w:rsidR="008C727F" w:rsidRPr="006311C5">
        <w:t>ealand</w:t>
      </w:r>
      <w:r w:rsidR="00773E51" w:rsidRPr="006311C5">
        <w:t>)</w:t>
      </w:r>
      <w:r w:rsidR="00137329" w:rsidRPr="006311C5">
        <w:t xml:space="preserve"> for effects mentioned in the media increased, whereas there was no change in the reporting of adverse events that were not specifically mentioned.</w:t>
      </w:r>
      <w:r w:rsidR="003D7738" w:rsidRPr="006311C5">
        <w:rPr>
          <w:noProof/>
        </w:rPr>
        <w:t xml:space="preserve"> [15]</w:t>
      </w:r>
      <w:r w:rsidR="00620A23" w:rsidRPr="006311C5">
        <w:t xml:space="preserve"> One study, investigating other psychological variables</w:t>
      </w:r>
      <w:r w:rsidR="00F76764" w:rsidRPr="006311C5">
        <w:t>,</w:t>
      </w:r>
      <w:r w:rsidR="00620A23" w:rsidRPr="006311C5">
        <w:t xml:space="preserve"> found</w:t>
      </w:r>
      <w:r w:rsidR="00AD2B4B" w:rsidRPr="006311C5">
        <w:t xml:space="preserve"> evidence for an association between </w:t>
      </w:r>
      <w:r w:rsidR="00620A23" w:rsidRPr="006311C5">
        <w:t>COVID-19 vaccine side</w:t>
      </w:r>
      <w:r w:rsidR="00CF5A0F" w:rsidRPr="006311C5">
        <w:t>-</w:t>
      </w:r>
      <w:r w:rsidR="00620A23" w:rsidRPr="006311C5">
        <w:t xml:space="preserve">effect reports and higher </w:t>
      </w:r>
      <w:r w:rsidR="00AD2B4B" w:rsidRPr="006311C5">
        <w:t>side</w:t>
      </w:r>
      <w:r w:rsidR="00CF5A0F" w:rsidRPr="006311C5">
        <w:t>-</w:t>
      </w:r>
      <w:r w:rsidR="00AD2B4B" w:rsidRPr="006311C5">
        <w:t>effect expectations, greater worry about COVID-19, and depressive symptoms</w:t>
      </w:r>
      <w:r w:rsidR="009F537E" w:rsidRPr="006311C5">
        <w:t>.</w:t>
      </w:r>
      <w:r w:rsidR="003D7738" w:rsidRPr="006311C5">
        <w:rPr>
          <w:noProof/>
        </w:rPr>
        <w:t xml:space="preserve"> [16]</w:t>
      </w:r>
    </w:p>
    <w:p w14:paraId="1D3C1BD8" w14:textId="7BBA0C13" w:rsidR="00E67AD4" w:rsidRPr="006311C5" w:rsidRDefault="00420A09" w:rsidP="00BB7D8E">
      <w:r w:rsidRPr="006311C5">
        <w:t>At the start of the COVID-19 vaccine rollout in the UK</w:t>
      </w:r>
      <w:r w:rsidR="00A5002E" w:rsidRPr="006311C5">
        <w:t xml:space="preserve"> (January 2021)</w:t>
      </w:r>
      <w:r w:rsidRPr="006311C5">
        <w:t xml:space="preserve">, we conducted an online cross-sectional survey investigating perceptions about COVID-19 and vaccination, vaccination intention </w:t>
      </w:r>
      <w:r w:rsidRPr="006311C5">
        <w:lastRenderedPageBreak/>
        <w:t>and side-effect expectations.</w:t>
      </w:r>
      <w:r w:rsidR="003D7738" w:rsidRPr="006311C5">
        <w:rPr>
          <w:noProof/>
        </w:rPr>
        <w:t xml:space="preserve"> [17]</w:t>
      </w:r>
      <w:r w:rsidRPr="006311C5">
        <w:t xml:space="preserve"> </w:t>
      </w:r>
      <w:r w:rsidR="00135CC1" w:rsidRPr="006311C5">
        <w:t xml:space="preserve">We found that </w:t>
      </w:r>
      <w:r w:rsidR="00AB44CA" w:rsidRPr="006311C5">
        <w:t xml:space="preserve">only </w:t>
      </w:r>
      <w:r w:rsidR="00466A42" w:rsidRPr="006311C5">
        <w:t xml:space="preserve">9% </w:t>
      </w:r>
      <w:r w:rsidR="0093576C" w:rsidRPr="006311C5">
        <w:t>of participants thought that side effects were likely</w:t>
      </w:r>
      <w:r w:rsidR="00AB44CA" w:rsidRPr="006311C5">
        <w:t xml:space="preserve"> (</w:t>
      </w:r>
      <w:r w:rsidR="00FF0134" w:rsidRPr="006311C5">
        <w:t xml:space="preserve">58% </w:t>
      </w:r>
      <w:r w:rsidR="006F70D5" w:rsidRPr="006311C5">
        <w:t xml:space="preserve">judged them </w:t>
      </w:r>
      <w:r w:rsidR="00FF0134" w:rsidRPr="006311C5">
        <w:t xml:space="preserve">uncertain, </w:t>
      </w:r>
      <w:r w:rsidR="0072505F" w:rsidRPr="006311C5">
        <w:t xml:space="preserve">33% </w:t>
      </w:r>
      <w:r w:rsidR="006F70D5" w:rsidRPr="006311C5">
        <w:t xml:space="preserve">judged them </w:t>
      </w:r>
      <w:r w:rsidR="0072505F" w:rsidRPr="006311C5">
        <w:t>unlikely)</w:t>
      </w:r>
      <w:r w:rsidR="0093576C" w:rsidRPr="006311C5">
        <w:t>, while clinical trial data indicated that rates experienced were substantially higher (</w:t>
      </w:r>
      <w:r w:rsidR="00842E18" w:rsidRPr="006311C5">
        <w:t>injection</w:t>
      </w:r>
      <w:r w:rsidR="00B50874" w:rsidRPr="006311C5">
        <w:t>-</w:t>
      </w:r>
      <w:r w:rsidR="00842E18" w:rsidRPr="006311C5">
        <w:t>site symptoms up to 89%, non-injection</w:t>
      </w:r>
      <w:r w:rsidR="00B50874" w:rsidRPr="006311C5">
        <w:t>-</w:t>
      </w:r>
      <w:r w:rsidR="00842E18" w:rsidRPr="006311C5">
        <w:t>site symptoms up to 70%).</w:t>
      </w:r>
      <w:r w:rsidR="00AB44CA" w:rsidRPr="006311C5">
        <w:t xml:space="preserve"> H</w:t>
      </w:r>
      <w:r w:rsidR="00632B9D" w:rsidRPr="006311C5">
        <w:t>igher</w:t>
      </w:r>
      <w:r w:rsidR="009E44DA" w:rsidRPr="006311C5">
        <w:t xml:space="preserve"> expectation</w:t>
      </w:r>
      <w:r w:rsidR="008B2091" w:rsidRPr="006311C5">
        <w:t>s</w:t>
      </w:r>
      <w:r w:rsidR="009E44DA" w:rsidRPr="006311C5">
        <w:t xml:space="preserve"> that </w:t>
      </w:r>
      <w:r w:rsidR="00B50874" w:rsidRPr="006311C5">
        <w:t xml:space="preserve">one </w:t>
      </w:r>
      <w:r w:rsidR="009E44DA" w:rsidRPr="006311C5">
        <w:t xml:space="preserve">would experience side effects from a COVID-19 vaccine were associated with </w:t>
      </w:r>
      <w:r w:rsidR="00327F08" w:rsidRPr="006311C5">
        <w:t xml:space="preserve">older age, </w:t>
      </w:r>
      <w:r w:rsidR="00286A54" w:rsidRPr="006311C5">
        <w:t xml:space="preserve">being </w:t>
      </w:r>
      <w:r w:rsidR="00327F08" w:rsidRPr="006311C5">
        <w:t xml:space="preserve">clinically extremely vulnerable to COVID-19, being afraid of needles, </w:t>
      </w:r>
      <w:r w:rsidR="00FD6982" w:rsidRPr="006311C5">
        <w:t xml:space="preserve">perceiving lower social norms for COVID-19 vaccination, </w:t>
      </w:r>
      <w:r w:rsidR="00CD1A7C" w:rsidRPr="006311C5">
        <w:t xml:space="preserve">lower perceived necessity and safety of COVID-19 vaccination, and not thinking that </w:t>
      </w:r>
      <w:r w:rsidR="00F76764" w:rsidRPr="006311C5">
        <w:t xml:space="preserve">one </w:t>
      </w:r>
      <w:r w:rsidR="00CD1A7C" w:rsidRPr="006311C5">
        <w:t>had enough information about COVID-19 vaccination or illness</w:t>
      </w:r>
      <w:r w:rsidR="0099798E" w:rsidRPr="006311C5">
        <w:t xml:space="preserve">. </w:t>
      </w:r>
    </w:p>
    <w:p w14:paraId="09E5BCA0" w14:textId="4FA5365D" w:rsidR="00251280" w:rsidRPr="006311C5" w:rsidRDefault="6D5927AE" w:rsidP="008B3BA0">
      <w:r w:rsidRPr="006311C5">
        <w:t>In this study we used results from a follow-up survey, conducted in October 2021 after all UK adults had been offered two doses of the vaccine,</w:t>
      </w:r>
      <w:r w:rsidR="003D7738" w:rsidRPr="006311C5">
        <w:rPr>
          <w:noProof/>
        </w:rPr>
        <w:t xml:space="preserve"> [18]</w:t>
      </w:r>
      <w:r w:rsidRPr="006311C5">
        <w:t xml:space="preserve"> to investigate prevalence of injection- and non-injection-site symptoms following COVID-19 vaccination and their attribution to the vaccine. We investigated associations between symptom reporting (injection</w:t>
      </w:r>
      <w:r w:rsidR="005A70F6" w:rsidRPr="006311C5">
        <w:t>-</w:t>
      </w:r>
      <w:r w:rsidRPr="006311C5">
        <w:t xml:space="preserve"> and non-injection</w:t>
      </w:r>
      <w:r w:rsidR="005A70F6" w:rsidRPr="006311C5">
        <w:t>-</w:t>
      </w:r>
      <w:r w:rsidRPr="006311C5">
        <w:t>site) and personal, clinical, psychological, and contextual factors following the first and second COVID-19 vaccine doses separately.</w:t>
      </w:r>
    </w:p>
    <w:p w14:paraId="76925B38" w14:textId="64D4A906" w:rsidR="00BC5542" w:rsidRPr="006311C5" w:rsidRDefault="00BC5542" w:rsidP="00BC5542">
      <w:pPr>
        <w:pStyle w:val="Heading1"/>
        <w:rPr>
          <w:rStyle w:val="Hyperlink"/>
          <w:color w:val="auto"/>
          <w:u w:val="none"/>
        </w:rPr>
      </w:pPr>
      <w:r w:rsidRPr="006311C5">
        <w:rPr>
          <w:rStyle w:val="Hyperlink"/>
          <w:color w:val="auto"/>
          <w:u w:val="none"/>
        </w:rPr>
        <w:t>Methods</w:t>
      </w:r>
    </w:p>
    <w:p w14:paraId="4D653FD8" w14:textId="13F4CC9D" w:rsidR="00BC5542" w:rsidRPr="006311C5" w:rsidRDefault="00BC5542" w:rsidP="00527539">
      <w:pPr>
        <w:pStyle w:val="Heading2"/>
        <w:rPr>
          <w:rStyle w:val="Hyperlink"/>
          <w:color w:val="auto"/>
        </w:rPr>
      </w:pPr>
      <w:r w:rsidRPr="006311C5">
        <w:rPr>
          <w:rStyle w:val="Hyperlink"/>
          <w:color w:val="auto"/>
        </w:rPr>
        <w:t>Design</w:t>
      </w:r>
    </w:p>
    <w:p w14:paraId="315A5191" w14:textId="4014AA75" w:rsidR="00B318BF" w:rsidRPr="006311C5" w:rsidRDefault="6E88041F" w:rsidP="00B318BF">
      <w:r w:rsidRPr="006311C5">
        <w:t xml:space="preserve">Prospective cohort study conducted at two timepoints, with participants who completed the first survey (T1, 13–15 January 2021, </w:t>
      </w:r>
      <w:r w:rsidRPr="006311C5">
        <w:rPr>
          <w:i/>
          <w:iCs/>
        </w:rPr>
        <w:t>n</w:t>
      </w:r>
      <w:r w:rsidRPr="006311C5">
        <w:t xml:space="preserve">=1500) also completing the second survey (T2, 4–15 October 2021, </w:t>
      </w:r>
      <w:r w:rsidRPr="006311C5">
        <w:rPr>
          <w:i/>
          <w:iCs/>
        </w:rPr>
        <w:t>n</w:t>
      </w:r>
      <w:r w:rsidRPr="006311C5">
        <w:t>=1148, response rate 76.5%). For more details on the study design, see Smith et al.</w:t>
      </w:r>
      <w:r w:rsidR="003D7738" w:rsidRPr="006311C5">
        <w:rPr>
          <w:noProof/>
        </w:rPr>
        <w:t xml:space="preserve"> [18]</w:t>
      </w:r>
      <w:r w:rsidRPr="006311C5">
        <w:t xml:space="preserve"> Results of analyses investigating </w:t>
      </w:r>
      <w:bookmarkStart w:id="0" w:name="_Hlk119413472"/>
      <w:r w:rsidRPr="006311C5">
        <w:t>factors associated with side-effect expectations (measured at T1) have been published elsewhere.</w:t>
      </w:r>
      <w:bookmarkEnd w:id="0"/>
      <w:r w:rsidR="003D7738" w:rsidRPr="006311C5">
        <w:rPr>
          <w:noProof/>
        </w:rPr>
        <w:t xml:space="preserve"> [17]</w:t>
      </w:r>
    </w:p>
    <w:p w14:paraId="7D8C800F" w14:textId="0840371F" w:rsidR="00BC5542" w:rsidRPr="006311C5" w:rsidRDefault="00BC5542" w:rsidP="00527539">
      <w:pPr>
        <w:pStyle w:val="Heading2"/>
        <w:rPr>
          <w:rStyle w:val="Hyperlink"/>
          <w:color w:val="auto"/>
        </w:rPr>
      </w:pPr>
      <w:r w:rsidRPr="006311C5">
        <w:rPr>
          <w:rStyle w:val="Hyperlink"/>
          <w:color w:val="auto"/>
        </w:rPr>
        <w:t>Participants</w:t>
      </w:r>
    </w:p>
    <w:p w14:paraId="56033F85" w14:textId="49E572BA" w:rsidR="00781FDA" w:rsidRPr="006311C5" w:rsidRDefault="00781FDA" w:rsidP="00CB1740">
      <w:r w:rsidRPr="006311C5">
        <w:t>People were eligible for the study if they lived in the UK</w:t>
      </w:r>
      <w:r w:rsidR="003652E9" w:rsidRPr="006311C5">
        <w:t xml:space="preserve">, </w:t>
      </w:r>
      <w:r w:rsidRPr="006311C5">
        <w:t>were</w:t>
      </w:r>
      <w:r w:rsidR="003652E9" w:rsidRPr="006311C5">
        <w:t xml:space="preserve"> aged 18 years or older, and had not completed our previous survey</w:t>
      </w:r>
      <w:r w:rsidR="00593044" w:rsidRPr="006311C5">
        <w:t xml:space="preserve"> (</w:t>
      </w:r>
      <w:r w:rsidR="6E88041F" w:rsidRPr="006311C5">
        <w:t xml:space="preserve">conducted in July 2020), </w:t>
      </w:r>
      <w:r w:rsidR="00593044" w:rsidRPr="006311C5">
        <w:t>due to similarities in questionnaire materials</w:t>
      </w:r>
      <w:r w:rsidR="00996689" w:rsidRPr="006311C5">
        <w:t>.</w:t>
      </w:r>
      <w:r w:rsidR="003D7738" w:rsidRPr="006311C5">
        <w:rPr>
          <w:noProof/>
        </w:rPr>
        <w:t xml:space="preserve"> [19]</w:t>
      </w:r>
      <w:r w:rsidR="003652E9" w:rsidRPr="006311C5">
        <w:t xml:space="preserve"> </w:t>
      </w:r>
      <w:r w:rsidR="00C05A32" w:rsidRPr="006311C5">
        <w:t xml:space="preserve">Participants were recruited to the study from </w:t>
      </w:r>
      <w:proofErr w:type="spellStart"/>
      <w:r w:rsidR="00C05A32" w:rsidRPr="006311C5">
        <w:t>Prolific’s</w:t>
      </w:r>
      <w:proofErr w:type="spellEnd"/>
      <w:r w:rsidR="00C05A32" w:rsidRPr="006311C5">
        <w:t xml:space="preserve"> online research panel (people who have signed up to take part in online surveys).</w:t>
      </w:r>
      <w:r w:rsidR="0069496D" w:rsidRPr="006311C5">
        <w:t xml:space="preserve"> Quota sampling was used, based on age, sex, and ethnicity</w:t>
      </w:r>
      <w:r w:rsidR="00B50874" w:rsidRPr="006311C5">
        <w:t>,</w:t>
      </w:r>
      <w:r w:rsidR="0069496D" w:rsidRPr="006311C5">
        <w:t xml:space="preserve"> </w:t>
      </w:r>
      <w:r w:rsidR="00D57A02" w:rsidRPr="006311C5">
        <w:t xml:space="preserve">so that participant characteristics </w:t>
      </w:r>
      <w:r w:rsidR="00996689" w:rsidRPr="006311C5">
        <w:t xml:space="preserve">in these respects </w:t>
      </w:r>
      <w:r w:rsidR="00D57A02" w:rsidRPr="006311C5">
        <w:t xml:space="preserve">were </w:t>
      </w:r>
      <w:r w:rsidR="00384A06" w:rsidRPr="006311C5">
        <w:t>similar to those of the UK population. Consent was provided before</w:t>
      </w:r>
      <w:r w:rsidR="00340B9E" w:rsidRPr="006311C5">
        <w:t xml:space="preserve"> starting the survey. Participants were paid £2 per survey upon completion.</w:t>
      </w:r>
    </w:p>
    <w:p w14:paraId="228F5251" w14:textId="317384DD" w:rsidR="00CB1740" w:rsidRPr="006311C5" w:rsidRDefault="0099494E" w:rsidP="00CB1740">
      <w:r w:rsidRPr="006311C5">
        <w:t>For this study,</w:t>
      </w:r>
      <w:r w:rsidR="00051B0C" w:rsidRPr="006311C5">
        <w:t xml:space="preserve"> we excluded people who reported having been vaccinated for COVID-19 at T1 (</w:t>
      </w:r>
      <w:r w:rsidR="00051B0C" w:rsidRPr="006311C5">
        <w:rPr>
          <w:i/>
          <w:iCs/>
        </w:rPr>
        <w:t>n</w:t>
      </w:r>
      <w:r w:rsidR="00051B0C" w:rsidRPr="006311C5">
        <w:t xml:space="preserve">=30). As the outcome measures </w:t>
      </w:r>
      <w:r w:rsidR="00C76761" w:rsidRPr="006311C5">
        <w:t>are symptom reporting following vaccination,</w:t>
      </w:r>
      <w:r w:rsidRPr="006311C5">
        <w:t xml:space="preserve"> only participants who reported that they had been vaccinated for COVID-19 (one or two doses) were selected (</w:t>
      </w:r>
      <w:r w:rsidR="001E3DFD" w:rsidRPr="006311C5">
        <w:t xml:space="preserve">first vaccine </w:t>
      </w:r>
      <w:r w:rsidR="00A83E45" w:rsidRPr="006311C5">
        <w:t xml:space="preserve">dose, </w:t>
      </w:r>
      <w:r w:rsidRPr="006311C5">
        <w:rPr>
          <w:i/>
          <w:iCs/>
        </w:rPr>
        <w:t>n</w:t>
      </w:r>
      <w:r w:rsidRPr="006311C5">
        <w:t>=</w:t>
      </w:r>
      <w:r w:rsidR="001E3DFD" w:rsidRPr="006311C5">
        <w:t>1034</w:t>
      </w:r>
      <w:r w:rsidR="00A83E45" w:rsidRPr="006311C5">
        <w:t xml:space="preserve">; </w:t>
      </w:r>
      <w:r w:rsidR="001E3DFD" w:rsidRPr="006311C5">
        <w:t xml:space="preserve">second vaccine </w:t>
      </w:r>
      <w:r w:rsidR="00A83E45" w:rsidRPr="006311C5">
        <w:t xml:space="preserve">dose, </w:t>
      </w:r>
      <w:r w:rsidR="00A83E45" w:rsidRPr="006311C5">
        <w:rPr>
          <w:i/>
          <w:iCs/>
        </w:rPr>
        <w:t>n</w:t>
      </w:r>
      <w:r w:rsidR="00A83E45" w:rsidRPr="006311C5">
        <w:t>=10</w:t>
      </w:r>
      <w:r w:rsidR="003A290C" w:rsidRPr="006311C5">
        <w:t>09</w:t>
      </w:r>
      <w:r w:rsidR="00A83E45" w:rsidRPr="006311C5">
        <w:t>)</w:t>
      </w:r>
      <w:r w:rsidRPr="006311C5">
        <w:t>.</w:t>
      </w:r>
    </w:p>
    <w:p w14:paraId="4C60649C" w14:textId="01F20106" w:rsidR="0080651E" w:rsidRPr="006311C5" w:rsidRDefault="00BC5542" w:rsidP="00765517">
      <w:pPr>
        <w:pStyle w:val="Heading2"/>
        <w:rPr>
          <w:rStyle w:val="Hyperlink"/>
          <w:color w:val="auto"/>
        </w:rPr>
      </w:pPr>
      <w:r w:rsidRPr="006311C5">
        <w:rPr>
          <w:rStyle w:val="Hyperlink"/>
          <w:color w:val="auto"/>
        </w:rPr>
        <w:t>Measures</w:t>
      </w:r>
    </w:p>
    <w:p w14:paraId="3C1DF5AF" w14:textId="17F13547" w:rsidR="00303859" w:rsidRPr="006311C5" w:rsidRDefault="00303859" w:rsidP="00303859">
      <w:r w:rsidRPr="006311C5">
        <w:t xml:space="preserve">Survey materials are </w:t>
      </w:r>
      <w:r w:rsidR="001272E7" w:rsidRPr="006311C5">
        <w:t>available online.</w:t>
      </w:r>
      <w:r w:rsidR="003D7738" w:rsidRPr="006311C5">
        <w:rPr>
          <w:noProof/>
        </w:rPr>
        <w:t xml:space="preserve"> [20, 21]</w:t>
      </w:r>
    </w:p>
    <w:p w14:paraId="5F3DA2CA" w14:textId="7DFDD2CD" w:rsidR="00527539" w:rsidRPr="006311C5" w:rsidRDefault="00527539" w:rsidP="00527539">
      <w:pPr>
        <w:pStyle w:val="Heading3"/>
      </w:pPr>
      <w:r w:rsidRPr="006311C5">
        <w:t>Outcome measures</w:t>
      </w:r>
    </w:p>
    <w:p w14:paraId="0D8D06BA" w14:textId="67093E7F" w:rsidR="00527539" w:rsidRPr="006311C5" w:rsidRDefault="00EF43A9" w:rsidP="00527539">
      <w:r w:rsidRPr="006311C5">
        <w:t xml:space="preserve">We measured symptom reporting and attribution to the vaccine </w:t>
      </w:r>
      <w:r w:rsidR="00765517" w:rsidRPr="006311C5">
        <w:t xml:space="preserve">at T2 </w:t>
      </w:r>
      <w:r w:rsidRPr="006311C5">
        <w:t xml:space="preserve">using items based on the </w:t>
      </w:r>
      <w:r w:rsidR="009A7D82" w:rsidRPr="006311C5">
        <w:t>Side Effect Attribution Scale.</w:t>
      </w:r>
      <w:r w:rsidR="003D7738" w:rsidRPr="006311C5">
        <w:rPr>
          <w:noProof/>
        </w:rPr>
        <w:t xml:space="preserve"> [22]</w:t>
      </w:r>
      <w:r w:rsidR="009A7D82" w:rsidRPr="006311C5">
        <w:t xml:space="preserve"> </w:t>
      </w:r>
      <w:r w:rsidR="00527539" w:rsidRPr="006311C5">
        <w:t>Participants were asked if they experienced any symptoms (from a list of thirteen</w:t>
      </w:r>
      <w:r w:rsidR="00996689" w:rsidRPr="006311C5">
        <w:t>:</w:t>
      </w:r>
      <w:r w:rsidR="00527539" w:rsidRPr="006311C5">
        <w:t xml:space="preserve"> </w:t>
      </w:r>
      <w:r w:rsidR="00E570EB" w:rsidRPr="006311C5">
        <w:t>seven injection</w:t>
      </w:r>
      <w:r w:rsidR="00AB1C05" w:rsidRPr="006311C5">
        <w:t>-</w:t>
      </w:r>
      <w:r w:rsidR="00E570EB" w:rsidRPr="006311C5">
        <w:t xml:space="preserve">site symptoms, </w:t>
      </w:r>
      <w:r w:rsidR="00527539" w:rsidRPr="006311C5">
        <w:t xml:space="preserve">six </w:t>
      </w:r>
      <w:r w:rsidR="00E570EB" w:rsidRPr="006311C5">
        <w:t>non-injection</w:t>
      </w:r>
      <w:r w:rsidR="00AB1C05" w:rsidRPr="006311C5">
        <w:t>-</w:t>
      </w:r>
      <w:r w:rsidR="00E570EB" w:rsidRPr="006311C5">
        <w:t xml:space="preserve">site </w:t>
      </w:r>
      <w:r w:rsidR="00527539" w:rsidRPr="006311C5">
        <w:t>symptoms</w:t>
      </w:r>
      <w:r w:rsidR="00FC37FA" w:rsidRPr="006311C5">
        <w:t xml:space="preserve">; </w:t>
      </w:r>
      <w:r w:rsidR="00DE3D3B" w:rsidRPr="006311C5">
        <w:t xml:space="preserve">symptoms based on </w:t>
      </w:r>
      <w:proofErr w:type="spellStart"/>
      <w:r w:rsidR="00DE3D3B" w:rsidRPr="006311C5">
        <w:lastRenderedPageBreak/>
        <w:t>Menni</w:t>
      </w:r>
      <w:proofErr w:type="spellEnd"/>
      <w:r w:rsidR="00DE3D3B" w:rsidRPr="006311C5">
        <w:t xml:space="preserve"> et al.</w:t>
      </w:r>
      <w:r w:rsidR="003D7738" w:rsidRPr="006311C5">
        <w:rPr>
          <w:noProof/>
        </w:rPr>
        <w:t xml:space="preserve"> [12]</w:t>
      </w:r>
      <w:r w:rsidR="00527539" w:rsidRPr="006311C5">
        <w:t>) in the seven days after they received a COVID-19 vaccine</w:t>
      </w:r>
      <w:r w:rsidR="009A7D82" w:rsidRPr="006311C5">
        <w:t xml:space="preserve">. </w:t>
      </w:r>
      <w:r w:rsidR="00312F49" w:rsidRPr="006311C5">
        <w:t>W</w:t>
      </w:r>
      <w:r w:rsidR="009A7D82" w:rsidRPr="006311C5">
        <w:t xml:space="preserve">e asked participants about each symptom on a </w:t>
      </w:r>
      <w:r w:rsidR="000D4874" w:rsidRPr="006311C5">
        <w:t>six-point</w:t>
      </w:r>
      <w:r w:rsidR="009A7D82" w:rsidRPr="006311C5">
        <w:t xml:space="preserve"> scale (</w:t>
      </w:r>
      <w:r w:rsidR="000D4874" w:rsidRPr="006311C5">
        <w:t>“no”, “yes, but definitely not a side effect”, “yes, but probably not a side effect”, “yes, but unsure whether a side effect”, “yes, and probably a side effect” and “yes, and definitely a side effect”).</w:t>
      </w:r>
      <w:r w:rsidR="00276C77" w:rsidRPr="006311C5">
        <w:t xml:space="preserve"> </w:t>
      </w:r>
      <w:r w:rsidR="00BD012F" w:rsidRPr="006311C5">
        <w:t>Participants were categori</w:t>
      </w:r>
      <w:r w:rsidR="005337EC" w:rsidRPr="006311C5">
        <w:t>z</w:t>
      </w:r>
      <w:r w:rsidR="00BD012F" w:rsidRPr="006311C5">
        <w:t>ed as having injection</w:t>
      </w:r>
      <w:r w:rsidR="00996689" w:rsidRPr="006311C5">
        <w:t>-</w:t>
      </w:r>
      <w:r w:rsidR="00BD012F" w:rsidRPr="006311C5">
        <w:t>site</w:t>
      </w:r>
      <w:r w:rsidR="002976CE" w:rsidRPr="006311C5">
        <w:t xml:space="preserve"> </w:t>
      </w:r>
      <w:r w:rsidR="00350314" w:rsidRPr="006311C5">
        <w:t xml:space="preserve">symptoms if they reported experiencing any of the seven injection-site symptoms after vaccination. </w:t>
      </w:r>
      <w:r w:rsidR="00D633C3" w:rsidRPr="006311C5">
        <w:t>Participants were categori</w:t>
      </w:r>
      <w:r w:rsidR="005337EC" w:rsidRPr="006311C5">
        <w:t>z</w:t>
      </w:r>
      <w:r w:rsidR="00D633C3" w:rsidRPr="006311C5">
        <w:t xml:space="preserve">ed as having non-injection-site symptoms if they reported experiencing any of the six non-injection-site symptoms after vaccination. </w:t>
      </w:r>
      <w:r w:rsidR="00276C77" w:rsidRPr="006311C5">
        <w:t>We asked about participants’ first and second dose of the vaccine separately.</w:t>
      </w:r>
    </w:p>
    <w:p w14:paraId="3A42BFCF" w14:textId="0E0A2BFD" w:rsidR="005E2466" w:rsidRPr="006311C5" w:rsidRDefault="005837DF" w:rsidP="005E2466">
      <w:pPr>
        <w:pStyle w:val="Heading3"/>
      </w:pPr>
      <w:r w:rsidRPr="006311C5">
        <w:t>Personal and clinical</w:t>
      </w:r>
      <w:r w:rsidR="005352B3" w:rsidRPr="006311C5">
        <w:t xml:space="preserve"> factors</w:t>
      </w:r>
    </w:p>
    <w:p w14:paraId="5DEC26EE" w14:textId="0A11D6A6" w:rsidR="005E2466" w:rsidRPr="006311C5" w:rsidRDefault="6E88041F" w:rsidP="005E2466">
      <w:r w:rsidRPr="006311C5">
        <w:t xml:space="preserve">Participants were asked for their age, gender, ethnicity, and whether they thought they had previously had COVID-19 or currently had it at T1. Answers were recoded into a binary variable (“definitely” and “probably” had it or have it now vs “definitely” and “probably” not had it and do not have it now; we coded “don’t know” and “prefer not to say”  as missing). At T2, participants were asked whether they had a chronic illness. We recoded this into a binary variable indicating whether or not the participant was at high risk for COVID-19. </w:t>
      </w:r>
    </w:p>
    <w:p w14:paraId="79F1F89D" w14:textId="7F32A48C" w:rsidR="005352B3" w:rsidRPr="006311C5" w:rsidRDefault="005352B3" w:rsidP="005352B3">
      <w:pPr>
        <w:pStyle w:val="Heading3"/>
      </w:pPr>
      <w:r w:rsidRPr="006311C5">
        <w:t>Psychological and contextual factors</w:t>
      </w:r>
    </w:p>
    <w:p w14:paraId="3C55CB8B" w14:textId="6CECAC9D" w:rsidR="00D9664A" w:rsidRPr="006311C5" w:rsidRDefault="00FB211E" w:rsidP="005E2466">
      <w:r w:rsidRPr="006311C5">
        <w:t xml:space="preserve">At T1, participants were asked about their COVID-19 vaccination beliefs and attitudes using a series of </w:t>
      </w:r>
      <w:r w:rsidR="00D9664A" w:rsidRPr="006311C5">
        <w:t xml:space="preserve">seventeen items rated on an eleven-point </w:t>
      </w:r>
      <w:r w:rsidR="00FF78DD" w:rsidRPr="006311C5">
        <w:t xml:space="preserve">(0–10) </w:t>
      </w:r>
      <w:r w:rsidR="00D9664A" w:rsidRPr="006311C5">
        <w:t xml:space="preserve">scale </w:t>
      </w:r>
      <w:r w:rsidR="00FF78DD" w:rsidRPr="006311C5">
        <w:t xml:space="preserve">anchored </w:t>
      </w:r>
      <w:r w:rsidR="00C241A3" w:rsidRPr="006311C5">
        <w:t>at ‘</w:t>
      </w:r>
      <w:r w:rsidR="00D9664A" w:rsidRPr="006311C5">
        <w:t xml:space="preserve">strongly </w:t>
      </w:r>
      <w:r w:rsidR="00C241A3" w:rsidRPr="006311C5">
        <w:t>dis</w:t>
      </w:r>
      <w:r w:rsidR="00D9664A" w:rsidRPr="006311C5">
        <w:t>agree</w:t>
      </w:r>
      <w:r w:rsidR="00C241A3" w:rsidRPr="006311C5">
        <w:t>’</w:t>
      </w:r>
      <w:r w:rsidR="00851352" w:rsidRPr="006311C5">
        <w:t xml:space="preserve"> (0)</w:t>
      </w:r>
      <w:r w:rsidR="00D9664A" w:rsidRPr="006311C5">
        <w:t xml:space="preserve"> </w:t>
      </w:r>
      <w:r w:rsidR="00FF78DD" w:rsidRPr="006311C5">
        <w:t xml:space="preserve">and </w:t>
      </w:r>
      <w:r w:rsidR="00C241A3" w:rsidRPr="006311C5">
        <w:t>‘</w:t>
      </w:r>
      <w:r w:rsidR="00D9664A" w:rsidRPr="006311C5">
        <w:t>strongly agree</w:t>
      </w:r>
      <w:r w:rsidR="00C241A3" w:rsidRPr="006311C5">
        <w:t>’</w:t>
      </w:r>
      <w:r w:rsidR="00851352" w:rsidRPr="006311C5">
        <w:t xml:space="preserve"> (10)</w:t>
      </w:r>
      <w:r w:rsidR="00D9664A" w:rsidRPr="006311C5">
        <w:t xml:space="preserve">. </w:t>
      </w:r>
      <w:r w:rsidR="00A54E1B" w:rsidRPr="006311C5">
        <w:t>In previous analyses, t</w:t>
      </w:r>
      <w:r w:rsidR="00D9664A" w:rsidRPr="006311C5">
        <w:t>hese items were subject</w:t>
      </w:r>
      <w:r w:rsidR="00FF78DD" w:rsidRPr="006311C5">
        <w:t>ed</w:t>
      </w:r>
      <w:r w:rsidR="00D9664A" w:rsidRPr="006311C5">
        <w:t xml:space="preserve"> to a principal components analysis, resulting in five components.</w:t>
      </w:r>
      <w:r w:rsidR="003D7738" w:rsidRPr="006311C5">
        <w:rPr>
          <w:noProof/>
        </w:rPr>
        <w:t xml:space="preserve"> [23]</w:t>
      </w:r>
      <w:r w:rsidR="00A54E1B" w:rsidRPr="006311C5">
        <w:t xml:space="preserve"> Participants were also asked </w:t>
      </w:r>
      <w:r w:rsidR="00F341C3" w:rsidRPr="006311C5">
        <w:t xml:space="preserve">whether they were afraid of needles on the same </w:t>
      </w:r>
      <w:r w:rsidR="00B50874" w:rsidRPr="006311C5">
        <w:t xml:space="preserve">0–10 </w:t>
      </w:r>
      <w:r w:rsidR="00F341C3" w:rsidRPr="006311C5">
        <w:t>scale.</w:t>
      </w:r>
    </w:p>
    <w:p w14:paraId="21CFA922" w14:textId="023E8A0E" w:rsidR="00D9664A" w:rsidRPr="006311C5" w:rsidRDefault="00764B9E" w:rsidP="005E2466">
      <w:r w:rsidRPr="006311C5">
        <w:t>Side</w:t>
      </w:r>
      <w:r w:rsidR="00CF5A0F" w:rsidRPr="006311C5">
        <w:t>-</w:t>
      </w:r>
      <w:r w:rsidRPr="006311C5">
        <w:t xml:space="preserve">effect expectations were measured at T1 with a single item </w:t>
      </w:r>
      <w:r w:rsidR="00B50874" w:rsidRPr="006311C5">
        <w:t xml:space="preserve">asking </w:t>
      </w:r>
      <w:r w:rsidR="002D698E" w:rsidRPr="006311C5">
        <w:t xml:space="preserve">how likely participants thought </w:t>
      </w:r>
      <w:r w:rsidR="007C51DA" w:rsidRPr="006311C5">
        <w:t xml:space="preserve">they were to get side effects from a COVID-19 vaccine on </w:t>
      </w:r>
      <w:r w:rsidR="00B50874" w:rsidRPr="006311C5">
        <w:t>a</w:t>
      </w:r>
      <w:r w:rsidR="007C51DA" w:rsidRPr="006311C5">
        <w:t xml:space="preserve"> </w:t>
      </w:r>
      <w:r w:rsidR="00FF78DD" w:rsidRPr="006311C5">
        <w:t xml:space="preserve">0–10 </w:t>
      </w:r>
      <w:r w:rsidR="007C51DA" w:rsidRPr="006311C5">
        <w:t xml:space="preserve">scale </w:t>
      </w:r>
      <w:r w:rsidR="00FF78DD" w:rsidRPr="006311C5">
        <w:t xml:space="preserve">anchored </w:t>
      </w:r>
      <w:r w:rsidR="00851352" w:rsidRPr="006311C5">
        <w:t>at ‘</w:t>
      </w:r>
      <w:r w:rsidR="007C51DA" w:rsidRPr="006311C5">
        <w:t>extremely unlikely</w:t>
      </w:r>
      <w:r w:rsidR="002308E4" w:rsidRPr="006311C5">
        <w:t>’</w:t>
      </w:r>
      <w:r w:rsidR="007C51DA" w:rsidRPr="006311C5">
        <w:t xml:space="preserve"> </w:t>
      </w:r>
      <w:r w:rsidR="002308E4" w:rsidRPr="006311C5">
        <w:t xml:space="preserve">(0) </w:t>
      </w:r>
      <w:r w:rsidR="001B2D64" w:rsidRPr="006311C5">
        <w:t xml:space="preserve">and </w:t>
      </w:r>
      <w:r w:rsidR="002308E4" w:rsidRPr="006311C5">
        <w:t>‘</w:t>
      </w:r>
      <w:r w:rsidR="007C51DA" w:rsidRPr="006311C5">
        <w:t>extremely likely</w:t>
      </w:r>
      <w:r w:rsidR="002308E4" w:rsidRPr="006311C5">
        <w:t>’ (10)</w:t>
      </w:r>
      <w:r w:rsidR="007C51DA" w:rsidRPr="006311C5">
        <w:t>.</w:t>
      </w:r>
      <w:r w:rsidRPr="006311C5">
        <w:t xml:space="preserve"> </w:t>
      </w:r>
    </w:p>
    <w:p w14:paraId="5613BC1B" w14:textId="04D0C47F" w:rsidR="00BC5542" w:rsidRPr="006311C5" w:rsidRDefault="00BC5542" w:rsidP="00527539">
      <w:pPr>
        <w:pStyle w:val="Heading2"/>
        <w:rPr>
          <w:rStyle w:val="Hyperlink"/>
          <w:color w:val="auto"/>
        </w:rPr>
      </w:pPr>
      <w:r w:rsidRPr="006311C5">
        <w:rPr>
          <w:rStyle w:val="Hyperlink"/>
          <w:color w:val="auto"/>
        </w:rPr>
        <w:t>Ethics</w:t>
      </w:r>
    </w:p>
    <w:p w14:paraId="516F9BAB" w14:textId="3442DB15" w:rsidR="00AE143F" w:rsidRPr="006311C5" w:rsidRDefault="00AE143F" w:rsidP="00AE143F">
      <w:r w:rsidRPr="006311C5">
        <w:t xml:space="preserve">Ethical approval for this study </w:t>
      </w:r>
      <w:r w:rsidR="002308E4" w:rsidRPr="006311C5">
        <w:t>w</w:t>
      </w:r>
      <w:r w:rsidRPr="006311C5">
        <w:t xml:space="preserve">as granted by </w:t>
      </w:r>
      <w:proofErr w:type="spellStart"/>
      <w:r w:rsidRPr="006311C5">
        <w:t>Keele</w:t>
      </w:r>
      <w:proofErr w:type="spellEnd"/>
      <w:r w:rsidRPr="006311C5">
        <w:t xml:space="preserve"> University’s Research Ethics Committee (reference: PS-200129). </w:t>
      </w:r>
    </w:p>
    <w:p w14:paraId="531BD0CD" w14:textId="696443FE" w:rsidR="00BC5542" w:rsidRPr="006311C5" w:rsidRDefault="4F99F936" w:rsidP="00527539">
      <w:pPr>
        <w:pStyle w:val="Heading2"/>
        <w:rPr>
          <w:rStyle w:val="Hyperlink"/>
          <w:color w:val="auto"/>
        </w:rPr>
      </w:pPr>
      <w:r w:rsidRPr="006311C5">
        <w:rPr>
          <w:rStyle w:val="Hyperlink"/>
          <w:color w:val="auto"/>
        </w:rPr>
        <w:t>Sample size</w:t>
      </w:r>
    </w:p>
    <w:p w14:paraId="119575FE" w14:textId="3322E27A" w:rsidR="0071269D" w:rsidRPr="006311C5" w:rsidRDefault="4F99F936" w:rsidP="4F99F936">
      <w:r w:rsidRPr="006311C5">
        <w:rPr>
          <w:rFonts w:ascii="Calibri" w:eastAsia="Calibri" w:hAnsi="Calibri" w:cs="Calibri"/>
        </w:rPr>
        <w:t>Our achieved sample size of 1005 for the logistic regression analysis was sufficient to avoid overfitting of a model with 14 estimated parameters and an assumed outcome prevalence of 70%, using a conservative event-to-predictor ratio of 20:1</w:t>
      </w:r>
      <w:r w:rsidRPr="006311C5">
        <w:t>.</w:t>
      </w:r>
      <w:r w:rsidR="003D7738" w:rsidRPr="006311C5">
        <w:rPr>
          <w:noProof/>
        </w:rPr>
        <w:t xml:space="preserve"> [24]</w:t>
      </w:r>
      <w:r w:rsidRPr="006311C5">
        <w:t xml:space="preserve">  </w:t>
      </w:r>
    </w:p>
    <w:p w14:paraId="117979A2" w14:textId="29D69B2F" w:rsidR="002C276D" w:rsidRPr="006311C5" w:rsidRDefault="00BC5542" w:rsidP="002C276D">
      <w:pPr>
        <w:pStyle w:val="Heading2"/>
        <w:rPr>
          <w:rStyle w:val="Hyperlink"/>
          <w:color w:val="auto"/>
        </w:rPr>
      </w:pPr>
      <w:r w:rsidRPr="006311C5">
        <w:rPr>
          <w:rStyle w:val="Hyperlink"/>
          <w:color w:val="auto"/>
        </w:rPr>
        <w:t>Analysis</w:t>
      </w:r>
    </w:p>
    <w:p w14:paraId="290C1F62" w14:textId="5DB983CB" w:rsidR="00EC4632" w:rsidRPr="006311C5" w:rsidRDefault="00EC4632" w:rsidP="00EC4632">
      <w:r w:rsidRPr="006311C5">
        <w:t>Responses to side</w:t>
      </w:r>
      <w:r w:rsidR="00CF5A0F" w:rsidRPr="006311C5">
        <w:t>-</w:t>
      </w:r>
      <w:r w:rsidRPr="006311C5">
        <w:t>effect question</w:t>
      </w:r>
      <w:r w:rsidR="00640E45" w:rsidRPr="006311C5">
        <w:t>s</w:t>
      </w:r>
      <w:r w:rsidRPr="006311C5">
        <w:t xml:space="preserve"> were not forced</w:t>
      </w:r>
      <w:r w:rsidR="005B5FB7" w:rsidRPr="006311C5">
        <w:t xml:space="preserve">; </w:t>
      </w:r>
      <w:r w:rsidR="003A4CF4" w:rsidRPr="006311C5">
        <w:t xml:space="preserve">there </w:t>
      </w:r>
      <w:r w:rsidR="003970C6" w:rsidRPr="006311C5">
        <w:t>was</w:t>
      </w:r>
      <w:r w:rsidR="005B5FB7" w:rsidRPr="006311C5">
        <w:t>,</w:t>
      </w:r>
      <w:r w:rsidR="003970C6" w:rsidRPr="006311C5">
        <w:t xml:space="preserve"> </w:t>
      </w:r>
      <w:r w:rsidR="001B2D64" w:rsidRPr="006311C5">
        <w:t>therefore</w:t>
      </w:r>
      <w:r w:rsidR="005B5FB7" w:rsidRPr="006311C5">
        <w:t>,</w:t>
      </w:r>
      <w:r w:rsidR="001B2D64" w:rsidRPr="006311C5">
        <w:t xml:space="preserve"> </w:t>
      </w:r>
      <w:r w:rsidR="003A4CF4" w:rsidRPr="006311C5">
        <w:t>a small amount of missing data for individual symptoms</w:t>
      </w:r>
      <w:r w:rsidR="003F2393" w:rsidRPr="006311C5">
        <w:t xml:space="preserve"> (</w:t>
      </w:r>
      <w:r w:rsidR="00700830" w:rsidRPr="006311C5">
        <w:t>first vaccine dose, up to</w:t>
      </w:r>
      <w:r w:rsidR="00710865" w:rsidRPr="006311C5">
        <w:t xml:space="preserve"> 0.6%</w:t>
      </w:r>
      <w:r w:rsidR="00BC76D8" w:rsidRPr="006311C5">
        <w:t>,</w:t>
      </w:r>
      <w:r w:rsidR="00700830" w:rsidRPr="006311C5">
        <w:t xml:space="preserve"> </w:t>
      </w:r>
      <w:r w:rsidR="003F2393" w:rsidRPr="006311C5">
        <w:rPr>
          <w:i/>
          <w:iCs/>
        </w:rPr>
        <w:t>n</w:t>
      </w:r>
      <w:r w:rsidR="003F2393" w:rsidRPr="006311C5">
        <w:t>=</w:t>
      </w:r>
      <w:r w:rsidR="00710865" w:rsidRPr="006311C5">
        <w:t xml:space="preserve">6/1034; second vaccine dose, up to </w:t>
      </w:r>
      <w:r w:rsidR="00BC76D8" w:rsidRPr="006311C5">
        <w:t>0.4%,</w:t>
      </w:r>
      <w:r w:rsidR="00D925C0" w:rsidRPr="006311C5">
        <w:t xml:space="preserve"> </w:t>
      </w:r>
      <w:r w:rsidR="00BC76D8" w:rsidRPr="006311C5">
        <w:rPr>
          <w:i/>
          <w:iCs/>
        </w:rPr>
        <w:t>n</w:t>
      </w:r>
      <w:r w:rsidR="00BC76D8" w:rsidRPr="006311C5">
        <w:t>=4/1009)</w:t>
      </w:r>
      <w:r w:rsidR="003D3119" w:rsidRPr="006311C5">
        <w:t>.</w:t>
      </w:r>
    </w:p>
    <w:p w14:paraId="602B68A8" w14:textId="1E45A091" w:rsidR="00E67E01" w:rsidRPr="006311C5" w:rsidRDefault="00E67E01" w:rsidP="00EC4632">
      <w:r w:rsidRPr="006311C5">
        <w:t>Reporting and attribution of symptoms was investigated following the first and second COVID-19 vaccine dose</w:t>
      </w:r>
      <w:r w:rsidR="005B5FB7" w:rsidRPr="006311C5">
        <w:t>s</w:t>
      </w:r>
      <w:r w:rsidRPr="006311C5">
        <w:t xml:space="preserve"> separately.</w:t>
      </w:r>
    </w:p>
    <w:p w14:paraId="648AC23A" w14:textId="2277CB7F" w:rsidR="00CC1C9E" w:rsidRPr="006311C5" w:rsidRDefault="6E88041F" w:rsidP="00CC1C9E">
      <w:r w:rsidRPr="006311C5">
        <w:t xml:space="preserve">We recoded symptom reporting into a binary variable (symptom not reported, vs one or more symptom reported). For reported symptoms, we also recoded symptom attribution into three </w:t>
      </w:r>
      <w:r w:rsidRPr="006311C5">
        <w:lastRenderedPageBreak/>
        <w:t>categories (definitely not, probably not; unsure; probably, definitely). We categori</w:t>
      </w:r>
      <w:r w:rsidR="005337EC" w:rsidRPr="006311C5">
        <w:t>z</w:t>
      </w:r>
      <w:r w:rsidRPr="006311C5">
        <w:t>ed symptoms into two categories: i) injection-site symptoms (pain or tenderness where the injection was, redness where the injection was, swelling where the injection was, itch where the injection was, warmth where the injection was, bruising where the injection was, other symptom[s] where the injection was), and ii) non-injection-site symptoms (diarrhoea, headache, joint or muscle pain, high temperature/fever, nausea, fatigue). For each vaccine dose, we then created two further variables indicating whether the participant had experienced any injection-site symptoms (no injection-site symptoms reported, vs injection-site symptom reported) or any non-injection-site symptoms (no non-injection-site symptom reported, vs non-injection-site symptom reported) respectively. We did the same for attribution (of symptoms to vaccine).</w:t>
      </w:r>
    </w:p>
    <w:p w14:paraId="0725EF0C" w14:textId="35846C04" w:rsidR="006D4ED5" w:rsidRPr="006311C5" w:rsidRDefault="6D5927AE" w:rsidP="006D4ED5">
      <w:r w:rsidRPr="006311C5">
        <w:t>Symptom reporting and attribution of individual symptoms, and injection- and non-injection</w:t>
      </w:r>
      <w:r w:rsidR="00A27E29" w:rsidRPr="006311C5">
        <w:t>-site</w:t>
      </w:r>
      <w:r w:rsidRPr="006311C5">
        <w:t xml:space="preserve"> symptoms, are reported descriptively. A chi-squared test was used to investigate whether there was an association between reporting injection-site symptoms and non-injection-site symptoms.</w:t>
      </w:r>
    </w:p>
    <w:p w14:paraId="2DCF15C9" w14:textId="2511170D" w:rsidR="00B87857" w:rsidRPr="006311C5" w:rsidRDefault="00E67E01" w:rsidP="000B51B0">
      <w:r w:rsidRPr="006311C5">
        <w:t>We in</w:t>
      </w:r>
      <w:r w:rsidR="00C3178C" w:rsidRPr="006311C5">
        <w:t>vestigated factors associated with reporting of injection</w:t>
      </w:r>
      <w:r w:rsidR="00D157BA" w:rsidRPr="006311C5">
        <w:t>-site</w:t>
      </w:r>
      <w:r w:rsidR="00C3178C" w:rsidRPr="006311C5">
        <w:t xml:space="preserve"> and non-injection</w:t>
      </w:r>
      <w:r w:rsidR="00D157BA" w:rsidRPr="006311C5">
        <w:t>-</w:t>
      </w:r>
      <w:r w:rsidR="00C3178C" w:rsidRPr="006311C5">
        <w:t xml:space="preserve">site symptoms separately, using binary logistic regression. </w:t>
      </w:r>
      <w:r w:rsidR="00264352" w:rsidRPr="006311C5">
        <w:t xml:space="preserve">Explanatory variables </w:t>
      </w:r>
      <w:r w:rsidR="00F970EA" w:rsidRPr="006311C5">
        <w:t xml:space="preserve">(except for at risk </w:t>
      </w:r>
      <w:r w:rsidR="00B31FDE" w:rsidRPr="006311C5">
        <w:t>for</w:t>
      </w:r>
      <w:r w:rsidR="00F970EA" w:rsidRPr="006311C5">
        <w:t xml:space="preserve"> COVID-19) </w:t>
      </w:r>
      <w:r w:rsidR="00264352" w:rsidRPr="006311C5">
        <w:t xml:space="preserve">were </w:t>
      </w:r>
      <w:r w:rsidR="00F970EA" w:rsidRPr="006311C5">
        <w:t>measured at T1, while the outcomes (symptom reporting) were reported at T2.</w:t>
      </w:r>
      <w:r w:rsidR="002906C9" w:rsidRPr="006311C5">
        <w:t xml:space="preserve"> Explanatory variables were entered into the logistic regression model in two blocks, selected </w:t>
      </w:r>
      <w:r w:rsidR="002906C9" w:rsidRPr="006311C5">
        <w:rPr>
          <w:i/>
          <w:iCs/>
        </w:rPr>
        <w:t>a priori</w:t>
      </w:r>
      <w:r w:rsidR="002906C9" w:rsidRPr="006311C5">
        <w:t xml:space="preserve"> based on previous analyses.</w:t>
      </w:r>
      <w:r w:rsidR="003D7738" w:rsidRPr="006311C5">
        <w:rPr>
          <w:noProof/>
        </w:rPr>
        <w:t xml:space="preserve"> [18, 23]</w:t>
      </w:r>
      <w:r w:rsidR="000065E3" w:rsidRPr="006311C5">
        <w:t xml:space="preserve"> We entered </w:t>
      </w:r>
      <w:r w:rsidR="005837DF" w:rsidRPr="006311C5">
        <w:t>personal and clinical</w:t>
      </w:r>
      <w:r w:rsidR="000065E3" w:rsidRPr="006311C5">
        <w:t xml:space="preserve"> characteristics into the first block</w:t>
      </w:r>
      <w:r w:rsidR="00D157BA" w:rsidRPr="006311C5">
        <w:t>:</w:t>
      </w:r>
      <w:r w:rsidR="000065E3" w:rsidRPr="006311C5">
        <w:t xml:space="preserve"> age, gender, ethnicity, at risk for COVID-19</w:t>
      </w:r>
      <w:r w:rsidR="005837DF" w:rsidRPr="006311C5">
        <w:t xml:space="preserve">, </w:t>
      </w:r>
      <w:r w:rsidR="00153F86" w:rsidRPr="006311C5">
        <w:t>think or had COVID-19 previously</w:t>
      </w:r>
      <w:r w:rsidR="00AD032B" w:rsidRPr="006311C5">
        <w:t xml:space="preserve"> or currently</w:t>
      </w:r>
      <w:r w:rsidR="00153F86" w:rsidRPr="006311C5">
        <w:t xml:space="preserve">, </w:t>
      </w:r>
      <w:r w:rsidR="00D157BA" w:rsidRPr="006311C5">
        <w:t xml:space="preserve">and </w:t>
      </w:r>
      <w:r w:rsidR="005837DF" w:rsidRPr="006311C5">
        <w:t>vaccine brand</w:t>
      </w:r>
      <w:r w:rsidR="00D157BA" w:rsidRPr="006311C5">
        <w:t>. P</w:t>
      </w:r>
      <w:r w:rsidR="00BA2EC3" w:rsidRPr="006311C5">
        <w:t xml:space="preserve">sychological and contextual factors </w:t>
      </w:r>
      <w:r w:rsidR="00D157BA" w:rsidRPr="006311C5">
        <w:t xml:space="preserve">were entered </w:t>
      </w:r>
      <w:r w:rsidR="00BA2EC3" w:rsidRPr="006311C5">
        <w:t>into the second block</w:t>
      </w:r>
      <w:r w:rsidR="00D157BA" w:rsidRPr="006311C5">
        <w:t>:</w:t>
      </w:r>
      <w:r w:rsidR="00BA2EC3" w:rsidRPr="006311C5">
        <w:t xml:space="preserve"> fear of needles, four principal </w:t>
      </w:r>
      <w:r w:rsidR="004255D4" w:rsidRPr="006311C5">
        <w:t>vaccine components</w:t>
      </w:r>
      <w:r w:rsidR="00B32A2C" w:rsidRPr="006311C5">
        <w:t xml:space="preserve"> </w:t>
      </w:r>
      <w:r w:rsidR="00D157BA" w:rsidRPr="006311C5">
        <w:t>(</w:t>
      </w:r>
      <w:r w:rsidR="00B87857" w:rsidRPr="006311C5">
        <w:t>social norms relating to vaccination, perceived necessity of vaccination, perceived safety of the vaccine, adequacy of information about the vaccine</w:t>
      </w:r>
      <w:r w:rsidR="00D157BA" w:rsidRPr="006311C5">
        <w:t>) and</w:t>
      </w:r>
      <w:r w:rsidR="00B87857" w:rsidRPr="006311C5">
        <w:t xml:space="preserve"> side</w:t>
      </w:r>
      <w:r w:rsidR="00CF5A0F" w:rsidRPr="006311C5">
        <w:t>-</w:t>
      </w:r>
      <w:r w:rsidR="00B87857" w:rsidRPr="006311C5">
        <w:t xml:space="preserve">effect expectations. </w:t>
      </w:r>
      <w:r w:rsidR="00736622" w:rsidRPr="006311C5">
        <w:t xml:space="preserve">In analyses investigating symptom reporting following the second vaccine dose we also included </w:t>
      </w:r>
      <w:r w:rsidR="00640E45" w:rsidRPr="006311C5">
        <w:t xml:space="preserve">a single item in </w:t>
      </w:r>
      <w:r w:rsidR="00F93870" w:rsidRPr="006311C5">
        <w:t xml:space="preserve">a third block: </w:t>
      </w:r>
      <w:r w:rsidR="00736622" w:rsidRPr="006311C5">
        <w:t>symptom reporting following the first vaccine.</w:t>
      </w:r>
      <w:r w:rsidR="009049C9" w:rsidRPr="006311C5">
        <w:t xml:space="preserve"> </w:t>
      </w:r>
      <w:r w:rsidR="00F93870" w:rsidRPr="006311C5">
        <w:t xml:space="preserve">The </w:t>
      </w:r>
      <w:proofErr w:type="spellStart"/>
      <w:r w:rsidR="009049C9" w:rsidRPr="006311C5">
        <w:t>Nagelkerke</w:t>
      </w:r>
      <w:proofErr w:type="spellEnd"/>
      <w:r w:rsidR="009049C9" w:rsidRPr="006311C5">
        <w:t xml:space="preserve"> </w:t>
      </w:r>
      <w:r w:rsidR="00891A59" w:rsidRPr="006311C5">
        <w:t>(</w:t>
      </w:r>
      <w:r w:rsidR="00BE518C" w:rsidRPr="006311C5">
        <w:t>pseudo-</w:t>
      </w:r>
      <w:r w:rsidR="00891A59" w:rsidRPr="006311C5">
        <w:t>)</w:t>
      </w:r>
      <w:r w:rsidR="00BD4380" w:rsidRPr="006311C5">
        <w:t xml:space="preserve"> </w:t>
      </w:r>
      <w:r w:rsidR="009049C9" w:rsidRPr="006311C5">
        <w:rPr>
          <w:i/>
          <w:iCs/>
        </w:rPr>
        <w:t>R</w:t>
      </w:r>
      <w:r w:rsidR="009049C9" w:rsidRPr="006311C5">
        <w:rPr>
          <w:vertAlign w:val="superscript"/>
        </w:rPr>
        <w:t>2</w:t>
      </w:r>
      <w:r w:rsidR="009049C9" w:rsidRPr="006311C5">
        <w:t xml:space="preserve"> was used to investigate </w:t>
      </w:r>
      <w:r w:rsidR="00BE518C" w:rsidRPr="006311C5">
        <w:t>the predictive strength of the regression models</w:t>
      </w:r>
      <w:r w:rsidR="00640E45" w:rsidRPr="006311C5">
        <w:t>; this statistic can take values between 0 and 1</w:t>
      </w:r>
      <w:r w:rsidR="009049C9" w:rsidRPr="006311C5">
        <w:t>.</w:t>
      </w:r>
    </w:p>
    <w:p w14:paraId="067071CD" w14:textId="4A46F4AE" w:rsidR="002E3593" w:rsidRPr="006311C5" w:rsidRDefault="002E3593" w:rsidP="000B51B0">
      <w:r w:rsidRPr="006311C5">
        <w:t xml:space="preserve">Statistical significance was set at </w:t>
      </w:r>
      <w:r w:rsidRPr="006311C5">
        <w:rPr>
          <w:i/>
          <w:iCs/>
        </w:rPr>
        <w:t>p</w:t>
      </w:r>
      <w:r w:rsidRPr="006311C5">
        <w:t xml:space="preserve"> ≤.05.</w:t>
      </w:r>
    </w:p>
    <w:p w14:paraId="0BFC4440" w14:textId="5B7F0F27" w:rsidR="00736622" w:rsidRPr="006311C5" w:rsidRDefault="00736622" w:rsidP="000B51B0">
      <w:bookmarkStart w:id="1" w:name="_Hlk113456747"/>
      <w:r w:rsidRPr="006311C5">
        <w:t xml:space="preserve">We did not conduct analyses of associations with symptom attribution </w:t>
      </w:r>
      <w:r w:rsidR="00232EFD" w:rsidRPr="006311C5">
        <w:rPr>
          <w:rStyle w:val="normaltextrun"/>
          <w:color w:val="000000"/>
          <w:shd w:val="clear" w:color="auto" w:fill="FFFFFF"/>
        </w:rPr>
        <w:t>owing to the very small number of symptoms that were not attributed to vaccination, in relation to both the first and the second vaccine</w:t>
      </w:r>
      <w:r w:rsidRPr="006311C5">
        <w:t>.</w:t>
      </w:r>
    </w:p>
    <w:bookmarkEnd w:id="1"/>
    <w:p w14:paraId="49E6C972" w14:textId="6F905890" w:rsidR="00BC5542" w:rsidRPr="006311C5" w:rsidRDefault="00BC5542" w:rsidP="00BC5542">
      <w:pPr>
        <w:pStyle w:val="Heading1"/>
        <w:rPr>
          <w:rStyle w:val="Hyperlink"/>
          <w:color w:val="auto"/>
          <w:u w:val="none"/>
        </w:rPr>
      </w:pPr>
      <w:r w:rsidRPr="006311C5">
        <w:rPr>
          <w:rStyle w:val="Hyperlink"/>
          <w:color w:val="auto"/>
          <w:u w:val="none"/>
        </w:rPr>
        <w:t>Results</w:t>
      </w:r>
    </w:p>
    <w:p w14:paraId="0FA287CC" w14:textId="496BF1EC" w:rsidR="00017E6B" w:rsidRPr="006311C5" w:rsidRDefault="00017E6B" w:rsidP="00017E6B">
      <w:pPr>
        <w:pStyle w:val="Heading2"/>
      </w:pPr>
      <w:r w:rsidRPr="006311C5">
        <w:t>Participant characteristics</w:t>
      </w:r>
    </w:p>
    <w:p w14:paraId="12B80A37" w14:textId="358C8C85" w:rsidR="00286321" w:rsidRPr="006311C5" w:rsidRDefault="00D30642" w:rsidP="00286321">
      <w:r w:rsidRPr="006311C5">
        <w:t xml:space="preserve">After excluding those who had been vaccinated at T1, </w:t>
      </w:r>
      <w:r w:rsidR="007A3BFC" w:rsidRPr="006311C5">
        <w:t xml:space="preserve">and those who </w:t>
      </w:r>
      <w:r w:rsidR="00FF19B3" w:rsidRPr="006311C5">
        <w:t xml:space="preserve">had not been vaccinated, preferred not to say, or did not know if they had been vaccinated at T2, </w:t>
      </w:r>
      <w:r w:rsidR="00B266CD" w:rsidRPr="006311C5">
        <w:t>1034 participants were included in analyses</w:t>
      </w:r>
      <w:r w:rsidR="00FF19B3" w:rsidRPr="006311C5">
        <w:t xml:space="preserve"> of s</w:t>
      </w:r>
      <w:r w:rsidR="00236FFD" w:rsidRPr="006311C5">
        <w:t>ymptom reporting</w:t>
      </w:r>
      <w:r w:rsidR="00B266CD" w:rsidRPr="006311C5">
        <w:t>.  Just over half (52.1%) were female, most (86.9%) were white</w:t>
      </w:r>
      <w:r w:rsidR="001C413A" w:rsidRPr="006311C5">
        <w:t xml:space="preserve">, </w:t>
      </w:r>
      <w:r w:rsidR="00236FFD" w:rsidRPr="006311C5">
        <w:t>and the</w:t>
      </w:r>
      <w:r w:rsidR="001C413A" w:rsidRPr="006311C5">
        <w:t xml:space="preserve"> mean age </w:t>
      </w:r>
      <w:r w:rsidR="00236FFD" w:rsidRPr="006311C5">
        <w:t>was</w:t>
      </w:r>
      <w:r w:rsidR="001C413A" w:rsidRPr="006311C5">
        <w:t xml:space="preserve"> 48.7 years</w:t>
      </w:r>
      <w:r w:rsidR="003F0314" w:rsidRPr="006311C5">
        <w:t xml:space="preserve"> (Table 1)</w:t>
      </w:r>
      <w:r w:rsidR="001C413A" w:rsidRPr="006311C5">
        <w:t>. The most commonly reported vaccine received was AstraZeneca, followed by Pfizer-BioNTech and Moderna.</w:t>
      </w:r>
      <w:r w:rsidR="00286321" w:rsidRPr="006311C5">
        <w:br w:type="page"/>
      </w:r>
    </w:p>
    <w:p w14:paraId="3978CBFA" w14:textId="7F5C4B0C" w:rsidR="007A3BFC" w:rsidRPr="006311C5" w:rsidRDefault="6E88041F" w:rsidP="00D30642">
      <w:r w:rsidRPr="006311C5">
        <w:lastRenderedPageBreak/>
        <w:t>Table 1. Participant characteristics</w:t>
      </w:r>
    </w:p>
    <w:tbl>
      <w:tblPr>
        <w:tblStyle w:val="TableGrid"/>
        <w:tblW w:w="0" w:type="auto"/>
        <w:tblLook w:val="04A0" w:firstRow="1" w:lastRow="0" w:firstColumn="1" w:lastColumn="0" w:noHBand="0" w:noVBand="1"/>
      </w:tblPr>
      <w:tblGrid>
        <w:gridCol w:w="3005"/>
        <w:gridCol w:w="3005"/>
        <w:gridCol w:w="3006"/>
      </w:tblGrid>
      <w:tr w:rsidR="00BA325E" w:rsidRPr="006311C5" w14:paraId="3D39031A" w14:textId="77777777" w:rsidTr="006572D5">
        <w:tc>
          <w:tcPr>
            <w:tcW w:w="3005" w:type="dxa"/>
            <w:tcBorders>
              <w:top w:val="single" w:sz="12" w:space="0" w:color="auto"/>
              <w:left w:val="nil"/>
              <w:bottom w:val="single" w:sz="12" w:space="0" w:color="auto"/>
              <w:right w:val="nil"/>
            </w:tcBorders>
          </w:tcPr>
          <w:p w14:paraId="53FB7139" w14:textId="77777777" w:rsidR="00BA325E" w:rsidRPr="006311C5" w:rsidRDefault="00BA325E" w:rsidP="001A1926">
            <w:pPr>
              <w:pStyle w:val="Tabletext"/>
            </w:pPr>
          </w:p>
        </w:tc>
        <w:tc>
          <w:tcPr>
            <w:tcW w:w="3005" w:type="dxa"/>
            <w:tcBorders>
              <w:top w:val="single" w:sz="12" w:space="0" w:color="auto"/>
              <w:left w:val="nil"/>
              <w:bottom w:val="single" w:sz="12" w:space="0" w:color="auto"/>
              <w:right w:val="nil"/>
            </w:tcBorders>
          </w:tcPr>
          <w:p w14:paraId="7033687A" w14:textId="77777777" w:rsidR="00BA325E" w:rsidRPr="006311C5" w:rsidRDefault="00BA325E" w:rsidP="001A1926">
            <w:pPr>
              <w:pStyle w:val="Tabletext"/>
            </w:pPr>
          </w:p>
        </w:tc>
        <w:tc>
          <w:tcPr>
            <w:tcW w:w="3006" w:type="dxa"/>
            <w:tcBorders>
              <w:top w:val="single" w:sz="12" w:space="0" w:color="auto"/>
              <w:left w:val="nil"/>
              <w:bottom w:val="single" w:sz="12" w:space="0" w:color="auto"/>
              <w:right w:val="nil"/>
            </w:tcBorders>
          </w:tcPr>
          <w:p w14:paraId="7F3C092D" w14:textId="499F1B89" w:rsidR="00BA325E" w:rsidRPr="006311C5" w:rsidRDefault="00BB1F11" w:rsidP="001A1926">
            <w:pPr>
              <w:pStyle w:val="Tabletext"/>
            </w:pPr>
            <w:r w:rsidRPr="006311C5">
              <w:rPr>
                <w:rFonts w:cstheme="minorHAnsi"/>
                <w:i/>
                <w:iCs/>
                <w:szCs w:val="18"/>
              </w:rPr>
              <w:t>n</w:t>
            </w:r>
            <w:r w:rsidRPr="006311C5">
              <w:rPr>
                <w:rFonts w:cstheme="minorHAnsi"/>
                <w:szCs w:val="18"/>
              </w:rPr>
              <w:t xml:space="preserve"> (%)</w:t>
            </w:r>
          </w:p>
        </w:tc>
      </w:tr>
      <w:tr w:rsidR="001A1926" w:rsidRPr="006311C5" w14:paraId="1813B253" w14:textId="77777777" w:rsidTr="006572D5">
        <w:tc>
          <w:tcPr>
            <w:tcW w:w="3005" w:type="dxa"/>
            <w:vMerge w:val="restart"/>
            <w:tcBorders>
              <w:top w:val="single" w:sz="12" w:space="0" w:color="auto"/>
              <w:left w:val="nil"/>
              <w:bottom w:val="nil"/>
              <w:right w:val="nil"/>
            </w:tcBorders>
          </w:tcPr>
          <w:p w14:paraId="64191AE3" w14:textId="5985F3C3" w:rsidR="001A1926" w:rsidRPr="006311C5" w:rsidRDefault="001A1926" w:rsidP="001A1926">
            <w:pPr>
              <w:pStyle w:val="Tabletext"/>
            </w:pPr>
            <w:r w:rsidRPr="006311C5">
              <w:t>Vaccinated at T2</w:t>
            </w:r>
          </w:p>
        </w:tc>
        <w:tc>
          <w:tcPr>
            <w:tcW w:w="3005" w:type="dxa"/>
            <w:tcBorders>
              <w:top w:val="single" w:sz="12" w:space="0" w:color="auto"/>
              <w:left w:val="nil"/>
              <w:bottom w:val="nil"/>
              <w:right w:val="nil"/>
            </w:tcBorders>
          </w:tcPr>
          <w:p w14:paraId="3229752B" w14:textId="786C0A17" w:rsidR="001A1926" w:rsidRPr="006311C5" w:rsidRDefault="001A1926" w:rsidP="001A1926">
            <w:pPr>
              <w:pStyle w:val="Tabletext"/>
            </w:pPr>
            <w:r w:rsidRPr="006311C5">
              <w:t>Two doses</w:t>
            </w:r>
          </w:p>
        </w:tc>
        <w:tc>
          <w:tcPr>
            <w:tcW w:w="3006" w:type="dxa"/>
            <w:tcBorders>
              <w:top w:val="single" w:sz="12" w:space="0" w:color="auto"/>
              <w:left w:val="nil"/>
              <w:bottom w:val="nil"/>
              <w:right w:val="nil"/>
            </w:tcBorders>
          </w:tcPr>
          <w:p w14:paraId="7B80D260" w14:textId="70DBACC6" w:rsidR="001A1926" w:rsidRPr="006311C5" w:rsidRDefault="001A1926" w:rsidP="001A1926">
            <w:pPr>
              <w:pStyle w:val="Tabletext"/>
            </w:pPr>
            <w:r w:rsidRPr="006311C5">
              <w:t>1009 (89.8)</w:t>
            </w:r>
          </w:p>
        </w:tc>
      </w:tr>
      <w:tr w:rsidR="001A1926" w:rsidRPr="006311C5" w14:paraId="12CEDC23" w14:textId="77777777" w:rsidTr="006572D5">
        <w:tc>
          <w:tcPr>
            <w:tcW w:w="3005" w:type="dxa"/>
            <w:vMerge/>
            <w:tcBorders>
              <w:left w:val="nil"/>
              <w:bottom w:val="nil"/>
              <w:right w:val="nil"/>
            </w:tcBorders>
          </w:tcPr>
          <w:p w14:paraId="46ACE0F6" w14:textId="77777777" w:rsidR="001A1926" w:rsidRPr="006311C5" w:rsidRDefault="001A1926" w:rsidP="001A1926">
            <w:pPr>
              <w:pStyle w:val="Tabletext"/>
            </w:pPr>
          </w:p>
        </w:tc>
        <w:tc>
          <w:tcPr>
            <w:tcW w:w="3005" w:type="dxa"/>
            <w:tcBorders>
              <w:top w:val="nil"/>
              <w:left w:val="nil"/>
              <w:bottom w:val="nil"/>
              <w:right w:val="nil"/>
            </w:tcBorders>
          </w:tcPr>
          <w:p w14:paraId="713F09CB" w14:textId="06B2F765" w:rsidR="001A1926" w:rsidRPr="006311C5" w:rsidRDefault="001A1926" w:rsidP="001A1926">
            <w:pPr>
              <w:pStyle w:val="Tabletext"/>
            </w:pPr>
            <w:r w:rsidRPr="006311C5">
              <w:t>One dose</w:t>
            </w:r>
          </w:p>
        </w:tc>
        <w:tc>
          <w:tcPr>
            <w:tcW w:w="3006" w:type="dxa"/>
            <w:tcBorders>
              <w:top w:val="nil"/>
              <w:left w:val="nil"/>
              <w:bottom w:val="nil"/>
              <w:right w:val="nil"/>
            </w:tcBorders>
          </w:tcPr>
          <w:p w14:paraId="1A679514" w14:textId="3DDFDC3D" w:rsidR="001A1926" w:rsidRPr="006311C5" w:rsidRDefault="001A1926" w:rsidP="001A1926">
            <w:pPr>
              <w:pStyle w:val="Tabletext"/>
            </w:pPr>
            <w:r w:rsidRPr="006311C5">
              <w:t>25 (2.2)</w:t>
            </w:r>
          </w:p>
        </w:tc>
      </w:tr>
      <w:tr w:rsidR="001A1926" w:rsidRPr="006311C5" w14:paraId="3F7ED825" w14:textId="77777777" w:rsidTr="006572D5">
        <w:tc>
          <w:tcPr>
            <w:tcW w:w="3005" w:type="dxa"/>
            <w:vMerge/>
            <w:tcBorders>
              <w:left w:val="nil"/>
              <w:bottom w:val="nil"/>
              <w:right w:val="nil"/>
            </w:tcBorders>
          </w:tcPr>
          <w:p w14:paraId="24DFE336" w14:textId="77777777" w:rsidR="001A1926" w:rsidRPr="006311C5" w:rsidRDefault="001A1926" w:rsidP="001A1926">
            <w:pPr>
              <w:pStyle w:val="Tabletext"/>
            </w:pPr>
          </w:p>
        </w:tc>
        <w:tc>
          <w:tcPr>
            <w:tcW w:w="3005" w:type="dxa"/>
            <w:tcBorders>
              <w:top w:val="nil"/>
              <w:left w:val="nil"/>
              <w:bottom w:val="nil"/>
              <w:right w:val="nil"/>
            </w:tcBorders>
          </w:tcPr>
          <w:p w14:paraId="3C1C66CF" w14:textId="29B42206" w:rsidR="001A1926" w:rsidRPr="006311C5" w:rsidRDefault="001A1926" w:rsidP="001A1926">
            <w:pPr>
              <w:pStyle w:val="Tabletext"/>
            </w:pPr>
            <w:r w:rsidRPr="006311C5">
              <w:t>Not vaccinated</w:t>
            </w:r>
            <w:r w:rsidR="00D26713" w:rsidRPr="006311C5">
              <w:t xml:space="preserve"> </w:t>
            </w:r>
            <w:r w:rsidR="00D26713" w:rsidRPr="006311C5">
              <w:rPr>
                <w:vertAlign w:val="superscript"/>
              </w:rPr>
              <w:t>a</w:t>
            </w:r>
          </w:p>
        </w:tc>
        <w:tc>
          <w:tcPr>
            <w:tcW w:w="3006" w:type="dxa"/>
            <w:tcBorders>
              <w:top w:val="nil"/>
              <w:left w:val="nil"/>
              <w:bottom w:val="nil"/>
              <w:right w:val="nil"/>
            </w:tcBorders>
          </w:tcPr>
          <w:p w14:paraId="28A0E506" w14:textId="5355BA5C" w:rsidR="001A1926" w:rsidRPr="006311C5" w:rsidRDefault="001A1926" w:rsidP="001A1926">
            <w:pPr>
              <w:pStyle w:val="Tabletext"/>
            </w:pPr>
            <w:r w:rsidRPr="006311C5">
              <w:t>85 (7.6)</w:t>
            </w:r>
          </w:p>
        </w:tc>
      </w:tr>
      <w:tr w:rsidR="001A1926" w:rsidRPr="006311C5" w14:paraId="0C78D6AA" w14:textId="77777777" w:rsidTr="006572D5">
        <w:tc>
          <w:tcPr>
            <w:tcW w:w="3005" w:type="dxa"/>
            <w:vMerge/>
            <w:tcBorders>
              <w:left w:val="nil"/>
              <w:bottom w:val="nil"/>
              <w:right w:val="nil"/>
            </w:tcBorders>
          </w:tcPr>
          <w:p w14:paraId="0036C96E" w14:textId="77777777" w:rsidR="001A1926" w:rsidRPr="006311C5" w:rsidRDefault="001A1926" w:rsidP="001A1926">
            <w:pPr>
              <w:pStyle w:val="Tabletext"/>
            </w:pPr>
          </w:p>
        </w:tc>
        <w:tc>
          <w:tcPr>
            <w:tcW w:w="3005" w:type="dxa"/>
            <w:tcBorders>
              <w:top w:val="nil"/>
              <w:left w:val="nil"/>
              <w:bottom w:val="nil"/>
              <w:right w:val="nil"/>
            </w:tcBorders>
          </w:tcPr>
          <w:p w14:paraId="50DA2719" w14:textId="21C14D4E" w:rsidR="001A1926" w:rsidRPr="006311C5" w:rsidRDefault="001A1926" w:rsidP="001A1926">
            <w:pPr>
              <w:pStyle w:val="Tabletext"/>
            </w:pPr>
            <w:r w:rsidRPr="006311C5">
              <w:t>Prefer not to say</w:t>
            </w:r>
            <w:r w:rsidR="00D26713" w:rsidRPr="006311C5">
              <w:t xml:space="preserve"> </w:t>
            </w:r>
            <w:r w:rsidR="00D26713" w:rsidRPr="006311C5">
              <w:rPr>
                <w:vertAlign w:val="superscript"/>
              </w:rPr>
              <w:t>a</w:t>
            </w:r>
          </w:p>
        </w:tc>
        <w:tc>
          <w:tcPr>
            <w:tcW w:w="3006" w:type="dxa"/>
            <w:tcBorders>
              <w:top w:val="nil"/>
              <w:left w:val="nil"/>
              <w:bottom w:val="nil"/>
              <w:right w:val="nil"/>
            </w:tcBorders>
          </w:tcPr>
          <w:p w14:paraId="5C1AD561" w14:textId="6D40A1A6" w:rsidR="001A1926" w:rsidRPr="006311C5" w:rsidRDefault="001A1926" w:rsidP="001A1926">
            <w:pPr>
              <w:pStyle w:val="Tabletext"/>
            </w:pPr>
            <w:r w:rsidRPr="006311C5">
              <w:t>4 (0.4)</w:t>
            </w:r>
          </w:p>
        </w:tc>
      </w:tr>
      <w:tr w:rsidR="001A1926" w:rsidRPr="006311C5" w14:paraId="65541C3C" w14:textId="77777777" w:rsidTr="006572D5">
        <w:tc>
          <w:tcPr>
            <w:tcW w:w="3005" w:type="dxa"/>
            <w:vMerge/>
            <w:tcBorders>
              <w:left w:val="nil"/>
              <w:bottom w:val="dashed" w:sz="4" w:space="0" w:color="auto"/>
              <w:right w:val="nil"/>
            </w:tcBorders>
          </w:tcPr>
          <w:p w14:paraId="04977224" w14:textId="77777777" w:rsidR="001A1926" w:rsidRPr="006311C5" w:rsidRDefault="001A1926" w:rsidP="001A1926">
            <w:pPr>
              <w:pStyle w:val="Tabletext"/>
            </w:pPr>
          </w:p>
        </w:tc>
        <w:tc>
          <w:tcPr>
            <w:tcW w:w="3005" w:type="dxa"/>
            <w:tcBorders>
              <w:top w:val="nil"/>
              <w:left w:val="nil"/>
              <w:bottom w:val="dashed" w:sz="4" w:space="0" w:color="auto"/>
              <w:right w:val="nil"/>
            </w:tcBorders>
          </w:tcPr>
          <w:p w14:paraId="41027D29" w14:textId="52CFFC14" w:rsidR="001A1926" w:rsidRPr="006311C5" w:rsidRDefault="001A1926" w:rsidP="001A1926">
            <w:pPr>
              <w:pStyle w:val="Tabletext"/>
            </w:pPr>
            <w:r w:rsidRPr="006311C5">
              <w:t>Don’t know</w:t>
            </w:r>
            <w:r w:rsidR="00D26713" w:rsidRPr="006311C5">
              <w:t xml:space="preserve"> </w:t>
            </w:r>
            <w:r w:rsidR="00D26713" w:rsidRPr="006311C5">
              <w:rPr>
                <w:vertAlign w:val="superscript"/>
              </w:rPr>
              <w:t>a</w:t>
            </w:r>
          </w:p>
        </w:tc>
        <w:tc>
          <w:tcPr>
            <w:tcW w:w="3006" w:type="dxa"/>
            <w:tcBorders>
              <w:top w:val="nil"/>
              <w:left w:val="nil"/>
              <w:bottom w:val="dashed" w:sz="4" w:space="0" w:color="auto"/>
              <w:right w:val="nil"/>
            </w:tcBorders>
          </w:tcPr>
          <w:p w14:paraId="17885C92" w14:textId="73F27FA5" w:rsidR="001A1926" w:rsidRPr="006311C5" w:rsidRDefault="001A1926" w:rsidP="001A1926">
            <w:pPr>
              <w:pStyle w:val="Tabletext"/>
            </w:pPr>
            <w:r w:rsidRPr="006311C5">
              <w:t>1 (0.1)</w:t>
            </w:r>
          </w:p>
        </w:tc>
      </w:tr>
      <w:tr w:rsidR="006006E7" w:rsidRPr="006311C5" w14:paraId="25F9FC6A" w14:textId="77777777" w:rsidTr="006572D5">
        <w:tc>
          <w:tcPr>
            <w:tcW w:w="3005" w:type="dxa"/>
            <w:tcBorders>
              <w:top w:val="dashed" w:sz="4" w:space="0" w:color="auto"/>
              <w:left w:val="nil"/>
              <w:bottom w:val="single" w:sz="4" w:space="0" w:color="auto"/>
              <w:right w:val="nil"/>
            </w:tcBorders>
          </w:tcPr>
          <w:p w14:paraId="484D071F" w14:textId="77777777" w:rsidR="006006E7" w:rsidRPr="006311C5" w:rsidRDefault="006006E7" w:rsidP="001A1926">
            <w:pPr>
              <w:pStyle w:val="Tabletext"/>
            </w:pPr>
          </w:p>
        </w:tc>
        <w:tc>
          <w:tcPr>
            <w:tcW w:w="3005" w:type="dxa"/>
            <w:tcBorders>
              <w:top w:val="dashed" w:sz="4" w:space="0" w:color="auto"/>
              <w:left w:val="nil"/>
              <w:bottom w:val="single" w:sz="4" w:space="0" w:color="auto"/>
              <w:right w:val="nil"/>
            </w:tcBorders>
          </w:tcPr>
          <w:p w14:paraId="4E170AB3" w14:textId="74C3ECAC" w:rsidR="006006E7" w:rsidRPr="006311C5" w:rsidRDefault="6E88041F" w:rsidP="001A1926">
            <w:pPr>
              <w:pStyle w:val="Tabletext"/>
            </w:pPr>
            <w:r w:rsidRPr="006311C5">
              <w:t>Total included in analyses</w:t>
            </w:r>
          </w:p>
        </w:tc>
        <w:tc>
          <w:tcPr>
            <w:tcW w:w="3006" w:type="dxa"/>
            <w:tcBorders>
              <w:top w:val="dashed" w:sz="4" w:space="0" w:color="auto"/>
              <w:left w:val="nil"/>
              <w:bottom w:val="single" w:sz="4" w:space="0" w:color="auto"/>
              <w:right w:val="nil"/>
            </w:tcBorders>
          </w:tcPr>
          <w:p w14:paraId="65025815" w14:textId="2D002E43" w:rsidR="006006E7" w:rsidRPr="006311C5" w:rsidRDefault="6E88041F" w:rsidP="001A1926">
            <w:pPr>
              <w:pStyle w:val="Tabletext"/>
            </w:pPr>
            <w:r w:rsidRPr="006311C5">
              <w:t>1034</w:t>
            </w:r>
            <w:r w:rsidR="006572D5" w:rsidRPr="006311C5">
              <w:t xml:space="preserve"> (100.0)</w:t>
            </w:r>
          </w:p>
        </w:tc>
      </w:tr>
      <w:tr w:rsidR="001A1926" w:rsidRPr="006311C5" w14:paraId="57F533CC" w14:textId="77777777" w:rsidTr="006572D5">
        <w:tc>
          <w:tcPr>
            <w:tcW w:w="3005" w:type="dxa"/>
            <w:vMerge w:val="restart"/>
            <w:tcBorders>
              <w:top w:val="single" w:sz="4" w:space="0" w:color="auto"/>
              <w:left w:val="nil"/>
              <w:right w:val="nil"/>
            </w:tcBorders>
          </w:tcPr>
          <w:p w14:paraId="4F38CABF" w14:textId="2132B7D4" w:rsidR="001A1926" w:rsidRPr="006311C5" w:rsidRDefault="001A1926" w:rsidP="001A1926">
            <w:pPr>
              <w:pStyle w:val="Tabletext"/>
            </w:pPr>
            <w:r w:rsidRPr="006311C5">
              <w:t>Gender</w:t>
            </w:r>
          </w:p>
        </w:tc>
        <w:tc>
          <w:tcPr>
            <w:tcW w:w="3005" w:type="dxa"/>
            <w:tcBorders>
              <w:top w:val="single" w:sz="4" w:space="0" w:color="auto"/>
              <w:left w:val="nil"/>
              <w:bottom w:val="nil"/>
              <w:right w:val="nil"/>
            </w:tcBorders>
          </w:tcPr>
          <w:p w14:paraId="50C6D41B" w14:textId="0ABC8578" w:rsidR="001A1926" w:rsidRPr="006311C5" w:rsidRDefault="001A1926" w:rsidP="001A1926">
            <w:pPr>
              <w:pStyle w:val="Tabletext"/>
            </w:pPr>
            <w:r w:rsidRPr="006311C5">
              <w:t>Female</w:t>
            </w:r>
          </w:p>
        </w:tc>
        <w:tc>
          <w:tcPr>
            <w:tcW w:w="3006" w:type="dxa"/>
            <w:tcBorders>
              <w:top w:val="single" w:sz="4" w:space="0" w:color="auto"/>
              <w:left w:val="nil"/>
              <w:bottom w:val="nil"/>
              <w:right w:val="nil"/>
            </w:tcBorders>
          </w:tcPr>
          <w:p w14:paraId="76C3FE06" w14:textId="5ED768BA" w:rsidR="001A1926" w:rsidRPr="006311C5" w:rsidRDefault="001A1926" w:rsidP="001A1926">
            <w:pPr>
              <w:pStyle w:val="Tabletext"/>
            </w:pPr>
            <w:r w:rsidRPr="006311C5">
              <w:t>539 (52.1)</w:t>
            </w:r>
          </w:p>
        </w:tc>
      </w:tr>
      <w:tr w:rsidR="001A1926" w:rsidRPr="006311C5" w14:paraId="186AA263" w14:textId="77777777" w:rsidTr="006572D5">
        <w:tc>
          <w:tcPr>
            <w:tcW w:w="3005" w:type="dxa"/>
            <w:vMerge/>
            <w:tcBorders>
              <w:left w:val="nil"/>
              <w:right w:val="nil"/>
            </w:tcBorders>
          </w:tcPr>
          <w:p w14:paraId="74D1109E" w14:textId="77777777" w:rsidR="001A1926" w:rsidRPr="006311C5" w:rsidRDefault="001A1926" w:rsidP="001A1926">
            <w:pPr>
              <w:pStyle w:val="Tabletext"/>
            </w:pPr>
          </w:p>
        </w:tc>
        <w:tc>
          <w:tcPr>
            <w:tcW w:w="3005" w:type="dxa"/>
            <w:tcBorders>
              <w:top w:val="nil"/>
              <w:left w:val="nil"/>
              <w:bottom w:val="nil"/>
              <w:right w:val="nil"/>
            </w:tcBorders>
          </w:tcPr>
          <w:p w14:paraId="137772BD" w14:textId="3359087F" w:rsidR="001A1926" w:rsidRPr="006311C5" w:rsidRDefault="001A1926" w:rsidP="001A1926">
            <w:pPr>
              <w:pStyle w:val="Tabletext"/>
            </w:pPr>
            <w:r w:rsidRPr="006311C5">
              <w:t>Male</w:t>
            </w:r>
          </w:p>
        </w:tc>
        <w:tc>
          <w:tcPr>
            <w:tcW w:w="3006" w:type="dxa"/>
            <w:tcBorders>
              <w:top w:val="nil"/>
              <w:left w:val="nil"/>
              <w:bottom w:val="nil"/>
              <w:right w:val="nil"/>
            </w:tcBorders>
          </w:tcPr>
          <w:p w14:paraId="68798184" w14:textId="06C16969" w:rsidR="001A1926" w:rsidRPr="006311C5" w:rsidRDefault="001A1926" w:rsidP="001A1926">
            <w:pPr>
              <w:pStyle w:val="Tabletext"/>
            </w:pPr>
            <w:r w:rsidRPr="006311C5">
              <w:t>492 (47.6)</w:t>
            </w:r>
          </w:p>
        </w:tc>
      </w:tr>
      <w:tr w:rsidR="001A1926" w:rsidRPr="006311C5" w14:paraId="7B991BB3" w14:textId="77777777" w:rsidTr="006572D5">
        <w:tc>
          <w:tcPr>
            <w:tcW w:w="3005" w:type="dxa"/>
            <w:vMerge/>
            <w:tcBorders>
              <w:left w:val="nil"/>
              <w:right w:val="nil"/>
            </w:tcBorders>
          </w:tcPr>
          <w:p w14:paraId="4DE465FD" w14:textId="77777777" w:rsidR="001A1926" w:rsidRPr="006311C5" w:rsidRDefault="001A1926" w:rsidP="001A1926">
            <w:pPr>
              <w:pStyle w:val="Tabletext"/>
            </w:pPr>
          </w:p>
        </w:tc>
        <w:tc>
          <w:tcPr>
            <w:tcW w:w="3005" w:type="dxa"/>
            <w:tcBorders>
              <w:top w:val="nil"/>
              <w:left w:val="nil"/>
              <w:bottom w:val="nil"/>
              <w:right w:val="nil"/>
            </w:tcBorders>
          </w:tcPr>
          <w:p w14:paraId="4E297353" w14:textId="2A7E92BC" w:rsidR="001A1926" w:rsidRPr="006311C5" w:rsidRDefault="001A1926" w:rsidP="001A1926">
            <w:pPr>
              <w:pStyle w:val="Tabletext"/>
            </w:pPr>
            <w:r w:rsidRPr="006311C5">
              <w:t>Non-binary</w:t>
            </w:r>
          </w:p>
        </w:tc>
        <w:tc>
          <w:tcPr>
            <w:tcW w:w="3006" w:type="dxa"/>
            <w:tcBorders>
              <w:top w:val="nil"/>
              <w:left w:val="nil"/>
              <w:bottom w:val="nil"/>
              <w:right w:val="nil"/>
            </w:tcBorders>
          </w:tcPr>
          <w:p w14:paraId="273A1DE2" w14:textId="315D93C8" w:rsidR="001A1926" w:rsidRPr="006311C5" w:rsidRDefault="001A1926" w:rsidP="001A1926">
            <w:pPr>
              <w:pStyle w:val="Tabletext"/>
            </w:pPr>
            <w:r w:rsidRPr="006311C5">
              <w:t>2 (0.2)</w:t>
            </w:r>
          </w:p>
        </w:tc>
      </w:tr>
      <w:tr w:rsidR="001A1926" w:rsidRPr="006311C5" w14:paraId="12FC79E0" w14:textId="77777777" w:rsidTr="006572D5">
        <w:tc>
          <w:tcPr>
            <w:tcW w:w="3005" w:type="dxa"/>
            <w:vMerge/>
            <w:tcBorders>
              <w:left w:val="nil"/>
              <w:bottom w:val="single" w:sz="4" w:space="0" w:color="auto"/>
              <w:right w:val="nil"/>
            </w:tcBorders>
          </w:tcPr>
          <w:p w14:paraId="7262A9AB" w14:textId="77777777" w:rsidR="001A1926" w:rsidRPr="006311C5" w:rsidRDefault="001A1926" w:rsidP="001A1926">
            <w:pPr>
              <w:pStyle w:val="Tabletext"/>
            </w:pPr>
          </w:p>
        </w:tc>
        <w:tc>
          <w:tcPr>
            <w:tcW w:w="3005" w:type="dxa"/>
            <w:tcBorders>
              <w:top w:val="nil"/>
              <w:left w:val="nil"/>
              <w:right w:val="nil"/>
            </w:tcBorders>
          </w:tcPr>
          <w:p w14:paraId="4E140C4B" w14:textId="62C27F86" w:rsidR="001A1926" w:rsidRPr="006311C5" w:rsidRDefault="001A1926" w:rsidP="001A1926">
            <w:pPr>
              <w:pStyle w:val="Tabletext"/>
            </w:pPr>
            <w:r w:rsidRPr="006311C5">
              <w:t>Prefer to self-describe</w:t>
            </w:r>
          </w:p>
        </w:tc>
        <w:tc>
          <w:tcPr>
            <w:tcW w:w="3006" w:type="dxa"/>
            <w:tcBorders>
              <w:top w:val="nil"/>
              <w:left w:val="nil"/>
              <w:right w:val="nil"/>
            </w:tcBorders>
          </w:tcPr>
          <w:p w14:paraId="722866CB" w14:textId="6CB55C7C" w:rsidR="001A1926" w:rsidRPr="006311C5" w:rsidRDefault="001A1926" w:rsidP="001A1926">
            <w:pPr>
              <w:pStyle w:val="Tabletext"/>
            </w:pPr>
            <w:r w:rsidRPr="006311C5">
              <w:t>1 (0.1)</w:t>
            </w:r>
          </w:p>
        </w:tc>
      </w:tr>
      <w:tr w:rsidR="001A1926" w:rsidRPr="006311C5" w14:paraId="35622BF0" w14:textId="77777777" w:rsidTr="006572D5">
        <w:tc>
          <w:tcPr>
            <w:tcW w:w="3005" w:type="dxa"/>
            <w:vMerge w:val="restart"/>
            <w:tcBorders>
              <w:left w:val="nil"/>
              <w:right w:val="nil"/>
            </w:tcBorders>
          </w:tcPr>
          <w:p w14:paraId="7ADC513A" w14:textId="414700E7" w:rsidR="001A1926" w:rsidRPr="006311C5" w:rsidRDefault="001A1926" w:rsidP="001A1926">
            <w:pPr>
              <w:pStyle w:val="Tabletext"/>
            </w:pPr>
            <w:r w:rsidRPr="006311C5">
              <w:t>Ethnicity</w:t>
            </w:r>
          </w:p>
        </w:tc>
        <w:tc>
          <w:tcPr>
            <w:tcW w:w="3005" w:type="dxa"/>
            <w:tcBorders>
              <w:left w:val="nil"/>
              <w:bottom w:val="nil"/>
              <w:right w:val="nil"/>
            </w:tcBorders>
          </w:tcPr>
          <w:p w14:paraId="71250984" w14:textId="70478898" w:rsidR="001A1926" w:rsidRPr="006311C5" w:rsidRDefault="001A1926" w:rsidP="001A1926">
            <w:pPr>
              <w:pStyle w:val="Tabletext"/>
            </w:pPr>
            <w:r w:rsidRPr="006311C5">
              <w:t>White</w:t>
            </w:r>
          </w:p>
        </w:tc>
        <w:tc>
          <w:tcPr>
            <w:tcW w:w="3006" w:type="dxa"/>
            <w:tcBorders>
              <w:left w:val="nil"/>
              <w:bottom w:val="nil"/>
              <w:right w:val="nil"/>
            </w:tcBorders>
          </w:tcPr>
          <w:p w14:paraId="34EAF913" w14:textId="385F4D22" w:rsidR="001A1926" w:rsidRPr="006311C5" w:rsidRDefault="001A1926" w:rsidP="001A1926">
            <w:pPr>
              <w:pStyle w:val="Tabletext"/>
            </w:pPr>
            <w:r w:rsidRPr="006311C5">
              <w:t>899 (86.9)</w:t>
            </w:r>
          </w:p>
        </w:tc>
      </w:tr>
      <w:tr w:rsidR="001A1926" w:rsidRPr="006311C5" w14:paraId="4D634F7A" w14:textId="77777777" w:rsidTr="006572D5">
        <w:tc>
          <w:tcPr>
            <w:tcW w:w="3005" w:type="dxa"/>
            <w:vMerge/>
            <w:tcBorders>
              <w:left w:val="nil"/>
              <w:right w:val="nil"/>
            </w:tcBorders>
          </w:tcPr>
          <w:p w14:paraId="123C6E75" w14:textId="77777777" w:rsidR="001A1926" w:rsidRPr="006311C5" w:rsidRDefault="001A1926" w:rsidP="001A1926">
            <w:pPr>
              <w:pStyle w:val="Tabletext"/>
            </w:pPr>
          </w:p>
        </w:tc>
        <w:tc>
          <w:tcPr>
            <w:tcW w:w="3005" w:type="dxa"/>
            <w:tcBorders>
              <w:top w:val="nil"/>
              <w:left w:val="nil"/>
              <w:bottom w:val="nil"/>
              <w:right w:val="nil"/>
            </w:tcBorders>
          </w:tcPr>
          <w:p w14:paraId="336630EF" w14:textId="03502C5A" w:rsidR="001A1926" w:rsidRPr="006311C5" w:rsidRDefault="001A1926" w:rsidP="001A1926">
            <w:pPr>
              <w:pStyle w:val="Tabletext"/>
            </w:pPr>
            <w:r w:rsidRPr="006311C5">
              <w:t>Other ethnic groups</w:t>
            </w:r>
          </w:p>
        </w:tc>
        <w:tc>
          <w:tcPr>
            <w:tcW w:w="3006" w:type="dxa"/>
            <w:tcBorders>
              <w:top w:val="nil"/>
              <w:left w:val="nil"/>
              <w:bottom w:val="nil"/>
              <w:right w:val="nil"/>
            </w:tcBorders>
          </w:tcPr>
          <w:p w14:paraId="726FFDAA" w14:textId="6A763D9C" w:rsidR="001A1926" w:rsidRPr="006311C5" w:rsidRDefault="001A1926" w:rsidP="001A1926">
            <w:pPr>
              <w:pStyle w:val="Tabletext"/>
            </w:pPr>
            <w:r w:rsidRPr="006311C5">
              <w:t>131 (12.7)</w:t>
            </w:r>
          </w:p>
        </w:tc>
      </w:tr>
      <w:tr w:rsidR="001A1926" w:rsidRPr="006311C5" w14:paraId="7D006789" w14:textId="77777777" w:rsidTr="006572D5">
        <w:tc>
          <w:tcPr>
            <w:tcW w:w="3005" w:type="dxa"/>
            <w:vMerge/>
            <w:tcBorders>
              <w:left w:val="nil"/>
              <w:right w:val="nil"/>
            </w:tcBorders>
          </w:tcPr>
          <w:p w14:paraId="75ECEABC" w14:textId="77777777" w:rsidR="001A1926" w:rsidRPr="006311C5" w:rsidRDefault="001A1926" w:rsidP="001A1926">
            <w:pPr>
              <w:pStyle w:val="Tabletext"/>
            </w:pPr>
          </w:p>
        </w:tc>
        <w:tc>
          <w:tcPr>
            <w:tcW w:w="3005" w:type="dxa"/>
            <w:tcBorders>
              <w:top w:val="nil"/>
              <w:left w:val="nil"/>
              <w:right w:val="nil"/>
            </w:tcBorders>
          </w:tcPr>
          <w:p w14:paraId="1CF63253" w14:textId="2405E4DC" w:rsidR="001A1926" w:rsidRPr="006311C5" w:rsidRDefault="001A1926" w:rsidP="001A1926">
            <w:pPr>
              <w:pStyle w:val="Tabletext"/>
            </w:pPr>
            <w:r w:rsidRPr="006311C5">
              <w:t>Prefer not to say</w:t>
            </w:r>
          </w:p>
        </w:tc>
        <w:tc>
          <w:tcPr>
            <w:tcW w:w="3006" w:type="dxa"/>
            <w:tcBorders>
              <w:top w:val="nil"/>
              <w:left w:val="nil"/>
              <w:right w:val="nil"/>
            </w:tcBorders>
          </w:tcPr>
          <w:p w14:paraId="2BF54FBA" w14:textId="1BCF3BFF" w:rsidR="001A1926" w:rsidRPr="006311C5" w:rsidRDefault="001A1926" w:rsidP="001A1926">
            <w:pPr>
              <w:pStyle w:val="Tabletext"/>
            </w:pPr>
            <w:r w:rsidRPr="006311C5">
              <w:t>4 (0.4)</w:t>
            </w:r>
          </w:p>
        </w:tc>
      </w:tr>
      <w:tr w:rsidR="00595ADF" w:rsidRPr="006311C5" w14:paraId="41FDB011" w14:textId="77777777" w:rsidTr="006572D5">
        <w:tc>
          <w:tcPr>
            <w:tcW w:w="3005" w:type="dxa"/>
            <w:tcBorders>
              <w:left w:val="nil"/>
              <w:bottom w:val="single" w:sz="4" w:space="0" w:color="auto"/>
              <w:right w:val="nil"/>
            </w:tcBorders>
          </w:tcPr>
          <w:p w14:paraId="00ACDD8F" w14:textId="52FD01FC" w:rsidR="00595ADF" w:rsidRPr="006311C5" w:rsidRDefault="000D730B" w:rsidP="001A1926">
            <w:pPr>
              <w:pStyle w:val="Tabletext"/>
            </w:pPr>
            <w:r w:rsidRPr="006311C5">
              <w:t>Age</w:t>
            </w:r>
          </w:p>
        </w:tc>
        <w:tc>
          <w:tcPr>
            <w:tcW w:w="3005" w:type="dxa"/>
            <w:tcBorders>
              <w:left w:val="nil"/>
              <w:right w:val="nil"/>
            </w:tcBorders>
          </w:tcPr>
          <w:p w14:paraId="02BC6F26" w14:textId="13825043" w:rsidR="00595ADF" w:rsidRPr="006311C5" w:rsidRDefault="000D730B" w:rsidP="001A1926">
            <w:pPr>
              <w:pStyle w:val="Tabletext"/>
            </w:pPr>
            <w:r w:rsidRPr="006311C5">
              <w:t>Range</w:t>
            </w:r>
            <w:r w:rsidR="00A80430" w:rsidRPr="006311C5">
              <w:t xml:space="preserve"> 18 to 80 years</w:t>
            </w:r>
          </w:p>
        </w:tc>
        <w:tc>
          <w:tcPr>
            <w:tcW w:w="3006" w:type="dxa"/>
            <w:tcBorders>
              <w:left w:val="nil"/>
              <w:right w:val="nil"/>
            </w:tcBorders>
          </w:tcPr>
          <w:p w14:paraId="1200C120" w14:textId="1523A6C8" w:rsidR="00595ADF" w:rsidRPr="006311C5" w:rsidRDefault="00A80430" w:rsidP="001A1926">
            <w:pPr>
              <w:pStyle w:val="Tabletext"/>
            </w:pPr>
            <w:r w:rsidRPr="006311C5">
              <w:t>M=48.7, SD=15.1</w:t>
            </w:r>
          </w:p>
        </w:tc>
      </w:tr>
      <w:tr w:rsidR="001A1926" w:rsidRPr="006311C5" w14:paraId="45380691" w14:textId="77777777" w:rsidTr="006572D5">
        <w:tc>
          <w:tcPr>
            <w:tcW w:w="3005" w:type="dxa"/>
            <w:vMerge w:val="restart"/>
            <w:tcBorders>
              <w:left w:val="nil"/>
              <w:right w:val="nil"/>
            </w:tcBorders>
          </w:tcPr>
          <w:p w14:paraId="3C5859A6" w14:textId="1DB574D3" w:rsidR="001A1926" w:rsidRPr="006311C5" w:rsidRDefault="001A1926" w:rsidP="001A1926">
            <w:pPr>
              <w:pStyle w:val="Tabletext"/>
            </w:pPr>
            <w:r w:rsidRPr="006311C5">
              <w:t>Vaccine received</w:t>
            </w:r>
          </w:p>
        </w:tc>
        <w:tc>
          <w:tcPr>
            <w:tcW w:w="3005" w:type="dxa"/>
            <w:tcBorders>
              <w:left w:val="nil"/>
              <w:bottom w:val="nil"/>
              <w:right w:val="nil"/>
            </w:tcBorders>
          </w:tcPr>
          <w:p w14:paraId="247412D1" w14:textId="1BFB8C4C" w:rsidR="001A1926" w:rsidRPr="006311C5" w:rsidRDefault="001A1926" w:rsidP="001A1926">
            <w:pPr>
              <w:pStyle w:val="Tabletext"/>
            </w:pPr>
            <w:r w:rsidRPr="006311C5">
              <w:t>AstraZeneca</w:t>
            </w:r>
          </w:p>
        </w:tc>
        <w:tc>
          <w:tcPr>
            <w:tcW w:w="3006" w:type="dxa"/>
            <w:tcBorders>
              <w:left w:val="nil"/>
              <w:bottom w:val="nil"/>
              <w:right w:val="nil"/>
            </w:tcBorders>
          </w:tcPr>
          <w:p w14:paraId="1402A9C7" w14:textId="1164D53C" w:rsidR="001A1926" w:rsidRPr="006311C5" w:rsidRDefault="001A1926" w:rsidP="001A1926">
            <w:pPr>
              <w:pStyle w:val="Tabletext"/>
            </w:pPr>
            <w:r w:rsidRPr="006311C5">
              <w:t>597 (57.7)</w:t>
            </w:r>
          </w:p>
        </w:tc>
      </w:tr>
      <w:tr w:rsidR="001A1926" w:rsidRPr="006311C5" w14:paraId="70A85A6D" w14:textId="77777777" w:rsidTr="006572D5">
        <w:tc>
          <w:tcPr>
            <w:tcW w:w="3005" w:type="dxa"/>
            <w:vMerge/>
            <w:tcBorders>
              <w:left w:val="nil"/>
              <w:right w:val="nil"/>
            </w:tcBorders>
          </w:tcPr>
          <w:p w14:paraId="1160C943" w14:textId="77777777" w:rsidR="001A1926" w:rsidRPr="006311C5" w:rsidRDefault="001A1926" w:rsidP="001A1926">
            <w:pPr>
              <w:pStyle w:val="Tabletext"/>
            </w:pPr>
          </w:p>
        </w:tc>
        <w:tc>
          <w:tcPr>
            <w:tcW w:w="3005" w:type="dxa"/>
            <w:tcBorders>
              <w:top w:val="nil"/>
              <w:left w:val="nil"/>
              <w:bottom w:val="nil"/>
              <w:right w:val="nil"/>
            </w:tcBorders>
          </w:tcPr>
          <w:p w14:paraId="4915C7FC" w14:textId="6EF87B4B" w:rsidR="001A1926" w:rsidRPr="006311C5" w:rsidRDefault="001A1926" w:rsidP="001A1926">
            <w:pPr>
              <w:pStyle w:val="Tabletext"/>
            </w:pPr>
            <w:r w:rsidRPr="006311C5">
              <w:t>Pfizer-BioNTech</w:t>
            </w:r>
          </w:p>
        </w:tc>
        <w:tc>
          <w:tcPr>
            <w:tcW w:w="3006" w:type="dxa"/>
            <w:tcBorders>
              <w:top w:val="nil"/>
              <w:left w:val="nil"/>
              <w:bottom w:val="nil"/>
              <w:right w:val="nil"/>
            </w:tcBorders>
          </w:tcPr>
          <w:p w14:paraId="63A5F4AC" w14:textId="1261FD29" w:rsidR="001A1926" w:rsidRPr="006311C5" w:rsidRDefault="001A1926" w:rsidP="001A1926">
            <w:pPr>
              <w:pStyle w:val="Tabletext"/>
            </w:pPr>
            <w:r w:rsidRPr="006311C5">
              <w:t>395 (38.2)</w:t>
            </w:r>
          </w:p>
        </w:tc>
      </w:tr>
      <w:tr w:rsidR="001A1926" w:rsidRPr="006311C5" w14:paraId="5AB01334" w14:textId="77777777" w:rsidTr="006572D5">
        <w:tc>
          <w:tcPr>
            <w:tcW w:w="3005" w:type="dxa"/>
            <w:vMerge/>
            <w:tcBorders>
              <w:left w:val="nil"/>
              <w:right w:val="nil"/>
            </w:tcBorders>
          </w:tcPr>
          <w:p w14:paraId="05A1EFAD" w14:textId="77777777" w:rsidR="001A1926" w:rsidRPr="006311C5" w:rsidRDefault="001A1926" w:rsidP="001A1926">
            <w:pPr>
              <w:pStyle w:val="Tabletext"/>
            </w:pPr>
          </w:p>
        </w:tc>
        <w:tc>
          <w:tcPr>
            <w:tcW w:w="3005" w:type="dxa"/>
            <w:tcBorders>
              <w:top w:val="nil"/>
              <w:left w:val="nil"/>
              <w:bottom w:val="nil"/>
              <w:right w:val="nil"/>
            </w:tcBorders>
          </w:tcPr>
          <w:p w14:paraId="30747EDD" w14:textId="3443D241" w:rsidR="001A1926" w:rsidRPr="006311C5" w:rsidRDefault="001A1926" w:rsidP="001A1926">
            <w:pPr>
              <w:pStyle w:val="Tabletext"/>
            </w:pPr>
            <w:r w:rsidRPr="006311C5">
              <w:t>Moderna</w:t>
            </w:r>
          </w:p>
        </w:tc>
        <w:tc>
          <w:tcPr>
            <w:tcW w:w="3006" w:type="dxa"/>
            <w:tcBorders>
              <w:top w:val="nil"/>
              <w:left w:val="nil"/>
              <w:bottom w:val="nil"/>
              <w:right w:val="nil"/>
            </w:tcBorders>
          </w:tcPr>
          <w:p w14:paraId="0033B4EA" w14:textId="1961FB17" w:rsidR="001A1926" w:rsidRPr="006311C5" w:rsidRDefault="001A1926" w:rsidP="001A1926">
            <w:pPr>
              <w:pStyle w:val="Tabletext"/>
            </w:pPr>
            <w:r w:rsidRPr="006311C5">
              <w:t>36 (3.5)</w:t>
            </w:r>
          </w:p>
        </w:tc>
      </w:tr>
      <w:tr w:rsidR="001A1926" w:rsidRPr="006311C5" w14:paraId="46702CA4" w14:textId="77777777" w:rsidTr="006572D5">
        <w:tc>
          <w:tcPr>
            <w:tcW w:w="3005" w:type="dxa"/>
            <w:vMerge/>
            <w:tcBorders>
              <w:left w:val="nil"/>
              <w:right w:val="nil"/>
            </w:tcBorders>
          </w:tcPr>
          <w:p w14:paraId="188B14E2" w14:textId="77777777" w:rsidR="001A1926" w:rsidRPr="006311C5" w:rsidRDefault="001A1926" w:rsidP="001A1926">
            <w:pPr>
              <w:pStyle w:val="Tabletext"/>
            </w:pPr>
          </w:p>
        </w:tc>
        <w:tc>
          <w:tcPr>
            <w:tcW w:w="3005" w:type="dxa"/>
            <w:tcBorders>
              <w:top w:val="nil"/>
              <w:left w:val="nil"/>
              <w:bottom w:val="nil"/>
              <w:right w:val="nil"/>
            </w:tcBorders>
          </w:tcPr>
          <w:p w14:paraId="2AACD608" w14:textId="7DC8E7AE" w:rsidR="001A1926" w:rsidRPr="006311C5" w:rsidRDefault="001A1926" w:rsidP="001A1926">
            <w:pPr>
              <w:pStyle w:val="Tabletext"/>
            </w:pPr>
            <w:r w:rsidRPr="006311C5">
              <w:t>Janssen</w:t>
            </w:r>
          </w:p>
        </w:tc>
        <w:tc>
          <w:tcPr>
            <w:tcW w:w="3006" w:type="dxa"/>
            <w:tcBorders>
              <w:top w:val="nil"/>
              <w:left w:val="nil"/>
              <w:bottom w:val="nil"/>
              <w:right w:val="nil"/>
            </w:tcBorders>
          </w:tcPr>
          <w:p w14:paraId="439BAE07" w14:textId="6802B1ED" w:rsidR="001A1926" w:rsidRPr="006311C5" w:rsidRDefault="001A1926" w:rsidP="001A1926">
            <w:pPr>
              <w:pStyle w:val="Tabletext"/>
            </w:pPr>
            <w:r w:rsidRPr="006311C5">
              <w:t>1 (0.1)</w:t>
            </w:r>
          </w:p>
        </w:tc>
      </w:tr>
      <w:tr w:rsidR="001A1926" w:rsidRPr="006311C5" w14:paraId="48DD77DA" w14:textId="77777777" w:rsidTr="006572D5">
        <w:tc>
          <w:tcPr>
            <w:tcW w:w="3005" w:type="dxa"/>
            <w:vMerge/>
            <w:tcBorders>
              <w:left w:val="nil"/>
              <w:right w:val="nil"/>
            </w:tcBorders>
          </w:tcPr>
          <w:p w14:paraId="586D7135" w14:textId="77777777" w:rsidR="001A1926" w:rsidRPr="006311C5" w:rsidRDefault="001A1926" w:rsidP="001A1926">
            <w:pPr>
              <w:pStyle w:val="Tabletext"/>
            </w:pPr>
          </w:p>
        </w:tc>
        <w:tc>
          <w:tcPr>
            <w:tcW w:w="3005" w:type="dxa"/>
            <w:tcBorders>
              <w:top w:val="nil"/>
              <w:left w:val="nil"/>
              <w:bottom w:val="nil"/>
              <w:right w:val="nil"/>
            </w:tcBorders>
          </w:tcPr>
          <w:p w14:paraId="799CF217" w14:textId="53FD343A" w:rsidR="001A1926" w:rsidRPr="006311C5" w:rsidRDefault="001A1926" w:rsidP="001A1926">
            <w:pPr>
              <w:pStyle w:val="Tabletext"/>
            </w:pPr>
            <w:r w:rsidRPr="006311C5">
              <w:t>Vaccine not listed</w:t>
            </w:r>
          </w:p>
        </w:tc>
        <w:tc>
          <w:tcPr>
            <w:tcW w:w="3006" w:type="dxa"/>
            <w:tcBorders>
              <w:top w:val="nil"/>
              <w:left w:val="nil"/>
              <w:bottom w:val="nil"/>
              <w:right w:val="nil"/>
            </w:tcBorders>
          </w:tcPr>
          <w:p w14:paraId="15005584" w14:textId="1F373D2C" w:rsidR="001A1926" w:rsidRPr="006311C5" w:rsidRDefault="001A1926" w:rsidP="001A1926">
            <w:pPr>
              <w:pStyle w:val="Tabletext"/>
            </w:pPr>
            <w:r w:rsidRPr="006311C5">
              <w:t>3 (0.3)</w:t>
            </w:r>
          </w:p>
        </w:tc>
      </w:tr>
      <w:tr w:rsidR="001A1926" w:rsidRPr="006311C5" w14:paraId="3BF3CF6D" w14:textId="77777777" w:rsidTr="006572D5">
        <w:tc>
          <w:tcPr>
            <w:tcW w:w="3005" w:type="dxa"/>
            <w:vMerge/>
            <w:tcBorders>
              <w:left w:val="nil"/>
              <w:bottom w:val="single" w:sz="12" w:space="0" w:color="auto"/>
              <w:right w:val="nil"/>
            </w:tcBorders>
          </w:tcPr>
          <w:p w14:paraId="734BCA4C" w14:textId="77777777" w:rsidR="001A1926" w:rsidRPr="006311C5" w:rsidRDefault="001A1926" w:rsidP="001A1926">
            <w:pPr>
              <w:pStyle w:val="Tabletext"/>
            </w:pPr>
          </w:p>
        </w:tc>
        <w:tc>
          <w:tcPr>
            <w:tcW w:w="3005" w:type="dxa"/>
            <w:tcBorders>
              <w:top w:val="nil"/>
              <w:left w:val="nil"/>
              <w:bottom w:val="single" w:sz="12" w:space="0" w:color="auto"/>
              <w:right w:val="nil"/>
            </w:tcBorders>
          </w:tcPr>
          <w:p w14:paraId="3D9CB939" w14:textId="7F1E02CD" w:rsidR="001A1926" w:rsidRPr="006311C5" w:rsidRDefault="001A1926" w:rsidP="001A1926">
            <w:pPr>
              <w:pStyle w:val="Tabletext"/>
            </w:pPr>
            <w:r w:rsidRPr="006311C5">
              <w:t>Don’t know</w:t>
            </w:r>
          </w:p>
        </w:tc>
        <w:tc>
          <w:tcPr>
            <w:tcW w:w="3006" w:type="dxa"/>
            <w:tcBorders>
              <w:top w:val="nil"/>
              <w:left w:val="nil"/>
              <w:bottom w:val="single" w:sz="12" w:space="0" w:color="auto"/>
              <w:right w:val="nil"/>
            </w:tcBorders>
          </w:tcPr>
          <w:p w14:paraId="407AA409" w14:textId="20DE75B4" w:rsidR="001A1926" w:rsidRPr="006311C5" w:rsidRDefault="001A1926" w:rsidP="001A1926">
            <w:pPr>
              <w:pStyle w:val="Tabletext"/>
            </w:pPr>
            <w:r w:rsidRPr="006311C5">
              <w:t>2 (0.2)</w:t>
            </w:r>
          </w:p>
        </w:tc>
      </w:tr>
    </w:tbl>
    <w:p w14:paraId="72DB9BBE" w14:textId="34A65C85" w:rsidR="00BA325E" w:rsidRPr="006311C5" w:rsidRDefault="006C11DD" w:rsidP="001A1926">
      <w:pPr>
        <w:pStyle w:val="Tabletext"/>
      </w:pPr>
      <w:r w:rsidRPr="006311C5">
        <w:t xml:space="preserve"> </w:t>
      </w:r>
      <w:r w:rsidR="00D26713" w:rsidRPr="006311C5">
        <w:rPr>
          <w:vertAlign w:val="superscript"/>
        </w:rPr>
        <w:t>a</w:t>
      </w:r>
      <w:r w:rsidR="00D26713" w:rsidRPr="006311C5">
        <w:t xml:space="preserve"> </w:t>
      </w:r>
      <w:r w:rsidRPr="006311C5">
        <w:t>Not included in analyses of s</w:t>
      </w:r>
      <w:r w:rsidR="00236FFD" w:rsidRPr="006311C5">
        <w:t>ymptom</w:t>
      </w:r>
      <w:r w:rsidRPr="006311C5">
        <w:t xml:space="preserve"> reporting as</w:t>
      </w:r>
      <w:r w:rsidR="00B266CD" w:rsidRPr="006311C5">
        <w:t xml:space="preserve"> participants had to be vaccinated by definition.</w:t>
      </w:r>
    </w:p>
    <w:p w14:paraId="1721FB8B" w14:textId="77777777" w:rsidR="00286321" w:rsidRPr="006311C5" w:rsidRDefault="00286321" w:rsidP="00286321"/>
    <w:p w14:paraId="4334536F" w14:textId="4CD1321F" w:rsidR="008A3F88" w:rsidRPr="006311C5" w:rsidRDefault="008A3F88" w:rsidP="00EF775C">
      <w:pPr>
        <w:pStyle w:val="Heading2"/>
      </w:pPr>
      <w:r w:rsidRPr="006311C5">
        <w:t>Symptom reporting and attribution to COVID-19 vaccination</w:t>
      </w:r>
    </w:p>
    <w:p w14:paraId="402B31B4" w14:textId="3AE54A7C" w:rsidR="00972B28" w:rsidRPr="006311C5" w:rsidRDefault="00972B28" w:rsidP="00972B28">
      <w:r w:rsidRPr="006311C5">
        <w:t>The most common injection</w:t>
      </w:r>
      <w:r w:rsidR="00A27E29" w:rsidRPr="006311C5">
        <w:t>-</w:t>
      </w:r>
      <w:r w:rsidRPr="006311C5">
        <w:t>site symptom reported following the first</w:t>
      </w:r>
      <w:r w:rsidR="00AB60F0" w:rsidRPr="006311C5">
        <w:t xml:space="preserve"> and second</w:t>
      </w:r>
      <w:r w:rsidRPr="006311C5">
        <w:t xml:space="preserve"> dose</w:t>
      </w:r>
      <w:r w:rsidR="00AB60F0" w:rsidRPr="006311C5">
        <w:t>s</w:t>
      </w:r>
      <w:r w:rsidRPr="006311C5">
        <w:t xml:space="preserve"> of </w:t>
      </w:r>
      <w:r w:rsidR="00AB60F0" w:rsidRPr="006311C5">
        <w:t>a</w:t>
      </w:r>
      <w:r w:rsidRPr="006311C5">
        <w:t xml:space="preserve"> COVID-19 vaccine was</w:t>
      </w:r>
      <w:r w:rsidR="003767FE" w:rsidRPr="006311C5">
        <w:t xml:space="preserve"> pain or tenderness where the injection was</w:t>
      </w:r>
      <w:r w:rsidR="00AB60F0" w:rsidRPr="006311C5">
        <w:t xml:space="preserve"> (Table </w:t>
      </w:r>
      <w:r w:rsidR="00974DF6" w:rsidRPr="006311C5">
        <w:t>2</w:t>
      </w:r>
      <w:r w:rsidR="00AB60F0" w:rsidRPr="006311C5">
        <w:t>)</w:t>
      </w:r>
      <w:r w:rsidR="003767FE" w:rsidRPr="006311C5">
        <w:t>. The most common non-injection</w:t>
      </w:r>
      <w:r w:rsidR="00BE518C" w:rsidRPr="006311C5">
        <w:t>-</w:t>
      </w:r>
      <w:r w:rsidR="003767FE" w:rsidRPr="006311C5">
        <w:t xml:space="preserve">site symptoms were fatigue, </w:t>
      </w:r>
      <w:r w:rsidR="00AB60F0" w:rsidRPr="006311C5">
        <w:t xml:space="preserve">joint or muscle pain, and headache. </w:t>
      </w:r>
    </w:p>
    <w:p w14:paraId="7DB85BBA" w14:textId="77777777" w:rsidR="00B41893" w:rsidRPr="006311C5" w:rsidRDefault="00B41893" w:rsidP="00972B28"/>
    <w:p w14:paraId="43A02070" w14:textId="77777777" w:rsidR="00937F8A" w:rsidRPr="006311C5" w:rsidRDefault="00937F8A" w:rsidP="004C16B4">
      <w:pPr>
        <w:sectPr w:rsidR="00937F8A" w:rsidRPr="006311C5">
          <w:footerReference w:type="default" r:id="rId12"/>
          <w:pgSz w:w="11906" w:h="16838"/>
          <w:pgMar w:top="1440" w:right="1440" w:bottom="1440" w:left="1440" w:header="708" w:footer="708" w:gutter="0"/>
          <w:cols w:space="708"/>
          <w:docGrid w:linePitch="360"/>
        </w:sectPr>
      </w:pPr>
    </w:p>
    <w:p w14:paraId="3C70530D" w14:textId="5A35560B" w:rsidR="004C16B4" w:rsidRPr="006311C5" w:rsidRDefault="004C16B4" w:rsidP="004C16B4">
      <w:r w:rsidRPr="006311C5">
        <w:lastRenderedPageBreak/>
        <w:t xml:space="preserve">Table </w:t>
      </w:r>
      <w:r w:rsidR="00974DF6" w:rsidRPr="006311C5">
        <w:t>2</w:t>
      </w:r>
      <w:r w:rsidRPr="006311C5">
        <w:t>. Symptom reporting and attribution to COVID-19 vaccination for the first and second vaccine dose separately.</w:t>
      </w:r>
    </w:p>
    <w:tbl>
      <w:tblPr>
        <w:tblStyle w:val="QQuestionTable"/>
        <w:tblW w:w="0" w:type="auto"/>
        <w:jc w:val="center"/>
        <w:tblLook w:val="07E0" w:firstRow="1" w:lastRow="1" w:firstColumn="1" w:lastColumn="1" w:noHBand="1" w:noVBand="1"/>
      </w:tblPr>
      <w:tblGrid>
        <w:gridCol w:w="1272"/>
        <w:gridCol w:w="1983"/>
        <w:gridCol w:w="595"/>
        <w:gridCol w:w="743"/>
        <w:gridCol w:w="1428"/>
        <w:gridCol w:w="1227"/>
        <w:gridCol w:w="1368"/>
        <w:gridCol w:w="595"/>
        <w:gridCol w:w="724"/>
        <w:gridCol w:w="1428"/>
        <w:gridCol w:w="1227"/>
        <w:gridCol w:w="1368"/>
      </w:tblGrid>
      <w:tr w:rsidR="00937F8A" w:rsidRPr="006311C5" w14:paraId="31A3F3BE" w14:textId="33242535" w:rsidTr="00F305EB">
        <w:trPr>
          <w:cnfStyle w:val="100000000000" w:firstRow="1" w:lastRow="0" w:firstColumn="0" w:lastColumn="0" w:oddVBand="0" w:evenVBand="0" w:oddHBand="0"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tcPr>
          <w:p w14:paraId="01EC5055" w14:textId="77777777" w:rsidR="00937F8A" w:rsidRPr="006311C5" w:rsidRDefault="00937F8A" w:rsidP="00F305EB">
            <w:pPr>
              <w:pStyle w:val="Tabletext"/>
            </w:pPr>
          </w:p>
        </w:tc>
        <w:tc>
          <w:tcPr>
            <w:tcW w:w="0" w:type="auto"/>
            <w:tcBorders>
              <w:top w:val="single" w:sz="12" w:space="0" w:color="auto"/>
              <w:left w:val="nil"/>
            </w:tcBorders>
          </w:tcPr>
          <w:p w14:paraId="3C2EE6AD" w14:textId="03AC3EA7" w:rsidR="00937F8A" w:rsidRPr="006311C5" w:rsidRDefault="00937F8A" w:rsidP="00F305EB">
            <w:pPr>
              <w:pStyle w:val="Tabletext"/>
              <w:cnfStyle w:val="100000000000" w:firstRow="1" w:lastRow="0" w:firstColumn="0" w:lastColumn="0" w:oddVBand="0" w:evenVBand="0" w:oddHBand="0" w:evenHBand="0" w:firstRowFirstColumn="0" w:firstRowLastColumn="0" w:lastRowFirstColumn="0" w:lastRowLastColumn="0"/>
            </w:pPr>
          </w:p>
        </w:tc>
        <w:tc>
          <w:tcPr>
            <w:tcW w:w="0" w:type="auto"/>
            <w:gridSpan w:val="10"/>
            <w:tcBorders>
              <w:top w:val="single" w:sz="12" w:space="0" w:color="auto"/>
              <w:left w:val="nil"/>
            </w:tcBorders>
          </w:tcPr>
          <w:p w14:paraId="0CB42F6F" w14:textId="11E6E74F" w:rsidR="00937F8A" w:rsidRPr="006311C5" w:rsidRDefault="00937F8A" w:rsidP="00F305EB">
            <w:pPr>
              <w:pStyle w:val="Tabletext"/>
              <w:cnfStyle w:val="100000000000" w:firstRow="1" w:lastRow="0" w:firstColumn="0" w:lastColumn="0" w:oddVBand="0" w:evenVBand="0" w:oddHBand="0" w:evenHBand="0" w:firstRowFirstColumn="0" w:firstRowLastColumn="0" w:lastRowFirstColumn="0" w:lastRowLastColumn="0"/>
            </w:pPr>
            <w:r w:rsidRPr="006311C5">
              <w:t>Did you experience this symptom and if so, do you think it was a side effect of the COVID-19 vaccine?</w:t>
            </w:r>
            <w:r w:rsidR="00296B4E" w:rsidRPr="006311C5">
              <w:t xml:space="preserve"> </w:t>
            </w:r>
            <w:r w:rsidR="00296B4E" w:rsidRPr="006311C5">
              <w:rPr>
                <w:vertAlign w:val="superscript"/>
              </w:rPr>
              <w:t>a</w:t>
            </w:r>
          </w:p>
        </w:tc>
      </w:tr>
      <w:tr w:rsidR="00937F8A" w:rsidRPr="006311C5" w14:paraId="4D790705" w14:textId="3C084041" w:rsidTr="00F305EB">
        <w:trPr>
          <w:trHeight w:val="17"/>
          <w:jc w:val="center"/>
        </w:trPr>
        <w:tc>
          <w:tcPr>
            <w:cnfStyle w:val="001000000000" w:firstRow="0" w:lastRow="0" w:firstColumn="1" w:lastColumn="0" w:oddVBand="0" w:evenVBand="0" w:oddHBand="0" w:evenHBand="0" w:firstRowFirstColumn="0" w:firstRowLastColumn="0" w:lastRowFirstColumn="0" w:lastRowLastColumn="0"/>
            <w:tcW w:w="0" w:type="auto"/>
          </w:tcPr>
          <w:p w14:paraId="6A4BBFE7" w14:textId="77777777" w:rsidR="00937F8A" w:rsidRPr="006311C5" w:rsidRDefault="00937F8A" w:rsidP="00F305EB">
            <w:pPr>
              <w:pStyle w:val="Tabletext"/>
            </w:pPr>
          </w:p>
        </w:tc>
        <w:tc>
          <w:tcPr>
            <w:tcW w:w="0" w:type="auto"/>
            <w:tcBorders>
              <w:left w:val="nil"/>
            </w:tcBorders>
          </w:tcPr>
          <w:p w14:paraId="79CA9A9C" w14:textId="54CA271F"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p>
        </w:tc>
        <w:tc>
          <w:tcPr>
            <w:tcW w:w="0" w:type="auto"/>
            <w:gridSpan w:val="5"/>
            <w:tcBorders>
              <w:left w:val="nil"/>
            </w:tcBorders>
          </w:tcPr>
          <w:p w14:paraId="0FA4ABC8" w14:textId="2DB04922"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006311C5">
              <w:t xml:space="preserve">First vaccine, </w:t>
            </w:r>
            <w:r w:rsidRPr="006311C5">
              <w:rPr>
                <w:i/>
                <w:iCs/>
              </w:rPr>
              <w:t>n</w:t>
            </w:r>
            <w:r w:rsidRPr="006311C5">
              <w:t xml:space="preserve"> (%)</w:t>
            </w:r>
            <w:r w:rsidR="00296B4E" w:rsidRPr="006311C5">
              <w:t xml:space="preserve"> </w:t>
            </w:r>
            <w:r w:rsidR="00296B4E" w:rsidRPr="006311C5">
              <w:rPr>
                <w:vertAlign w:val="superscript"/>
              </w:rPr>
              <w:t>b</w:t>
            </w:r>
          </w:p>
        </w:tc>
        <w:tc>
          <w:tcPr>
            <w:tcW w:w="0" w:type="auto"/>
            <w:gridSpan w:val="5"/>
          </w:tcPr>
          <w:p w14:paraId="2395CE03" w14:textId="0F12A71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 xml:space="preserve">Second vaccine, </w:t>
            </w:r>
            <w:r w:rsidRPr="006311C5">
              <w:rPr>
                <w:i/>
                <w:iCs/>
              </w:rPr>
              <w:t>n</w:t>
            </w:r>
            <w:r w:rsidRPr="006311C5">
              <w:t xml:space="preserve"> (%)</w:t>
            </w:r>
            <w:r w:rsidR="00296B4E" w:rsidRPr="006311C5">
              <w:t xml:space="preserve"> </w:t>
            </w:r>
            <w:r w:rsidR="00296B4E" w:rsidRPr="006311C5">
              <w:rPr>
                <w:vertAlign w:val="superscript"/>
              </w:rPr>
              <w:t>b</w:t>
            </w:r>
          </w:p>
        </w:tc>
      </w:tr>
      <w:tr w:rsidR="00937F8A" w:rsidRPr="006311C5" w14:paraId="45721264" w14:textId="77777777" w:rsidTr="00937F8A">
        <w:trPr>
          <w:trHeight w:val="99"/>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right w:val="none" w:sz="0" w:space="0" w:color="auto"/>
            </w:tcBorders>
          </w:tcPr>
          <w:p w14:paraId="229F7461" w14:textId="77777777" w:rsidR="00937F8A" w:rsidRPr="006311C5" w:rsidRDefault="00937F8A" w:rsidP="00F305EB">
            <w:pPr>
              <w:pStyle w:val="Tabletext"/>
            </w:pPr>
          </w:p>
        </w:tc>
        <w:tc>
          <w:tcPr>
            <w:tcW w:w="0" w:type="auto"/>
            <w:tcBorders>
              <w:left w:val="nil"/>
              <w:bottom w:val="single" w:sz="12" w:space="0" w:color="auto"/>
            </w:tcBorders>
          </w:tcPr>
          <w:p w14:paraId="370F20C3" w14:textId="31B9091D"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p>
        </w:tc>
        <w:tc>
          <w:tcPr>
            <w:tcW w:w="0" w:type="auto"/>
            <w:tcBorders>
              <w:left w:val="nil"/>
              <w:bottom w:val="single" w:sz="12" w:space="0" w:color="auto"/>
              <w:right w:val="nil"/>
            </w:tcBorders>
            <w:vAlign w:val="bottom"/>
          </w:tcPr>
          <w:p w14:paraId="5A68996D" w14:textId="77777777"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rPr>
                <w:i/>
                <w:iCs/>
              </w:rPr>
            </w:pPr>
            <w:r w:rsidRPr="006311C5">
              <w:rPr>
                <w:i/>
                <w:iCs/>
              </w:rPr>
              <w:t>n</w:t>
            </w:r>
          </w:p>
        </w:tc>
        <w:tc>
          <w:tcPr>
            <w:tcW w:w="0" w:type="auto"/>
            <w:tcBorders>
              <w:left w:val="nil"/>
              <w:bottom w:val="single" w:sz="12" w:space="0" w:color="auto"/>
            </w:tcBorders>
            <w:vAlign w:val="bottom"/>
          </w:tcPr>
          <w:p w14:paraId="79D2DA76" w14:textId="77777777"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No</w:t>
            </w:r>
          </w:p>
        </w:tc>
        <w:tc>
          <w:tcPr>
            <w:tcW w:w="0" w:type="auto"/>
            <w:tcBorders>
              <w:bottom w:val="single" w:sz="12" w:space="0" w:color="auto"/>
            </w:tcBorders>
            <w:vAlign w:val="bottom"/>
          </w:tcPr>
          <w:p w14:paraId="2913E857" w14:textId="77777777"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Yes; definitely or probably not a side effect</w:t>
            </w:r>
          </w:p>
        </w:tc>
        <w:tc>
          <w:tcPr>
            <w:tcW w:w="0" w:type="auto"/>
            <w:tcBorders>
              <w:bottom w:val="single" w:sz="12" w:space="0" w:color="auto"/>
            </w:tcBorders>
          </w:tcPr>
          <w:p w14:paraId="59A2B1B5" w14:textId="3C552D35"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Yes; unsure whether a side effect</w:t>
            </w:r>
          </w:p>
        </w:tc>
        <w:tc>
          <w:tcPr>
            <w:tcW w:w="0" w:type="auto"/>
            <w:tcBorders>
              <w:bottom w:val="single" w:sz="12" w:space="0" w:color="auto"/>
            </w:tcBorders>
            <w:vAlign w:val="bottom"/>
          </w:tcPr>
          <w:p w14:paraId="7BC514AA" w14:textId="4B32C58D"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Yes; probably or definitely a side effect</w:t>
            </w:r>
          </w:p>
        </w:tc>
        <w:tc>
          <w:tcPr>
            <w:tcW w:w="0" w:type="auto"/>
            <w:tcBorders>
              <w:bottom w:val="single" w:sz="12" w:space="0" w:color="auto"/>
            </w:tcBorders>
            <w:vAlign w:val="bottom"/>
          </w:tcPr>
          <w:p w14:paraId="52B6AD66" w14:textId="77777777"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rPr>
                <w:i/>
                <w:iCs/>
              </w:rPr>
            </w:pPr>
            <w:r w:rsidRPr="006311C5">
              <w:rPr>
                <w:i/>
                <w:iCs/>
              </w:rPr>
              <w:t>n</w:t>
            </w:r>
          </w:p>
        </w:tc>
        <w:tc>
          <w:tcPr>
            <w:tcW w:w="0" w:type="auto"/>
            <w:tcBorders>
              <w:bottom w:val="single" w:sz="12" w:space="0" w:color="auto"/>
            </w:tcBorders>
            <w:vAlign w:val="bottom"/>
          </w:tcPr>
          <w:p w14:paraId="452714C5" w14:textId="77777777"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No</w:t>
            </w:r>
          </w:p>
        </w:tc>
        <w:tc>
          <w:tcPr>
            <w:tcW w:w="0" w:type="auto"/>
            <w:tcBorders>
              <w:bottom w:val="single" w:sz="12" w:space="0" w:color="auto"/>
            </w:tcBorders>
            <w:vAlign w:val="bottom"/>
          </w:tcPr>
          <w:p w14:paraId="0754A6EE" w14:textId="77777777"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Yes; definitely or probably not a side effect</w:t>
            </w:r>
          </w:p>
        </w:tc>
        <w:tc>
          <w:tcPr>
            <w:tcW w:w="0" w:type="auto"/>
            <w:tcBorders>
              <w:bottom w:val="single" w:sz="12" w:space="0" w:color="auto"/>
            </w:tcBorders>
          </w:tcPr>
          <w:p w14:paraId="696BD822" w14:textId="5BC8216F"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Yes; unsure whether a side effect</w:t>
            </w:r>
          </w:p>
        </w:tc>
        <w:tc>
          <w:tcPr>
            <w:tcW w:w="0" w:type="auto"/>
            <w:tcBorders>
              <w:bottom w:val="single" w:sz="12" w:space="0" w:color="auto"/>
            </w:tcBorders>
            <w:vAlign w:val="bottom"/>
          </w:tcPr>
          <w:p w14:paraId="5594B860" w14:textId="75D19F17"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Yes; probably or definitely a side effect</w:t>
            </w:r>
          </w:p>
        </w:tc>
      </w:tr>
      <w:tr w:rsidR="00937F8A" w:rsidRPr="006311C5" w14:paraId="0087B7B5" w14:textId="77777777" w:rsidTr="00937F8A">
        <w:trPr>
          <w:trHeight w:val="25"/>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right w:val="none" w:sz="0" w:space="0" w:color="auto"/>
            </w:tcBorders>
          </w:tcPr>
          <w:p w14:paraId="206ABD51" w14:textId="2FAE6577" w:rsidR="00937F8A" w:rsidRPr="006311C5" w:rsidRDefault="00937F8A" w:rsidP="00F305EB">
            <w:pPr>
              <w:pStyle w:val="Tabletext"/>
            </w:pPr>
            <w:r w:rsidRPr="006311C5">
              <w:t>Injection-site symptoms</w:t>
            </w:r>
          </w:p>
        </w:tc>
        <w:tc>
          <w:tcPr>
            <w:tcW w:w="0" w:type="auto"/>
            <w:tcBorders>
              <w:top w:val="single" w:sz="12" w:space="0" w:color="auto"/>
              <w:left w:val="nil"/>
              <w:bottom w:val="single" w:sz="4" w:space="0" w:color="auto"/>
            </w:tcBorders>
          </w:tcPr>
          <w:p w14:paraId="44386629" w14:textId="658D7E46"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Pain or tenderness where the injection was</w:t>
            </w:r>
          </w:p>
        </w:tc>
        <w:tc>
          <w:tcPr>
            <w:tcW w:w="0" w:type="auto"/>
            <w:tcBorders>
              <w:top w:val="single" w:sz="12" w:space="0" w:color="auto"/>
              <w:left w:val="nil"/>
              <w:bottom w:val="single" w:sz="4" w:space="0" w:color="auto"/>
              <w:right w:val="nil"/>
            </w:tcBorders>
          </w:tcPr>
          <w:p w14:paraId="42B418F2" w14:textId="00324356"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006311C5">
              <w:t>1032</w:t>
            </w:r>
          </w:p>
        </w:tc>
        <w:tc>
          <w:tcPr>
            <w:tcW w:w="0" w:type="auto"/>
            <w:tcBorders>
              <w:top w:val="nil"/>
              <w:left w:val="nil"/>
              <w:bottom w:val="single" w:sz="4" w:space="0" w:color="auto"/>
              <w:right w:val="nil"/>
            </w:tcBorders>
          </w:tcPr>
          <w:p w14:paraId="122DE4E4" w14:textId="6F5CD1D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006311C5">
              <w:t>323 (31.3)</w:t>
            </w:r>
          </w:p>
        </w:tc>
        <w:tc>
          <w:tcPr>
            <w:tcW w:w="0" w:type="auto"/>
            <w:tcBorders>
              <w:top w:val="nil"/>
              <w:left w:val="nil"/>
              <w:bottom w:val="single" w:sz="4" w:space="0" w:color="auto"/>
              <w:right w:val="nil"/>
            </w:tcBorders>
          </w:tcPr>
          <w:p w14:paraId="05B2C4AA" w14:textId="2810BE0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006311C5">
              <w:t>48 (4.7)</w:t>
            </w:r>
          </w:p>
        </w:tc>
        <w:tc>
          <w:tcPr>
            <w:tcW w:w="0" w:type="auto"/>
            <w:tcBorders>
              <w:top w:val="nil"/>
              <w:left w:val="nil"/>
              <w:bottom w:val="single" w:sz="4" w:space="0" w:color="auto"/>
              <w:right w:val="nil"/>
            </w:tcBorders>
          </w:tcPr>
          <w:p w14:paraId="414B64CB" w14:textId="3B84AAA0" w:rsidR="00937F8A" w:rsidRPr="006311C5" w:rsidRDefault="006110A1" w:rsidP="00F305EB">
            <w:pPr>
              <w:pStyle w:val="Tabletext"/>
              <w:cnfStyle w:val="000000000000" w:firstRow="0" w:lastRow="0" w:firstColumn="0" w:lastColumn="0" w:oddVBand="0" w:evenVBand="0" w:oddHBand="0" w:evenHBand="0" w:firstRowFirstColumn="0" w:firstRowLastColumn="0" w:lastRowFirstColumn="0" w:lastRowLastColumn="0"/>
            </w:pPr>
            <w:r w:rsidRPr="006311C5">
              <w:t>28 (2.7)</w:t>
            </w:r>
          </w:p>
        </w:tc>
        <w:tc>
          <w:tcPr>
            <w:tcW w:w="0" w:type="auto"/>
            <w:tcBorders>
              <w:top w:val="nil"/>
              <w:left w:val="nil"/>
              <w:bottom w:val="single" w:sz="4" w:space="0" w:color="auto"/>
              <w:right w:val="nil"/>
            </w:tcBorders>
          </w:tcPr>
          <w:p w14:paraId="362F6C53" w14:textId="4F990B6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6</w:t>
            </w:r>
            <w:r w:rsidR="006110A1" w:rsidRPr="006311C5">
              <w:t>33</w:t>
            </w:r>
            <w:r w:rsidRPr="006311C5">
              <w:t xml:space="preserve"> (6</w:t>
            </w:r>
            <w:r w:rsidR="006110A1" w:rsidRPr="006311C5">
              <w:t>1</w:t>
            </w:r>
            <w:r w:rsidRPr="006311C5">
              <w:t>.</w:t>
            </w:r>
            <w:r w:rsidR="006110A1" w:rsidRPr="006311C5">
              <w:t>3</w:t>
            </w:r>
            <w:r w:rsidRPr="006311C5">
              <w:t>)</w:t>
            </w:r>
          </w:p>
        </w:tc>
        <w:tc>
          <w:tcPr>
            <w:tcW w:w="0" w:type="auto"/>
            <w:tcBorders>
              <w:top w:val="single" w:sz="12" w:space="0" w:color="auto"/>
              <w:bottom w:val="single" w:sz="4" w:space="0" w:color="auto"/>
            </w:tcBorders>
          </w:tcPr>
          <w:p w14:paraId="545B7954" w14:textId="5F783DA6"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1009</w:t>
            </w:r>
          </w:p>
        </w:tc>
        <w:tc>
          <w:tcPr>
            <w:tcW w:w="0" w:type="auto"/>
            <w:tcBorders>
              <w:top w:val="nil"/>
              <w:left w:val="nil"/>
              <w:bottom w:val="single" w:sz="4" w:space="0" w:color="auto"/>
              <w:right w:val="nil"/>
            </w:tcBorders>
          </w:tcPr>
          <w:p w14:paraId="544A68CD" w14:textId="5845DA0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519 (51.4)</w:t>
            </w:r>
          </w:p>
        </w:tc>
        <w:tc>
          <w:tcPr>
            <w:tcW w:w="0" w:type="auto"/>
            <w:tcBorders>
              <w:top w:val="nil"/>
              <w:left w:val="nil"/>
              <w:bottom w:val="single" w:sz="4" w:space="0" w:color="auto"/>
              <w:right w:val="nil"/>
            </w:tcBorders>
          </w:tcPr>
          <w:p w14:paraId="45A35FC8" w14:textId="557B1871"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35 (3.5)</w:t>
            </w:r>
          </w:p>
        </w:tc>
        <w:tc>
          <w:tcPr>
            <w:tcW w:w="0" w:type="auto"/>
            <w:tcBorders>
              <w:top w:val="nil"/>
              <w:left w:val="nil"/>
              <w:bottom w:val="single" w:sz="4" w:space="0" w:color="auto"/>
              <w:right w:val="nil"/>
            </w:tcBorders>
          </w:tcPr>
          <w:p w14:paraId="07CB2A10" w14:textId="6D882BF5" w:rsidR="00937F8A" w:rsidRPr="006311C5" w:rsidRDefault="00730A2B" w:rsidP="00F305EB">
            <w:pPr>
              <w:pStyle w:val="Tabletext"/>
              <w:cnfStyle w:val="000000000000" w:firstRow="0" w:lastRow="0" w:firstColumn="0" w:lastColumn="0" w:oddVBand="0" w:evenVBand="0" w:oddHBand="0" w:evenHBand="0" w:firstRowFirstColumn="0" w:firstRowLastColumn="0" w:lastRowFirstColumn="0" w:lastRowLastColumn="0"/>
            </w:pPr>
            <w:r w:rsidRPr="006311C5">
              <w:t>19 (1.9)</w:t>
            </w:r>
          </w:p>
        </w:tc>
        <w:tc>
          <w:tcPr>
            <w:tcW w:w="0" w:type="auto"/>
            <w:tcBorders>
              <w:top w:val="nil"/>
              <w:left w:val="nil"/>
              <w:bottom w:val="single" w:sz="4" w:space="0" w:color="auto"/>
              <w:right w:val="nil"/>
            </w:tcBorders>
          </w:tcPr>
          <w:p w14:paraId="279E574C" w14:textId="11FD5D0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4</w:t>
            </w:r>
            <w:r w:rsidR="00730A2B" w:rsidRPr="006311C5">
              <w:t>22</w:t>
            </w:r>
            <w:r w:rsidRPr="006311C5">
              <w:t xml:space="preserve"> (4</w:t>
            </w:r>
            <w:r w:rsidR="00730A2B" w:rsidRPr="006311C5">
              <w:t>3</w:t>
            </w:r>
            <w:r w:rsidRPr="006311C5">
              <w:t>.</w:t>
            </w:r>
            <w:r w:rsidR="00730A2B" w:rsidRPr="006311C5">
              <w:t>2</w:t>
            </w:r>
            <w:r w:rsidRPr="006311C5">
              <w:t>)</w:t>
            </w:r>
          </w:p>
        </w:tc>
      </w:tr>
      <w:tr w:rsidR="00937F8A" w:rsidRPr="006311C5" w14:paraId="038028DA" w14:textId="77777777" w:rsidTr="00937F8A">
        <w:trPr>
          <w:trHeight w:val="41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16364017" w14:textId="77777777" w:rsidR="00937F8A" w:rsidRPr="006311C5" w:rsidRDefault="00937F8A" w:rsidP="00F305EB">
            <w:pPr>
              <w:pStyle w:val="Tabletext"/>
            </w:pPr>
          </w:p>
        </w:tc>
        <w:tc>
          <w:tcPr>
            <w:tcW w:w="0" w:type="auto"/>
            <w:tcBorders>
              <w:top w:val="single" w:sz="4" w:space="0" w:color="auto"/>
              <w:left w:val="nil"/>
              <w:bottom w:val="single" w:sz="4" w:space="0" w:color="auto"/>
            </w:tcBorders>
          </w:tcPr>
          <w:p w14:paraId="719F5DF6" w14:textId="03489428"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Redness where the injection was</w:t>
            </w:r>
          </w:p>
        </w:tc>
        <w:tc>
          <w:tcPr>
            <w:tcW w:w="0" w:type="auto"/>
            <w:tcBorders>
              <w:top w:val="single" w:sz="4" w:space="0" w:color="auto"/>
              <w:left w:val="nil"/>
              <w:bottom w:val="single" w:sz="4" w:space="0" w:color="auto"/>
              <w:right w:val="nil"/>
            </w:tcBorders>
          </w:tcPr>
          <w:p w14:paraId="09E4A3F4" w14:textId="1268769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1030</w:t>
            </w:r>
          </w:p>
        </w:tc>
        <w:tc>
          <w:tcPr>
            <w:tcW w:w="0" w:type="auto"/>
            <w:tcBorders>
              <w:top w:val="single" w:sz="4" w:space="0" w:color="auto"/>
              <w:left w:val="nil"/>
              <w:bottom w:val="single" w:sz="4" w:space="0" w:color="auto"/>
              <w:right w:val="nil"/>
            </w:tcBorders>
          </w:tcPr>
          <w:p w14:paraId="237270C7" w14:textId="0FDC428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811 (78.7)</w:t>
            </w:r>
          </w:p>
        </w:tc>
        <w:tc>
          <w:tcPr>
            <w:tcW w:w="0" w:type="auto"/>
            <w:tcBorders>
              <w:top w:val="single" w:sz="4" w:space="0" w:color="auto"/>
              <w:left w:val="nil"/>
              <w:bottom w:val="single" w:sz="4" w:space="0" w:color="auto"/>
              <w:right w:val="nil"/>
            </w:tcBorders>
          </w:tcPr>
          <w:p w14:paraId="785D516A" w14:textId="6CC8CB67"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006311C5">
              <w:t>19 (1.8)</w:t>
            </w:r>
          </w:p>
        </w:tc>
        <w:tc>
          <w:tcPr>
            <w:tcW w:w="0" w:type="auto"/>
            <w:tcBorders>
              <w:top w:val="single" w:sz="4" w:space="0" w:color="auto"/>
              <w:left w:val="nil"/>
              <w:bottom w:val="single" w:sz="4" w:space="0" w:color="auto"/>
              <w:right w:val="nil"/>
            </w:tcBorders>
          </w:tcPr>
          <w:p w14:paraId="50A77604" w14:textId="3AFA58E7" w:rsidR="00937F8A" w:rsidRPr="006311C5" w:rsidRDefault="006110A1" w:rsidP="00F305EB">
            <w:pPr>
              <w:pStyle w:val="Tabletext"/>
              <w:cnfStyle w:val="000000000000" w:firstRow="0" w:lastRow="0" w:firstColumn="0" w:lastColumn="0" w:oddVBand="0" w:evenVBand="0" w:oddHBand="0" w:evenHBand="0" w:firstRowFirstColumn="0" w:firstRowLastColumn="0" w:lastRowFirstColumn="0" w:lastRowLastColumn="0"/>
            </w:pPr>
            <w:r w:rsidRPr="006311C5">
              <w:t>12 (1.2)</w:t>
            </w:r>
          </w:p>
        </w:tc>
        <w:tc>
          <w:tcPr>
            <w:tcW w:w="0" w:type="auto"/>
            <w:tcBorders>
              <w:top w:val="single" w:sz="4" w:space="0" w:color="auto"/>
              <w:left w:val="nil"/>
              <w:bottom w:val="single" w:sz="4" w:space="0" w:color="auto"/>
              <w:right w:val="nil"/>
            </w:tcBorders>
          </w:tcPr>
          <w:p w14:paraId="2F094885" w14:textId="43A48322" w:rsidR="00937F8A" w:rsidRPr="006311C5" w:rsidRDefault="00D234D2" w:rsidP="00F305EB">
            <w:pPr>
              <w:pStyle w:val="Tabletext"/>
              <w:cnfStyle w:val="000000000000" w:firstRow="0" w:lastRow="0" w:firstColumn="0" w:lastColumn="0" w:oddVBand="0" w:evenVBand="0" w:oddHBand="0" w:evenHBand="0" w:firstRowFirstColumn="0" w:firstRowLastColumn="0" w:lastRowFirstColumn="0" w:lastRowLastColumn="0"/>
            </w:pPr>
            <w:r w:rsidRPr="006311C5">
              <w:t>188</w:t>
            </w:r>
            <w:r w:rsidR="00937F8A" w:rsidRPr="006311C5">
              <w:t xml:space="preserve"> (1</w:t>
            </w:r>
            <w:r w:rsidRPr="006311C5">
              <w:t>8</w:t>
            </w:r>
            <w:r w:rsidR="00937F8A" w:rsidRPr="006311C5">
              <w:t>.</w:t>
            </w:r>
            <w:r w:rsidRPr="006311C5">
              <w:t>3</w:t>
            </w:r>
            <w:r w:rsidR="00937F8A" w:rsidRPr="006311C5">
              <w:t>)</w:t>
            </w:r>
          </w:p>
        </w:tc>
        <w:tc>
          <w:tcPr>
            <w:tcW w:w="0" w:type="auto"/>
            <w:tcBorders>
              <w:top w:val="single" w:sz="4" w:space="0" w:color="auto"/>
              <w:bottom w:val="single" w:sz="4" w:space="0" w:color="auto"/>
            </w:tcBorders>
          </w:tcPr>
          <w:p w14:paraId="122FD748" w14:textId="13CF2BC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1007</w:t>
            </w:r>
          </w:p>
        </w:tc>
        <w:tc>
          <w:tcPr>
            <w:tcW w:w="0" w:type="auto"/>
            <w:tcBorders>
              <w:top w:val="single" w:sz="4" w:space="0" w:color="auto"/>
              <w:left w:val="nil"/>
              <w:bottom w:val="single" w:sz="4" w:space="0" w:color="auto"/>
              <w:right w:val="nil"/>
            </w:tcBorders>
          </w:tcPr>
          <w:p w14:paraId="5062AB23" w14:textId="2B4105EF"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873 (86.7)</w:t>
            </w:r>
          </w:p>
        </w:tc>
        <w:tc>
          <w:tcPr>
            <w:tcW w:w="0" w:type="auto"/>
            <w:tcBorders>
              <w:top w:val="single" w:sz="4" w:space="0" w:color="auto"/>
              <w:left w:val="nil"/>
              <w:bottom w:val="single" w:sz="4" w:space="0" w:color="auto"/>
              <w:right w:val="nil"/>
            </w:tcBorders>
          </w:tcPr>
          <w:p w14:paraId="744C5094" w14:textId="616D7962"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13 (1.3)</w:t>
            </w:r>
          </w:p>
        </w:tc>
        <w:tc>
          <w:tcPr>
            <w:tcW w:w="0" w:type="auto"/>
            <w:tcBorders>
              <w:top w:val="single" w:sz="4" w:space="0" w:color="auto"/>
              <w:left w:val="nil"/>
              <w:bottom w:val="single" w:sz="4" w:space="0" w:color="auto"/>
              <w:right w:val="nil"/>
            </w:tcBorders>
          </w:tcPr>
          <w:p w14:paraId="6A4694E4" w14:textId="12963399" w:rsidR="00937F8A" w:rsidRPr="006311C5" w:rsidRDefault="003873D3" w:rsidP="00F305EB">
            <w:pPr>
              <w:pStyle w:val="Tabletext"/>
              <w:cnfStyle w:val="000000000000" w:firstRow="0" w:lastRow="0" w:firstColumn="0" w:lastColumn="0" w:oddVBand="0" w:evenVBand="0" w:oddHBand="0" w:evenHBand="0" w:firstRowFirstColumn="0" w:firstRowLastColumn="0" w:lastRowFirstColumn="0" w:lastRowLastColumn="0"/>
            </w:pPr>
            <w:r w:rsidRPr="006311C5">
              <w:t>6 (0.6)</w:t>
            </w:r>
          </w:p>
        </w:tc>
        <w:tc>
          <w:tcPr>
            <w:tcW w:w="0" w:type="auto"/>
            <w:tcBorders>
              <w:top w:val="single" w:sz="4" w:space="0" w:color="auto"/>
              <w:left w:val="nil"/>
              <w:bottom w:val="single" w:sz="4" w:space="0" w:color="auto"/>
              <w:right w:val="nil"/>
            </w:tcBorders>
          </w:tcPr>
          <w:p w14:paraId="2EBC2910" w14:textId="246B5D8E"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11</w:t>
            </w:r>
            <w:r w:rsidR="003873D3" w:rsidRPr="006311C5">
              <w:t>5</w:t>
            </w:r>
            <w:r w:rsidRPr="006311C5">
              <w:t xml:space="preserve"> (1</w:t>
            </w:r>
            <w:r w:rsidR="003873D3" w:rsidRPr="006311C5">
              <w:t>1</w:t>
            </w:r>
            <w:r w:rsidRPr="006311C5">
              <w:t>.</w:t>
            </w:r>
            <w:r w:rsidR="003873D3" w:rsidRPr="006311C5">
              <w:t>4</w:t>
            </w:r>
            <w:r w:rsidRPr="006311C5">
              <w:t>)</w:t>
            </w:r>
          </w:p>
        </w:tc>
      </w:tr>
      <w:tr w:rsidR="00937F8A" w:rsidRPr="006311C5" w14:paraId="266050AE" w14:textId="77777777" w:rsidTr="00937F8A">
        <w:trPr>
          <w:trHeight w:val="92"/>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1B4F2F70" w14:textId="77777777" w:rsidR="00937F8A" w:rsidRPr="006311C5" w:rsidRDefault="00937F8A" w:rsidP="00F305EB">
            <w:pPr>
              <w:pStyle w:val="Tabletext"/>
            </w:pPr>
          </w:p>
        </w:tc>
        <w:tc>
          <w:tcPr>
            <w:tcW w:w="0" w:type="auto"/>
            <w:tcBorders>
              <w:top w:val="single" w:sz="4" w:space="0" w:color="auto"/>
              <w:left w:val="nil"/>
              <w:bottom w:val="single" w:sz="4" w:space="0" w:color="auto"/>
            </w:tcBorders>
          </w:tcPr>
          <w:p w14:paraId="66ABE518" w14:textId="4D6B20D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Swelling where the injection was</w:t>
            </w:r>
          </w:p>
        </w:tc>
        <w:tc>
          <w:tcPr>
            <w:tcW w:w="0" w:type="auto"/>
            <w:tcBorders>
              <w:top w:val="single" w:sz="4" w:space="0" w:color="auto"/>
              <w:left w:val="nil"/>
              <w:bottom w:val="single" w:sz="4" w:space="0" w:color="auto"/>
              <w:right w:val="nil"/>
            </w:tcBorders>
          </w:tcPr>
          <w:p w14:paraId="6B80C8DF" w14:textId="21D829C2"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1030</w:t>
            </w:r>
          </w:p>
        </w:tc>
        <w:tc>
          <w:tcPr>
            <w:tcW w:w="0" w:type="auto"/>
            <w:tcBorders>
              <w:top w:val="single" w:sz="4" w:space="0" w:color="auto"/>
              <w:left w:val="nil"/>
              <w:bottom w:val="single" w:sz="4" w:space="0" w:color="auto"/>
              <w:right w:val="nil"/>
            </w:tcBorders>
          </w:tcPr>
          <w:p w14:paraId="46A6F637" w14:textId="263ADB61"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854 (82.9)</w:t>
            </w:r>
          </w:p>
        </w:tc>
        <w:tc>
          <w:tcPr>
            <w:tcW w:w="0" w:type="auto"/>
            <w:tcBorders>
              <w:top w:val="single" w:sz="4" w:space="0" w:color="auto"/>
              <w:left w:val="nil"/>
              <w:bottom w:val="single" w:sz="4" w:space="0" w:color="auto"/>
              <w:right w:val="nil"/>
            </w:tcBorders>
          </w:tcPr>
          <w:p w14:paraId="0E4088B4" w14:textId="02199769"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006311C5">
              <w:t>11 (1.1)</w:t>
            </w:r>
          </w:p>
        </w:tc>
        <w:tc>
          <w:tcPr>
            <w:tcW w:w="0" w:type="auto"/>
            <w:tcBorders>
              <w:top w:val="single" w:sz="4" w:space="0" w:color="auto"/>
              <w:left w:val="nil"/>
              <w:bottom w:val="single" w:sz="4" w:space="0" w:color="auto"/>
              <w:right w:val="nil"/>
            </w:tcBorders>
          </w:tcPr>
          <w:p w14:paraId="726C19EF" w14:textId="670BA075" w:rsidR="00937F8A" w:rsidRPr="006311C5" w:rsidRDefault="00D234D2" w:rsidP="00F305EB">
            <w:pPr>
              <w:pStyle w:val="Tabletext"/>
              <w:cnfStyle w:val="000000000000" w:firstRow="0" w:lastRow="0" w:firstColumn="0" w:lastColumn="0" w:oddVBand="0" w:evenVBand="0" w:oddHBand="0" w:evenHBand="0" w:firstRowFirstColumn="0" w:firstRowLastColumn="0" w:lastRowFirstColumn="0" w:lastRowLastColumn="0"/>
            </w:pPr>
            <w:r w:rsidRPr="006311C5">
              <w:t>9 (0.9)</w:t>
            </w:r>
          </w:p>
        </w:tc>
        <w:tc>
          <w:tcPr>
            <w:tcW w:w="0" w:type="auto"/>
            <w:tcBorders>
              <w:top w:val="single" w:sz="4" w:space="0" w:color="auto"/>
              <w:left w:val="nil"/>
              <w:bottom w:val="single" w:sz="4" w:space="0" w:color="auto"/>
              <w:right w:val="nil"/>
            </w:tcBorders>
          </w:tcPr>
          <w:p w14:paraId="5CC92A5F" w14:textId="7ACFCD68"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15</w:t>
            </w:r>
            <w:r w:rsidR="00D234D2" w:rsidRPr="006311C5">
              <w:t>6</w:t>
            </w:r>
            <w:r w:rsidRPr="006311C5">
              <w:t xml:space="preserve"> (1</w:t>
            </w:r>
            <w:r w:rsidR="00D234D2" w:rsidRPr="006311C5">
              <w:t>5</w:t>
            </w:r>
            <w:r w:rsidRPr="006311C5">
              <w:t>.</w:t>
            </w:r>
            <w:r w:rsidR="00D234D2" w:rsidRPr="006311C5">
              <w:t>1</w:t>
            </w:r>
            <w:r w:rsidRPr="006311C5">
              <w:t>)</w:t>
            </w:r>
          </w:p>
        </w:tc>
        <w:tc>
          <w:tcPr>
            <w:tcW w:w="0" w:type="auto"/>
            <w:tcBorders>
              <w:top w:val="single" w:sz="4" w:space="0" w:color="auto"/>
              <w:bottom w:val="single" w:sz="4" w:space="0" w:color="auto"/>
            </w:tcBorders>
          </w:tcPr>
          <w:p w14:paraId="2C6B5535" w14:textId="57E62A5E"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1006</w:t>
            </w:r>
          </w:p>
        </w:tc>
        <w:tc>
          <w:tcPr>
            <w:tcW w:w="0" w:type="auto"/>
            <w:tcBorders>
              <w:top w:val="single" w:sz="4" w:space="0" w:color="auto"/>
              <w:left w:val="nil"/>
              <w:bottom w:val="single" w:sz="4" w:space="0" w:color="auto"/>
              <w:right w:val="nil"/>
            </w:tcBorders>
          </w:tcPr>
          <w:p w14:paraId="2CB08BCD" w14:textId="24C38121"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892 (88.7)</w:t>
            </w:r>
          </w:p>
        </w:tc>
        <w:tc>
          <w:tcPr>
            <w:tcW w:w="0" w:type="auto"/>
            <w:tcBorders>
              <w:top w:val="single" w:sz="4" w:space="0" w:color="auto"/>
              <w:left w:val="nil"/>
              <w:bottom w:val="single" w:sz="4" w:space="0" w:color="auto"/>
              <w:right w:val="nil"/>
            </w:tcBorders>
          </w:tcPr>
          <w:p w14:paraId="0BEFFE22" w14:textId="44C9134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8 (0.8)</w:t>
            </w:r>
          </w:p>
        </w:tc>
        <w:tc>
          <w:tcPr>
            <w:tcW w:w="0" w:type="auto"/>
            <w:tcBorders>
              <w:top w:val="single" w:sz="4" w:space="0" w:color="auto"/>
              <w:left w:val="nil"/>
              <w:bottom w:val="single" w:sz="4" w:space="0" w:color="auto"/>
              <w:right w:val="nil"/>
            </w:tcBorders>
          </w:tcPr>
          <w:p w14:paraId="261BEE19" w14:textId="5B6E3FD8" w:rsidR="00937F8A" w:rsidRPr="006311C5" w:rsidRDefault="003873D3" w:rsidP="00F305EB">
            <w:pPr>
              <w:pStyle w:val="Tabletext"/>
              <w:cnfStyle w:val="000000000000" w:firstRow="0" w:lastRow="0" w:firstColumn="0" w:lastColumn="0" w:oddVBand="0" w:evenVBand="0" w:oddHBand="0" w:evenHBand="0" w:firstRowFirstColumn="0" w:firstRowLastColumn="0" w:lastRowFirstColumn="0" w:lastRowLastColumn="0"/>
            </w:pPr>
            <w:r w:rsidRPr="006311C5">
              <w:t>7 (0.7)</w:t>
            </w:r>
          </w:p>
        </w:tc>
        <w:tc>
          <w:tcPr>
            <w:tcW w:w="0" w:type="auto"/>
            <w:tcBorders>
              <w:top w:val="single" w:sz="4" w:space="0" w:color="auto"/>
              <w:left w:val="nil"/>
              <w:bottom w:val="single" w:sz="4" w:space="0" w:color="auto"/>
              <w:right w:val="nil"/>
            </w:tcBorders>
          </w:tcPr>
          <w:p w14:paraId="10F51CD8" w14:textId="5C13B744" w:rsidR="00937F8A" w:rsidRPr="006311C5" w:rsidRDefault="003873D3" w:rsidP="00F305EB">
            <w:pPr>
              <w:pStyle w:val="Tabletext"/>
              <w:cnfStyle w:val="000000000000" w:firstRow="0" w:lastRow="0" w:firstColumn="0" w:lastColumn="0" w:oddVBand="0" w:evenVBand="0" w:oddHBand="0" w:evenHBand="0" w:firstRowFirstColumn="0" w:firstRowLastColumn="0" w:lastRowFirstColumn="0" w:lastRowLastColumn="0"/>
            </w:pPr>
            <w:r w:rsidRPr="006311C5">
              <w:t>99</w:t>
            </w:r>
            <w:r w:rsidR="00937F8A" w:rsidRPr="006311C5">
              <w:t xml:space="preserve"> (</w:t>
            </w:r>
            <w:r w:rsidRPr="006311C5">
              <w:t>9</w:t>
            </w:r>
            <w:r w:rsidR="00937F8A" w:rsidRPr="006311C5">
              <w:t>.</w:t>
            </w:r>
            <w:r w:rsidRPr="006311C5">
              <w:t>8</w:t>
            </w:r>
            <w:r w:rsidR="00937F8A" w:rsidRPr="006311C5">
              <w:t>)</w:t>
            </w:r>
          </w:p>
        </w:tc>
      </w:tr>
      <w:tr w:rsidR="00937F8A" w:rsidRPr="006311C5" w14:paraId="02BE54A2" w14:textId="77777777" w:rsidTr="00937F8A">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5750590B" w14:textId="77777777" w:rsidR="00937F8A" w:rsidRPr="006311C5" w:rsidRDefault="00937F8A" w:rsidP="00F305EB">
            <w:pPr>
              <w:pStyle w:val="Tabletext"/>
            </w:pPr>
          </w:p>
        </w:tc>
        <w:tc>
          <w:tcPr>
            <w:tcW w:w="0" w:type="auto"/>
            <w:tcBorders>
              <w:top w:val="single" w:sz="4" w:space="0" w:color="auto"/>
              <w:left w:val="nil"/>
              <w:bottom w:val="single" w:sz="4" w:space="0" w:color="auto"/>
            </w:tcBorders>
          </w:tcPr>
          <w:p w14:paraId="5803DE41" w14:textId="12D80BB8"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Itch where the injection was</w:t>
            </w:r>
          </w:p>
        </w:tc>
        <w:tc>
          <w:tcPr>
            <w:tcW w:w="0" w:type="auto"/>
            <w:tcBorders>
              <w:top w:val="single" w:sz="4" w:space="0" w:color="auto"/>
              <w:left w:val="nil"/>
              <w:bottom w:val="single" w:sz="4" w:space="0" w:color="auto"/>
              <w:right w:val="nil"/>
            </w:tcBorders>
          </w:tcPr>
          <w:p w14:paraId="2772428D" w14:textId="054656EE"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1029</w:t>
            </w:r>
          </w:p>
        </w:tc>
        <w:tc>
          <w:tcPr>
            <w:tcW w:w="0" w:type="auto"/>
            <w:tcBorders>
              <w:top w:val="single" w:sz="4" w:space="0" w:color="auto"/>
              <w:left w:val="nil"/>
              <w:bottom w:val="single" w:sz="4" w:space="0" w:color="auto"/>
              <w:right w:val="nil"/>
            </w:tcBorders>
          </w:tcPr>
          <w:p w14:paraId="656FD404" w14:textId="0D60AC6D"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907 (88.1)</w:t>
            </w:r>
          </w:p>
        </w:tc>
        <w:tc>
          <w:tcPr>
            <w:tcW w:w="0" w:type="auto"/>
            <w:tcBorders>
              <w:top w:val="single" w:sz="4" w:space="0" w:color="auto"/>
              <w:left w:val="nil"/>
              <w:bottom w:val="single" w:sz="4" w:space="0" w:color="auto"/>
              <w:right w:val="nil"/>
            </w:tcBorders>
          </w:tcPr>
          <w:p w14:paraId="0E259185" w14:textId="10673DC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006311C5">
              <w:t xml:space="preserve"> 18 (1.7)</w:t>
            </w:r>
          </w:p>
        </w:tc>
        <w:tc>
          <w:tcPr>
            <w:tcW w:w="0" w:type="auto"/>
            <w:tcBorders>
              <w:top w:val="single" w:sz="4" w:space="0" w:color="auto"/>
              <w:left w:val="nil"/>
              <w:bottom w:val="single" w:sz="4" w:space="0" w:color="auto"/>
              <w:right w:val="nil"/>
            </w:tcBorders>
          </w:tcPr>
          <w:p w14:paraId="24D6981E" w14:textId="6A69AF39" w:rsidR="00937F8A" w:rsidRPr="006311C5" w:rsidRDefault="00D234D2" w:rsidP="00F305EB">
            <w:pPr>
              <w:pStyle w:val="Tabletext"/>
              <w:cnfStyle w:val="000000000000" w:firstRow="0" w:lastRow="0" w:firstColumn="0" w:lastColumn="0" w:oddVBand="0" w:evenVBand="0" w:oddHBand="0" w:evenHBand="0" w:firstRowFirstColumn="0" w:firstRowLastColumn="0" w:lastRowFirstColumn="0" w:lastRowLastColumn="0"/>
            </w:pPr>
            <w:r w:rsidRPr="006311C5">
              <w:t>7 (0.7)</w:t>
            </w:r>
          </w:p>
        </w:tc>
        <w:tc>
          <w:tcPr>
            <w:tcW w:w="0" w:type="auto"/>
            <w:tcBorders>
              <w:top w:val="single" w:sz="4" w:space="0" w:color="auto"/>
              <w:left w:val="nil"/>
              <w:bottom w:val="single" w:sz="4" w:space="0" w:color="auto"/>
              <w:right w:val="nil"/>
            </w:tcBorders>
          </w:tcPr>
          <w:p w14:paraId="524C5CA7" w14:textId="0B2CD2EC" w:rsidR="00937F8A" w:rsidRPr="006311C5" w:rsidRDefault="00D234D2" w:rsidP="00F305EB">
            <w:pPr>
              <w:pStyle w:val="Tabletext"/>
              <w:cnfStyle w:val="000000000000" w:firstRow="0" w:lastRow="0" w:firstColumn="0" w:lastColumn="0" w:oddVBand="0" w:evenVBand="0" w:oddHBand="0" w:evenHBand="0" w:firstRowFirstColumn="0" w:firstRowLastColumn="0" w:lastRowFirstColumn="0" w:lastRowLastColumn="0"/>
            </w:pPr>
            <w:r w:rsidRPr="006311C5">
              <w:t>97</w:t>
            </w:r>
            <w:r w:rsidR="00937F8A" w:rsidRPr="006311C5">
              <w:t xml:space="preserve"> (</w:t>
            </w:r>
            <w:r w:rsidRPr="006311C5">
              <w:t>9</w:t>
            </w:r>
            <w:r w:rsidR="00937F8A" w:rsidRPr="006311C5">
              <w:t>.</w:t>
            </w:r>
            <w:r w:rsidRPr="006311C5">
              <w:t>4</w:t>
            </w:r>
            <w:r w:rsidR="00937F8A" w:rsidRPr="006311C5">
              <w:t>)</w:t>
            </w:r>
          </w:p>
        </w:tc>
        <w:tc>
          <w:tcPr>
            <w:tcW w:w="0" w:type="auto"/>
            <w:tcBorders>
              <w:top w:val="single" w:sz="4" w:space="0" w:color="auto"/>
              <w:bottom w:val="single" w:sz="4" w:space="0" w:color="auto"/>
            </w:tcBorders>
          </w:tcPr>
          <w:p w14:paraId="568B5B7E" w14:textId="4D7C985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1006</w:t>
            </w:r>
          </w:p>
        </w:tc>
        <w:tc>
          <w:tcPr>
            <w:tcW w:w="0" w:type="auto"/>
            <w:tcBorders>
              <w:top w:val="single" w:sz="4" w:space="0" w:color="auto"/>
              <w:left w:val="nil"/>
              <w:bottom w:val="single" w:sz="4" w:space="0" w:color="auto"/>
              <w:right w:val="nil"/>
            </w:tcBorders>
          </w:tcPr>
          <w:p w14:paraId="3B41CF09" w14:textId="4357D327"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936 (93.0)</w:t>
            </w:r>
          </w:p>
        </w:tc>
        <w:tc>
          <w:tcPr>
            <w:tcW w:w="0" w:type="auto"/>
            <w:tcBorders>
              <w:top w:val="single" w:sz="4" w:space="0" w:color="auto"/>
              <w:left w:val="nil"/>
              <w:bottom w:val="single" w:sz="4" w:space="0" w:color="auto"/>
              <w:right w:val="nil"/>
            </w:tcBorders>
          </w:tcPr>
          <w:p w14:paraId="66B05313" w14:textId="2BE5B55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8 (0.8)</w:t>
            </w:r>
          </w:p>
        </w:tc>
        <w:tc>
          <w:tcPr>
            <w:tcW w:w="0" w:type="auto"/>
            <w:tcBorders>
              <w:top w:val="single" w:sz="4" w:space="0" w:color="auto"/>
              <w:left w:val="nil"/>
              <w:bottom w:val="single" w:sz="4" w:space="0" w:color="auto"/>
              <w:right w:val="nil"/>
            </w:tcBorders>
          </w:tcPr>
          <w:p w14:paraId="0781AFD1" w14:textId="73C4681B" w:rsidR="00937F8A" w:rsidRPr="006311C5" w:rsidRDefault="00F36284" w:rsidP="00F305EB">
            <w:pPr>
              <w:pStyle w:val="Tabletext"/>
              <w:cnfStyle w:val="000000000000" w:firstRow="0" w:lastRow="0" w:firstColumn="0" w:lastColumn="0" w:oddVBand="0" w:evenVBand="0" w:oddHBand="0" w:evenHBand="0" w:firstRowFirstColumn="0" w:firstRowLastColumn="0" w:lastRowFirstColumn="0" w:lastRowLastColumn="0"/>
            </w:pPr>
            <w:r w:rsidRPr="006311C5">
              <w:t>8 (0.8)</w:t>
            </w:r>
          </w:p>
        </w:tc>
        <w:tc>
          <w:tcPr>
            <w:tcW w:w="0" w:type="auto"/>
            <w:tcBorders>
              <w:top w:val="single" w:sz="4" w:space="0" w:color="auto"/>
              <w:left w:val="nil"/>
              <w:bottom w:val="single" w:sz="4" w:space="0" w:color="auto"/>
              <w:right w:val="nil"/>
            </w:tcBorders>
          </w:tcPr>
          <w:p w14:paraId="156FF2B2" w14:textId="356C4AA1" w:rsidR="00937F8A" w:rsidRPr="006311C5" w:rsidRDefault="00F36284" w:rsidP="00F305EB">
            <w:pPr>
              <w:pStyle w:val="Tabletext"/>
              <w:cnfStyle w:val="000000000000" w:firstRow="0" w:lastRow="0" w:firstColumn="0" w:lastColumn="0" w:oddVBand="0" w:evenVBand="0" w:oddHBand="0" w:evenHBand="0" w:firstRowFirstColumn="0" w:firstRowLastColumn="0" w:lastRowFirstColumn="0" w:lastRowLastColumn="0"/>
            </w:pPr>
            <w:r w:rsidRPr="006311C5">
              <w:t>54</w:t>
            </w:r>
            <w:r w:rsidR="00937F8A" w:rsidRPr="006311C5">
              <w:t xml:space="preserve"> (</w:t>
            </w:r>
            <w:r w:rsidRPr="006311C5">
              <w:t>5</w:t>
            </w:r>
            <w:r w:rsidR="00937F8A" w:rsidRPr="006311C5">
              <w:t>.</w:t>
            </w:r>
            <w:r w:rsidRPr="006311C5">
              <w:t>4</w:t>
            </w:r>
            <w:r w:rsidR="00937F8A" w:rsidRPr="006311C5">
              <w:t>)</w:t>
            </w:r>
          </w:p>
        </w:tc>
      </w:tr>
      <w:tr w:rsidR="00937F8A" w:rsidRPr="006311C5" w14:paraId="5250EBEE" w14:textId="77777777" w:rsidTr="00937F8A">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279E493D" w14:textId="77777777" w:rsidR="00937F8A" w:rsidRPr="006311C5" w:rsidRDefault="00937F8A" w:rsidP="00F305EB">
            <w:pPr>
              <w:pStyle w:val="Tabletext"/>
            </w:pPr>
          </w:p>
        </w:tc>
        <w:tc>
          <w:tcPr>
            <w:tcW w:w="0" w:type="auto"/>
            <w:tcBorders>
              <w:top w:val="single" w:sz="4" w:space="0" w:color="auto"/>
              <w:left w:val="nil"/>
              <w:bottom w:val="single" w:sz="4" w:space="0" w:color="auto"/>
            </w:tcBorders>
          </w:tcPr>
          <w:p w14:paraId="5AC186A5" w14:textId="6E827F7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Warmth where the injection was</w:t>
            </w:r>
          </w:p>
        </w:tc>
        <w:tc>
          <w:tcPr>
            <w:tcW w:w="0" w:type="auto"/>
            <w:tcBorders>
              <w:top w:val="single" w:sz="4" w:space="0" w:color="auto"/>
              <w:left w:val="nil"/>
              <w:bottom w:val="single" w:sz="4" w:space="0" w:color="auto"/>
              <w:right w:val="nil"/>
            </w:tcBorders>
          </w:tcPr>
          <w:p w14:paraId="4D573FD6" w14:textId="1F61917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1030</w:t>
            </w:r>
          </w:p>
        </w:tc>
        <w:tc>
          <w:tcPr>
            <w:tcW w:w="0" w:type="auto"/>
            <w:tcBorders>
              <w:top w:val="single" w:sz="4" w:space="0" w:color="auto"/>
              <w:left w:val="nil"/>
              <w:bottom w:val="single" w:sz="4" w:space="0" w:color="auto"/>
              <w:right w:val="nil"/>
            </w:tcBorders>
          </w:tcPr>
          <w:p w14:paraId="2738C1B2" w14:textId="5D4DB55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822 (79.8)</w:t>
            </w:r>
          </w:p>
        </w:tc>
        <w:tc>
          <w:tcPr>
            <w:tcW w:w="0" w:type="auto"/>
            <w:tcBorders>
              <w:top w:val="single" w:sz="4" w:space="0" w:color="auto"/>
              <w:left w:val="nil"/>
              <w:bottom w:val="single" w:sz="4" w:space="0" w:color="auto"/>
              <w:right w:val="nil"/>
            </w:tcBorders>
          </w:tcPr>
          <w:p w14:paraId="476B920B" w14:textId="4DA98D06"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17 (1.7)</w:t>
            </w:r>
          </w:p>
        </w:tc>
        <w:tc>
          <w:tcPr>
            <w:tcW w:w="0" w:type="auto"/>
            <w:tcBorders>
              <w:top w:val="single" w:sz="4" w:space="0" w:color="auto"/>
              <w:left w:val="nil"/>
              <w:bottom w:val="single" w:sz="4" w:space="0" w:color="auto"/>
              <w:right w:val="nil"/>
            </w:tcBorders>
          </w:tcPr>
          <w:p w14:paraId="164EC371" w14:textId="16ADFD0A" w:rsidR="00937F8A" w:rsidRPr="006311C5" w:rsidRDefault="00822008" w:rsidP="00F305EB">
            <w:pPr>
              <w:pStyle w:val="Tabletext"/>
              <w:cnfStyle w:val="000000000000" w:firstRow="0" w:lastRow="0" w:firstColumn="0" w:lastColumn="0" w:oddVBand="0" w:evenVBand="0" w:oddHBand="0" w:evenHBand="0" w:firstRowFirstColumn="0" w:firstRowLastColumn="0" w:lastRowFirstColumn="0" w:lastRowLastColumn="0"/>
            </w:pPr>
            <w:r w:rsidRPr="006311C5">
              <w:t>17 (1.7)</w:t>
            </w:r>
          </w:p>
        </w:tc>
        <w:tc>
          <w:tcPr>
            <w:tcW w:w="0" w:type="auto"/>
            <w:tcBorders>
              <w:top w:val="single" w:sz="4" w:space="0" w:color="auto"/>
              <w:left w:val="nil"/>
              <w:bottom w:val="single" w:sz="4" w:space="0" w:color="auto"/>
              <w:right w:val="nil"/>
            </w:tcBorders>
          </w:tcPr>
          <w:p w14:paraId="04CE9BAC" w14:textId="65108591"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w:t>
            </w:r>
            <w:r w:rsidR="00822008" w:rsidRPr="006311C5">
              <w:t>74</w:t>
            </w:r>
            <w:r w:rsidRPr="006311C5">
              <w:t xml:space="preserve"> (1</w:t>
            </w:r>
            <w:r w:rsidR="00822008" w:rsidRPr="006311C5">
              <w:t>6</w:t>
            </w:r>
            <w:r w:rsidRPr="006311C5">
              <w:t>.</w:t>
            </w:r>
            <w:r w:rsidR="00822008" w:rsidRPr="006311C5">
              <w:t>9</w:t>
            </w:r>
            <w:r w:rsidRPr="006311C5">
              <w:t>)</w:t>
            </w:r>
          </w:p>
        </w:tc>
        <w:tc>
          <w:tcPr>
            <w:tcW w:w="0" w:type="auto"/>
            <w:tcBorders>
              <w:top w:val="single" w:sz="4" w:space="0" w:color="auto"/>
              <w:bottom w:val="single" w:sz="4" w:space="0" w:color="auto"/>
            </w:tcBorders>
          </w:tcPr>
          <w:p w14:paraId="0536C9A3" w14:textId="52160203"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1006</w:t>
            </w:r>
          </w:p>
        </w:tc>
        <w:tc>
          <w:tcPr>
            <w:tcW w:w="0" w:type="auto"/>
            <w:tcBorders>
              <w:top w:val="single" w:sz="4" w:space="0" w:color="auto"/>
              <w:left w:val="nil"/>
              <w:bottom w:val="single" w:sz="4" w:space="0" w:color="auto"/>
              <w:right w:val="nil"/>
            </w:tcBorders>
          </w:tcPr>
          <w:p w14:paraId="21E235E1" w14:textId="78E05E9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892 (88.7)</w:t>
            </w:r>
          </w:p>
        </w:tc>
        <w:tc>
          <w:tcPr>
            <w:tcW w:w="0" w:type="auto"/>
            <w:tcBorders>
              <w:top w:val="single" w:sz="4" w:space="0" w:color="auto"/>
              <w:left w:val="nil"/>
              <w:bottom w:val="single" w:sz="4" w:space="0" w:color="auto"/>
              <w:right w:val="nil"/>
            </w:tcBorders>
          </w:tcPr>
          <w:p w14:paraId="7E39AD09" w14:textId="782B4869"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8 (0.8)</w:t>
            </w:r>
          </w:p>
        </w:tc>
        <w:tc>
          <w:tcPr>
            <w:tcW w:w="0" w:type="auto"/>
            <w:tcBorders>
              <w:top w:val="single" w:sz="4" w:space="0" w:color="auto"/>
              <w:left w:val="nil"/>
              <w:bottom w:val="single" w:sz="4" w:space="0" w:color="auto"/>
              <w:right w:val="nil"/>
            </w:tcBorders>
          </w:tcPr>
          <w:p w14:paraId="27F21C9A" w14:textId="28F9BB70" w:rsidR="00937F8A" w:rsidRPr="006311C5" w:rsidRDefault="00F36284" w:rsidP="00F305EB">
            <w:pPr>
              <w:pStyle w:val="Tabletext"/>
              <w:cnfStyle w:val="000000000000" w:firstRow="0" w:lastRow="0" w:firstColumn="0" w:lastColumn="0" w:oddVBand="0" w:evenVBand="0" w:oddHBand="0" w:evenHBand="0" w:firstRowFirstColumn="0" w:firstRowLastColumn="0" w:lastRowFirstColumn="0" w:lastRowLastColumn="0"/>
            </w:pPr>
            <w:r w:rsidRPr="006311C5">
              <w:t>6 (0.6)</w:t>
            </w:r>
          </w:p>
        </w:tc>
        <w:tc>
          <w:tcPr>
            <w:tcW w:w="0" w:type="auto"/>
            <w:tcBorders>
              <w:top w:val="single" w:sz="4" w:space="0" w:color="auto"/>
              <w:left w:val="nil"/>
              <w:bottom w:val="single" w:sz="4" w:space="0" w:color="auto"/>
              <w:right w:val="nil"/>
            </w:tcBorders>
          </w:tcPr>
          <w:p w14:paraId="05B02A3C" w14:textId="7222423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w:t>
            </w:r>
            <w:r w:rsidR="00F36284" w:rsidRPr="006311C5">
              <w:t>0</w:t>
            </w:r>
            <w:r w:rsidRPr="006311C5">
              <w:t xml:space="preserve"> (</w:t>
            </w:r>
            <w:r w:rsidR="00F36284" w:rsidRPr="006311C5">
              <w:t>9</w:t>
            </w:r>
            <w:r w:rsidRPr="006311C5">
              <w:t>.</w:t>
            </w:r>
            <w:r w:rsidR="00F36284" w:rsidRPr="006311C5">
              <w:t>9</w:t>
            </w:r>
            <w:r w:rsidRPr="006311C5">
              <w:t>)</w:t>
            </w:r>
          </w:p>
        </w:tc>
      </w:tr>
      <w:tr w:rsidR="00937F8A" w:rsidRPr="006311C5" w14:paraId="73F6C225" w14:textId="77777777" w:rsidTr="00937F8A">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230A4CB4" w14:textId="77777777" w:rsidR="00937F8A" w:rsidRPr="006311C5" w:rsidRDefault="00937F8A" w:rsidP="00F305EB">
            <w:pPr>
              <w:pStyle w:val="Tabletext"/>
            </w:pPr>
          </w:p>
        </w:tc>
        <w:tc>
          <w:tcPr>
            <w:tcW w:w="0" w:type="auto"/>
            <w:tcBorders>
              <w:top w:val="single" w:sz="4" w:space="0" w:color="auto"/>
              <w:left w:val="nil"/>
              <w:bottom w:val="single" w:sz="4" w:space="0" w:color="auto"/>
            </w:tcBorders>
          </w:tcPr>
          <w:p w14:paraId="0577E2C8" w14:textId="6B4C5652"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Bruising where the injection was</w:t>
            </w:r>
          </w:p>
        </w:tc>
        <w:tc>
          <w:tcPr>
            <w:tcW w:w="0" w:type="auto"/>
            <w:tcBorders>
              <w:top w:val="single" w:sz="4" w:space="0" w:color="auto"/>
              <w:left w:val="nil"/>
              <w:bottom w:val="single" w:sz="4" w:space="0" w:color="auto"/>
              <w:right w:val="nil"/>
            </w:tcBorders>
          </w:tcPr>
          <w:p w14:paraId="6343B38C" w14:textId="6A987375"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1029</w:t>
            </w:r>
          </w:p>
        </w:tc>
        <w:tc>
          <w:tcPr>
            <w:tcW w:w="0" w:type="auto"/>
            <w:tcBorders>
              <w:top w:val="single" w:sz="4" w:space="0" w:color="auto"/>
              <w:left w:val="nil"/>
              <w:bottom w:val="single" w:sz="4" w:space="0" w:color="auto"/>
              <w:right w:val="nil"/>
            </w:tcBorders>
          </w:tcPr>
          <w:p w14:paraId="374BF819" w14:textId="60BA4AE3"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909 (88.3)</w:t>
            </w:r>
          </w:p>
        </w:tc>
        <w:tc>
          <w:tcPr>
            <w:tcW w:w="0" w:type="auto"/>
            <w:tcBorders>
              <w:top w:val="single" w:sz="4" w:space="0" w:color="auto"/>
              <w:left w:val="nil"/>
              <w:bottom w:val="single" w:sz="4" w:space="0" w:color="auto"/>
              <w:right w:val="nil"/>
            </w:tcBorders>
          </w:tcPr>
          <w:p w14:paraId="7879A2AE" w14:textId="1397529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11 (1.1)</w:t>
            </w:r>
          </w:p>
        </w:tc>
        <w:tc>
          <w:tcPr>
            <w:tcW w:w="0" w:type="auto"/>
            <w:tcBorders>
              <w:top w:val="single" w:sz="4" w:space="0" w:color="auto"/>
              <w:left w:val="nil"/>
              <w:bottom w:val="single" w:sz="4" w:space="0" w:color="auto"/>
              <w:right w:val="nil"/>
            </w:tcBorders>
          </w:tcPr>
          <w:p w14:paraId="114A8A60" w14:textId="56ABC771" w:rsidR="00937F8A" w:rsidRPr="006311C5" w:rsidRDefault="00822008" w:rsidP="00F305EB">
            <w:pPr>
              <w:pStyle w:val="Tabletext"/>
              <w:cnfStyle w:val="000000000000" w:firstRow="0" w:lastRow="0" w:firstColumn="0" w:lastColumn="0" w:oddVBand="0" w:evenVBand="0" w:oddHBand="0" w:evenHBand="0" w:firstRowFirstColumn="0" w:firstRowLastColumn="0" w:lastRowFirstColumn="0" w:lastRowLastColumn="0"/>
            </w:pPr>
            <w:r w:rsidRPr="006311C5">
              <w:t>6 (0.6)</w:t>
            </w:r>
          </w:p>
        </w:tc>
        <w:tc>
          <w:tcPr>
            <w:tcW w:w="0" w:type="auto"/>
            <w:tcBorders>
              <w:top w:val="single" w:sz="4" w:space="0" w:color="auto"/>
              <w:left w:val="nil"/>
              <w:bottom w:val="single" w:sz="4" w:space="0" w:color="auto"/>
              <w:right w:val="nil"/>
            </w:tcBorders>
          </w:tcPr>
          <w:p w14:paraId="6D62F7FA" w14:textId="5006AC5E"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w:t>
            </w:r>
            <w:r w:rsidR="00822008" w:rsidRPr="006311C5">
              <w:t>3</w:t>
            </w:r>
            <w:r w:rsidRPr="006311C5">
              <w:t xml:space="preserve"> (10.</w:t>
            </w:r>
            <w:r w:rsidR="0036547D" w:rsidRPr="006311C5">
              <w:t>0</w:t>
            </w:r>
            <w:r w:rsidRPr="006311C5">
              <w:t>)</w:t>
            </w:r>
          </w:p>
        </w:tc>
        <w:tc>
          <w:tcPr>
            <w:tcW w:w="0" w:type="auto"/>
            <w:tcBorders>
              <w:top w:val="single" w:sz="4" w:space="0" w:color="auto"/>
              <w:bottom w:val="single" w:sz="4" w:space="0" w:color="auto"/>
            </w:tcBorders>
          </w:tcPr>
          <w:p w14:paraId="08D01AF3" w14:textId="3F78542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1006</w:t>
            </w:r>
          </w:p>
        </w:tc>
        <w:tc>
          <w:tcPr>
            <w:tcW w:w="0" w:type="auto"/>
            <w:tcBorders>
              <w:top w:val="single" w:sz="4" w:space="0" w:color="auto"/>
              <w:left w:val="nil"/>
              <w:bottom w:val="single" w:sz="4" w:space="0" w:color="auto"/>
              <w:right w:val="nil"/>
            </w:tcBorders>
          </w:tcPr>
          <w:p w14:paraId="32A689C3" w14:textId="497B2019"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936 (93.0)</w:t>
            </w:r>
          </w:p>
        </w:tc>
        <w:tc>
          <w:tcPr>
            <w:tcW w:w="0" w:type="auto"/>
            <w:tcBorders>
              <w:top w:val="single" w:sz="4" w:space="0" w:color="auto"/>
              <w:left w:val="nil"/>
              <w:bottom w:val="single" w:sz="4" w:space="0" w:color="auto"/>
              <w:right w:val="nil"/>
            </w:tcBorders>
          </w:tcPr>
          <w:p w14:paraId="39FFBB22" w14:textId="51E5968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4 (0.4)</w:t>
            </w:r>
          </w:p>
        </w:tc>
        <w:tc>
          <w:tcPr>
            <w:tcW w:w="0" w:type="auto"/>
            <w:tcBorders>
              <w:top w:val="single" w:sz="4" w:space="0" w:color="auto"/>
              <w:left w:val="nil"/>
              <w:bottom w:val="single" w:sz="4" w:space="0" w:color="auto"/>
              <w:right w:val="nil"/>
            </w:tcBorders>
          </w:tcPr>
          <w:p w14:paraId="60A0163D" w14:textId="2D4A62FF" w:rsidR="00937F8A" w:rsidRPr="006311C5" w:rsidRDefault="00885D60" w:rsidP="00F305EB">
            <w:pPr>
              <w:pStyle w:val="Tabletext"/>
              <w:cnfStyle w:val="000000000000" w:firstRow="0" w:lastRow="0" w:firstColumn="0" w:lastColumn="0" w:oddVBand="0" w:evenVBand="0" w:oddHBand="0" w:evenHBand="0" w:firstRowFirstColumn="0" w:firstRowLastColumn="0" w:lastRowFirstColumn="0" w:lastRowLastColumn="0"/>
            </w:pPr>
            <w:r w:rsidRPr="006311C5">
              <w:t>4 (0.4)</w:t>
            </w:r>
          </w:p>
        </w:tc>
        <w:tc>
          <w:tcPr>
            <w:tcW w:w="0" w:type="auto"/>
            <w:tcBorders>
              <w:top w:val="single" w:sz="4" w:space="0" w:color="auto"/>
              <w:left w:val="nil"/>
              <w:bottom w:val="single" w:sz="4" w:space="0" w:color="auto"/>
              <w:right w:val="nil"/>
            </w:tcBorders>
          </w:tcPr>
          <w:p w14:paraId="22BAD128" w14:textId="07C310B3"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6</w:t>
            </w:r>
            <w:r w:rsidR="00885D60" w:rsidRPr="006311C5">
              <w:t>2</w:t>
            </w:r>
            <w:r w:rsidRPr="006311C5">
              <w:t xml:space="preserve"> (6.</w:t>
            </w:r>
            <w:r w:rsidR="00885D60" w:rsidRPr="006311C5">
              <w:t>2</w:t>
            </w:r>
            <w:r w:rsidRPr="006311C5">
              <w:t>)</w:t>
            </w:r>
          </w:p>
        </w:tc>
      </w:tr>
      <w:tr w:rsidR="00937F8A" w:rsidRPr="006311C5" w14:paraId="0EBEA13F" w14:textId="77777777" w:rsidTr="00937F8A">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2A0BBA01" w14:textId="6A2FE071" w:rsidR="00937F8A" w:rsidRPr="006311C5" w:rsidRDefault="00937F8A" w:rsidP="00F305EB">
            <w:pPr>
              <w:pStyle w:val="Tabletext"/>
            </w:pPr>
          </w:p>
        </w:tc>
        <w:tc>
          <w:tcPr>
            <w:tcW w:w="0" w:type="auto"/>
            <w:tcBorders>
              <w:top w:val="single" w:sz="4" w:space="0" w:color="auto"/>
              <w:left w:val="nil"/>
              <w:bottom w:val="single" w:sz="4" w:space="0" w:color="000000" w:themeColor="text1"/>
            </w:tcBorders>
          </w:tcPr>
          <w:p w14:paraId="5C8304BE" w14:textId="723EF3E3"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Other symptom(s) where the injection was</w:t>
            </w:r>
          </w:p>
        </w:tc>
        <w:tc>
          <w:tcPr>
            <w:tcW w:w="0" w:type="auto"/>
            <w:tcBorders>
              <w:top w:val="single" w:sz="4" w:space="0" w:color="auto"/>
              <w:left w:val="nil"/>
              <w:bottom w:val="single" w:sz="4" w:space="0" w:color="000000" w:themeColor="text1"/>
              <w:right w:val="nil"/>
            </w:tcBorders>
          </w:tcPr>
          <w:p w14:paraId="2959DE3E" w14:textId="741F45F8"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1028</w:t>
            </w:r>
          </w:p>
        </w:tc>
        <w:tc>
          <w:tcPr>
            <w:tcW w:w="0" w:type="auto"/>
            <w:tcBorders>
              <w:top w:val="single" w:sz="4" w:space="0" w:color="auto"/>
              <w:left w:val="nil"/>
              <w:bottom w:val="single" w:sz="4" w:space="0" w:color="000000" w:themeColor="text1"/>
              <w:right w:val="nil"/>
            </w:tcBorders>
          </w:tcPr>
          <w:p w14:paraId="77AFB59B" w14:textId="134E580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1007 (98.0)</w:t>
            </w:r>
          </w:p>
        </w:tc>
        <w:tc>
          <w:tcPr>
            <w:tcW w:w="0" w:type="auto"/>
            <w:tcBorders>
              <w:top w:val="single" w:sz="4" w:space="0" w:color="auto"/>
              <w:left w:val="nil"/>
              <w:bottom w:val="single" w:sz="4" w:space="0" w:color="000000" w:themeColor="text1"/>
              <w:right w:val="nil"/>
            </w:tcBorders>
          </w:tcPr>
          <w:p w14:paraId="2AD6E748" w14:textId="74121B1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5 (0.5)</w:t>
            </w:r>
          </w:p>
        </w:tc>
        <w:tc>
          <w:tcPr>
            <w:tcW w:w="0" w:type="auto"/>
            <w:tcBorders>
              <w:top w:val="single" w:sz="4" w:space="0" w:color="auto"/>
              <w:left w:val="nil"/>
              <w:bottom w:val="single" w:sz="4" w:space="0" w:color="000000" w:themeColor="text1"/>
              <w:right w:val="nil"/>
            </w:tcBorders>
          </w:tcPr>
          <w:p w14:paraId="78EB0C82" w14:textId="4AE4DA7C" w:rsidR="00937F8A" w:rsidRPr="006311C5" w:rsidRDefault="0036547D" w:rsidP="00F305EB">
            <w:pPr>
              <w:pStyle w:val="Tabletext"/>
              <w:cnfStyle w:val="000000000000" w:firstRow="0" w:lastRow="0" w:firstColumn="0" w:lastColumn="0" w:oddVBand="0" w:evenVBand="0" w:oddHBand="0" w:evenHBand="0" w:firstRowFirstColumn="0" w:firstRowLastColumn="0" w:lastRowFirstColumn="0" w:lastRowLastColumn="0"/>
            </w:pPr>
            <w:r w:rsidRPr="006311C5">
              <w:t>3 (0.3)</w:t>
            </w:r>
          </w:p>
        </w:tc>
        <w:tc>
          <w:tcPr>
            <w:tcW w:w="0" w:type="auto"/>
            <w:tcBorders>
              <w:top w:val="single" w:sz="4" w:space="0" w:color="auto"/>
              <w:left w:val="nil"/>
              <w:bottom w:val="single" w:sz="4" w:space="0" w:color="000000" w:themeColor="text1"/>
              <w:right w:val="nil"/>
            </w:tcBorders>
          </w:tcPr>
          <w:p w14:paraId="11738542" w14:textId="63656CDE"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w:t>
            </w:r>
            <w:r w:rsidR="0036547D" w:rsidRPr="006311C5">
              <w:t>3</w:t>
            </w:r>
            <w:r w:rsidRPr="006311C5">
              <w:t xml:space="preserve"> (1.</w:t>
            </w:r>
            <w:r w:rsidR="0036547D" w:rsidRPr="006311C5">
              <w:t>3</w:t>
            </w:r>
            <w:r w:rsidRPr="006311C5">
              <w:t>)</w:t>
            </w:r>
          </w:p>
        </w:tc>
        <w:tc>
          <w:tcPr>
            <w:tcW w:w="0" w:type="auto"/>
            <w:tcBorders>
              <w:top w:val="single" w:sz="4" w:space="0" w:color="auto"/>
              <w:bottom w:val="single" w:sz="4" w:space="0" w:color="000000" w:themeColor="text1"/>
            </w:tcBorders>
          </w:tcPr>
          <w:p w14:paraId="17CBEF20" w14:textId="52088C39"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1005</w:t>
            </w:r>
          </w:p>
        </w:tc>
        <w:tc>
          <w:tcPr>
            <w:tcW w:w="0" w:type="auto"/>
            <w:tcBorders>
              <w:top w:val="single" w:sz="4" w:space="0" w:color="auto"/>
              <w:left w:val="nil"/>
              <w:bottom w:val="single" w:sz="4" w:space="0" w:color="000000" w:themeColor="text1"/>
              <w:right w:val="nil"/>
            </w:tcBorders>
          </w:tcPr>
          <w:p w14:paraId="05A1504E" w14:textId="024E42E9"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995 (99.0)</w:t>
            </w:r>
          </w:p>
        </w:tc>
        <w:tc>
          <w:tcPr>
            <w:tcW w:w="0" w:type="auto"/>
            <w:tcBorders>
              <w:top w:val="single" w:sz="4" w:space="0" w:color="auto"/>
              <w:left w:val="nil"/>
              <w:bottom w:val="single" w:sz="4" w:space="0" w:color="000000" w:themeColor="text1"/>
              <w:right w:val="nil"/>
            </w:tcBorders>
          </w:tcPr>
          <w:p w14:paraId="18928439" w14:textId="7BED834F"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3 (0.3)</w:t>
            </w:r>
          </w:p>
        </w:tc>
        <w:tc>
          <w:tcPr>
            <w:tcW w:w="0" w:type="auto"/>
            <w:tcBorders>
              <w:top w:val="single" w:sz="4" w:space="0" w:color="auto"/>
              <w:left w:val="nil"/>
              <w:bottom w:val="single" w:sz="4" w:space="0" w:color="000000" w:themeColor="text1"/>
              <w:right w:val="nil"/>
            </w:tcBorders>
          </w:tcPr>
          <w:p w14:paraId="0B311886" w14:textId="5CB5AB1D" w:rsidR="00937F8A" w:rsidRPr="006311C5" w:rsidRDefault="00885D60" w:rsidP="00F305EB">
            <w:pPr>
              <w:pStyle w:val="Tabletext"/>
              <w:cnfStyle w:val="000000000000" w:firstRow="0" w:lastRow="0" w:firstColumn="0" w:lastColumn="0" w:oddVBand="0" w:evenVBand="0" w:oddHBand="0" w:evenHBand="0" w:firstRowFirstColumn="0" w:firstRowLastColumn="0" w:lastRowFirstColumn="0" w:lastRowLastColumn="0"/>
            </w:pPr>
            <w:r w:rsidRPr="006311C5">
              <w:t>2 (0.2)</w:t>
            </w:r>
          </w:p>
        </w:tc>
        <w:tc>
          <w:tcPr>
            <w:tcW w:w="0" w:type="auto"/>
            <w:tcBorders>
              <w:top w:val="single" w:sz="4" w:space="0" w:color="auto"/>
              <w:left w:val="nil"/>
              <w:bottom w:val="single" w:sz="4" w:space="0" w:color="000000" w:themeColor="text1"/>
              <w:right w:val="nil"/>
            </w:tcBorders>
          </w:tcPr>
          <w:p w14:paraId="47E747E9" w14:textId="5498093A" w:rsidR="00937F8A" w:rsidRPr="006311C5" w:rsidRDefault="00885D60" w:rsidP="00F305EB">
            <w:pPr>
              <w:pStyle w:val="Tabletext"/>
              <w:cnfStyle w:val="000000000000" w:firstRow="0" w:lastRow="0" w:firstColumn="0" w:lastColumn="0" w:oddVBand="0" w:evenVBand="0" w:oddHBand="0" w:evenHBand="0" w:firstRowFirstColumn="0" w:firstRowLastColumn="0" w:lastRowFirstColumn="0" w:lastRowLastColumn="0"/>
            </w:pPr>
            <w:r w:rsidRPr="006311C5">
              <w:t>5</w:t>
            </w:r>
            <w:r w:rsidR="00937F8A" w:rsidRPr="006311C5">
              <w:t xml:space="preserve"> (0.</w:t>
            </w:r>
            <w:r w:rsidRPr="006311C5">
              <w:t>5</w:t>
            </w:r>
            <w:r w:rsidR="00937F8A" w:rsidRPr="006311C5">
              <w:t>)</w:t>
            </w:r>
          </w:p>
        </w:tc>
      </w:tr>
      <w:tr w:rsidR="00937F8A" w:rsidRPr="006311C5" w14:paraId="65B29ACE" w14:textId="77777777" w:rsidTr="00937F8A">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13F0038F" w14:textId="77777777" w:rsidR="00937F8A" w:rsidRPr="006311C5" w:rsidRDefault="00937F8A" w:rsidP="00F305EB">
            <w:pPr>
              <w:pStyle w:val="Tabletext"/>
            </w:pPr>
          </w:p>
        </w:tc>
        <w:tc>
          <w:tcPr>
            <w:tcW w:w="0" w:type="auto"/>
            <w:tcBorders>
              <w:top w:val="single" w:sz="4" w:space="0" w:color="000000" w:themeColor="text1"/>
              <w:left w:val="nil"/>
              <w:bottom w:val="single" w:sz="4" w:space="0" w:color="auto"/>
            </w:tcBorders>
          </w:tcPr>
          <w:p w14:paraId="79C530DB" w14:textId="0BE3AAF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Any injection-site symptom</w:t>
            </w:r>
          </w:p>
        </w:tc>
        <w:tc>
          <w:tcPr>
            <w:tcW w:w="0" w:type="auto"/>
            <w:tcBorders>
              <w:top w:val="single" w:sz="4" w:space="0" w:color="000000" w:themeColor="text1"/>
              <w:left w:val="nil"/>
              <w:bottom w:val="single" w:sz="4" w:space="0" w:color="auto"/>
              <w:right w:val="nil"/>
            </w:tcBorders>
          </w:tcPr>
          <w:p w14:paraId="1CF02C55" w14:textId="539FDA1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1028</w:t>
            </w:r>
          </w:p>
        </w:tc>
        <w:tc>
          <w:tcPr>
            <w:tcW w:w="0" w:type="auto"/>
            <w:tcBorders>
              <w:top w:val="single" w:sz="4" w:space="0" w:color="000000" w:themeColor="text1"/>
              <w:left w:val="nil"/>
              <w:bottom w:val="single" w:sz="4" w:space="0" w:color="auto"/>
              <w:right w:val="nil"/>
            </w:tcBorders>
          </w:tcPr>
          <w:p w14:paraId="44E18C93" w14:textId="6DBF13CE"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266 (25.9)</w:t>
            </w:r>
          </w:p>
        </w:tc>
        <w:tc>
          <w:tcPr>
            <w:tcW w:w="0" w:type="auto"/>
            <w:tcBorders>
              <w:top w:val="single" w:sz="4" w:space="0" w:color="000000" w:themeColor="text1"/>
              <w:left w:val="nil"/>
              <w:bottom w:val="single" w:sz="4" w:space="0" w:color="auto"/>
              <w:right w:val="nil"/>
            </w:tcBorders>
          </w:tcPr>
          <w:p w14:paraId="1BDAB91F" w14:textId="21A5C17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59 (5.7)</w:t>
            </w:r>
          </w:p>
        </w:tc>
        <w:tc>
          <w:tcPr>
            <w:tcW w:w="0" w:type="auto"/>
            <w:tcBorders>
              <w:top w:val="single" w:sz="4" w:space="0" w:color="000000" w:themeColor="text1"/>
              <w:left w:val="nil"/>
              <w:bottom w:val="single" w:sz="4" w:space="0" w:color="auto"/>
              <w:right w:val="nil"/>
            </w:tcBorders>
          </w:tcPr>
          <w:p w14:paraId="5F6D13C3" w14:textId="7CF3ACDF" w:rsidR="00937F8A" w:rsidRPr="006311C5" w:rsidRDefault="005D29D7" w:rsidP="00F305EB">
            <w:pPr>
              <w:pStyle w:val="Tabletext"/>
              <w:cnfStyle w:val="000000000000" w:firstRow="0" w:lastRow="0" w:firstColumn="0" w:lastColumn="0" w:oddVBand="0" w:evenVBand="0" w:oddHBand="0" w:evenHBand="0" w:firstRowFirstColumn="0" w:firstRowLastColumn="0" w:lastRowFirstColumn="0" w:lastRowLastColumn="0"/>
            </w:pPr>
            <w:r w:rsidRPr="006311C5">
              <w:t>32</w:t>
            </w:r>
            <w:r w:rsidR="00497DA5" w:rsidRPr="006311C5">
              <w:t xml:space="preserve"> (3.1)</w:t>
            </w:r>
          </w:p>
        </w:tc>
        <w:tc>
          <w:tcPr>
            <w:tcW w:w="0" w:type="auto"/>
            <w:tcBorders>
              <w:top w:val="single" w:sz="4" w:space="0" w:color="000000" w:themeColor="text1"/>
              <w:left w:val="nil"/>
              <w:bottom w:val="single" w:sz="4" w:space="0" w:color="auto"/>
              <w:right w:val="nil"/>
            </w:tcBorders>
          </w:tcPr>
          <w:p w14:paraId="30FCAC4F" w14:textId="5F91B1EA" w:rsidR="00937F8A" w:rsidRPr="006311C5" w:rsidRDefault="005D29D7" w:rsidP="00F305EB">
            <w:pPr>
              <w:pStyle w:val="Tabletext"/>
              <w:cnfStyle w:val="000000000000" w:firstRow="0" w:lastRow="0" w:firstColumn="0" w:lastColumn="0" w:oddVBand="0" w:evenVBand="0" w:oddHBand="0" w:evenHBand="0" w:firstRowFirstColumn="0" w:firstRowLastColumn="0" w:lastRowFirstColumn="0" w:lastRowLastColumn="0"/>
            </w:pPr>
            <w:r w:rsidRPr="006311C5">
              <w:t>6</w:t>
            </w:r>
            <w:r w:rsidR="00937F8A" w:rsidRPr="006311C5">
              <w:t>7</w:t>
            </w:r>
            <w:r w:rsidRPr="006311C5">
              <w:t>1</w:t>
            </w:r>
            <w:r w:rsidR="00937F8A" w:rsidRPr="006311C5">
              <w:t xml:space="preserve"> (6</w:t>
            </w:r>
            <w:r w:rsidR="00A911D0" w:rsidRPr="006311C5">
              <w:t>5</w:t>
            </w:r>
            <w:r w:rsidR="00937F8A" w:rsidRPr="006311C5">
              <w:t>.</w:t>
            </w:r>
            <w:r w:rsidR="00A911D0" w:rsidRPr="006311C5">
              <w:t>3</w:t>
            </w:r>
            <w:r w:rsidR="00937F8A" w:rsidRPr="006311C5">
              <w:t>)</w:t>
            </w:r>
          </w:p>
        </w:tc>
        <w:tc>
          <w:tcPr>
            <w:tcW w:w="0" w:type="auto"/>
            <w:tcBorders>
              <w:top w:val="single" w:sz="4" w:space="0" w:color="000000" w:themeColor="text1"/>
              <w:bottom w:val="single" w:sz="4" w:space="0" w:color="auto"/>
            </w:tcBorders>
          </w:tcPr>
          <w:p w14:paraId="686B2891" w14:textId="365D2D91"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1005</w:t>
            </w:r>
          </w:p>
        </w:tc>
        <w:tc>
          <w:tcPr>
            <w:tcW w:w="0" w:type="auto"/>
            <w:tcBorders>
              <w:top w:val="single" w:sz="4" w:space="0" w:color="000000" w:themeColor="text1"/>
              <w:left w:val="nil"/>
              <w:bottom w:val="single" w:sz="4" w:space="0" w:color="auto"/>
              <w:right w:val="nil"/>
            </w:tcBorders>
          </w:tcPr>
          <w:p w14:paraId="720022A8" w14:textId="206B0A74"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473 (47.1)</w:t>
            </w:r>
          </w:p>
        </w:tc>
        <w:tc>
          <w:tcPr>
            <w:tcW w:w="0" w:type="auto"/>
            <w:tcBorders>
              <w:top w:val="single" w:sz="4" w:space="0" w:color="000000" w:themeColor="text1"/>
              <w:left w:val="nil"/>
              <w:bottom w:val="single" w:sz="4" w:space="0" w:color="auto"/>
              <w:right w:val="nil"/>
            </w:tcBorders>
          </w:tcPr>
          <w:p w14:paraId="0A3E7B06" w14:textId="25D1995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42 (4.2)</w:t>
            </w:r>
          </w:p>
        </w:tc>
        <w:tc>
          <w:tcPr>
            <w:tcW w:w="0" w:type="auto"/>
            <w:tcBorders>
              <w:top w:val="single" w:sz="4" w:space="0" w:color="000000" w:themeColor="text1"/>
              <w:left w:val="nil"/>
              <w:bottom w:val="single" w:sz="4" w:space="0" w:color="auto"/>
              <w:right w:val="nil"/>
            </w:tcBorders>
          </w:tcPr>
          <w:p w14:paraId="6CC4F684" w14:textId="3F7DA1E7" w:rsidR="00937F8A" w:rsidRPr="006311C5" w:rsidRDefault="00E14877" w:rsidP="00F305EB">
            <w:pPr>
              <w:pStyle w:val="Tabletext"/>
              <w:cnfStyle w:val="000000000000" w:firstRow="0" w:lastRow="0" w:firstColumn="0" w:lastColumn="0" w:oddVBand="0" w:evenVBand="0" w:oddHBand="0" w:evenHBand="0" w:firstRowFirstColumn="0" w:firstRowLastColumn="0" w:lastRowFirstColumn="0" w:lastRowLastColumn="0"/>
            </w:pPr>
            <w:r w:rsidRPr="006311C5">
              <w:t>20 (</w:t>
            </w:r>
            <w:r w:rsidR="005F7EE3" w:rsidRPr="006311C5">
              <w:t>2.0)</w:t>
            </w:r>
          </w:p>
        </w:tc>
        <w:tc>
          <w:tcPr>
            <w:tcW w:w="0" w:type="auto"/>
            <w:tcBorders>
              <w:top w:val="single" w:sz="4" w:space="0" w:color="000000" w:themeColor="text1"/>
              <w:left w:val="nil"/>
              <w:bottom w:val="single" w:sz="4" w:space="0" w:color="auto"/>
              <w:right w:val="nil"/>
            </w:tcBorders>
          </w:tcPr>
          <w:p w14:paraId="1A024F8D" w14:textId="42E63489"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4</w:t>
            </w:r>
            <w:r w:rsidR="00E14877" w:rsidRPr="006311C5">
              <w:t>7</w:t>
            </w:r>
            <w:r w:rsidRPr="006311C5">
              <w:t>0 (4</w:t>
            </w:r>
            <w:r w:rsidR="005F7EE3" w:rsidRPr="006311C5">
              <w:t>6</w:t>
            </w:r>
            <w:r w:rsidRPr="006311C5">
              <w:t>.8)</w:t>
            </w:r>
          </w:p>
        </w:tc>
      </w:tr>
      <w:tr w:rsidR="00937F8A" w:rsidRPr="006311C5" w14:paraId="71C69F5F" w14:textId="77777777" w:rsidTr="00937F8A">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right w:val="none" w:sz="0" w:space="0" w:color="auto"/>
            </w:tcBorders>
          </w:tcPr>
          <w:p w14:paraId="376D24B3" w14:textId="79DB919D" w:rsidR="00937F8A" w:rsidRPr="006311C5" w:rsidRDefault="00937F8A" w:rsidP="00F305EB">
            <w:pPr>
              <w:pStyle w:val="Tabletext"/>
            </w:pPr>
            <w:r w:rsidRPr="006311C5">
              <w:t>Non-injection-site symptoms</w:t>
            </w:r>
          </w:p>
        </w:tc>
        <w:tc>
          <w:tcPr>
            <w:tcW w:w="0" w:type="auto"/>
            <w:tcBorders>
              <w:top w:val="single" w:sz="4" w:space="0" w:color="auto"/>
              <w:left w:val="nil"/>
              <w:bottom w:val="single" w:sz="4" w:space="0" w:color="auto"/>
            </w:tcBorders>
          </w:tcPr>
          <w:p w14:paraId="423C9B12" w14:textId="432D6DE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proofErr w:type="spellStart"/>
            <w:r w:rsidRPr="006311C5">
              <w:t>Diarrhoea</w:t>
            </w:r>
            <w:proofErr w:type="spellEnd"/>
          </w:p>
        </w:tc>
        <w:tc>
          <w:tcPr>
            <w:tcW w:w="0" w:type="auto"/>
            <w:tcBorders>
              <w:top w:val="single" w:sz="4" w:space="0" w:color="auto"/>
              <w:left w:val="nil"/>
              <w:bottom w:val="single" w:sz="4" w:space="0" w:color="auto"/>
              <w:right w:val="nil"/>
            </w:tcBorders>
          </w:tcPr>
          <w:p w14:paraId="2A15C952" w14:textId="40DE97B4"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rPr>
                <w:rFonts w:eastAsiaTheme="minorEastAsia"/>
              </w:rPr>
              <w:t>1029</w:t>
            </w:r>
          </w:p>
        </w:tc>
        <w:tc>
          <w:tcPr>
            <w:tcW w:w="0" w:type="auto"/>
            <w:tcBorders>
              <w:top w:val="single" w:sz="4" w:space="0" w:color="auto"/>
              <w:left w:val="nil"/>
              <w:bottom w:val="single" w:sz="4" w:space="0" w:color="auto"/>
              <w:right w:val="nil"/>
            </w:tcBorders>
          </w:tcPr>
          <w:p w14:paraId="20D92914" w14:textId="51886938"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999 (97.1)</w:t>
            </w:r>
          </w:p>
        </w:tc>
        <w:tc>
          <w:tcPr>
            <w:tcW w:w="0" w:type="auto"/>
            <w:tcBorders>
              <w:top w:val="single" w:sz="4" w:space="0" w:color="auto"/>
              <w:left w:val="nil"/>
              <w:bottom w:val="single" w:sz="4" w:space="0" w:color="auto"/>
              <w:right w:val="nil"/>
            </w:tcBorders>
          </w:tcPr>
          <w:p w14:paraId="4609B962" w14:textId="06C049B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 (1.0)</w:t>
            </w:r>
          </w:p>
        </w:tc>
        <w:tc>
          <w:tcPr>
            <w:tcW w:w="0" w:type="auto"/>
            <w:tcBorders>
              <w:top w:val="single" w:sz="4" w:space="0" w:color="auto"/>
              <w:left w:val="nil"/>
              <w:bottom w:val="single" w:sz="4" w:space="0" w:color="auto"/>
              <w:right w:val="nil"/>
            </w:tcBorders>
          </w:tcPr>
          <w:p w14:paraId="119C2CFF" w14:textId="48A22082" w:rsidR="00937F8A" w:rsidRPr="006311C5" w:rsidRDefault="00EB195C" w:rsidP="00F305EB">
            <w:pPr>
              <w:pStyle w:val="Tabletext"/>
              <w:cnfStyle w:val="000000000000" w:firstRow="0" w:lastRow="0" w:firstColumn="0" w:lastColumn="0" w:oddVBand="0" w:evenVBand="0" w:oddHBand="0" w:evenHBand="0" w:firstRowFirstColumn="0" w:firstRowLastColumn="0" w:lastRowFirstColumn="0" w:lastRowLastColumn="0"/>
            </w:pPr>
            <w:r w:rsidRPr="006311C5">
              <w:t>8 (0.8)</w:t>
            </w:r>
          </w:p>
        </w:tc>
        <w:tc>
          <w:tcPr>
            <w:tcW w:w="0" w:type="auto"/>
            <w:tcBorders>
              <w:top w:val="single" w:sz="4" w:space="0" w:color="auto"/>
              <w:left w:val="nil"/>
              <w:bottom w:val="single" w:sz="4" w:space="0" w:color="auto"/>
              <w:right w:val="nil"/>
            </w:tcBorders>
          </w:tcPr>
          <w:p w14:paraId="7E19CBA0" w14:textId="3165C800" w:rsidR="00937F8A" w:rsidRPr="006311C5" w:rsidRDefault="00EB195C" w:rsidP="00F305EB">
            <w:pPr>
              <w:pStyle w:val="Tabletext"/>
              <w:cnfStyle w:val="000000000000" w:firstRow="0" w:lastRow="0" w:firstColumn="0" w:lastColumn="0" w:oddVBand="0" w:evenVBand="0" w:oddHBand="0" w:evenHBand="0" w:firstRowFirstColumn="0" w:firstRowLastColumn="0" w:lastRowFirstColumn="0" w:lastRowLastColumn="0"/>
            </w:pPr>
            <w:r w:rsidRPr="006311C5">
              <w:t>1</w:t>
            </w:r>
            <w:r w:rsidR="00937F8A" w:rsidRPr="006311C5">
              <w:t>2 (1.</w:t>
            </w:r>
            <w:r w:rsidRPr="006311C5">
              <w:t>2</w:t>
            </w:r>
            <w:r w:rsidR="00937F8A" w:rsidRPr="006311C5">
              <w:t>)</w:t>
            </w:r>
          </w:p>
        </w:tc>
        <w:tc>
          <w:tcPr>
            <w:tcW w:w="0" w:type="auto"/>
            <w:tcBorders>
              <w:top w:val="single" w:sz="4" w:space="0" w:color="auto"/>
              <w:bottom w:val="single" w:sz="4" w:space="0" w:color="auto"/>
            </w:tcBorders>
          </w:tcPr>
          <w:p w14:paraId="3EA5AFF6" w14:textId="392932A4"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1006</w:t>
            </w:r>
          </w:p>
        </w:tc>
        <w:tc>
          <w:tcPr>
            <w:tcW w:w="0" w:type="auto"/>
            <w:tcBorders>
              <w:top w:val="single" w:sz="4" w:space="0" w:color="auto"/>
              <w:left w:val="nil"/>
              <w:bottom w:val="single" w:sz="4" w:space="0" w:color="auto"/>
              <w:right w:val="nil"/>
            </w:tcBorders>
          </w:tcPr>
          <w:p w14:paraId="755C4D80" w14:textId="2662E962"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987 (98.1)</w:t>
            </w:r>
          </w:p>
        </w:tc>
        <w:tc>
          <w:tcPr>
            <w:tcW w:w="0" w:type="auto"/>
            <w:tcBorders>
              <w:top w:val="single" w:sz="4" w:space="0" w:color="auto"/>
              <w:left w:val="nil"/>
              <w:bottom w:val="single" w:sz="4" w:space="0" w:color="auto"/>
              <w:right w:val="nil"/>
            </w:tcBorders>
          </w:tcPr>
          <w:p w14:paraId="71161F3C" w14:textId="042F97B1"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 (0.9)</w:t>
            </w:r>
          </w:p>
        </w:tc>
        <w:tc>
          <w:tcPr>
            <w:tcW w:w="0" w:type="auto"/>
            <w:tcBorders>
              <w:top w:val="single" w:sz="4" w:space="0" w:color="auto"/>
              <w:left w:val="nil"/>
              <w:bottom w:val="single" w:sz="4" w:space="0" w:color="auto"/>
              <w:right w:val="nil"/>
            </w:tcBorders>
          </w:tcPr>
          <w:p w14:paraId="6C3A823E" w14:textId="21606A8E" w:rsidR="00937F8A" w:rsidRPr="006311C5" w:rsidRDefault="0036547D" w:rsidP="00F305EB">
            <w:pPr>
              <w:pStyle w:val="Tabletext"/>
              <w:cnfStyle w:val="000000000000" w:firstRow="0" w:lastRow="0" w:firstColumn="0" w:lastColumn="0" w:oddVBand="0" w:evenVBand="0" w:oddHBand="0" w:evenHBand="0" w:firstRowFirstColumn="0" w:firstRowLastColumn="0" w:lastRowFirstColumn="0" w:lastRowLastColumn="0"/>
            </w:pPr>
            <w:r w:rsidRPr="006311C5">
              <w:t>3 (0.3)</w:t>
            </w:r>
          </w:p>
        </w:tc>
        <w:tc>
          <w:tcPr>
            <w:tcW w:w="0" w:type="auto"/>
            <w:tcBorders>
              <w:top w:val="single" w:sz="4" w:space="0" w:color="auto"/>
              <w:left w:val="nil"/>
              <w:bottom w:val="single" w:sz="4" w:space="0" w:color="auto"/>
              <w:right w:val="nil"/>
            </w:tcBorders>
          </w:tcPr>
          <w:p w14:paraId="78B924D3" w14:textId="3D0A9DC6" w:rsidR="00937F8A" w:rsidRPr="006311C5" w:rsidRDefault="0036547D" w:rsidP="00F305EB">
            <w:pPr>
              <w:pStyle w:val="Tabletext"/>
              <w:cnfStyle w:val="000000000000" w:firstRow="0" w:lastRow="0" w:firstColumn="0" w:lastColumn="0" w:oddVBand="0" w:evenVBand="0" w:oddHBand="0" w:evenHBand="0" w:firstRowFirstColumn="0" w:firstRowLastColumn="0" w:lastRowFirstColumn="0" w:lastRowLastColumn="0"/>
            </w:pPr>
            <w:r w:rsidRPr="006311C5">
              <w:t>7</w:t>
            </w:r>
            <w:r w:rsidR="00937F8A" w:rsidRPr="006311C5">
              <w:t xml:space="preserve"> (</w:t>
            </w:r>
            <w:r w:rsidRPr="006311C5">
              <w:t>0</w:t>
            </w:r>
            <w:r w:rsidR="00937F8A" w:rsidRPr="006311C5">
              <w:t>.</w:t>
            </w:r>
            <w:r w:rsidRPr="006311C5">
              <w:t>7</w:t>
            </w:r>
            <w:r w:rsidR="00937F8A" w:rsidRPr="006311C5">
              <w:t>)</w:t>
            </w:r>
          </w:p>
        </w:tc>
      </w:tr>
      <w:tr w:rsidR="00937F8A" w:rsidRPr="006311C5" w14:paraId="1FB358A2" w14:textId="77777777" w:rsidTr="00937F8A">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0EAA127B" w14:textId="77777777" w:rsidR="00937F8A" w:rsidRPr="006311C5" w:rsidRDefault="00937F8A" w:rsidP="00F305EB">
            <w:pPr>
              <w:pStyle w:val="Tabletext"/>
            </w:pPr>
          </w:p>
        </w:tc>
        <w:tc>
          <w:tcPr>
            <w:tcW w:w="0" w:type="auto"/>
            <w:tcBorders>
              <w:top w:val="single" w:sz="4" w:space="0" w:color="auto"/>
              <w:left w:val="nil"/>
            </w:tcBorders>
          </w:tcPr>
          <w:p w14:paraId="6BDCEEEE" w14:textId="4EDB681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Headache</w:t>
            </w:r>
          </w:p>
        </w:tc>
        <w:tc>
          <w:tcPr>
            <w:tcW w:w="0" w:type="auto"/>
            <w:tcBorders>
              <w:top w:val="single" w:sz="4" w:space="0" w:color="auto"/>
              <w:left w:val="nil"/>
              <w:right w:val="nil"/>
            </w:tcBorders>
          </w:tcPr>
          <w:p w14:paraId="15C6FE33" w14:textId="52340B66"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1030</w:t>
            </w:r>
          </w:p>
        </w:tc>
        <w:tc>
          <w:tcPr>
            <w:tcW w:w="0" w:type="auto"/>
            <w:tcBorders>
              <w:top w:val="single" w:sz="4" w:space="0" w:color="auto"/>
              <w:left w:val="nil"/>
              <w:bottom w:val="single" w:sz="4" w:space="0" w:color="auto"/>
              <w:right w:val="nil"/>
            </w:tcBorders>
          </w:tcPr>
          <w:p w14:paraId="0E12A6FF" w14:textId="6E467C1D"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651 (63.2)</w:t>
            </w:r>
          </w:p>
        </w:tc>
        <w:tc>
          <w:tcPr>
            <w:tcW w:w="0" w:type="auto"/>
            <w:tcBorders>
              <w:top w:val="single" w:sz="4" w:space="0" w:color="auto"/>
              <w:left w:val="nil"/>
              <w:bottom w:val="single" w:sz="4" w:space="0" w:color="auto"/>
              <w:right w:val="nil"/>
            </w:tcBorders>
          </w:tcPr>
          <w:p w14:paraId="7C9D4E83" w14:textId="4D5837C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42 (4.1)</w:t>
            </w:r>
          </w:p>
        </w:tc>
        <w:tc>
          <w:tcPr>
            <w:tcW w:w="0" w:type="auto"/>
            <w:tcBorders>
              <w:top w:val="single" w:sz="4" w:space="0" w:color="auto"/>
              <w:left w:val="nil"/>
              <w:bottom w:val="single" w:sz="4" w:space="0" w:color="auto"/>
              <w:right w:val="nil"/>
            </w:tcBorders>
          </w:tcPr>
          <w:p w14:paraId="1938484A" w14:textId="1FCFC5C3" w:rsidR="00937F8A" w:rsidRPr="006311C5" w:rsidRDefault="00D233A6" w:rsidP="00F305EB">
            <w:pPr>
              <w:pStyle w:val="Tabletext"/>
              <w:cnfStyle w:val="000000000000" w:firstRow="0" w:lastRow="0" w:firstColumn="0" w:lastColumn="0" w:oddVBand="0" w:evenVBand="0" w:oddHBand="0" w:evenHBand="0" w:firstRowFirstColumn="0" w:firstRowLastColumn="0" w:lastRowFirstColumn="0" w:lastRowLastColumn="0"/>
            </w:pPr>
            <w:r w:rsidRPr="006311C5">
              <w:t>74 (7.2)</w:t>
            </w:r>
          </w:p>
        </w:tc>
        <w:tc>
          <w:tcPr>
            <w:tcW w:w="0" w:type="auto"/>
            <w:tcBorders>
              <w:top w:val="single" w:sz="4" w:space="0" w:color="auto"/>
              <w:left w:val="nil"/>
              <w:bottom w:val="single" w:sz="4" w:space="0" w:color="auto"/>
              <w:right w:val="nil"/>
            </w:tcBorders>
          </w:tcPr>
          <w:p w14:paraId="39D9FB8A" w14:textId="6D851FDC" w:rsidR="00937F8A" w:rsidRPr="006311C5" w:rsidRDefault="00D233A6" w:rsidP="00F305EB">
            <w:pPr>
              <w:pStyle w:val="Tabletext"/>
              <w:cnfStyle w:val="000000000000" w:firstRow="0" w:lastRow="0" w:firstColumn="0" w:lastColumn="0" w:oddVBand="0" w:evenVBand="0" w:oddHBand="0" w:evenHBand="0" w:firstRowFirstColumn="0" w:firstRowLastColumn="0" w:lastRowFirstColumn="0" w:lastRowLastColumn="0"/>
            </w:pPr>
            <w:r w:rsidRPr="006311C5">
              <w:t>26</w:t>
            </w:r>
            <w:r w:rsidR="00937F8A" w:rsidRPr="006311C5">
              <w:t>3 (2</w:t>
            </w:r>
            <w:r w:rsidRPr="006311C5">
              <w:t>5</w:t>
            </w:r>
            <w:r w:rsidR="00937F8A" w:rsidRPr="006311C5">
              <w:t>.</w:t>
            </w:r>
            <w:r w:rsidR="0068451B" w:rsidRPr="006311C5">
              <w:t>5</w:t>
            </w:r>
            <w:r w:rsidR="00937F8A" w:rsidRPr="006311C5">
              <w:t>)</w:t>
            </w:r>
          </w:p>
        </w:tc>
        <w:tc>
          <w:tcPr>
            <w:tcW w:w="0" w:type="auto"/>
            <w:tcBorders>
              <w:top w:val="single" w:sz="4" w:space="0" w:color="auto"/>
              <w:bottom w:val="single" w:sz="4" w:space="0" w:color="auto"/>
            </w:tcBorders>
          </w:tcPr>
          <w:p w14:paraId="7A93B206" w14:textId="67ACCF7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1006</w:t>
            </w:r>
          </w:p>
        </w:tc>
        <w:tc>
          <w:tcPr>
            <w:tcW w:w="0" w:type="auto"/>
            <w:tcBorders>
              <w:top w:val="single" w:sz="4" w:space="0" w:color="auto"/>
              <w:left w:val="nil"/>
              <w:bottom w:val="single" w:sz="4" w:space="0" w:color="auto"/>
              <w:right w:val="nil"/>
            </w:tcBorders>
          </w:tcPr>
          <w:p w14:paraId="0F2188AB" w14:textId="7E404F1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789 (78.4)</w:t>
            </w:r>
          </w:p>
        </w:tc>
        <w:tc>
          <w:tcPr>
            <w:tcW w:w="0" w:type="auto"/>
            <w:tcBorders>
              <w:top w:val="single" w:sz="4" w:space="0" w:color="auto"/>
              <w:left w:val="nil"/>
              <w:bottom w:val="single" w:sz="4" w:space="0" w:color="auto"/>
              <w:right w:val="nil"/>
            </w:tcBorders>
          </w:tcPr>
          <w:p w14:paraId="1484BE99" w14:textId="19944BBD"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27 (2.7)</w:t>
            </w:r>
          </w:p>
        </w:tc>
        <w:tc>
          <w:tcPr>
            <w:tcW w:w="0" w:type="auto"/>
            <w:tcBorders>
              <w:top w:val="single" w:sz="4" w:space="0" w:color="auto"/>
              <w:left w:val="nil"/>
              <w:bottom w:val="single" w:sz="4" w:space="0" w:color="auto"/>
              <w:right w:val="nil"/>
            </w:tcBorders>
          </w:tcPr>
          <w:p w14:paraId="33D87965" w14:textId="3895F970" w:rsidR="00937F8A" w:rsidRPr="006311C5" w:rsidRDefault="0036547D" w:rsidP="00F305EB">
            <w:pPr>
              <w:pStyle w:val="Tabletext"/>
              <w:cnfStyle w:val="000000000000" w:firstRow="0" w:lastRow="0" w:firstColumn="0" w:lastColumn="0" w:oddVBand="0" w:evenVBand="0" w:oddHBand="0" w:evenHBand="0" w:firstRowFirstColumn="0" w:firstRowLastColumn="0" w:lastRowFirstColumn="0" w:lastRowLastColumn="0"/>
            </w:pPr>
            <w:r w:rsidRPr="006311C5">
              <w:t>42 (4.2)</w:t>
            </w:r>
          </w:p>
        </w:tc>
        <w:tc>
          <w:tcPr>
            <w:tcW w:w="0" w:type="auto"/>
            <w:tcBorders>
              <w:top w:val="single" w:sz="4" w:space="0" w:color="auto"/>
              <w:left w:val="nil"/>
              <w:bottom w:val="single" w:sz="4" w:space="0" w:color="auto"/>
              <w:right w:val="nil"/>
            </w:tcBorders>
          </w:tcPr>
          <w:p w14:paraId="4390A915" w14:textId="70AAAA81"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w:t>
            </w:r>
            <w:r w:rsidR="0036547D" w:rsidRPr="006311C5">
              <w:t>48</w:t>
            </w:r>
            <w:r w:rsidRPr="006311C5">
              <w:t xml:space="preserve"> (1</w:t>
            </w:r>
            <w:r w:rsidR="0036547D" w:rsidRPr="006311C5">
              <w:t>4</w:t>
            </w:r>
            <w:r w:rsidRPr="006311C5">
              <w:t>.</w:t>
            </w:r>
            <w:r w:rsidR="0036547D" w:rsidRPr="006311C5">
              <w:t>7</w:t>
            </w:r>
            <w:r w:rsidRPr="006311C5">
              <w:t>)</w:t>
            </w:r>
          </w:p>
        </w:tc>
      </w:tr>
      <w:tr w:rsidR="00937F8A" w:rsidRPr="006311C5" w14:paraId="25782706" w14:textId="77777777" w:rsidTr="00937F8A">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1D88C281" w14:textId="77777777" w:rsidR="00937F8A" w:rsidRPr="006311C5" w:rsidRDefault="00937F8A" w:rsidP="00F305EB">
            <w:pPr>
              <w:pStyle w:val="Tabletext"/>
            </w:pPr>
          </w:p>
        </w:tc>
        <w:tc>
          <w:tcPr>
            <w:tcW w:w="0" w:type="auto"/>
            <w:tcBorders>
              <w:top w:val="single" w:sz="4" w:space="0" w:color="auto"/>
              <w:left w:val="nil"/>
              <w:bottom w:val="single" w:sz="4" w:space="0" w:color="auto"/>
            </w:tcBorders>
          </w:tcPr>
          <w:p w14:paraId="3E5BF5B3" w14:textId="2B6F3E37"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Joint or muscle pain</w:t>
            </w:r>
          </w:p>
        </w:tc>
        <w:tc>
          <w:tcPr>
            <w:tcW w:w="0" w:type="auto"/>
            <w:tcBorders>
              <w:top w:val="single" w:sz="4" w:space="0" w:color="auto"/>
              <w:left w:val="nil"/>
              <w:bottom w:val="single" w:sz="4" w:space="0" w:color="auto"/>
              <w:right w:val="nil"/>
            </w:tcBorders>
          </w:tcPr>
          <w:p w14:paraId="68EDAC5E" w14:textId="65B292E1"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1033</w:t>
            </w:r>
          </w:p>
        </w:tc>
        <w:tc>
          <w:tcPr>
            <w:tcW w:w="0" w:type="auto"/>
            <w:tcBorders>
              <w:top w:val="single" w:sz="4" w:space="0" w:color="auto"/>
              <w:left w:val="nil"/>
              <w:bottom w:val="single" w:sz="4" w:space="0" w:color="auto"/>
              <w:right w:val="nil"/>
            </w:tcBorders>
          </w:tcPr>
          <w:p w14:paraId="00FA71E9" w14:textId="6EDFD686"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585 (56.6)</w:t>
            </w:r>
          </w:p>
        </w:tc>
        <w:tc>
          <w:tcPr>
            <w:tcW w:w="0" w:type="auto"/>
            <w:tcBorders>
              <w:top w:val="single" w:sz="4" w:space="0" w:color="auto"/>
              <w:left w:val="nil"/>
              <w:bottom w:val="single" w:sz="4" w:space="0" w:color="auto"/>
              <w:right w:val="nil"/>
            </w:tcBorders>
          </w:tcPr>
          <w:p w14:paraId="22F0B05E" w14:textId="1E6F04D4"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33 (3.2)</w:t>
            </w:r>
          </w:p>
        </w:tc>
        <w:tc>
          <w:tcPr>
            <w:tcW w:w="0" w:type="auto"/>
            <w:tcBorders>
              <w:top w:val="single" w:sz="4" w:space="0" w:color="auto"/>
              <w:left w:val="nil"/>
              <w:bottom w:val="single" w:sz="4" w:space="0" w:color="auto"/>
              <w:right w:val="nil"/>
            </w:tcBorders>
          </w:tcPr>
          <w:p w14:paraId="7CF91573" w14:textId="13F31E9B" w:rsidR="00937F8A" w:rsidRPr="006311C5" w:rsidRDefault="00D233A6" w:rsidP="00F305EB">
            <w:pPr>
              <w:pStyle w:val="Tabletext"/>
              <w:cnfStyle w:val="000000000000" w:firstRow="0" w:lastRow="0" w:firstColumn="0" w:lastColumn="0" w:oddVBand="0" w:evenVBand="0" w:oddHBand="0" w:evenHBand="0" w:firstRowFirstColumn="0" w:firstRowLastColumn="0" w:lastRowFirstColumn="0" w:lastRowLastColumn="0"/>
            </w:pPr>
            <w:r w:rsidRPr="006311C5">
              <w:t>57 (5.5)</w:t>
            </w:r>
          </w:p>
        </w:tc>
        <w:tc>
          <w:tcPr>
            <w:tcW w:w="0" w:type="auto"/>
            <w:tcBorders>
              <w:top w:val="single" w:sz="4" w:space="0" w:color="auto"/>
              <w:left w:val="nil"/>
              <w:bottom w:val="single" w:sz="4" w:space="0" w:color="auto"/>
              <w:right w:val="nil"/>
            </w:tcBorders>
          </w:tcPr>
          <w:p w14:paraId="06AACCE3" w14:textId="3732E09E" w:rsidR="00937F8A" w:rsidRPr="006311C5" w:rsidRDefault="00D233A6" w:rsidP="00F305EB">
            <w:pPr>
              <w:pStyle w:val="Tabletext"/>
              <w:cnfStyle w:val="000000000000" w:firstRow="0" w:lastRow="0" w:firstColumn="0" w:lastColumn="0" w:oddVBand="0" w:evenVBand="0" w:oddHBand="0" w:evenHBand="0" w:firstRowFirstColumn="0" w:firstRowLastColumn="0" w:lastRowFirstColumn="0" w:lastRowLastColumn="0"/>
            </w:pPr>
            <w:r w:rsidRPr="006311C5">
              <w:t>3</w:t>
            </w:r>
            <w:r w:rsidR="00937F8A" w:rsidRPr="006311C5">
              <w:t>5</w:t>
            </w:r>
            <w:r w:rsidRPr="006311C5">
              <w:t>8</w:t>
            </w:r>
            <w:r w:rsidR="00937F8A" w:rsidRPr="006311C5">
              <w:t xml:space="preserve"> (</w:t>
            </w:r>
            <w:r w:rsidRPr="006311C5">
              <w:t>3</w:t>
            </w:r>
            <w:r w:rsidR="00937F8A" w:rsidRPr="006311C5">
              <w:t>4.</w:t>
            </w:r>
            <w:r w:rsidR="0068451B" w:rsidRPr="006311C5">
              <w:t>7</w:t>
            </w:r>
            <w:r w:rsidR="00937F8A" w:rsidRPr="006311C5">
              <w:t>)</w:t>
            </w:r>
          </w:p>
        </w:tc>
        <w:tc>
          <w:tcPr>
            <w:tcW w:w="0" w:type="auto"/>
            <w:tcBorders>
              <w:top w:val="single" w:sz="4" w:space="0" w:color="auto"/>
              <w:bottom w:val="single" w:sz="4" w:space="0" w:color="auto"/>
            </w:tcBorders>
          </w:tcPr>
          <w:p w14:paraId="6182CB0F" w14:textId="102BD146"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1007</w:t>
            </w:r>
          </w:p>
        </w:tc>
        <w:tc>
          <w:tcPr>
            <w:tcW w:w="0" w:type="auto"/>
            <w:tcBorders>
              <w:top w:val="single" w:sz="4" w:space="0" w:color="auto"/>
              <w:left w:val="nil"/>
              <w:bottom w:val="single" w:sz="4" w:space="0" w:color="auto"/>
              <w:right w:val="nil"/>
            </w:tcBorders>
          </w:tcPr>
          <w:p w14:paraId="71B4F58C" w14:textId="1E8EE90D"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737 (73.2)</w:t>
            </w:r>
          </w:p>
        </w:tc>
        <w:tc>
          <w:tcPr>
            <w:tcW w:w="0" w:type="auto"/>
            <w:tcBorders>
              <w:top w:val="single" w:sz="4" w:space="0" w:color="auto"/>
              <w:left w:val="nil"/>
              <w:bottom w:val="single" w:sz="4" w:space="0" w:color="auto"/>
              <w:right w:val="nil"/>
            </w:tcBorders>
          </w:tcPr>
          <w:p w14:paraId="463CDE04" w14:textId="72E592D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26 (2.6)</w:t>
            </w:r>
          </w:p>
        </w:tc>
        <w:tc>
          <w:tcPr>
            <w:tcW w:w="0" w:type="auto"/>
            <w:tcBorders>
              <w:top w:val="single" w:sz="4" w:space="0" w:color="auto"/>
              <w:left w:val="nil"/>
              <w:bottom w:val="single" w:sz="4" w:space="0" w:color="auto"/>
              <w:right w:val="nil"/>
            </w:tcBorders>
          </w:tcPr>
          <w:p w14:paraId="3BFE4B7A" w14:textId="7CBFD2BF" w:rsidR="00937F8A" w:rsidRPr="006311C5" w:rsidRDefault="006848FA" w:rsidP="00F305EB">
            <w:pPr>
              <w:pStyle w:val="Tabletext"/>
              <w:cnfStyle w:val="000000000000" w:firstRow="0" w:lastRow="0" w:firstColumn="0" w:lastColumn="0" w:oddVBand="0" w:evenVBand="0" w:oddHBand="0" w:evenHBand="0" w:firstRowFirstColumn="0" w:firstRowLastColumn="0" w:lastRowFirstColumn="0" w:lastRowLastColumn="0"/>
            </w:pPr>
            <w:r w:rsidRPr="006311C5">
              <w:t>30 (3.0)</w:t>
            </w:r>
          </w:p>
        </w:tc>
        <w:tc>
          <w:tcPr>
            <w:tcW w:w="0" w:type="auto"/>
            <w:tcBorders>
              <w:top w:val="single" w:sz="4" w:space="0" w:color="auto"/>
              <w:left w:val="nil"/>
              <w:bottom w:val="single" w:sz="4" w:space="0" w:color="auto"/>
              <w:right w:val="nil"/>
            </w:tcBorders>
          </w:tcPr>
          <w:p w14:paraId="281E177F" w14:textId="1C72CC63"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2</w:t>
            </w:r>
            <w:r w:rsidR="006848FA" w:rsidRPr="006311C5">
              <w:t>1</w:t>
            </w:r>
            <w:r w:rsidRPr="006311C5">
              <w:t>4 (2</w:t>
            </w:r>
            <w:r w:rsidR="006848FA" w:rsidRPr="006311C5">
              <w:t>1</w:t>
            </w:r>
            <w:r w:rsidRPr="006311C5">
              <w:t>.</w:t>
            </w:r>
            <w:r w:rsidR="006848FA" w:rsidRPr="006311C5">
              <w:t>3</w:t>
            </w:r>
            <w:r w:rsidRPr="006311C5">
              <w:t>)</w:t>
            </w:r>
          </w:p>
        </w:tc>
      </w:tr>
      <w:tr w:rsidR="00937F8A" w:rsidRPr="006311C5" w14:paraId="6980BC93" w14:textId="77777777" w:rsidTr="00937F8A">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64A428B3" w14:textId="77777777" w:rsidR="00937F8A" w:rsidRPr="006311C5" w:rsidRDefault="00937F8A" w:rsidP="00F305EB">
            <w:pPr>
              <w:pStyle w:val="Tabletext"/>
            </w:pPr>
          </w:p>
        </w:tc>
        <w:tc>
          <w:tcPr>
            <w:tcW w:w="0" w:type="auto"/>
            <w:tcBorders>
              <w:top w:val="single" w:sz="4" w:space="0" w:color="auto"/>
              <w:left w:val="nil"/>
              <w:bottom w:val="single" w:sz="4" w:space="0" w:color="auto"/>
            </w:tcBorders>
          </w:tcPr>
          <w:p w14:paraId="0D7DDA63" w14:textId="741A150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High temperature/fever</w:t>
            </w:r>
          </w:p>
        </w:tc>
        <w:tc>
          <w:tcPr>
            <w:tcW w:w="0" w:type="auto"/>
            <w:tcBorders>
              <w:top w:val="single" w:sz="4" w:space="0" w:color="auto"/>
              <w:left w:val="nil"/>
              <w:bottom w:val="single" w:sz="4" w:space="0" w:color="auto"/>
              <w:right w:val="nil"/>
            </w:tcBorders>
          </w:tcPr>
          <w:p w14:paraId="302FCD33" w14:textId="27A490DF"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1030</w:t>
            </w:r>
          </w:p>
        </w:tc>
        <w:tc>
          <w:tcPr>
            <w:tcW w:w="0" w:type="auto"/>
            <w:tcBorders>
              <w:top w:val="single" w:sz="4" w:space="0" w:color="auto"/>
              <w:left w:val="nil"/>
              <w:bottom w:val="single" w:sz="4" w:space="0" w:color="auto"/>
              <w:right w:val="nil"/>
            </w:tcBorders>
          </w:tcPr>
          <w:p w14:paraId="34DFF113" w14:textId="0B512729"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830 (80.6)</w:t>
            </w:r>
          </w:p>
        </w:tc>
        <w:tc>
          <w:tcPr>
            <w:tcW w:w="0" w:type="auto"/>
            <w:tcBorders>
              <w:top w:val="single" w:sz="4" w:space="0" w:color="auto"/>
              <w:left w:val="nil"/>
              <w:bottom w:val="single" w:sz="4" w:space="0" w:color="auto"/>
              <w:right w:val="nil"/>
            </w:tcBorders>
          </w:tcPr>
          <w:p w14:paraId="0E302DB0" w14:textId="1E23ED6D"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6 (0.6)</w:t>
            </w:r>
          </w:p>
        </w:tc>
        <w:tc>
          <w:tcPr>
            <w:tcW w:w="0" w:type="auto"/>
            <w:tcBorders>
              <w:top w:val="single" w:sz="4" w:space="0" w:color="auto"/>
              <w:left w:val="nil"/>
              <w:bottom w:val="single" w:sz="4" w:space="0" w:color="auto"/>
              <w:right w:val="nil"/>
            </w:tcBorders>
          </w:tcPr>
          <w:p w14:paraId="688FD297" w14:textId="03365061" w:rsidR="00937F8A" w:rsidRPr="006311C5" w:rsidRDefault="00D233A6" w:rsidP="00F305EB">
            <w:pPr>
              <w:pStyle w:val="Tabletext"/>
              <w:cnfStyle w:val="000000000000" w:firstRow="0" w:lastRow="0" w:firstColumn="0" w:lastColumn="0" w:oddVBand="0" w:evenVBand="0" w:oddHBand="0" w:evenHBand="0" w:firstRowFirstColumn="0" w:firstRowLastColumn="0" w:lastRowFirstColumn="0" w:lastRowLastColumn="0"/>
            </w:pPr>
            <w:r w:rsidRPr="006311C5">
              <w:t>20 (1.9)</w:t>
            </w:r>
          </w:p>
        </w:tc>
        <w:tc>
          <w:tcPr>
            <w:tcW w:w="0" w:type="auto"/>
            <w:tcBorders>
              <w:top w:val="single" w:sz="4" w:space="0" w:color="auto"/>
              <w:left w:val="nil"/>
              <w:bottom w:val="single" w:sz="4" w:space="0" w:color="auto"/>
              <w:right w:val="nil"/>
            </w:tcBorders>
          </w:tcPr>
          <w:p w14:paraId="69556CDC" w14:textId="3DA360C3"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w:t>
            </w:r>
            <w:r w:rsidR="00D233A6" w:rsidRPr="006311C5">
              <w:t>7</w:t>
            </w:r>
            <w:r w:rsidRPr="006311C5">
              <w:t>4 (1</w:t>
            </w:r>
            <w:r w:rsidR="00D233A6" w:rsidRPr="006311C5">
              <w:t>6</w:t>
            </w:r>
            <w:r w:rsidRPr="006311C5">
              <w:t>.</w:t>
            </w:r>
            <w:r w:rsidR="003A5B79" w:rsidRPr="006311C5">
              <w:t>9</w:t>
            </w:r>
            <w:r w:rsidRPr="006311C5">
              <w:t>)</w:t>
            </w:r>
          </w:p>
        </w:tc>
        <w:tc>
          <w:tcPr>
            <w:tcW w:w="0" w:type="auto"/>
            <w:tcBorders>
              <w:top w:val="single" w:sz="4" w:space="0" w:color="auto"/>
              <w:bottom w:val="single" w:sz="4" w:space="0" w:color="auto"/>
            </w:tcBorders>
          </w:tcPr>
          <w:p w14:paraId="0D3E2F68" w14:textId="396CBFE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1006</w:t>
            </w:r>
          </w:p>
        </w:tc>
        <w:tc>
          <w:tcPr>
            <w:tcW w:w="0" w:type="auto"/>
            <w:tcBorders>
              <w:top w:val="single" w:sz="4" w:space="0" w:color="auto"/>
              <w:left w:val="nil"/>
              <w:bottom w:val="single" w:sz="4" w:space="0" w:color="auto"/>
              <w:right w:val="nil"/>
            </w:tcBorders>
          </w:tcPr>
          <w:p w14:paraId="25AD6972" w14:textId="01954798"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918 (91.3)</w:t>
            </w:r>
          </w:p>
        </w:tc>
        <w:tc>
          <w:tcPr>
            <w:tcW w:w="0" w:type="auto"/>
            <w:tcBorders>
              <w:top w:val="single" w:sz="4" w:space="0" w:color="auto"/>
              <w:left w:val="nil"/>
              <w:bottom w:val="single" w:sz="4" w:space="0" w:color="auto"/>
              <w:right w:val="nil"/>
            </w:tcBorders>
          </w:tcPr>
          <w:p w14:paraId="08B30AE4" w14:textId="5C23E02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 xml:space="preserve"> 5 (0.5)</w:t>
            </w:r>
          </w:p>
        </w:tc>
        <w:tc>
          <w:tcPr>
            <w:tcW w:w="0" w:type="auto"/>
            <w:tcBorders>
              <w:top w:val="single" w:sz="4" w:space="0" w:color="auto"/>
              <w:left w:val="nil"/>
              <w:bottom w:val="single" w:sz="4" w:space="0" w:color="auto"/>
              <w:right w:val="nil"/>
            </w:tcBorders>
          </w:tcPr>
          <w:p w14:paraId="48B8D6C9" w14:textId="7BA7B0CC" w:rsidR="00937F8A" w:rsidRPr="006311C5" w:rsidRDefault="006848FA" w:rsidP="00F305EB">
            <w:pPr>
              <w:pStyle w:val="Tabletext"/>
              <w:cnfStyle w:val="000000000000" w:firstRow="0" w:lastRow="0" w:firstColumn="0" w:lastColumn="0" w:oddVBand="0" w:evenVBand="0" w:oddHBand="0" w:evenHBand="0" w:firstRowFirstColumn="0" w:firstRowLastColumn="0" w:lastRowFirstColumn="0" w:lastRowLastColumn="0"/>
            </w:pPr>
            <w:r w:rsidRPr="006311C5">
              <w:t>10 (1.0)</w:t>
            </w:r>
          </w:p>
        </w:tc>
        <w:tc>
          <w:tcPr>
            <w:tcW w:w="0" w:type="auto"/>
            <w:tcBorders>
              <w:top w:val="single" w:sz="4" w:space="0" w:color="auto"/>
              <w:left w:val="nil"/>
              <w:bottom w:val="single" w:sz="4" w:space="0" w:color="auto"/>
              <w:right w:val="nil"/>
            </w:tcBorders>
          </w:tcPr>
          <w:p w14:paraId="57B58373" w14:textId="5A367AE9" w:rsidR="00937F8A" w:rsidRPr="006311C5" w:rsidRDefault="006848FA" w:rsidP="00F305EB">
            <w:pPr>
              <w:pStyle w:val="Tabletext"/>
              <w:cnfStyle w:val="000000000000" w:firstRow="0" w:lastRow="0" w:firstColumn="0" w:lastColumn="0" w:oddVBand="0" w:evenVBand="0" w:oddHBand="0" w:evenHBand="0" w:firstRowFirstColumn="0" w:firstRowLastColumn="0" w:lastRowFirstColumn="0" w:lastRowLastColumn="0"/>
            </w:pPr>
            <w:r w:rsidRPr="006311C5">
              <w:t>7</w:t>
            </w:r>
            <w:r w:rsidR="00937F8A" w:rsidRPr="006311C5">
              <w:t>3 (</w:t>
            </w:r>
            <w:r w:rsidRPr="006311C5">
              <w:t>7</w:t>
            </w:r>
            <w:r w:rsidR="00937F8A" w:rsidRPr="006311C5">
              <w:t>.3)</w:t>
            </w:r>
          </w:p>
        </w:tc>
      </w:tr>
      <w:tr w:rsidR="00937F8A" w:rsidRPr="006311C5" w14:paraId="53CD1FF3" w14:textId="77777777" w:rsidTr="00937F8A">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2418DE30" w14:textId="77777777" w:rsidR="00937F8A" w:rsidRPr="006311C5" w:rsidRDefault="00937F8A" w:rsidP="00F305EB">
            <w:pPr>
              <w:pStyle w:val="Tabletext"/>
            </w:pPr>
          </w:p>
        </w:tc>
        <w:tc>
          <w:tcPr>
            <w:tcW w:w="0" w:type="auto"/>
            <w:tcBorders>
              <w:top w:val="single" w:sz="4" w:space="0" w:color="auto"/>
              <w:left w:val="nil"/>
              <w:bottom w:val="single" w:sz="4" w:space="0" w:color="auto"/>
            </w:tcBorders>
          </w:tcPr>
          <w:p w14:paraId="0ACF3F87" w14:textId="27A00333"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Nausea</w:t>
            </w:r>
          </w:p>
        </w:tc>
        <w:tc>
          <w:tcPr>
            <w:tcW w:w="0" w:type="auto"/>
            <w:tcBorders>
              <w:top w:val="single" w:sz="4" w:space="0" w:color="auto"/>
              <w:left w:val="nil"/>
              <w:bottom w:val="single" w:sz="4" w:space="0" w:color="auto"/>
              <w:right w:val="nil"/>
            </w:tcBorders>
          </w:tcPr>
          <w:p w14:paraId="4BC4D5A4" w14:textId="40A79119"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1030</w:t>
            </w:r>
          </w:p>
        </w:tc>
        <w:tc>
          <w:tcPr>
            <w:tcW w:w="0" w:type="auto"/>
            <w:tcBorders>
              <w:top w:val="single" w:sz="4" w:space="0" w:color="auto"/>
              <w:left w:val="nil"/>
              <w:bottom w:val="single" w:sz="4" w:space="0" w:color="auto"/>
              <w:right w:val="nil"/>
            </w:tcBorders>
          </w:tcPr>
          <w:p w14:paraId="5944C5E0" w14:textId="1031B0A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910 (88.3)</w:t>
            </w:r>
          </w:p>
        </w:tc>
        <w:tc>
          <w:tcPr>
            <w:tcW w:w="0" w:type="auto"/>
            <w:tcBorders>
              <w:top w:val="single" w:sz="4" w:space="0" w:color="auto"/>
              <w:left w:val="nil"/>
              <w:bottom w:val="single" w:sz="4" w:space="0" w:color="auto"/>
              <w:right w:val="nil"/>
            </w:tcBorders>
          </w:tcPr>
          <w:p w14:paraId="3E67FF49" w14:textId="16DFFE5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 xml:space="preserve"> 12 (1.2)</w:t>
            </w:r>
          </w:p>
        </w:tc>
        <w:tc>
          <w:tcPr>
            <w:tcW w:w="0" w:type="auto"/>
            <w:tcBorders>
              <w:top w:val="single" w:sz="4" w:space="0" w:color="auto"/>
              <w:left w:val="nil"/>
              <w:bottom w:val="single" w:sz="4" w:space="0" w:color="auto"/>
              <w:right w:val="nil"/>
            </w:tcBorders>
          </w:tcPr>
          <w:p w14:paraId="31356094" w14:textId="6778126A" w:rsidR="00937F8A" w:rsidRPr="006311C5" w:rsidRDefault="00D233A6" w:rsidP="00F305EB">
            <w:pPr>
              <w:pStyle w:val="Tabletext"/>
              <w:cnfStyle w:val="000000000000" w:firstRow="0" w:lastRow="0" w:firstColumn="0" w:lastColumn="0" w:oddVBand="0" w:evenVBand="0" w:oddHBand="0" w:evenHBand="0" w:firstRowFirstColumn="0" w:firstRowLastColumn="0" w:lastRowFirstColumn="0" w:lastRowLastColumn="0"/>
            </w:pPr>
            <w:r w:rsidRPr="006311C5">
              <w:t>18 (1.7)</w:t>
            </w:r>
          </w:p>
        </w:tc>
        <w:tc>
          <w:tcPr>
            <w:tcW w:w="0" w:type="auto"/>
            <w:tcBorders>
              <w:top w:val="single" w:sz="4" w:space="0" w:color="auto"/>
              <w:left w:val="nil"/>
              <w:bottom w:val="single" w:sz="4" w:space="0" w:color="auto"/>
              <w:right w:val="nil"/>
            </w:tcBorders>
          </w:tcPr>
          <w:p w14:paraId="36B9765A" w14:textId="1F1BF9AA" w:rsidR="00937F8A" w:rsidRPr="006311C5" w:rsidRDefault="00D233A6" w:rsidP="00F305EB">
            <w:pPr>
              <w:pStyle w:val="Tabletext"/>
              <w:cnfStyle w:val="000000000000" w:firstRow="0" w:lastRow="0" w:firstColumn="0" w:lastColumn="0" w:oddVBand="0" w:evenVBand="0" w:oddHBand="0" w:evenHBand="0" w:firstRowFirstColumn="0" w:firstRowLastColumn="0" w:lastRowFirstColumn="0" w:lastRowLastColumn="0"/>
            </w:pPr>
            <w:r w:rsidRPr="006311C5">
              <w:t>9</w:t>
            </w:r>
            <w:r w:rsidR="00937F8A" w:rsidRPr="006311C5">
              <w:t>0 (</w:t>
            </w:r>
            <w:r w:rsidRPr="006311C5">
              <w:t>8</w:t>
            </w:r>
            <w:r w:rsidR="00937F8A" w:rsidRPr="006311C5">
              <w:t>.</w:t>
            </w:r>
            <w:r w:rsidRPr="006311C5">
              <w:t>7</w:t>
            </w:r>
            <w:r w:rsidR="00937F8A" w:rsidRPr="006311C5">
              <w:t>)</w:t>
            </w:r>
          </w:p>
        </w:tc>
        <w:tc>
          <w:tcPr>
            <w:tcW w:w="0" w:type="auto"/>
            <w:tcBorders>
              <w:top w:val="single" w:sz="4" w:space="0" w:color="auto"/>
              <w:bottom w:val="single" w:sz="4" w:space="0" w:color="auto"/>
            </w:tcBorders>
          </w:tcPr>
          <w:p w14:paraId="03FE2494" w14:textId="072E1E69"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1006</w:t>
            </w:r>
          </w:p>
        </w:tc>
        <w:tc>
          <w:tcPr>
            <w:tcW w:w="0" w:type="auto"/>
            <w:tcBorders>
              <w:top w:val="single" w:sz="4" w:space="0" w:color="auto"/>
              <w:left w:val="nil"/>
              <w:bottom w:val="single" w:sz="4" w:space="0" w:color="auto"/>
              <w:right w:val="nil"/>
            </w:tcBorders>
          </w:tcPr>
          <w:p w14:paraId="47CDF8FD" w14:textId="789BB9B8"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943 (93.7)</w:t>
            </w:r>
          </w:p>
        </w:tc>
        <w:tc>
          <w:tcPr>
            <w:tcW w:w="0" w:type="auto"/>
            <w:tcBorders>
              <w:top w:val="single" w:sz="4" w:space="0" w:color="auto"/>
              <w:left w:val="nil"/>
              <w:bottom w:val="single" w:sz="4" w:space="0" w:color="auto"/>
              <w:right w:val="nil"/>
            </w:tcBorders>
          </w:tcPr>
          <w:p w14:paraId="43D5D6BB" w14:textId="76E30384"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15 (1.5)</w:t>
            </w:r>
          </w:p>
        </w:tc>
        <w:tc>
          <w:tcPr>
            <w:tcW w:w="0" w:type="auto"/>
            <w:tcBorders>
              <w:top w:val="single" w:sz="4" w:space="0" w:color="auto"/>
              <w:left w:val="nil"/>
              <w:bottom w:val="single" w:sz="4" w:space="0" w:color="auto"/>
              <w:right w:val="nil"/>
            </w:tcBorders>
          </w:tcPr>
          <w:p w14:paraId="1266C1D8" w14:textId="75DE6D80" w:rsidR="00937F8A" w:rsidRPr="006311C5" w:rsidRDefault="006848FA" w:rsidP="00F305EB">
            <w:pPr>
              <w:pStyle w:val="Tabletext"/>
              <w:cnfStyle w:val="000000000000" w:firstRow="0" w:lastRow="0" w:firstColumn="0" w:lastColumn="0" w:oddVBand="0" w:evenVBand="0" w:oddHBand="0" w:evenHBand="0" w:firstRowFirstColumn="0" w:firstRowLastColumn="0" w:lastRowFirstColumn="0" w:lastRowLastColumn="0"/>
            </w:pPr>
            <w:r w:rsidRPr="006311C5">
              <w:t>7 (0.7)</w:t>
            </w:r>
          </w:p>
        </w:tc>
        <w:tc>
          <w:tcPr>
            <w:tcW w:w="0" w:type="auto"/>
            <w:tcBorders>
              <w:top w:val="single" w:sz="4" w:space="0" w:color="auto"/>
              <w:left w:val="nil"/>
              <w:bottom w:val="single" w:sz="4" w:space="0" w:color="auto"/>
              <w:right w:val="nil"/>
            </w:tcBorders>
          </w:tcPr>
          <w:p w14:paraId="7D9B8F15" w14:textId="0081460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4</w:t>
            </w:r>
            <w:r w:rsidR="006848FA" w:rsidRPr="006311C5">
              <w:t>1</w:t>
            </w:r>
            <w:r w:rsidRPr="006311C5">
              <w:t xml:space="preserve"> (4.</w:t>
            </w:r>
            <w:r w:rsidR="006848FA" w:rsidRPr="006311C5">
              <w:t>1</w:t>
            </w:r>
            <w:r w:rsidRPr="006311C5">
              <w:t>)</w:t>
            </w:r>
          </w:p>
        </w:tc>
      </w:tr>
      <w:tr w:rsidR="00937F8A" w:rsidRPr="006311C5" w14:paraId="55B1A394" w14:textId="77777777" w:rsidTr="00937F8A">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07E45CFF" w14:textId="77777777" w:rsidR="00937F8A" w:rsidRPr="006311C5" w:rsidRDefault="00937F8A" w:rsidP="00F305EB">
            <w:pPr>
              <w:pStyle w:val="Tabletext"/>
            </w:pPr>
          </w:p>
        </w:tc>
        <w:tc>
          <w:tcPr>
            <w:tcW w:w="0" w:type="auto"/>
            <w:tcBorders>
              <w:top w:val="single" w:sz="4" w:space="0" w:color="auto"/>
              <w:left w:val="nil"/>
              <w:bottom w:val="single" w:sz="4" w:space="0" w:color="000000" w:themeColor="text1"/>
            </w:tcBorders>
          </w:tcPr>
          <w:p w14:paraId="7F4F88E9" w14:textId="6075DA1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Fatigue</w:t>
            </w:r>
          </w:p>
        </w:tc>
        <w:tc>
          <w:tcPr>
            <w:tcW w:w="0" w:type="auto"/>
            <w:tcBorders>
              <w:top w:val="single" w:sz="4" w:space="0" w:color="auto"/>
              <w:left w:val="nil"/>
              <w:bottom w:val="single" w:sz="4" w:space="0" w:color="000000" w:themeColor="text1"/>
              <w:right w:val="nil"/>
            </w:tcBorders>
          </w:tcPr>
          <w:p w14:paraId="29445878" w14:textId="243B8C7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1031</w:t>
            </w:r>
          </w:p>
        </w:tc>
        <w:tc>
          <w:tcPr>
            <w:tcW w:w="0" w:type="auto"/>
            <w:tcBorders>
              <w:top w:val="single" w:sz="4" w:space="0" w:color="auto"/>
              <w:left w:val="nil"/>
              <w:bottom w:val="single" w:sz="4" w:space="0" w:color="000000" w:themeColor="text1"/>
              <w:right w:val="nil"/>
            </w:tcBorders>
          </w:tcPr>
          <w:p w14:paraId="3E02B6F4" w14:textId="5A9928F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542 (52.6)</w:t>
            </w:r>
          </w:p>
        </w:tc>
        <w:tc>
          <w:tcPr>
            <w:tcW w:w="0" w:type="auto"/>
            <w:tcBorders>
              <w:top w:val="single" w:sz="4" w:space="0" w:color="auto"/>
              <w:left w:val="nil"/>
              <w:bottom w:val="single" w:sz="4" w:space="0" w:color="000000" w:themeColor="text1"/>
              <w:right w:val="nil"/>
            </w:tcBorders>
          </w:tcPr>
          <w:p w14:paraId="093193CC" w14:textId="16BDA2E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 xml:space="preserve"> 50 (4.8)</w:t>
            </w:r>
          </w:p>
        </w:tc>
        <w:tc>
          <w:tcPr>
            <w:tcW w:w="0" w:type="auto"/>
            <w:tcBorders>
              <w:top w:val="single" w:sz="4" w:space="0" w:color="auto"/>
              <w:left w:val="nil"/>
              <w:bottom w:val="single" w:sz="4" w:space="0" w:color="000000" w:themeColor="text1"/>
              <w:right w:val="nil"/>
            </w:tcBorders>
          </w:tcPr>
          <w:p w14:paraId="40AD3790" w14:textId="6352F05F" w:rsidR="00937F8A" w:rsidRPr="006311C5" w:rsidRDefault="004C3B9B" w:rsidP="00F305EB">
            <w:pPr>
              <w:pStyle w:val="Tabletext"/>
              <w:cnfStyle w:val="000000000000" w:firstRow="0" w:lastRow="0" w:firstColumn="0" w:lastColumn="0" w:oddVBand="0" w:evenVBand="0" w:oddHBand="0" w:evenHBand="0" w:firstRowFirstColumn="0" w:firstRowLastColumn="0" w:lastRowFirstColumn="0" w:lastRowLastColumn="0"/>
            </w:pPr>
            <w:r w:rsidRPr="006311C5">
              <w:t>83 (8.</w:t>
            </w:r>
            <w:r w:rsidR="003A5B79" w:rsidRPr="006311C5">
              <w:t>1</w:t>
            </w:r>
            <w:r w:rsidRPr="006311C5">
              <w:t>)</w:t>
            </w:r>
          </w:p>
        </w:tc>
        <w:tc>
          <w:tcPr>
            <w:tcW w:w="0" w:type="auto"/>
            <w:tcBorders>
              <w:top w:val="single" w:sz="4" w:space="0" w:color="auto"/>
              <w:left w:val="nil"/>
              <w:bottom w:val="single" w:sz="4" w:space="0" w:color="000000" w:themeColor="text1"/>
              <w:right w:val="nil"/>
            </w:tcBorders>
          </w:tcPr>
          <w:p w14:paraId="4DFFB4D4" w14:textId="23ED7F01"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3</w:t>
            </w:r>
            <w:r w:rsidR="004C3B9B" w:rsidRPr="006311C5">
              <w:t>56</w:t>
            </w:r>
            <w:r w:rsidRPr="006311C5">
              <w:t xml:space="preserve"> (</w:t>
            </w:r>
            <w:r w:rsidR="004C3B9B" w:rsidRPr="006311C5">
              <w:t>3</w:t>
            </w:r>
            <w:r w:rsidRPr="006311C5">
              <w:t>4.</w:t>
            </w:r>
            <w:r w:rsidR="003A5B79" w:rsidRPr="006311C5">
              <w:t>5</w:t>
            </w:r>
            <w:r w:rsidRPr="006311C5">
              <w:t>)</w:t>
            </w:r>
          </w:p>
        </w:tc>
        <w:tc>
          <w:tcPr>
            <w:tcW w:w="0" w:type="auto"/>
            <w:tcBorders>
              <w:top w:val="single" w:sz="4" w:space="0" w:color="auto"/>
              <w:bottom w:val="single" w:sz="4" w:space="0" w:color="000000" w:themeColor="text1"/>
            </w:tcBorders>
          </w:tcPr>
          <w:p w14:paraId="65C8F9F0" w14:textId="14E3774A"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1009</w:t>
            </w:r>
          </w:p>
        </w:tc>
        <w:tc>
          <w:tcPr>
            <w:tcW w:w="0" w:type="auto"/>
            <w:tcBorders>
              <w:top w:val="single" w:sz="4" w:space="0" w:color="auto"/>
              <w:left w:val="nil"/>
              <w:bottom w:val="single" w:sz="4" w:space="0" w:color="000000" w:themeColor="text1"/>
              <w:right w:val="nil"/>
            </w:tcBorders>
          </w:tcPr>
          <w:p w14:paraId="6A294C9E" w14:textId="74161960"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693 (68.7)</w:t>
            </w:r>
          </w:p>
        </w:tc>
        <w:tc>
          <w:tcPr>
            <w:tcW w:w="0" w:type="auto"/>
            <w:tcBorders>
              <w:top w:val="single" w:sz="4" w:space="0" w:color="auto"/>
              <w:left w:val="nil"/>
              <w:bottom w:val="single" w:sz="4" w:space="0" w:color="000000" w:themeColor="text1"/>
              <w:right w:val="nil"/>
            </w:tcBorders>
          </w:tcPr>
          <w:p w14:paraId="4D6D40D5" w14:textId="44053DA2"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44 (4.4)</w:t>
            </w:r>
          </w:p>
        </w:tc>
        <w:tc>
          <w:tcPr>
            <w:tcW w:w="0" w:type="auto"/>
            <w:tcBorders>
              <w:top w:val="single" w:sz="4" w:space="0" w:color="auto"/>
              <w:left w:val="nil"/>
              <w:bottom w:val="single" w:sz="4" w:space="0" w:color="000000" w:themeColor="text1"/>
              <w:right w:val="nil"/>
            </w:tcBorders>
          </w:tcPr>
          <w:p w14:paraId="53A3AFF3" w14:textId="63D9CDD5" w:rsidR="00937F8A" w:rsidRPr="006311C5" w:rsidRDefault="006848FA" w:rsidP="00F305EB">
            <w:pPr>
              <w:pStyle w:val="Tabletext"/>
              <w:cnfStyle w:val="000000000000" w:firstRow="0" w:lastRow="0" w:firstColumn="0" w:lastColumn="0" w:oddVBand="0" w:evenVBand="0" w:oddHBand="0" w:evenHBand="0" w:firstRowFirstColumn="0" w:firstRowLastColumn="0" w:lastRowFirstColumn="0" w:lastRowLastColumn="0"/>
            </w:pPr>
            <w:r w:rsidRPr="006311C5">
              <w:t>48 (4.8)</w:t>
            </w:r>
          </w:p>
        </w:tc>
        <w:tc>
          <w:tcPr>
            <w:tcW w:w="0" w:type="auto"/>
            <w:tcBorders>
              <w:top w:val="single" w:sz="4" w:space="0" w:color="auto"/>
              <w:left w:val="nil"/>
              <w:bottom w:val="single" w:sz="4" w:space="0" w:color="000000" w:themeColor="text1"/>
              <w:right w:val="nil"/>
            </w:tcBorders>
          </w:tcPr>
          <w:p w14:paraId="735D19BF" w14:textId="04C3EF98"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22</w:t>
            </w:r>
            <w:r w:rsidR="006848FA" w:rsidRPr="006311C5">
              <w:t>4</w:t>
            </w:r>
            <w:r w:rsidRPr="006311C5">
              <w:t xml:space="preserve"> (2</w:t>
            </w:r>
            <w:r w:rsidR="00D83533" w:rsidRPr="006311C5">
              <w:t>2</w:t>
            </w:r>
            <w:r w:rsidRPr="006311C5">
              <w:t>.</w:t>
            </w:r>
            <w:r w:rsidR="00D83533" w:rsidRPr="006311C5">
              <w:t>2</w:t>
            </w:r>
            <w:r w:rsidRPr="006311C5">
              <w:t>)</w:t>
            </w:r>
          </w:p>
        </w:tc>
      </w:tr>
      <w:tr w:rsidR="00937F8A" w:rsidRPr="006311C5" w14:paraId="24E43F35" w14:textId="77777777" w:rsidTr="00D26713">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2" w:space="0" w:color="auto"/>
              <w:right w:val="none" w:sz="0" w:space="0" w:color="auto"/>
            </w:tcBorders>
          </w:tcPr>
          <w:p w14:paraId="4BC94100" w14:textId="77777777" w:rsidR="00937F8A" w:rsidRPr="006311C5" w:rsidRDefault="00937F8A" w:rsidP="00F305EB">
            <w:pPr>
              <w:pStyle w:val="Tabletext"/>
            </w:pPr>
          </w:p>
        </w:tc>
        <w:tc>
          <w:tcPr>
            <w:tcW w:w="0" w:type="auto"/>
            <w:tcBorders>
              <w:top w:val="single" w:sz="4" w:space="0" w:color="000000" w:themeColor="text1"/>
              <w:left w:val="nil"/>
              <w:bottom w:val="single" w:sz="12" w:space="0" w:color="auto"/>
            </w:tcBorders>
          </w:tcPr>
          <w:p w14:paraId="02CF6E01" w14:textId="3598232B"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Any non-injection-site symptom</w:t>
            </w:r>
          </w:p>
        </w:tc>
        <w:tc>
          <w:tcPr>
            <w:tcW w:w="0" w:type="auto"/>
            <w:tcBorders>
              <w:top w:val="single" w:sz="4" w:space="0" w:color="000000" w:themeColor="text1"/>
              <w:left w:val="nil"/>
              <w:bottom w:val="single" w:sz="12" w:space="0" w:color="auto"/>
              <w:right w:val="nil"/>
            </w:tcBorders>
          </w:tcPr>
          <w:p w14:paraId="6ABBCE0A" w14:textId="632FD93E"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1029</w:t>
            </w:r>
          </w:p>
        </w:tc>
        <w:tc>
          <w:tcPr>
            <w:tcW w:w="0" w:type="auto"/>
            <w:tcBorders>
              <w:top w:val="single" w:sz="4" w:space="0" w:color="000000" w:themeColor="text1"/>
              <w:left w:val="nil"/>
              <w:bottom w:val="single" w:sz="12" w:space="0" w:color="auto"/>
              <w:right w:val="nil"/>
            </w:tcBorders>
          </w:tcPr>
          <w:p w14:paraId="41DC3FE2" w14:textId="0515D8ED"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360 (35.0)</w:t>
            </w:r>
          </w:p>
        </w:tc>
        <w:tc>
          <w:tcPr>
            <w:tcW w:w="0" w:type="auto"/>
            <w:tcBorders>
              <w:top w:val="single" w:sz="4" w:space="0" w:color="000000" w:themeColor="text1"/>
              <w:left w:val="nil"/>
              <w:bottom w:val="single" w:sz="12" w:space="0" w:color="auto"/>
              <w:right w:val="nil"/>
            </w:tcBorders>
          </w:tcPr>
          <w:p w14:paraId="398BA14F" w14:textId="36229874"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52 (5.1)</w:t>
            </w:r>
          </w:p>
        </w:tc>
        <w:tc>
          <w:tcPr>
            <w:tcW w:w="0" w:type="auto"/>
            <w:tcBorders>
              <w:top w:val="single" w:sz="4" w:space="0" w:color="000000" w:themeColor="text1"/>
              <w:left w:val="nil"/>
              <w:bottom w:val="single" w:sz="12" w:space="0" w:color="auto"/>
              <w:right w:val="nil"/>
            </w:tcBorders>
          </w:tcPr>
          <w:p w14:paraId="1CF0870B" w14:textId="53D3349E" w:rsidR="00937F8A" w:rsidRPr="006311C5" w:rsidRDefault="00CF5807" w:rsidP="00F305EB">
            <w:pPr>
              <w:pStyle w:val="Tabletext"/>
              <w:cnfStyle w:val="000000000000" w:firstRow="0" w:lastRow="0" w:firstColumn="0" w:lastColumn="0" w:oddVBand="0" w:evenVBand="0" w:oddHBand="0" w:evenHBand="0" w:firstRowFirstColumn="0" w:firstRowLastColumn="0" w:lastRowFirstColumn="0" w:lastRowLastColumn="0"/>
            </w:pPr>
            <w:r w:rsidRPr="006311C5">
              <w:t>83 (8.1)</w:t>
            </w:r>
          </w:p>
        </w:tc>
        <w:tc>
          <w:tcPr>
            <w:tcW w:w="0" w:type="auto"/>
            <w:tcBorders>
              <w:top w:val="single" w:sz="4" w:space="0" w:color="000000" w:themeColor="text1"/>
              <w:left w:val="nil"/>
              <w:bottom w:val="single" w:sz="12" w:space="0" w:color="auto"/>
              <w:right w:val="nil"/>
            </w:tcBorders>
          </w:tcPr>
          <w:p w14:paraId="3CB8363B" w14:textId="7042A4EA" w:rsidR="00937F8A" w:rsidRPr="006311C5" w:rsidRDefault="00CF5807" w:rsidP="00F305EB">
            <w:pPr>
              <w:pStyle w:val="Tabletext"/>
              <w:cnfStyle w:val="000000000000" w:firstRow="0" w:lastRow="0" w:firstColumn="0" w:lastColumn="0" w:oddVBand="0" w:evenVBand="0" w:oddHBand="0" w:evenHBand="0" w:firstRowFirstColumn="0" w:firstRowLastColumn="0" w:lastRowFirstColumn="0" w:lastRowLastColumn="0"/>
            </w:pPr>
            <w:r w:rsidRPr="006311C5">
              <w:t>534</w:t>
            </w:r>
            <w:r w:rsidR="00937F8A" w:rsidRPr="006311C5">
              <w:t xml:space="preserve"> (</w:t>
            </w:r>
            <w:r w:rsidR="00190984" w:rsidRPr="006311C5">
              <w:t>51.9</w:t>
            </w:r>
            <w:r w:rsidR="00937F8A" w:rsidRPr="006311C5">
              <w:t>)</w:t>
            </w:r>
          </w:p>
        </w:tc>
        <w:tc>
          <w:tcPr>
            <w:tcW w:w="0" w:type="auto"/>
            <w:tcBorders>
              <w:top w:val="single" w:sz="4" w:space="0" w:color="000000" w:themeColor="text1"/>
              <w:bottom w:val="single" w:sz="12" w:space="0" w:color="auto"/>
            </w:tcBorders>
          </w:tcPr>
          <w:p w14:paraId="020549CF" w14:textId="1651F0B2"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1006</w:t>
            </w:r>
          </w:p>
        </w:tc>
        <w:tc>
          <w:tcPr>
            <w:tcW w:w="0" w:type="auto"/>
            <w:tcBorders>
              <w:top w:val="single" w:sz="4" w:space="0" w:color="000000" w:themeColor="text1"/>
              <w:left w:val="nil"/>
              <w:bottom w:val="single" w:sz="12" w:space="0" w:color="auto"/>
              <w:right w:val="nil"/>
            </w:tcBorders>
          </w:tcPr>
          <w:p w14:paraId="1FED2B8B" w14:textId="2006B416"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566 (56.3)</w:t>
            </w:r>
          </w:p>
        </w:tc>
        <w:tc>
          <w:tcPr>
            <w:tcW w:w="0" w:type="auto"/>
            <w:tcBorders>
              <w:top w:val="single" w:sz="4" w:space="0" w:color="000000" w:themeColor="text1"/>
              <w:left w:val="nil"/>
              <w:bottom w:val="single" w:sz="12" w:space="0" w:color="auto"/>
              <w:right w:val="nil"/>
            </w:tcBorders>
          </w:tcPr>
          <w:p w14:paraId="68AC46D1" w14:textId="4D44CABB" w:rsidR="00937F8A" w:rsidRPr="006311C5" w:rsidRDefault="00496FF7" w:rsidP="00F305EB">
            <w:pPr>
              <w:pStyle w:val="Tabletext"/>
              <w:cnfStyle w:val="000000000000" w:firstRow="0" w:lastRow="0" w:firstColumn="0" w:lastColumn="0" w:oddVBand="0" w:evenVBand="0" w:oddHBand="0" w:evenHBand="0" w:firstRowFirstColumn="0" w:firstRowLastColumn="0" w:lastRowFirstColumn="0" w:lastRowLastColumn="0"/>
            </w:pPr>
            <w:r w:rsidRPr="006311C5">
              <w:t>4</w:t>
            </w:r>
            <w:r w:rsidR="00937F8A" w:rsidRPr="006311C5">
              <w:t>8 (</w:t>
            </w:r>
            <w:r w:rsidR="008C193B" w:rsidRPr="006311C5">
              <w:t>4</w:t>
            </w:r>
            <w:r w:rsidR="00937F8A" w:rsidRPr="006311C5">
              <w:t>.8)</w:t>
            </w:r>
          </w:p>
        </w:tc>
        <w:tc>
          <w:tcPr>
            <w:tcW w:w="0" w:type="auto"/>
            <w:tcBorders>
              <w:top w:val="single" w:sz="4" w:space="0" w:color="000000" w:themeColor="text1"/>
              <w:left w:val="nil"/>
              <w:bottom w:val="single" w:sz="12" w:space="0" w:color="auto"/>
              <w:right w:val="nil"/>
            </w:tcBorders>
          </w:tcPr>
          <w:p w14:paraId="0EFBA8F1" w14:textId="7124AB15" w:rsidR="00937F8A" w:rsidRPr="006311C5" w:rsidRDefault="00034E06" w:rsidP="00F305EB">
            <w:pPr>
              <w:pStyle w:val="Tabletext"/>
              <w:cnfStyle w:val="000000000000" w:firstRow="0" w:lastRow="0" w:firstColumn="0" w:lastColumn="0" w:oddVBand="0" w:evenVBand="0" w:oddHBand="0" w:evenHBand="0" w:firstRowFirstColumn="0" w:firstRowLastColumn="0" w:lastRowFirstColumn="0" w:lastRowLastColumn="0"/>
            </w:pPr>
            <w:r w:rsidRPr="006311C5">
              <w:t>45 (4.5)</w:t>
            </w:r>
          </w:p>
        </w:tc>
        <w:tc>
          <w:tcPr>
            <w:tcW w:w="0" w:type="auto"/>
            <w:tcBorders>
              <w:top w:val="single" w:sz="4" w:space="0" w:color="000000" w:themeColor="text1"/>
              <w:left w:val="nil"/>
              <w:bottom w:val="single" w:sz="12" w:space="0" w:color="auto"/>
              <w:right w:val="nil"/>
            </w:tcBorders>
          </w:tcPr>
          <w:p w14:paraId="3425B02B" w14:textId="25B295FC" w:rsidR="00937F8A" w:rsidRPr="006311C5" w:rsidRDefault="00937F8A" w:rsidP="00F305EB">
            <w:pPr>
              <w:pStyle w:val="Tabletext"/>
              <w:cnfStyle w:val="000000000000" w:firstRow="0" w:lastRow="0" w:firstColumn="0" w:lastColumn="0" w:oddVBand="0" w:evenVBand="0" w:oddHBand="0" w:evenHBand="0" w:firstRowFirstColumn="0" w:firstRowLastColumn="0" w:lastRowFirstColumn="0" w:lastRowLastColumn="0"/>
            </w:pPr>
            <w:r w:rsidRPr="006311C5">
              <w:t>3</w:t>
            </w:r>
            <w:r w:rsidR="00034E06" w:rsidRPr="006311C5">
              <w:t>47</w:t>
            </w:r>
            <w:r w:rsidRPr="006311C5">
              <w:t xml:space="preserve"> (3</w:t>
            </w:r>
            <w:r w:rsidR="0040741E" w:rsidRPr="006311C5">
              <w:t>4</w:t>
            </w:r>
            <w:r w:rsidRPr="006311C5">
              <w:t>.</w:t>
            </w:r>
            <w:r w:rsidR="0040741E" w:rsidRPr="006311C5">
              <w:t>5</w:t>
            </w:r>
            <w:r w:rsidRPr="006311C5">
              <w:t>)</w:t>
            </w:r>
          </w:p>
        </w:tc>
      </w:tr>
    </w:tbl>
    <w:p w14:paraId="63ED298D" w14:textId="78D6FF6E" w:rsidR="00B41893" w:rsidRPr="006311C5" w:rsidRDefault="00296B4E" w:rsidP="00B41893">
      <w:pPr>
        <w:pStyle w:val="Tabletext"/>
        <w:spacing w:after="40"/>
      </w:pPr>
      <w:r w:rsidRPr="006311C5">
        <w:rPr>
          <w:vertAlign w:val="superscript"/>
        </w:rPr>
        <w:t>a</w:t>
      </w:r>
      <w:r w:rsidRPr="006311C5">
        <w:t xml:space="preserve"> </w:t>
      </w:r>
      <w:r w:rsidR="002F4749" w:rsidRPr="006311C5">
        <w:t>Responses to these items were not forced</w:t>
      </w:r>
      <w:r w:rsidR="00B41893" w:rsidRPr="006311C5">
        <w:t>, t</w:t>
      </w:r>
      <w:r w:rsidR="002F4749" w:rsidRPr="006311C5">
        <w:t xml:space="preserve">herefore </w:t>
      </w:r>
      <w:r w:rsidR="002F4749" w:rsidRPr="006311C5">
        <w:rPr>
          <w:i/>
          <w:iCs/>
        </w:rPr>
        <w:t>n</w:t>
      </w:r>
      <w:r w:rsidR="00491B70" w:rsidRPr="006311C5">
        <w:rPr>
          <w:i/>
          <w:iCs/>
        </w:rPr>
        <w:t xml:space="preserve"> </w:t>
      </w:r>
      <w:r w:rsidR="00491B70" w:rsidRPr="006311C5">
        <w:t>value</w:t>
      </w:r>
      <w:r w:rsidR="002F4749" w:rsidRPr="006311C5">
        <w:t xml:space="preserve">s for individual symptoms reported vary slightly. </w:t>
      </w:r>
    </w:p>
    <w:p w14:paraId="1ADD53E3" w14:textId="27C96FDF" w:rsidR="004C16B4" w:rsidRPr="006311C5" w:rsidRDefault="00296B4E" w:rsidP="00B41893">
      <w:pPr>
        <w:pStyle w:val="Tabletext"/>
        <w:spacing w:after="40"/>
      </w:pPr>
      <w:r w:rsidRPr="006311C5">
        <w:rPr>
          <w:vertAlign w:val="superscript"/>
        </w:rPr>
        <w:t>b</w:t>
      </w:r>
      <w:r w:rsidRPr="006311C5">
        <w:t xml:space="preserve"> </w:t>
      </w:r>
      <w:r w:rsidR="00B41893" w:rsidRPr="006311C5">
        <w:t>Where percentages do not add to 100, this is due to rounding</w:t>
      </w:r>
      <w:r w:rsidR="004C16B4" w:rsidRPr="006311C5">
        <w:t>.</w:t>
      </w:r>
    </w:p>
    <w:p w14:paraId="710946A5" w14:textId="77777777" w:rsidR="00937F8A" w:rsidRPr="006311C5" w:rsidRDefault="00937F8A" w:rsidP="00D30642">
      <w:pPr>
        <w:sectPr w:rsidR="00937F8A" w:rsidRPr="006311C5" w:rsidSect="00937F8A">
          <w:pgSz w:w="16838" w:h="11906" w:orient="landscape"/>
          <w:pgMar w:top="1440" w:right="1440" w:bottom="1440" w:left="1440" w:header="709" w:footer="709" w:gutter="0"/>
          <w:cols w:space="708"/>
          <w:docGrid w:linePitch="360"/>
        </w:sectPr>
      </w:pPr>
    </w:p>
    <w:p w14:paraId="551B7A3A" w14:textId="0FC57740" w:rsidR="001A79ED" w:rsidRPr="006311C5" w:rsidRDefault="6D5927AE" w:rsidP="001A79ED">
      <w:bookmarkStart w:id="2" w:name="_Hlk119673545"/>
      <w:r w:rsidRPr="006311C5">
        <w:lastRenderedPageBreak/>
        <w:t xml:space="preserve">Following the first dose of the vaccine, 74.1% (95% CI 71.4% to 76.7%, </w:t>
      </w:r>
      <w:r w:rsidRPr="006311C5">
        <w:rPr>
          <w:i/>
          <w:iCs/>
        </w:rPr>
        <w:t>n</w:t>
      </w:r>
      <w:r w:rsidRPr="006311C5">
        <w:t xml:space="preserve">=762/1028) of participants reported experiencing at least one injection-site symptom. Of these, </w:t>
      </w:r>
      <w:r w:rsidR="000772BA" w:rsidRPr="006311C5">
        <w:t>88</w:t>
      </w:r>
      <w:r w:rsidRPr="006311C5">
        <w:t>.</w:t>
      </w:r>
      <w:r w:rsidR="000772BA" w:rsidRPr="006311C5">
        <w:t>1</w:t>
      </w:r>
      <w:r w:rsidRPr="006311C5">
        <w:t xml:space="preserve">% (95% CI </w:t>
      </w:r>
      <w:r w:rsidR="000772BA" w:rsidRPr="006311C5">
        <w:t>85</w:t>
      </w:r>
      <w:r w:rsidRPr="006311C5">
        <w:t>.</w:t>
      </w:r>
      <w:r w:rsidR="0045282B" w:rsidRPr="006311C5">
        <w:t>6</w:t>
      </w:r>
      <w:r w:rsidRPr="006311C5">
        <w:t>% to 9</w:t>
      </w:r>
      <w:r w:rsidR="00596436" w:rsidRPr="006311C5">
        <w:t>0</w:t>
      </w:r>
      <w:r w:rsidRPr="006311C5">
        <w:t>.</w:t>
      </w:r>
      <w:r w:rsidR="006572D5" w:rsidRPr="006311C5">
        <w:t>2</w:t>
      </w:r>
      <w:r w:rsidRPr="006311C5">
        <w:t xml:space="preserve">%, </w:t>
      </w:r>
      <w:r w:rsidRPr="006311C5">
        <w:rPr>
          <w:i/>
          <w:iCs/>
        </w:rPr>
        <w:t>n</w:t>
      </w:r>
      <w:r w:rsidRPr="006311C5">
        <w:t>=</w:t>
      </w:r>
      <w:r w:rsidR="00596436" w:rsidRPr="006311C5">
        <w:t>671</w:t>
      </w:r>
      <w:r w:rsidRPr="006311C5">
        <w:t xml:space="preserve">/762) attributed at least one of symptom experienced to the vaccine. 65.0% (95% CI 62.0% to 67.9%, </w:t>
      </w:r>
      <w:r w:rsidRPr="006311C5">
        <w:rPr>
          <w:i/>
          <w:iCs/>
        </w:rPr>
        <w:t>n</w:t>
      </w:r>
      <w:r w:rsidRPr="006311C5">
        <w:t xml:space="preserve">=669/1029) reported experiencing at least one other (non-injection-site) symptom. Of these, </w:t>
      </w:r>
      <w:r w:rsidR="001957A0" w:rsidRPr="006311C5">
        <w:t>7</w:t>
      </w:r>
      <w:r w:rsidRPr="006311C5">
        <w:t>9.</w:t>
      </w:r>
      <w:r w:rsidR="001957A0" w:rsidRPr="006311C5">
        <w:t>8</w:t>
      </w:r>
      <w:r w:rsidRPr="006311C5">
        <w:t xml:space="preserve">% (95% CI </w:t>
      </w:r>
      <w:r w:rsidR="001957A0" w:rsidRPr="006311C5">
        <w:t>76</w:t>
      </w:r>
      <w:r w:rsidRPr="006311C5">
        <w:t>.</w:t>
      </w:r>
      <w:r w:rsidR="004A14A9" w:rsidRPr="006311C5">
        <w:t>6</w:t>
      </w:r>
      <w:r w:rsidRPr="006311C5">
        <w:t xml:space="preserve">% to </w:t>
      </w:r>
      <w:r w:rsidR="001957A0" w:rsidRPr="006311C5">
        <w:t>82</w:t>
      </w:r>
      <w:r w:rsidRPr="006311C5">
        <w:t>.</w:t>
      </w:r>
      <w:r w:rsidR="004A14A9" w:rsidRPr="006311C5">
        <w:t>7</w:t>
      </w:r>
      <w:r w:rsidRPr="006311C5">
        <w:t xml:space="preserve">%, </w:t>
      </w:r>
      <w:r w:rsidRPr="006311C5">
        <w:rPr>
          <w:i/>
          <w:iCs/>
        </w:rPr>
        <w:t>n</w:t>
      </w:r>
      <w:r w:rsidRPr="006311C5">
        <w:t>=</w:t>
      </w:r>
      <w:r w:rsidR="00632E61" w:rsidRPr="006311C5">
        <w:t>534</w:t>
      </w:r>
      <w:r w:rsidRPr="006311C5">
        <w:t xml:space="preserve">/669) attributed at least one symptom experienced to the vaccine. </w:t>
      </w:r>
    </w:p>
    <w:p w14:paraId="5BEDC39F" w14:textId="4BC0A4DA" w:rsidR="00EC0E50" w:rsidRPr="006311C5" w:rsidRDefault="6D5927AE" w:rsidP="004C2DD4">
      <w:r w:rsidRPr="006311C5">
        <w:t xml:space="preserve">Following the second dose of the vaccine, 52.9% (95% CI 49.8% to 56.0%, </w:t>
      </w:r>
      <w:r w:rsidRPr="006311C5">
        <w:rPr>
          <w:i/>
          <w:iCs/>
        </w:rPr>
        <w:t>n</w:t>
      </w:r>
      <w:r w:rsidRPr="006311C5">
        <w:t xml:space="preserve">=532/1005) of participants reported experiencing at least one injection-site symptom. Of these, </w:t>
      </w:r>
      <w:r w:rsidR="00AD5DFE" w:rsidRPr="006311C5">
        <w:t>88</w:t>
      </w:r>
      <w:r w:rsidRPr="006311C5">
        <w:t>.</w:t>
      </w:r>
      <w:r w:rsidR="00AD5DFE" w:rsidRPr="006311C5">
        <w:t>3</w:t>
      </w:r>
      <w:r w:rsidRPr="006311C5">
        <w:t>% (95% CI 8</w:t>
      </w:r>
      <w:r w:rsidR="00AD5DFE" w:rsidRPr="006311C5">
        <w:t>5</w:t>
      </w:r>
      <w:r w:rsidRPr="006311C5">
        <w:t>.</w:t>
      </w:r>
      <w:r w:rsidR="004A14A9" w:rsidRPr="006311C5">
        <w:t>3</w:t>
      </w:r>
      <w:r w:rsidRPr="006311C5">
        <w:t>% to 9</w:t>
      </w:r>
      <w:r w:rsidR="004A14A9" w:rsidRPr="006311C5">
        <w:t>0.8</w:t>
      </w:r>
      <w:r w:rsidRPr="006311C5">
        <w:t xml:space="preserve">%, </w:t>
      </w:r>
      <w:r w:rsidRPr="006311C5">
        <w:rPr>
          <w:i/>
          <w:iCs/>
        </w:rPr>
        <w:t>n</w:t>
      </w:r>
      <w:r w:rsidRPr="006311C5">
        <w:t>=4</w:t>
      </w:r>
      <w:r w:rsidR="00E14877" w:rsidRPr="006311C5">
        <w:t>7</w:t>
      </w:r>
      <w:r w:rsidRPr="006311C5">
        <w:t xml:space="preserve">0/532) attributed at least one of symptom experienced to the vaccine. 43.7% (95% CI 40.7% to 46.8%, </w:t>
      </w:r>
      <w:r w:rsidRPr="006311C5">
        <w:rPr>
          <w:i/>
          <w:iCs/>
        </w:rPr>
        <w:t>n</w:t>
      </w:r>
      <w:r w:rsidRPr="006311C5">
        <w:t xml:space="preserve">=440/1006) reported experiencing at least one other (non-injection-site) symptom. Of these, </w:t>
      </w:r>
      <w:r w:rsidR="00F90E78" w:rsidRPr="006311C5">
        <w:t>7</w:t>
      </w:r>
      <w:r w:rsidRPr="006311C5">
        <w:t>8.</w:t>
      </w:r>
      <w:r w:rsidR="00F90E78" w:rsidRPr="006311C5">
        <w:t>9</w:t>
      </w:r>
      <w:r w:rsidRPr="006311C5">
        <w:t xml:space="preserve">% (95% CI </w:t>
      </w:r>
      <w:r w:rsidR="00F90E78" w:rsidRPr="006311C5">
        <w:t>7</w:t>
      </w:r>
      <w:r w:rsidR="004A14A9" w:rsidRPr="006311C5">
        <w:t>4.8</w:t>
      </w:r>
      <w:r w:rsidRPr="006311C5">
        <w:t xml:space="preserve">% to </w:t>
      </w:r>
      <w:r w:rsidR="00605DC2" w:rsidRPr="006311C5">
        <w:t>82</w:t>
      </w:r>
      <w:r w:rsidRPr="006311C5">
        <w:t>.</w:t>
      </w:r>
      <w:r w:rsidR="004A14A9" w:rsidRPr="006311C5">
        <w:t>4</w:t>
      </w:r>
      <w:r w:rsidRPr="006311C5">
        <w:t xml:space="preserve">%, </w:t>
      </w:r>
      <w:r w:rsidRPr="006311C5">
        <w:rPr>
          <w:i/>
          <w:iCs/>
        </w:rPr>
        <w:t>n</w:t>
      </w:r>
      <w:r w:rsidRPr="006311C5">
        <w:t>=3</w:t>
      </w:r>
      <w:r w:rsidR="00605DC2" w:rsidRPr="006311C5">
        <w:t>47</w:t>
      </w:r>
      <w:r w:rsidRPr="006311C5">
        <w:t>/440) attributed at least one symptom experienced to the vaccine.</w:t>
      </w:r>
    </w:p>
    <w:bookmarkEnd w:id="2"/>
    <w:p w14:paraId="7462C48D" w14:textId="6E94BFC1" w:rsidR="000A076E" w:rsidRPr="006311C5" w:rsidRDefault="6D5927AE" w:rsidP="00A367D5">
      <w:r w:rsidRPr="006311C5">
        <w:t>There was a significant difference in reporting of injection-site and non-injection-site symptoms for both vaccines, with 354/1028 (34.4%) of participants reporting one type of symptom but not the other for the first vaccine (</w:t>
      </w:r>
      <w:r w:rsidRPr="006311C5">
        <w:rPr>
          <w:i/>
          <w:iCs/>
        </w:rPr>
        <w:t>χ</w:t>
      </w:r>
      <w:r w:rsidRPr="006311C5">
        <w:rPr>
          <w:vertAlign w:val="superscript"/>
        </w:rPr>
        <w:t>2</w:t>
      </w:r>
      <w:r w:rsidRPr="006311C5">
        <w:rPr>
          <w:vertAlign w:val="subscript"/>
        </w:rPr>
        <w:t>1</w:t>
      </w:r>
      <w:r w:rsidRPr="006311C5">
        <w:t xml:space="preserve"> = 40.9, </w:t>
      </w:r>
      <w:r w:rsidRPr="006311C5">
        <w:rPr>
          <w:i/>
          <w:iCs/>
        </w:rPr>
        <w:t>p</w:t>
      </w:r>
      <w:r w:rsidRPr="006311C5">
        <w:t>&lt;0.001) and a corresponding figure of 367/1005 (36.5%) for the second vaccine dose (</w:t>
      </w:r>
      <w:r w:rsidRPr="006311C5">
        <w:rPr>
          <w:i/>
          <w:iCs/>
        </w:rPr>
        <w:t>χ</w:t>
      </w:r>
      <w:r w:rsidRPr="006311C5">
        <w:rPr>
          <w:vertAlign w:val="superscript"/>
        </w:rPr>
        <w:t>2</w:t>
      </w:r>
      <w:r w:rsidRPr="006311C5">
        <w:rPr>
          <w:vertAlign w:val="subscript"/>
        </w:rPr>
        <w:t>1</w:t>
      </w:r>
      <w:r w:rsidRPr="006311C5">
        <w:t xml:space="preserve"> = 78.7, </w:t>
      </w:r>
      <w:r w:rsidRPr="006311C5">
        <w:rPr>
          <w:i/>
          <w:iCs/>
        </w:rPr>
        <w:t>p</w:t>
      </w:r>
      <w:r w:rsidRPr="006311C5">
        <w:t xml:space="preserve">&lt;0.001; Table </w:t>
      </w:r>
      <w:r w:rsidR="00974DF6" w:rsidRPr="006311C5">
        <w:t>3</w:t>
      </w:r>
      <w:r w:rsidRPr="006311C5">
        <w:t>).</w:t>
      </w:r>
    </w:p>
    <w:p w14:paraId="17E3426A" w14:textId="77777777" w:rsidR="00B41893" w:rsidRPr="006311C5" w:rsidRDefault="00B41893" w:rsidP="00A367D5"/>
    <w:p w14:paraId="1021C2EA" w14:textId="5B8D49EB" w:rsidR="000A076E" w:rsidRPr="006311C5" w:rsidRDefault="000A076E" w:rsidP="00A367D5">
      <w:r w:rsidRPr="006311C5">
        <w:t xml:space="preserve">Table </w:t>
      </w:r>
      <w:r w:rsidR="00974DF6" w:rsidRPr="006311C5">
        <w:t>3</w:t>
      </w:r>
      <w:r w:rsidRPr="006311C5">
        <w:t xml:space="preserve">. Number of people reporting </w:t>
      </w:r>
      <w:r w:rsidR="00473BAE" w:rsidRPr="006311C5">
        <w:t>injection</w:t>
      </w:r>
      <w:r w:rsidR="00AB087F" w:rsidRPr="006311C5">
        <w:t>-</w:t>
      </w:r>
      <w:r w:rsidR="00473BAE" w:rsidRPr="006311C5">
        <w:t xml:space="preserve"> and non-injection</w:t>
      </w:r>
      <w:r w:rsidR="00AB087F" w:rsidRPr="006311C5">
        <w:t>-</w:t>
      </w:r>
      <w:r w:rsidR="00473BAE" w:rsidRPr="006311C5">
        <w:t>site symptoms after the first and second vaccine dose.</w:t>
      </w:r>
    </w:p>
    <w:tbl>
      <w:tblPr>
        <w:tblStyle w:val="TableGrid"/>
        <w:tblW w:w="0" w:type="auto"/>
        <w:tblLook w:val="04A0" w:firstRow="1" w:lastRow="0" w:firstColumn="1" w:lastColumn="0" w:noHBand="0" w:noVBand="1"/>
      </w:tblPr>
      <w:tblGrid>
        <w:gridCol w:w="1701"/>
        <w:gridCol w:w="1505"/>
        <w:gridCol w:w="1564"/>
        <w:gridCol w:w="1346"/>
        <w:gridCol w:w="1564"/>
        <w:gridCol w:w="1346"/>
      </w:tblGrid>
      <w:tr w:rsidR="004503DB" w:rsidRPr="006311C5" w14:paraId="57654ECF" w14:textId="77777777" w:rsidTr="00754930">
        <w:tc>
          <w:tcPr>
            <w:tcW w:w="1701" w:type="dxa"/>
            <w:tcBorders>
              <w:top w:val="single" w:sz="12" w:space="0" w:color="auto"/>
              <w:left w:val="nil"/>
              <w:bottom w:val="nil"/>
              <w:right w:val="nil"/>
            </w:tcBorders>
          </w:tcPr>
          <w:p w14:paraId="69AFF7EC" w14:textId="77777777" w:rsidR="00BD1A08" w:rsidRPr="006311C5" w:rsidRDefault="00BD1A08" w:rsidP="00327671"/>
        </w:tc>
        <w:tc>
          <w:tcPr>
            <w:tcW w:w="1505" w:type="dxa"/>
            <w:tcBorders>
              <w:top w:val="single" w:sz="12" w:space="0" w:color="auto"/>
              <w:left w:val="nil"/>
              <w:bottom w:val="nil"/>
              <w:right w:val="nil"/>
            </w:tcBorders>
          </w:tcPr>
          <w:p w14:paraId="1EC719D7" w14:textId="732F88DE" w:rsidR="00BD1A08" w:rsidRPr="006311C5" w:rsidRDefault="00BD1A08" w:rsidP="00327671"/>
        </w:tc>
        <w:tc>
          <w:tcPr>
            <w:tcW w:w="0" w:type="auto"/>
            <w:gridSpan w:val="2"/>
            <w:tcBorders>
              <w:top w:val="single" w:sz="12" w:space="0" w:color="auto"/>
              <w:left w:val="nil"/>
              <w:bottom w:val="nil"/>
              <w:right w:val="nil"/>
            </w:tcBorders>
          </w:tcPr>
          <w:p w14:paraId="73ED47FF" w14:textId="5E107361" w:rsidR="00BD1A08" w:rsidRPr="006311C5" w:rsidRDefault="00AB44DB" w:rsidP="00327671">
            <w:r w:rsidRPr="006311C5">
              <w:t>First v</w:t>
            </w:r>
            <w:r w:rsidR="00BD1A08" w:rsidRPr="006311C5">
              <w:t>accine</w:t>
            </w:r>
            <w:r w:rsidR="005E1A69" w:rsidRPr="006311C5">
              <w:t xml:space="preserve">, </w:t>
            </w:r>
            <w:r w:rsidR="005E1A69" w:rsidRPr="006311C5">
              <w:rPr>
                <w:i/>
                <w:iCs/>
              </w:rPr>
              <w:t>n</w:t>
            </w:r>
            <w:r w:rsidR="005E1A69" w:rsidRPr="006311C5">
              <w:t>=10</w:t>
            </w:r>
            <w:r w:rsidR="00CD585E" w:rsidRPr="006311C5">
              <w:t>28</w:t>
            </w:r>
          </w:p>
        </w:tc>
        <w:tc>
          <w:tcPr>
            <w:tcW w:w="0" w:type="auto"/>
            <w:gridSpan w:val="2"/>
            <w:tcBorders>
              <w:top w:val="single" w:sz="12" w:space="0" w:color="auto"/>
              <w:left w:val="nil"/>
              <w:bottom w:val="nil"/>
              <w:right w:val="nil"/>
            </w:tcBorders>
          </w:tcPr>
          <w:p w14:paraId="41725310" w14:textId="54BAEFBB" w:rsidR="00BD1A08" w:rsidRPr="006311C5" w:rsidRDefault="00A61482" w:rsidP="00327671">
            <w:r w:rsidRPr="006311C5">
              <w:t>Second v</w:t>
            </w:r>
            <w:r w:rsidR="00BD1A08" w:rsidRPr="006311C5">
              <w:t>accine</w:t>
            </w:r>
            <w:r w:rsidR="005E1A69" w:rsidRPr="006311C5">
              <w:t xml:space="preserve">, </w:t>
            </w:r>
            <w:r w:rsidR="005E1A69" w:rsidRPr="006311C5">
              <w:rPr>
                <w:i/>
                <w:iCs/>
              </w:rPr>
              <w:t>n</w:t>
            </w:r>
            <w:r w:rsidR="005E1A69" w:rsidRPr="006311C5">
              <w:t>=10</w:t>
            </w:r>
            <w:r w:rsidR="00CD585E" w:rsidRPr="006311C5">
              <w:t>05</w:t>
            </w:r>
          </w:p>
        </w:tc>
      </w:tr>
      <w:tr w:rsidR="004503DB" w:rsidRPr="006311C5" w14:paraId="31628D60" w14:textId="77777777" w:rsidTr="00754930">
        <w:tc>
          <w:tcPr>
            <w:tcW w:w="1701" w:type="dxa"/>
            <w:tcBorders>
              <w:top w:val="nil"/>
              <w:left w:val="nil"/>
              <w:bottom w:val="nil"/>
              <w:right w:val="nil"/>
            </w:tcBorders>
          </w:tcPr>
          <w:p w14:paraId="648D2E25" w14:textId="77777777" w:rsidR="00BD1A08" w:rsidRPr="006311C5" w:rsidRDefault="00BD1A08" w:rsidP="00327671"/>
        </w:tc>
        <w:tc>
          <w:tcPr>
            <w:tcW w:w="1505" w:type="dxa"/>
            <w:tcBorders>
              <w:top w:val="nil"/>
              <w:left w:val="nil"/>
              <w:bottom w:val="nil"/>
              <w:right w:val="nil"/>
            </w:tcBorders>
          </w:tcPr>
          <w:p w14:paraId="17301E35" w14:textId="01A2B014" w:rsidR="00BD1A08" w:rsidRPr="006311C5" w:rsidRDefault="00BD1A08" w:rsidP="00327671"/>
        </w:tc>
        <w:tc>
          <w:tcPr>
            <w:tcW w:w="0" w:type="auto"/>
            <w:gridSpan w:val="2"/>
            <w:tcBorders>
              <w:top w:val="nil"/>
              <w:left w:val="nil"/>
              <w:bottom w:val="nil"/>
              <w:right w:val="nil"/>
            </w:tcBorders>
          </w:tcPr>
          <w:p w14:paraId="1E304225" w14:textId="74E07F70" w:rsidR="00BD1A08" w:rsidRPr="006311C5" w:rsidRDefault="00BD1A08" w:rsidP="006F5702">
            <w:pPr>
              <w:spacing w:line="240" w:lineRule="auto"/>
            </w:pPr>
            <w:r w:rsidRPr="006311C5">
              <w:t>Non-injection</w:t>
            </w:r>
            <w:r w:rsidR="00A61482" w:rsidRPr="006311C5">
              <w:t>-</w:t>
            </w:r>
            <w:r w:rsidRPr="006311C5">
              <w:t xml:space="preserve">site symptoms, </w:t>
            </w:r>
            <w:r w:rsidR="00AB44DB" w:rsidRPr="006311C5">
              <w:rPr>
                <w:i/>
                <w:iCs/>
              </w:rPr>
              <w:t>n</w:t>
            </w:r>
            <w:r w:rsidR="00AB44DB" w:rsidRPr="006311C5">
              <w:t xml:space="preserve"> </w:t>
            </w:r>
            <w:r w:rsidRPr="006311C5">
              <w:t>(</w:t>
            </w:r>
            <w:r w:rsidR="00AB44DB" w:rsidRPr="006311C5">
              <w:t>%</w:t>
            </w:r>
            <w:r w:rsidRPr="006311C5">
              <w:t>)</w:t>
            </w:r>
          </w:p>
        </w:tc>
        <w:tc>
          <w:tcPr>
            <w:tcW w:w="0" w:type="auto"/>
            <w:gridSpan w:val="2"/>
            <w:tcBorders>
              <w:top w:val="nil"/>
              <w:left w:val="nil"/>
              <w:bottom w:val="nil"/>
              <w:right w:val="nil"/>
            </w:tcBorders>
          </w:tcPr>
          <w:p w14:paraId="39155BDF" w14:textId="5A7763D1" w:rsidR="00BD1A08" w:rsidRPr="006311C5" w:rsidRDefault="00BD1A08" w:rsidP="006F5702">
            <w:pPr>
              <w:spacing w:line="240" w:lineRule="auto"/>
            </w:pPr>
            <w:r w:rsidRPr="006311C5">
              <w:t>Non-injection</w:t>
            </w:r>
            <w:r w:rsidR="00491B70" w:rsidRPr="006311C5">
              <w:t>-</w:t>
            </w:r>
            <w:r w:rsidRPr="006311C5">
              <w:t xml:space="preserve">site symptoms, </w:t>
            </w:r>
            <w:r w:rsidR="00AB44DB" w:rsidRPr="006311C5">
              <w:rPr>
                <w:i/>
                <w:iCs/>
              </w:rPr>
              <w:t>n</w:t>
            </w:r>
            <w:r w:rsidR="00AB44DB" w:rsidRPr="006311C5">
              <w:t xml:space="preserve"> </w:t>
            </w:r>
            <w:r w:rsidRPr="006311C5">
              <w:t>(</w:t>
            </w:r>
            <w:r w:rsidR="00AB44DB" w:rsidRPr="006311C5">
              <w:t>%</w:t>
            </w:r>
            <w:r w:rsidRPr="006311C5">
              <w:t>)</w:t>
            </w:r>
          </w:p>
        </w:tc>
      </w:tr>
      <w:tr w:rsidR="00754930" w:rsidRPr="006311C5" w14:paraId="76ED5F7B" w14:textId="77777777" w:rsidTr="00754930">
        <w:tc>
          <w:tcPr>
            <w:tcW w:w="1701" w:type="dxa"/>
            <w:tcBorders>
              <w:top w:val="nil"/>
              <w:left w:val="nil"/>
              <w:bottom w:val="single" w:sz="12" w:space="0" w:color="auto"/>
              <w:right w:val="nil"/>
            </w:tcBorders>
          </w:tcPr>
          <w:p w14:paraId="2CD6629C" w14:textId="77777777" w:rsidR="00327671" w:rsidRPr="006311C5" w:rsidRDefault="00327671" w:rsidP="00327671"/>
        </w:tc>
        <w:tc>
          <w:tcPr>
            <w:tcW w:w="1505" w:type="dxa"/>
            <w:tcBorders>
              <w:top w:val="nil"/>
              <w:left w:val="nil"/>
              <w:bottom w:val="single" w:sz="12" w:space="0" w:color="auto"/>
              <w:right w:val="nil"/>
            </w:tcBorders>
          </w:tcPr>
          <w:p w14:paraId="3791C022" w14:textId="76AABF13" w:rsidR="00327671" w:rsidRPr="006311C5" w:rsidRDefault="00327671" w:rsidP="00327671"/>
        </w:tc>
        <w:tc>
          <w:tcPr>
            <w:tcW w:w="0" w:type="auto"/>
            <w:tcBorders>
              <w:top w:val="nil"/>
              <w:left w:val="nil"/>
              <w:bottom w:val="single" w:sz="12" w:space="0" w:color="auto"/>
              <w:right w:val="nil"/>
            </w:tcBorders>
          </w:tcPr>
          <w:p w14:paraId="6D849A70" w14:textId="09CC943C" w:rsidR="00327671" w:rsidRPr="006311C5" w:rsidRDefault="00491B70" w:rsidP="006F5702">
            <w:pPr>
              <w:spacing w:line="240" w:lineRule="auto"/>
            </w:pPr>
            <w:r w:rsidRPr="006311C5">
              <w:t>N</w:t>
            </w:r>
            <w:r w:rsidR="00327671" w:rsidRPr="006311C5">
              <w:t>ot reported</w:t>
            </w:r>
          </w:p>
        </w:tc>
        <w:tc>
          <w:tcPr>
            <w:tcW w:w="0" w:type="auto"/>
            <w:tcBorders>
              <w:top w:val="nil"/>
              <w:left w:val="nil"/>
              <w:bottom w:val="single" w:sz="12" w:space="0" w:color="auto"/>
              <w:right w:val="nil"/>
            </w:tcBorders>
          </w:tcPr>
          <w:p w14:paraId="13259C79" w14:textId="0F777770" w:rsidR="00327671" w:rsidRPr="006311C5" w:rsidRDefault="00491B70" w:rsidP="006F5702">
            <w:pPr>
              <w:spacing w:line="240" w:lineRule="auto"/>
            </w:pPr>
            <w:r w:rsidRPr="006311C5">
              <w:t>R</w:t>
            </w:r>
            <w:r w:rsidR="00327671" w:rsidRPr="006311C5">
              <w:t>eported</w:t>
            </w:r>
          </w:p>
        </w:tc>
        <w:tc>
          <w:tcPr>
            <w:tcW w:w="0" w:type="auto"/>
            <w:tcBorders>
              <w:top w:val="nil"/>
              <w:left w:val="nil"/>
              <w:bottom w:val="single" w:sz="12" w:space="0" w:color="auto"/>
              <w:right w:val="nil"/>
            </w:tcBorders>
          </w:tcPr>
          <w:p w14:paraId="24F08315" w14:textId="715511A9" w:rsidR="00327671" w:rsidRPr="006311C5" w:rsidRDefault="00491B70" w:rsidP="006F5702">
            <w:pPr>
              <w:spacing w:line="240" w:lineRule="auto"/>
            </w:pPr>
            <w:r w:rsidRPr="006311C5">
              <w:t>N</w:t>
            </w:r>
            <w:r w:rsidR="00327671" w:rsidRPr="006311C5">
              <w:t>ot reported</w:t>
            </w:r>
          </w:p>
        </w:tc>
        <w:tc>
          <w:tcPr>
            <w:tcW w:w="0" w:type="auto"/>
            <w:tcBorders>
              <w:top w:val="nil"/>
              <w:left w:val="nil"/>
              <w:bottom w:val="single" w:sz="12" w:space="0" w:color="auto"/>
              <w:right w:val="nil"/>
            </w:tcBorders>
          </w:tcPr>
          <w:p w14:paraId="39E18E27" w14:textId="533592C3" w:rsidR="00327671" w:rsidRPr="006311C5" w:rsidRDefault="00491B70" w:rsidP="006F5702">
            <w:pPr>
              <w:spacing w:line="240" w:lineRule="auto"/>
            </w:pPr>
            <w:r w:rsidRPr="006311C5">
              <w:t>R</w:t>
            </w:r>
            <w:r w:rsidR="00327671" w:rsidRPr="006311C5">
              <w:t>eported</w:t>
            </w:r>
          </w:p>
        </w:tc>
      </w:tr>
      <w:tr w:rsidR="00754930" w:rsidRPr="006311C5" w14:paraId="3084414E" w14:textId="77777777" w:rsidTr="00754930">
        <w:tc>
          <w:tcPr>
            <w:tcW w:w="1701" w:type="dxa"/>
            <w:vMerge w:val="restart"/>
            <w:tcBorders>
              <w:top w:val="single" w:sz="12" w:space="0" w:color="auto"/>
              <w:left w:val="nil"/>
              <w:right w:val="nil"/>
            </w:tcBorders>
          </w:tcPr>
          <w:p w14:paraId="0B74E8D3" w14:textId="1C2E3ECA" w:rsidR="00C50556" w:rsidRPr="006311C5" w:rsidRDefault="00C50556" w:rsidP="006F5702">
            <w:pPr>
              <w:spacing w:line="240" w:lineRule="auto"/>
            </w:pPr>
            <w:r w:rsidRPr="006311C5">
              <w:t>Injection</w:t>
            </w:r>
            <w:r w:rsidR="00AB087F" w:rsidRPr="006311C5">
              <w:t>-</w:t>
            </w:r>
            <w:r w:rsidRPr="006311C5">
              <w:t>site symptoms</w:t>
            </w:r>
          </w:p>
        </w:tc>
        <w:tc>
          <w:tcPr>
            <w:tcW w:w="1505" w:type="dxa"/>
            <w:tcBorders>
              <w:top w:val="single" w:sz="12" w:space="0" w:color="auto"/>
              <w:left w:val="nil"/>
              <w:right w:val="nil"/>
            </w:tcBorders>
          </w:tcPr>
          <w:p w14:paraId="1F1492F0" w14:textId="2C3FBE81" w:rsidR="00C50556" w:rsidRPr="006311C5" w:rsidRDefault="00491B70" w:rsidP="006F5702">
            <w:pPr>
              <w:spacing w:line="240" w:lineRule="auto"/>
            </w:pPr>
            <w:r w:rsidRPr="006311C5">
              <w:t>N</w:t>
            </w:r>
            <w:r w:rsidR="00C50556" w:rsidRPr="006311C5">
              <w:t>ot reported</w:t>
            </w:r>
          </w:p>
        </w:tc>
        <w:tc>
          <w:tcPr>
            <w:tcW w:w="0" w:type="auto"/>
            <w:tcBorders>
              <w:top w:val="single" w:sz="12" w:space="0" w:color="auto"/>
              <w:left w:val="nil"/>
              <w:right w:val="nil"/>
            </w:tcBorders>
          </w:tcPr>
          <w:p w14:paraId="7355C213" w14:textId="5E8F30E8" w:rsidR="00C50556" w:rsidRPr="006311C5" w:rsidRDefault="00AB44DB" w:rsidP="00327671">
            <w:r w:rsidRPr="006311C5">
              <w:t>136 (</w:t>
            </w:r>
            <w:r w:rsidR="00527B17" w:rsidRPr="006311C5">
              <w:t>37.8</w:t>
            </w:r>
            <w:r w:rsidR="00C50556" w:rsidRPr="006311C5">
              <w:t>)</w:t>
            </w:r>
          </w:p>
        </w:tc>
        <w:tc>
          <w:tcPr>
            <w:tcW w:w="0" w:type="auto"/>
            <w:tcBorders>
              <w:top w:val="single" w:sz="12" w:space="0" w:color="auto"/>
              <w:left w:val="nil"/>
              <w:right w:val="nil"/>
            </w:tcBorders>
          </w:tcPr>
          <w:p w14:paraId="3C033848" w14:textId="39D9821B" w:rsidR="00C50556" w:rsidRPr="006311C5" w:rsidRDefault="00AB44DB" w:rsidP="00327671">
            <w:r w:rsidRPr="006311C5">
              <w:t>130 (</w:t>
            </w:r>
            <w:r w:rsidR="00527B17" w:rsidRPr="006311C5">
              <w:t>19.5</w:t>
            </w:r>
            <w:r w:rsidR="00245727" w:rsidRPr="006311C5">
              <w:t>)</w:t>
            </w:r>
          </w:p>
        </w:tc>
        <w:tc>
          <w:tcPr>
            <w:tcW w:w="0" w:type="auto"/>
            <w:tcBorders>
              <w:top w:val="single" w:sz="12" w:space="0" w:color="auto"/>
              <w:left w:val="nil"/>
              <w:right w:val="nil"/>
            </w:tcBorders>
          </w:tcPr>
          <w:p w14:paraId="6292F2DA" w14:textId="2EE21A81" w:rsidR="00C50556" w:rsidRPr="006311C5" w:rsidRDefault="00AB44DB" w:rsidP="00327671">
            <w:r w:rsidRPr="006311C5">
              <w:t>336 (</w:t>
            </w:r>
            <w:r w:rsidR="00527B17" w:rsidRPr="006311C5">
              <w:t>59.4</w:t>
            </w:r>
            <w:r w:rsidR="00A53EF1" w:rsidRPr="006311C5">
              <w:t>)</w:t>
            </w:r>
          </w:p>
        </w:tc>
        <w:tc>
          <w:tcPr>
            <w:tcW w:w="0" w:type="auto"/>
            <w:tcBorders>
              <w:top w:val="single" w:sz="12" w:space="0" w:color="auto"/>
              <w:left w:val="nil"/>
              <w:right w:val="nil"/>
            </w:tcBorders>
          </w:tcPr>
          <w:p w14:paraId="3A7B8716" w14:textId="426CD2E7" w:rsidR="00C50556" w:rsidRPr="006311C5" w:rsidRDefault="00AB44DB" w:rsidP="00327671">
            <w:r w:rsidRPr="006311C5">
              <w:t>137 (</w:t>
            </w:r>
            <w:r w:rsidR="0013228B" w:rsidRPr="006311C5">
              <w:t>31.2</w:t>
            </w:r>
            <w:r w:rsidR="005E1A69" w:rsidRPr="006311C5">
              <w:t>)</w:t>
            </w:r>
          </w:p>
        </w:tc>
      </w:tr>
      <w:tr w:rsidR="00754930" w:rsidRPr="006311C5" w14:paraId="0ED0B1EC" w14:textId="77777777" w:rsidTr="00754930">
        <w:tc>
          <w:tcPr>
            <w:tcW w:w="1701" w:type="dxa"/>
            <w:vMerge/>
            <w:tcBorders>
              <w:left w:val="nil"/>
              <w:right w:val="nil"/>
            </w:tcBorders>
          </w:tcPr>
          <w:p w14:paraId="5CCA21B4" w14:textId="77777777" w:rsidR="00C50556" w:rsidRPr="006311C5" w:rsidRDefault="00C50556" w:rsidP="00327671"/>
        </w:tc>
        <w:tc>
          <w:tcPr>
            <w:tcW w:w="1505" w:type="dxa"/>
            <w:tcBorders>
              <w:left w:val="nil"/>
              <w:right w:val="nil"/>
            </w:tcBorders>
          </w:tcPr>
          <w:p w14:paraId="517BE476" w14:textId="279431AC" w:rsidR="00C50556" w:rsidRPr="006311C5" w:rsidRDefault="00491B70" w:rsidP="006F5702">
            <w:pPr>
              <w:spacing w:line="240" w:lineRule="auto"/>
            </w:pPr>
            <w:r w:rsidRPr="006311C5">
              <w:t>R</w:t>
            </w:r>
            <w:r w:rsidR="00C50556" w:rsidRPr="006311C5">
              <w:t>eported</w:t>
            </w:r>
          </w:p>
        </w:tc>
        <w:tc>
          <w:tcPr>
            <w:tcW w:w="0" w:type="auto"/>
            <w:tcBorders>
              <w:left w:val="nil"/>
              <w:right w:val="nil"/>
            </w:tcBorders>
          </w:tcPr>
          <w:p w14:paraId="18F85631" w14:textId="698BF6D2" w:rsidR="00C50556" w:rsidRPr="006311C5" w:rsidRDefault="00AB44DB" w:rsidP="00327671">
            <w:r w:rsidRPr="006311C5">
              <w:t>224 (</w:t>
            </w:r>
            <w:r w:rsidR="00527B17" w:rsidRPr="006311C5">
              <w:t>62.2</w:t>
            </w:r>
            <w:r w:rsidR="00245727" w:rsidRPr="006311C5">
              <w:t>)</w:t>
            </w:r>
          </w:p>
        </w:tc>
        <w:tc>
          <w:tcPr>
            <w:tcW w:w="0" w:type="auto"/>
            <w:tcBorders>
              <w:left w:val="nil"/>
              <w:right w:val="nil"/>
            </w:tcBorders>
          </w:tcPr>
          <w:p w14:paraId="0A0F48AE" w14:textId="7E3CAA04" w:rsidR="00C50556" w:rsidRPr="006311C5" w:rsidRDefault="00AB44DB" w:rsidP="00327671">
            <w:r w:rsidRPr="006311C5">
              <w:t>538 (</w:t>
            </w:r>
            <w:r w:rsidR="00527B17" w:rsidRPr="006311C5">
              <w:t>80.5</w:t>
            </w:r>
            <w:r w:rsidR="00245727" w:rsidRPr="006311C5">
              <w:t>)</w:t>
            </w:r>
          </w:p>
        </w:tc>
        <w:tc>
          <w:tcPr>
            <w:tcW w:w="0" w:type="auto"/>
            <w:tcBorders>
              <w:left w:val="nil"/>
              <w:right w:val="nil"/>
            </w:tcBorders>
          </w:tcPr>
          <w:p w14:paraId="0763FB81" w14:textId="0ED43B1F" w:rsidR="00C50556" w:rsidRPr="006311C5" w:rsidRDefault="00AB44DB" w:rsidP="00327671">
            <w:r w:rsidRPr="006311C5">
              <w:t>230 (</w:t>
            </w:r>
            <w:r w:rsidR="00527B17" w:rsidRPr="006311C5">
              <w:t>40.6</w:t>
            </w:r>
            <w:r w:rsidR="005E1A69" w:rsidRPr="006311C5">
              <w:t>)</w:t>
            </w:r>
          </w:p>
        </w:tc>
        <w:tc>
          <w:tcPr>
            <w:tcW w:w="0" w:type="auto"/>
            <w:tcBorders>
              <w:left w:val="nil"/>
              <w:right w:val="nil"/>
            </w:tcBorders>
          </w:tcPr>
          <w:p w14:paraId="21B4317F" w14:textId="5377068B" w:rsidR="00C50556" w:rsidRPr="006311C5" w:rsidRDefault="00AB44DB" w:rsidP="00327671">
            <w:r w:rsidRPr="006311C5">
              <w:t>302 (</w:t>
            </w:r>
            <w:r w:rsidR="0013228B" w:rsidRPr="006311C5">
              <w:t>68</w:t>
            </w:r>
            <w:r w:rsidR="00A53EF1" w:rsidRPr="006311C5">
              <w:t>.8</w:t>
            </w:r>
            <w:r w:rsidR="005E1A69" w:rsidRPr="006311C5">
              <w:t>)</w:t>
            </w:r>
          </w:p>
        </w:tc>
      </w:tr>
      <w:tr w:rsidR="004709E3" w:rsidRPr="006311C5" w14:paraId="03758B52" w14:textId="77777777" w:rsidTr="00754930">
        <w:tc>
          <w:tcPr>
            <w:tcW w:w="1701" w:type="dxa"/>
            <w:tcBorders>
              <w:left w:val="nil"/>
              <w:bottom w:val="single" w:sz="12" w:space="0" w:color="auto"/>
              <w:right w:val="nil"/>
            </w:tcBorders>
          </w:tcPr>
          <w:p w14:paraId="6E38D46C" w14:textId="77777777" w:rsidR="00527B17" w:rsidRPr="006311C5" w:rsidRDefault="00527B17" w:rsidP="00327671"/>
        </w:tc>
        <w:tc>
          <w:tcPr>
            <w:tcW w:w="1505" w:type="dxa"/>
            <w:tcBorders>
              <w:left w:val="nil"/>
              <w:bottom w:val="single" w:sz="12" w:space="0" w:color="auto"/>
              <w:right w:val="nil"/>
            </w:tcBorders>
          </w:tcPr>
          <w:p w14:paraId="153A1FF5" w14:textId="61737701" w:rsidR="00527B17" w:rsidRPr="006311C5" w:rsidRDefault="00527B17" w:rsidP="00327671">
            <w:r w:rsidRPr="006311C5">
              <w:t>Total</w:t>
            </w:r>
          </w:p>
        </w:tc>
        <w:tc>
          <w:tcPr>
            <w:tcW w:w="0" w:type="auto"/>
            <w:tcBorders>
              <w:left w:val="nil"/>
              <w:bottom w:val="single" w:sz="12" w:space="0" w:color="auto"/>
              <w:right w:val="nil"/>
            </w:tcBorders>
          </w:tcPr>
          <w:p w14:paraId="71E8C30E" w14:textId="228CE086" w:rsidR="00527B17" w:rsidRPr="006311C5" w:rsidRDefault="00527B17" w:rsidP="00327671">
            <w:r w:rsidRPr="006311C5">
              <w:t>360 (100.0)</w:t>
            </w:r>
          </w:p>
        </w:tc>
        <w:tc>
          <w:tcPr>
            <w:tcW w:w="0" w:type="auto"/>
            <w:tcBorders>
              <w:left w:val="nil"/>
              <w:bottom w:val="single" w:sz="12" w:space="0" w:color="auto"/>
              <w:right w:val="nil"/>
            </w:tcBorders>
          </w:tcPr>
          <w:p w14:paraId="098FF41D" w14:textId="2C02D0E5" w:rsidR="00527B17" w:rsidRPr="006311C5" w:rsidRDefault="00527B17" w:rsidP="00327671">
            <w:r w:rsidRPr="006311C5">
              <w:t>668 (100)</w:t>
            </w:r>
          </w:p>
        </w:tc>
        <w:tc>
          <w:tcPr>
            <w:tcW w:w="0" w:type="auto"/>
            <w:tcBorders>
              <w:left w:val="nil"/>
              <w:bottom w:val="single" w:sz="12" w:space="0" w:color="auto"/>
              <w:right w:val="nil"/>
            </w:tcBorders>
          </w:tcPr>
          <w:p w14:paraId="7294B21B" w14:textId="50AFB9F0" w:rsidR="00527B17" w:rsidRPr="006311C5" w:rsidRDefault="00527B17" w:rsidP="00327671">
            <w:r w:rsidRPr="006311C5">
              <w:t>566 (100)</w:t>
            </w:r>
          </w:p>
        </w:tc>
        <w:tc>
          <w:tcPr>
            <w:tcW w:w="0" w:type="auto"/>
            <w:tcBorders>
              <w:left w:val="nil"/>
              <w:bottom w:val="single" w:sz="12" w:space="0" w:color="auto"/>
              <w:right w:val="nil"/>
            </w:tcBorders>
          </w:tcPr>
          <w:p w14:paraId="4D81B124" w14:textId="3456B5DF" w:rsidR="00527B17" w:rsidRPr="006311C5" w:rsidRDefault="00527B17" w:rsidP="00327671">
            <w:r w:rsidRPr="006311C5">
              <w:t>439 (100)</w:t>
            </w:r>
          </w:p>
        </w:tc>
      </w:tr>
    </w:tbl>
    <w:p w14:paraId="584FAB68" w14:textId="77777777" w:rsidR="009E26A5" w:rsidRPr="006311C5" w:rsidRDefault="009E26A5" w:rsidP="009E26A5"/>
    <w:p w14:paraId="7974E98A" w14:textId="3385B25B" w:rsidR="00C629B8" w:rsidRPr="006311C5" w:rsidRDefault="00037889" w:rsidP="00037889">
      <w:pPr>
        <w:pStyle w:val="Heading2"/>
      </w:pPr>
      <w:r w:rsidRPr="006311C5">
        <w:t xml:space="preserve">Associations between symptom reporting and </w:t>
      </w:r>
      <w:r w:rsidR="00D8377D" w:rsidRPr="006311C5">
        <w:t>personal, clinical,</w:t>
      </w:r>
      <w:r w:rsidRPr="006311C5">
        <w:t xml:space="preserve"> psychological</w:t>
      </w:r>
      <w:r w:rsidR="00D8377D" w:rsidRPr="006311C5">
        <w:t>,</w:t>
      </w:r>
      <w:r w:rsidRPr="006311C5">
        <w:t xml:space="preserve"> and contextual factors</w:t>
      </w:r>
    </w:p>
    <w:p w14:paraId="0FBEDF70" w14:textId="5659B17C" w:rsidR="006D75B5" w:rsidRPr="006311C5" w:rsidRDefault="6D5927AE" w:rsidP="00017E6B">
      <w:r w:rsidRPr="006311C5">
        <w:t xml:space="preserve">Results reported are from the full regression model. Results from block 1 alone are presented in </w:t>
      </w:r>
      <w:r w:rsidR="00822D94" w:rsidRPr="006311C5">
        <w:t>Appendix A</w:t>
      </w:r>
      <w:r w:rsidRPr="006311C5">
        <w:t xml:space="preserve">. Descriptive statistics relating to variables in the regression models are presented in Table </w:t>
      </w:r>
      <w:r w:rsidR="00974DF6" w:rsidRPr="006311C5">
        <w:t>4</w:t>
      </w:r>
      <w:r w:rsidRPr="006311C5">
        <w:t xml:space="preserve">. Missing data in </w:t>
      </w:r>
      <w:r w:rsidR="004A14A9" w:rsidRPr="006311C5">
        <w:t xml:space="preserve">the </w:t>
      </w:r>
      <w:r w:rsidRPr="006311C5">
        <w:t>regression models are</w:t>
      </w:r>
      <w:r w:rsidR="009A3142" w:rsidRPr="006311C5">
        <w:t xml:space="preserve"> </w:t>
      </w:r>
      <w:r w:rsidRPr="006311C5">
        <w:t>due to missing values for individual variables.</w:t>
      </w:r>
    </w:p>
    <w:p w14:paraId="04CAE0A6" w14:textId="77777777" w:rsidR="006D75B5" w:rsidRPr="006311C5" w:rsidRDefault="006D75B5">
      <w:pPr>
        <w:spacing w:line="259" w:lineRule="auto"/>
      </w:pPr>
      <w:r w:rsidRPr="006311C5">
        <w:br w:type="page"/>
      </w:r>
    </w:p>
    <w:p w14:paraId="25AC9628" w14:textId="77777777" w:rsidR="006D75B5" w:rsidRPr="006311C5" w:rsidRDefault="006D75B5" w:rsidP="006D75B5">
      <w:pPr>
        <w:rPr>
          <w:szCs w:val="24"/>
        </w:rPr>
        <w:sectPr w:rsidR="006D75B5" w:rsidRPr="006311C5">
          <w:pgSz w:w="11906" w:h="16838"/>
          <w:pgMar w:top="1440" w:right="1440" w:bottom="1440" w:left="1440" w:header="708" w:footer="708" w:gutter="0"/>
          <w:cols w:space="708"/>
          <w:docGrid w:linePitch="360"/>
        </w:sectPr>
      </w:pPr>
    </w:p>
    <w:p w14:paraId="460657F1" w14:textId="49FAB837" w:rsidR="006D75B5" w:rsidRPr="006311C5" w:rsidRDefault="006D75B5" w:rsidP="006D75B5">
      <w:pPr>
        <w:rPr>
          <w:szCs w:val="24"/>
        </w:rPr>
      </w:pPr>
      <w:r w:rsidRPr="006311C5">
        <w:rPr>
          <w:szCs w:val="24"/>
        </w:rPr>
        <w:lastRenderedPageBreak/>
        <w:t xml:space="preserve">Table </w:t>
      </w:r>
      <w:r w:rsidR="004636F5" w:rsidRPr="006311C5">
        <w:rPr>
          <w:szCs w:val="24"/>
        </w:rPr>
        <w:t>4</w:t>
      </w:r>
      <w:r w:rsidRPr="006311C5">
        <w:rPr>
          <w:szCs w:val="24"/>
        </w:rPr>
        <w:t xml:space="preserve">. Participant characteristics, in subgroups according to dose and symptom reporting. Data are </w:t>
      </w:r>
      <w:r w:rsidRPr="006311C5">
        <w:rPr>
          <w:i/>
          <w:iCs/>
          <w:szCs w:val="24"/>
        </w:rPr>
        <w:t>n</w:t>
      </w:r>
      <w:r w:rsidRPr="006311C5">
        <w:rPr>
          <w:szCs w:val="24"/>
        </w:rPr>
        <w:t xml:space="preserve"> (%) except where indicated otherwise</w:t>
      </w:r>
    </w:p>
    <w:tbl>
      <w:tblPr>
        <w:tblStyle w:val="TableGrid"/>
        <w:tblW w:w="1403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977"/>
        <w:gridCol w:w="1418"/>
        <w:gridCol w:w="1275"/>
        <w:gridCol w:w="1134"/>
        <w:gridCol w:w="1276"/>
        <w:gridCol w:w="1134"/>
        <w:gridCol w:w="1276"/>
        <w:gridCol w:w="1134"/>
        <w:gridCol w:w="1276"/>
        <w:gridCol w:w="1134"/>
      </w:tblGrid>
      <w:tr w:rsidR="00511786" w:rsidRPr="006311C5" w14:paraId="7DEEBD85" w14:textId="77777777" w:rsidTr="6D5927AE">
        <w:trPr>
          <w:jc w:val="center"/>
        </w:trPr>
        <w:tc>
          <w:tcPr>
            <w:tcW w:w="2977" w:type="dxa"/>
            <w:tcBorders>
              <w:top w:val="single" w:sz="12" w:space="0" w:color="auto"/>
              <w:bottom w:val="nil"/>
            </w:tcBorders>
          </w:tcPr>
          <w:p w14:paraId="7C689682" w14:textId="77777777" w:rsidR="00511786" w:rsidRPr="006311C5" w:rsidRDefault="00511786" w:rsidP="00511786">
            <w:pPr>
              <w:pStyle w:val="Tabletext"/>
            </w:pPr>
          </w:p>
        </w:tc>
        <w:tc>
          <w:tcPr>
            <w:tcW w:w="1418" w:type="dxa"/>
            <w:tcBorders>
              <w:top w:val="single" w:sz="12" w:space="0" w:color="auto"/>
              <w:bottom w:val="nil"/>
            </w:tcBorders>
          </w:tcPr>
          <w:p w14:paraId="5362F0E3" w14:textId="77777777" w:rsidR="00511786" w:rsidRPr="006311C5" w:rsidRDefault="00511786" w:rsidP="00511786">
            <w:pPr>
              <w:pStyle w:val="Tabletext"/>
            </w:pPr>
          </w:p>
        </w:tc>
        <w:tc>
          <w:tcPr>
            <w:tcW w:w="4819" w:type="dxa"/>
            <w:gridSpan w:val="4"/>
            <w:tcBorders>
              <w:top w:val="single" w:sz="12" w:space="0" w:color="auto"/>
              <w:bottom w:val="nil"/>
            </w:tcBorders>
            <w:vAlign w:val="center"/>
          </w:tcPr>
          <w:p w14:paraId="15C01174" w14:textId="0273E9DD" w:rsidR="00511786" w:rsidRPr="006311C5" w:rsidRDefault="00511786" w:rsidP="00511786">
            <w:pPr>
              <w:pStyle w:val="Tabletext"/>
              <w:jc w:val="center"/>
              <w:rPr>
                <w:b/>
                <w:bCs/>
              </w:rPr>
            </w:pPr>
            <w:r w:rsidRPr="006311C5">
              <w:rPr>
                <w:rFonts w:cstheme="minorHAnsi"/>
                <w:szCs w:val="18"/>
              </w:rPr>
              <w:t xml:space="preserve">First vaccine, </w:t>
            </w:r>
            <w:r w:rsidRPr="006311C5">
              <w:rPr>
                <w:rFonts w:cstheme="minorHAnsi"/>
                <w:i/>
                <w:iCs/>
                <w:szCs w:val="18"/>
              </w:rPr>
              <w:t>n</w:t>
            </w:r>
            <w:r w:rsidRPr="006311C5">
              <w:rPr>
                <w:rFonts w:cstheme="minorHAnsi"/>
                <w:szCs w:val="18"/>
              </w:rPr>
              <w:t xml:space="preserve"> (%)</w:t>
            </w:r>
          </w:p>
        </w:tc>
        <w:tc>
          <w:tcPr>
            <w:tcW w:w="4820" w:type="dxa"/>
            <w:gridSpan w:val="4"/>
            <w:tcBorders>
              <w:top w:val="single" w:sz="12" w:space="0" w:color="auto"/>
              <w:bottom w:val="nil"/>
            </w:tcBorders>
            <w:vAlign w:val="center"/>
          </w:tcPr>
          <w:p w14:paraId="046A5294" w14:textId="1E0FD1B3" w:rsidR="00511786" w:rsidRPr="006311C5" w:rsidRDefault="00511786" w:rsidP="00511786">
            <w:pPr>
              <w:pStyle w:val="Tabletext"/>
              <w:jc w:val="center"/>
              <w:rPr>
                <w:b/>
                <w:bCs/>
              </w:rPr>
            </w:pPr>
            <w:r w:rsidRPr="006311C5">
              <w:rPr>
                <w:rFonts w:cstheme="minorHAnsi"/>
                <w:szCs w:val="18"/>
              </w:rPr>
              <w:t xml:space="preserve">Second vaccine, </w:t>
            </w:r>
            <w:r w:rsidRPr="006311C5">
              <w:rPr>
                <w:rFonts w:cstheme="minorHAnsi"/>
                <w:i/>
                <w:iCs/>
                <w:szCs w:val="18"/>
              </w:rPr>
              <w:t>n</w:t>
            </w:r>
            <w:r w:rsidRPr="006311C5">
              <w:rPr>
                <w:rFonts w:cstheme="minorHAnsi"/>
                <w:szCs w:val="18"/>
              </w:rPr>
              <w:t xml:space="preserve"> (%)</w:t>
            </w:r>
          </w:p>
        </w:tc>
      </w:tr>
      <w:tr w:rsidR="00511786" w:rsidRPr="006311C5" w14:paraId="72FB9CB5" w14:textId="77777777" w:rsidTr="6D5927AE">
        <w:trPr>
          <w:jc w:val="center"/>
        </w:trPr>
        <w:tc>
          <w:tcPr>
            <w:tcW w:w="2977" w:type="dxa"/>
            <w:tcBorders>
              <w:top w:val="nil"/>
              <w:bottom w:val="nil"/>
            </w:tcBorders>
          </w:tcPr>
          <w:p w14:paraId="4AE99BA4" w14:textId="77777777" w:rsidR="00511786" w:rsidRPr="006311C5" w:rsidRDefault="00511786" w:rsidP="00511786">
            <w:pPr>
              <w:pStyle w:val="Tabletext"/>
            </w:pPr>
          </w:p>
        </w:tc>
        <w:tc>
          <w:tcPr>
            <w:tcW w:w="1418" w:type="dxa"/>
            <w:tcBorders>
              <w:top w:val="nil"/>
              <w:bottom w:val="nil"/>
            </w:tcBorders>
          </w:tcPr>
          <w:p w14:paraId="7F04B406" w14:textId="77777777" w:rsidR="00511786" w:rsidRPr="006311C5" w:rsidRDefault="00511786" w:rsidP="00511786">
            <w:pPr>
              <w:pStyle w:val="Tabletext"/>
            </w:pPr>
          </w:p>
        </w:tc>
        <w:tc>
          <w:tcPr>
            <w:tcW w:w="2409" w:type="dxa"/>
            <w:gridSpan w:val="2"/>
            <w:tcBorders>
              <w:top w:val="nil"/>
              <w:bottom w:val="nil"/>
            </w:tcBorders>
          </w:tcPr>
          <w:p w14:paraId="727B3506" w14:textId="77777777" w:rsidR="00511786" w:rsidRPr="006311C5" w:rsidRDefault="00511786" w:rsidP="00511786">
            <w:pPr>
              <w:pStyle w:val="Tabletext"/>
              <w:jc w:val="center"/>
            </w:pPr>
            <w:r w:rsidRPr="006311C5">
              <w:t>Injection-site symptoms</w:t>
            </w:r>
          </w:p>
        </w:tc>
        <w:tc>
          <w:tcPr>
            <w:tcW w:w="2410" w:type="dxa"/>
            <w:gridSpan w:val="2"/>
            <w:tcBorders>
              <w:top w:val="nil"/>
              <w:bottom w:val="nil"/>
            </w:tcBorders>
          </w:tcPr>
          <w:p w14:paraId="7BAE2847" w14:textId="77777777" w:rsidR="00511786" w:rsidRPr="006311C5" w:rsidRDefault="00511786" w:rsidP="00511786">
            <w:pPr>
              <w:pStyle w:val="Tabletext"/>
              <w:jc w:val="center"/>
            </w:pPr>
            <w:r w:rsidRPr="006311C5">
              <w:t>Non-injection-site symptoms</w:t>
            </w:r>
          </w:p>
        </w:tc>
        <w:tc>
          <w:tcPr>
            <w:tcW w:w="2410" w:type="dxa"/>
            <w:gridSpan w:val="2"/>
            <w:tcBorders>
              <w:top w:val="nil"/>
              <w:bottom w:val="nil"/>
            </w:tcBorders>
          </w:tcPr>
          <w:p w14:paraId="634C2ACB" w14:textId="77777777" w:rsidR="00511786" w:rsidRPr="006311C5" w:rsidRDefault="00511786" w:rsidP="00511786">
            <w:pPr>
              <w:pStyle w:val="Tabletext"/>
              <w:jc w:val="center"/>
            </w:pPr>
            <w:r w:rsidRPr="006311C5">
              <w:t>Injection-site symptoms</w:t>
            </w:r>
          </w:p>
        </w:tc>
        <w:tc>
          <w:tcPr>
            <w:tcW w:w="2410" w:type="dxa"/>
            <w:gridSpan w:val="2"/>
            <w:tcBorders>
              <w:top w:val="nil"/>
              <w:bottom w:val="nil"/>
            </w:tcBorders>
          </w:tcPr>
          <w:p w14:paraId="7C12A973" w14:textId="77777777" w:rsidR="00511786" w:rsidRPr="006311C5" w:rsidRDefault="00511786" w:rsidP="00511786">
            <w:pPr>
              <w:pStyle w:val="Tabletext"/>
              <w:jc w:val="center"/>
            </w:pPr>
            <w:r w:rsidRPr="006311C5">
              <w:t>Non-injection-site symptoms</w:t>
            </w:r>
          </w:p>
        </w:tc>
      </w:tr>
      <w:tr w:rsidR="00511786" w:rsidRPr="006311C5" w14:paraId="462F2C08" w14:textId="77777777" w:rsidTr="6D5927AE">
        <w:trPr>
          <w:jc w:val="center"/>
        </w:trPr>
        <w:tc>
          <w:tcPr>
            <w:tcW w:w="2977" w:type="dxa"/>
            <w:tcBorders>
              <w:top w:val="nil"/>
              <w:bottom w:val="single" w:sz="12" w:space="0" w:color="auto"/>
            </w:tcBorders>
          </w:tcPr>
          <w:p w14:paraId="39B7B661" w14:textId="77777777" w:rsidR="00511786" w:rsidRPr="006311C5" w:rsidRDefault="00511786" w:rsidP="00511786">
            <w:pPr>
              <w:pStyle w:val="Tabletext"/>
            </w:pPr>
          </w:p>
        </w:tc>
        <w:tc>
          <w:tcPr>
            <w:tcW w:w="1418" w:type="dxa"/>
            <w:tcBorders>
              <w:top w:val="nil"/>
              <w:bottom w:val="single" w:sz="12" w:space="0" w:color="auto"/>
            </w:tcBorders>
          </w:tcPr>
          <w:p w14:paraId="57DC6CFF" w14:textId="77777777" w:rsidR="00511786" w:rsidRPr="006311C5" w:rsidRDefault="00511786" w:rsidP="00511786">
            <w:pPr>
              <w:pStyle w:val="Tabletext"/>
            </w:pPr>
          </w:p>
        </w:tc>
        <w:tc>
          <w:tcPr>
            <w:tcW w:w="1275" w:type="dxa"/>
            <w:tcBorders>
              <w:top w:val="nil"/>
              <w:bottom w:val="single" w:sz="12" w:space="0" w:color="auto"/>
            </w:tcBorders>
          </w:tcPr>
          <w:p w14:paraId="3E4E5099" w14:textId="77777777" w:rsidR="00511786" w:rsidRPr="006311C5" w:rsidRDefault="00511786" w:rsidP="00511786">
            <w:pPr>
              <w:pStyle w:val="Tabletext"/>
              <w:jc w:val="center"/>
            </w:pPr>
            <w:r w:rsidRPr="006311C5">
              <w:t xml:space="preserve">Not reported </w:t>
            </w:r>
            <w:r w:rsidRPr="006311C5">
              <w:rPr>
                <w:i/>
                <w:iCs/>
              </w:rPr>
              <w:t>n</w:t>
            </w:r>
            <w:r w:rsidRPr="006311C5">
              <w:t>=234</w:t>
            </w:r>
          </w:p>
        </w:tc>
        <w:tc>
          <w:tcPr>
            <w:tcW w:w="1134" w:type="dxa"/>
            <w:tcBorders>
              <w:top w:val="nil"/>
              <w:bottom w:val="single" w:sz="12" w:space="0" w:color="auto"/>
            </w:tcBorders>
          </w:tcPr>
          <w:p w14:paraId="5D76CEE1" w14:textId="77777777" w:rsidR="00511786" w:rsidRPr="006311C5" w:rsidRDefault="00511786" w:rsidP="00511786">
            <w:pPr>
              <w:pStyle w:val="Tabletext"/>
              <w:jc w:val="center"/>
            </w:pPr>
            <w:r w:rsidRPr="006311C5">
              <w:t xml:space="preserve">Reported </w:t>
            </w:r>
            <w:r w:rsidRPr="006311C5">
              <w:rPr>
                <w:i/>
                <w:iCs/>
              </w:rPr>
              <w:t>n</w:t>
            </w:r>
            <w:r w:rsidRPr="006311C5">
              <w:t>=666</w:t>
            </w:r>
          </w:p>
        </w:tc>
        <w:tc>
          <w:tcPr>
            <w:tcW w:w="1276" w:type="dxa"/>
            <w:tcBorders>
              <w:top w:val="nil"/>
              <w:bottom w:val="single" w:sz="12" w:space="0" w:color="auto"/>
            </w:tcBorders>
          </w:tcPr>
          <w:p w14:paraId="31EB6AA7" w14:textId="77777777" w:rsidR="00511786" w:rsidRPr="006311C5" w:rsidRDefault="00511786" w:rsidP="00511786">
            <w:pPr>
              <w:pStyle w:val="Tabletext"/>
              <w:jc w:val="center"/>
            </w:pPr>
            <w:r w:rsidRPr="006311C5">
              <w:t xml:space="preserve">Not reported </w:t>
            </w:r>
            <w:r w:rsidRPr="006311C5">
              <w:rPr>
                <w:i/>
                <w:iCs/>
              </w:rPr>
              <w:t>n</w:t>
            </w:r>
            <w:r w:rsidRPr="006311C5">
              <w:t>=234</w:t>
            </w:r>
          </w:p>
        </w:tc>
        <w:tc>
          <w:tcPr>
            <w:tcW w:w="1134" w:type="dxa"/>
            <w:tcBorders>
              <w:top w:val="nil"/>
              <w:bottom w:val="single" w:sz="12" w:space="0" w:color="auto"/>
            </w:tcBorders>
          </w:tcPr>
          <w:p w14:paraId="2F674523" w14:textId="77777777" w:rsidR="00511786" w:rsidRPr="006311C5" w:rsidRDefault="00511786" w:rsidP="00511786">
            <w:pPr>
              <w:pStyle w:val="Tabletext"/>
              <w:jc w:val="center"/>
            </w:pPr>
            <w:r w:rsidRPr="006311C5">
              <w:t xml:space="preserve">Reported </w:t>
            </w:r>
            <w:r w:rsidRPr="006311C5">
              <w:rPr>
                <w:i/>
                <w:iCs/>
              </w:rPr>
              <w:t>n</w:t>
            </w:r>
            <w:r w:rsidRPr="006311C5">
              <w:t>=666</w:t>
            </w:r>
          </w:p>
        </w:tc>
        <w:tc>
          <w:tcPr>
            <w:tcW w:w="1276" w:type="dxa"/>
            <w:tcBorders>
              <w:top w:val="nil"/>
              <w:bottom w:val="single" w:sz="12" w:space="0" w:color="auto"/>
            </w:tcBorders>
          </w:tcPr>
          <w:p w14:paraId="27D41999" w14:textId="77777777" w:rsidR="00511786" w:rsidRPr="006311C5" w:rsidRDefault="00511786" w:rsidP="00511786">
            <w:pPr>
              <w:pStyle w:val="Tabletext"/>
              <w:jc w:val="center"/>
            </w:pPr>
            <w:r w:rsidRPr="006311C5">
              <w:t xml:space="preserve">Not reported </w:t>
            </w:r>
            <w:r w:rsidRPr="006311C5">
              <w:rPr>
                <w:i/>
                <w:iCs/>
              </w:rPr>
              <w:t>n</w:t>
            </w:r>
            <w:r w:rsidRPr="006311C5">
              <w:t>=419</w:t>
            </w:r>
          </w:p>
        </w:tc>
        <w:tc>
          <w:tcPr>
            <w:tcW w:w="1134" w:type="dxa"/>
            <w:tcBorders>
              <w:top w:val="nil"/>
              <w:bottom w:val="single" w:sz="12" w:space="0" w:color="auto"/>
            </w:tcBorders>
          </w:tcPr>
          <w:p w14:paraId="0EE6B9CF" w14:textId="77777777" w:rsidR="00511786" w:rsidRPr="006311C5" w:rsidRDefault="00511786" w:rsidP="00511786">
            <w:pPr>
              <w:pStyle w:val="Tabletext"/>
              <w:jc w:val="center"/>
            </w:pPr>
            <w:r w:rsidRPr="006311C5">
              <w:t xml:space="preserve">Reported </w:t>
            </w:r>
            <w:r w:rsidRPr="006311C5">
              <w:rPr>
                <w:i/>
                <w:iCs/>
              </w:rPr>
              <w:t>n</w:t>
            </w:r>
            <w:r w:rsidRPr="006311C5">
              <w:t>=463</w:t>
            </w:r>
          </w:p>
        </w:tc>
        <w:tc>
          <w:tcPr>
            <w:tcW w:w="1276" w:type="dxa"/>
            <w:tcBorders>
              <w:top w:val="nil"/>
              <w:bottom w:val="single" w:sz="12" w:space="0" w:color="auto"/>
            </w:tcBorders>
          </w:tcPr>
          <w:p w14:paraId="4472E8A8" w14:textId="77777777" w:rsidR="00511786" w:rsidRPr="006311C5" w:rsidRDefault="00511786" w:rsidP="00511786">
            <w:pPr>
              <w:pStyle w:val="Tabletext"/>
              <w:jc w:val="center"/>
            </w:pPr>
            <w:r w:rsidRPr="006311C5">
              <w:t xml:space="preserve">Not reported </w:t>
            </w:r>
            <w:r w:rsidRPr="006311C5">
              <w:rPr>
                <w:i/>
                <w:iCs/>
              </w:rPr>
              <w:t>n</w:t>
            </w:r>
            <w:r w:rsidRPr="006311C5">
              <w:t>=501</w:t>
            </w:r>
          </w:p>
        </w:tc>
        <w:tc>
          <w:tcPr>
            <w:tcW w:w="1134" w:type="dxa"/>
            <w:tcBorders>
              <w:top w:val="nil"/>
              <w:bottom w:val="single" w:sz="12" w:space="0" w:color="auto"/>
            </w:tcBorders>
          </w:tcPr>
          <w:p w14:paraId="07544030" w14:textId="77777777" w:rsidR="00511786" w:rsidRPr="006311C5" w:rsidRDefault="00511786" w:rsidP="00511786">
            <w:pPr>
              <w:pStyle w:val="Tabletext"/>
              <w:jc w:val="center"/>
            </w:pPr>
            <w:r w:rsidRPr="006311C5">
              <w:t xml:space="preserve">Reported </w:t>
            </w:r>
            <w:r w:rsidRPr="006311C5">
              <w:rPr>
                <w:i/>
                <w:iCs/>
              </w:rPr>
              <w:t>n</w:t>
            </w:r>
            <w:r w:rsidRPr="006311C5">
              <w:t>=382</w:t>
            </w:r>
          </w:p>
        </w:tc>
      </w:tr>
      <w:tr w:rsidR="00511786" w:rsidRPr="006311C5" w14:paraId="6B33A817" w14:textId="77777777" w:rsidTr="6D5927AE">
        <w:trPr>
          <w:jc w:val="center"/>
        </w:trPr>
        <w:tc>
          <w:tcPr>
            <w:tcW w:w="2977" w:type="dxa"/>
            <w:tcBorders>
              <w:top w:val="single" w:sz="12" w:space="0" w:color="auto"/>
            </w:tcBorders>
          </w:tcPr>
          <w:p w14:paraId="1AB90A65" w14:textId="77777777" w:rsidR="00511786" w:rsidRPr="006311C5" w:rsidRDefault="00511786" w:rsidP="00511786">
            <w:pPr>
              <w:pStyle w:val="Tabletext"/>
            </w:pPr>
            <w:r w:rsidRPr="006311C5">
              <w:t>Age (years); mean (SD)</w:t>
            </w:r>
          </w:p>
        </w:tc>
        <w:tc>
          <w:tcPr>
            <w:tcW w:w="1418" w:type="dxa"/>
            <w:tcBorders>
              <w:top w:val="single" w:sz="12" w:space="0" w:color="auto"/>
              <w:bottom w:val="single" w:sz="4" w:space="0" w:color="auto"/>
            </w:tcBorders>
          </w:tcPr>
          <w:p w14:paraId="47D09637" w14:textId="77777777" w:rsidR="00511786" w:rsidRPr="006311C5" w:rsidRDefault="00511786" w:rsidP="00511786">
            <w:pPr>
              <w:pStyle w:val="Tabletext"/>
            </w:pPr>
          </w:p>
        </w:tc>
        <w:tc>
          <w:tcPr>
            <w:tcW w:w="1275" w:type="dxa"/>
            <w:tcBorders>
              <w:top w:val="single" w:sz="12" w:space="0" w:color="auto"/>
              <w:bottom w:val="single" w:sz="4" w:space="0" w:color="auto"/>
            </w:tcBorders>
          </w:tcPr>
          <w:p w14:paraId="281F876F" w14:textId="77777777" w:rsidR="00511786" w:rsidRPr="006311C5" w:rsidRDefault="00511786" w:rsidP="00511786">
            <w:pPr>
              <w:pStyle w:val="Tabletext"/>
              <w:jc w:val="center"/>
            </w:pPr>
            <w:r w:rsidRPr="006311C5">
              <w:t>53.4 (14.4)</w:t>
            </w:r>
          </w:p>
        </w:tc>
        <w:tc>
          <w:tcPr>
            <w:tcW w:w="1134" w:type="dxa"/>
            <w:tcBorders>
              <w:top w:val="single" w:sz="12" w:space="0" w:color="auto"/>
              <w:bottom w:val="single" w:sz="4" w:space="0" w:color="auto"/>
            </w:tcBorders>
          </w:tcPr>
          <w:p w14:paraId="5C9B83CA" w14:textId="77777777" w:rsidR="00511786" w:rsidRPr="006311C5" w:rsidRDefault="00511786" w:rsidP="00511786">
            <w:pPr>
              <w:pStyle w:val="Tabletext"/>
              <w:jc w:val="center"/>
            </w:pPr>
            <w:r w:rsidRPr="006311C5">
              <w:t>47.1 (15.2)</w:t>
            </w:r>
          </w:p>
        </w:tc>
        <w:tc>
          <w:tcPr>
            <w:tcW w:w="1276" w:type="dxa"/>
            <w:tcBorders>
              <w:top w:val="single" w:sz="12" w:space="0" w:color="auto"/>
              <w:bottom w:val="single" w:sz="4" w:space="0" w:color="auto"/>
            </w:tcBorders>
          </w:tcPr>
          <w:p w14:paraId="551BCDC0" w14:textId="77777777" w:rsidR="00511786" w:rsidRPr="006311C5" w:rsidRDefault="00511786" w:rsidP="00511786">
            <w:pPr>
              <w:pStyle w:val="Tabletext"/>
              <w:jc w:val="center"/>
            </w:pPr>
            <w:r w:rsidRPr="006311C5">
              <w:t>52.7 (14.9)</w:t>
            </w:r>
          </w:p>
        </w:tc>
        <w:tc>
          <w:tcPr>
            <w:tcW w:w="1134" w:type="dxa"/>
            <w:tcBorders>
              <w:top w:val="single" w:sz="12" w:space="0" w:color="auto"/>
              <w:bottom w:val="single" w:sz="4" w:space="0" w:color="auto"/>
            </w:tcBorders>
          </w:tcPr>
          <w:p w14:paraId="26B111C6" w14:textId="77777777" w:rsidR="00511786" w:rsidRPr="006311C5" w:rsidRDefault="00511786" w:rsidP="00511786">
            <w:pPr>
              <w:pStyle w:val="Tabletext"/>
              <w:jc w:val="center"/>
            </w:pPr>
            <w:r w:rsidRPr="006311C5">
              <w:t>46.6 (15.0)</w:t>
            </w:r>
          </w:p>
        </w:tc>
        <w:tc>
          <w:tcPr>
            <w:tcW w:w="1276" w:type="dxa"/>
            <w:tcBorders>
              <w:top w:val="single" w:sz="12" w:space="0" w:color="auto"/>
              <w:bottom w:val="single" w:sz="4" w:space="0" w:color="auto"/>
            </w:tcBorders>
          </w:tcPr>
          <w:p w14:paraId="7203964B" w14:textId="77777777" w:rsidR="00511786" w:rsidRPr="006311C5" w:rsidRDefault="00511786" w:rsidP="00511786">
            <w:pPr>
              <w:pStyle w:val="Tabletext"/>
              <w:jc w:val="center"/>
            </w:pPr>
            <w:r w:rsidRPr="006311C5">
              <w:t>52.0 (14.4)</w:t>
            </w:r>
          </w:p>
        </w:tc>
        <w:tc>
          <w:tcPr>
            <w:tcW w:w="1134" w:type="dxa"/>
            <w:tcBorders>
              <w:top w:val="single" w:sz="12" w:space="0" w:color="auto"/>
              <w:bottom w:val="single" w:sz="4" w:space="0" w:color="auto"/>
            </w:tcBorders>
          </w:tcPr>
          <w:p w14:paraId="0EA9B263" w14:textId="77777777" w:rsidR="00511786" w:rsidRPr="006311C5" w:rsidRDefault="00511786" w:rsidP="00511786">
            <w:pPr>
              <w:pStyle w:val="Tabletext"/>
              <w:jc w:val="center"/>
            </w:pPr>
            <w:r w:rsidRPr="006311C5">
              <w:t>46.3 (15.3)</w:t>
            </w:r>
          </w:p>
        </w:tc>
        <w:tc>
          <w:tcPr>
            <w:tcW w:w="1276" w:type="dxa"/>
            <w:tcBorders>
              <w:top w:val="single" w:sz="12" w:space="0" w:color="auto"/>
              <w:bottom w:val="single" w:sz="4" w:space="0" w:color="auto"/>
            </w:tcBorders>
          </w:tcPr>
          <w:p w14:paraId="1F2D2C40" w14:textId="77777777" w:rsidR="00511786" w:rsidRPr="006311C5" w:rsidRDefault="00511786" w:rsidP="00511786">
            <w:pPr>
              <w:pStyle w:val="Tabletext"/>
              <w:jc w:val="center"/>
            </w:pPr>
            <w:r w:rsidRPr="006311C5">
              <w:t>51.6 (14.1)</w:t>
            </w:r>
          </w:p>
        </w:tc>
        <w:tc>
          <w:tcPr>
            <w:tcW w:w="1134" w:type="dxa"/>
            <w:tcBorders>
              <w:top w:val="single" w:sz="12" w:space="0" w:color="auto"/>
              <w:bottom w:val="single" w:sz="4" w:space="0" w:color="auto"/>
            </w:tcBorders>
          </w:tcPr>
          <w:p w14:paraId="23075424" w14:textId="77777777" w:rsidR="00511786" w:rsidRPr="006311C5" w:rsidRDefault="00511786" w:rsidP="00511786">
            <w:pPr>
              <w:pStyle w:val="Tabletext"/>
              <w:jc w:val="center"/>
            </w:pPr>
            <w:r w:rsidRPr="006311C5">
              <w:t>45.5 (15.7)</w:t>
            </w:r>
          </w:p>
        </w:tc>
      </w:tr>
      <w:tr w:rsidR="00511786" w:rsidRPr="006311C5" w14:paraId="5FE048E3" w14:textId="77777777" w:rsidTr="6D5927AE">
        <w:trPr>
          <w:jc w:val="center"/>
        </w:trPr>
        <w:tc>
          <w:tcPr>
            <w:tcW w:w="2977" w:type="dxa"/>
            <w:vMerge w:val="restart"/>
          </w:tcPr>
          <w:p w14:paraId="37C47158" w14:textId="77777777" w:rsidR="00511786" w:rsidRPr="006311C5" w:rsidRDefault="00511786" w:rsidP="00511786">
            <w:pPr>
              <w:pStyle w:val="Tabletext"/>
            </w:pPr>
            <w:r w:rsidRPr="006311C5">
              <w:t>Gender</w:t>
            </w:r>
          </w:p>
        </w:tc>
        <w:tc>
          <w:tcPr>
            <w:tcW w:w="1418" w:type="dxa"/>
            <w:tcBorders>
              <w:bottom w:val="nil"/>
            </w:tcBorders>
          </w:tcPr>
          <w:p w14:paraId="063D0188" w14:textId="77777777" w:rsidR="00511786" w:rsidRPr="006311C5" w:rsidRDefault="00511786" w:rsidP="00511786">
            <w:pPr>
              <w:pStyle w:val="Tabletext"/>
            </w:pPr>
            <w:r w:rsidRPr="006311C5">
              <w:t>Female</w:t>
            </w:r>
          </w:p>
        </w:tc>
        <w:tc>
          <w:tcPr>
            <w:tcW w:w="1275" w:type="dxa"/>
            <w:tcBorders>
              <w:bottom w:val="nil"/>
            </w:tcBorders>
          </w:tcPr>
          <w:p w14:paraId="6D707999" w14:textId="77777777" w:rsidR="00511786" w:rsidRPr="006311C5" w:rsidRDefault="00511786" w:rsidP="00511786">
            <w:pPr>
              <w:pStyle w:val="Tabletext"/>
              <w:jc w:val="center"/>
            </w:pPr>
            <w:r w:rsidRPr="006311C5">
              <w:t>82 (17.5)</w:t>
            </w:r>
          </w:p>
        </w:tc>
        <w:tc>
          <w:tcPr>
            <w:tcW w:w="1134" w:type="dxa"/>
            <w:tcBorders>
              <w:bottom w:val="nil"/>
            </w:tcBorders>
          </w:tcPr>
          <w:p w14:paraId="0EF5CF75" w14:textId="77777777" w:rsidR="00511786" w:rsidRPr="006311C5" w:rsidRDefault="00511786" w:rsidP="00511786">
            <w:pPr>
              <w:pStyle w:val="Tabletext"/>
              <w:jc w:val="center"/>
            </w:pPr>
            <w:r w:rsidRPr="006311C5">
              <w:t>386 (82.5)</w:t>
            </w:r>
          </w:p>
        </w:tc>
        <w:tc>
          <w:tcPr>
            <w:tcW w:w="1276" w:type="dxa"/>
            <w:tcBorders>
              <w:bottom w:val="nil"/>
            </w:tcBorders>
          </w:tcPr>
          <w:p w14:paraId="07246C23" w14:textId="77777777" w:rsidR="00511786" w:rsidRPr="006311C5" w:rsidRDefault="00511786" w:rsidP="00511786">
            <w:pPr>
              <w:pStyle w:val="Tabletext"/>
              <w:jc w:val="center"/>
            </w:pPr>
            <w:r w:rsidRPr="006311C5">
              <w:t>143 (30.5)</w:t>
            </w:r>
          </w:p>
        </w:tc>
        <w:tc>
          <w:tcPr>
            <w:tcW w:w="1134" w:type="dxa"/>
            <w:tcBorders>
              <w:bottom w:val="nil"/>
            </w:tcBorders>
          </w:tcPr>
          <w:p w14:paraId="1B5529C6" w14:textId="77777777" w:rsidR="00511786" w:rsidRPr="006311C5" w:rsidRDefault="00511786" w:rsidP="00511786">
            <w:pPr>
              <w:pStyle w:val="Tabletext"/>
              <w:jc w:val="center"/>
            </w:pPr>
            <w:r w:rsidRPr="006311C5">
              <w:t>326 (69.5)</w:t>
            </w:r>
          </w:p>
        </w:tc>
        <w:tc>
          <w:tcPr>
            <w:tcW w:w="1276" w:type="dxa"/>
            <w:tcBorders>
              <w:bottom w:val="nil"/>
            </w:tcBorders>
          </w:tcPr>
          <w:p w14:paraId="2D30471B" w14:textId="77777777" w:rsidR="00511786" w:rsidRPr="006311C5" w:rsidRDefault="00511786" w:rsidP="00511786">
            <w:pPr>
              <w:pStyle w:val="Tabletext"/>
              <w:jc w:val="center"/>
            </w:pPr>
            <w:r w:rsidRPr="006311C5">
              <w:t>192 (41.6)</w:t>
            </w:r>
          </w:p>
        </w:tc>
        <w:tc>
          <w:tcPr>
            <w:tcW w:w="1134" w:type="dxa"/>
            <w:tcBorders>
              <w:bottom w:val="nil"/>
            </w:tcBorders>
          </w:tcPr>
          <w:p w14:paraId="302496CC" w14:textId="77777777" w:rsidR="00511786" w:rsidRPr="006311C5" w:rsidRDefault="00511786" w:rsidP="00511786">
            <w:pPr>
              <w:pStyle w:val="Tabletext"/>
              <w:jc w:val="center"/>
            </w:pPr>
            <w:r w:rsidRPr="006311C5">
              <w:t>269 (58.4)</w:t>
            </w:r>
          </w:p>
        </w:tc>
        <w:tc>
          <w:tcPr>
            <w:tcW w:w="1276" w:type="dxa"/>
            <w:tcBorders>
              <w:bottom w:val="nil"/>
            </w:tcBorders>
          </w:tcPr>
          <w:p w14:paraId="06B9EE99" w14:textId="77777777" w:rsidR="00511786" w:rsidRPr="006311C5" w:rsidRDefault="00511786" w:rsidP="00511786">
            <w:pPr>
              <w:pStyle w:val="Tabletext"/>
              <w:jc w:val="center"/>
            </w:pPr>
            <w:r w:rsidRPr="006311C5">
              <w:t>242 (52.4)</w:t>
            </w:r>
          </w:p>
        </w:tc>
        <w:tc>
          <w:tcPr>
            <w:tcW w:w="1134" w:type="dxa"/>
            <w:tcBorders>
              <w:bottom w:val="nil"/>
            </w:tcBorders>
          </w:tcPr>
          <w:p w14:paraId="260318EF" w14:textId="77777777" w:rsidR="00511786" w:rsidRPr="006311C5" w:rsidRDefault="00511786" w:rsidP="00511786">
            <w:pPr>
              <w:pStyle w:val="Tabletext"/>
              <w:jc w:val="center"/>
            </w:pPr>
            <w:r w:rsidRPr="006311C5">
              <w:t>220 (47.6)</w:t>
            </w:r>
          </w:p>
        </w:tc>
      </w:tr>
      <w:tr w:rsidR="00511786" w:rsidRPr="006311C5" w14:paraId="0889CEC9" w14:textId="77777777" w:rsidTr="6D5927AE">
        <w:trPr>
          <w:trHeight w:val="74"/>
          <w:jc w:val="center"/>
        </w:trPr>
        <w:tc>
          <w:tcPr>
            <w:tcW w:w="2977" w:type="dxa"/>
            <w:vMerge/>
          </w:tcPr>
          <w:p w14:paraId="3A5911EB" w14:textId="77777777" w:rsidR="00511786" w:rsidRPr="006311C5" w:rsidRDefault="00511786" w:rsidP="00511786">
            <w:pPr>
              <w:pStyle w:val="Tabletext"/>
            </w:pPr>
          </w:p>
        </w:tc>
        <w:tc>
          <w:tcPr>
            <w:tcW w:w="1418" w:type="dxa"/>
            <w:tcBorders>
              <w:top w:val="nil"/>
              <w:bottom w:val="single" w:sz="4" w:space="0" w:color="auto"/>
            </w:tcBorders>
          </w:tcPr>
          <w:p w14:paraId="06113BF7" w14:textId="77777777" w:rsidR="00511786" w:rsidRPr="006311C5" w:rsidRDefault="00511786" w:rsidP="00511786">
            <w:pPr>
              <w:pStyle w:val="Tabletext"/>
            </w:pPr>
            <w:r w:rsidRPr="006311C5">
              <w:t>Male</w:t>
            </w:r>
          </w:p>
        </w:tc>
        <w:tc>
          <w:tcPr>
            <w:tcW w:w="1275" w:type="dxa"/>
            <w:tcBorders>
              <w:top w:val="nil"/>
              <w:bottom w:val="single" w:sz="4" w:space="0" w:color="auto"/>
            </w:tcBorders>
          </w:tcPr>
          <w:p w14:paraId="5E36332B" w14:textId="77777777" w:rsidR="00511786" w:rsidRPr="006311C5" w:rsidRDefault="00511786" w:rsidP="00511786">
            <w:pPr>
              <w:pStyle w:val="Tabletext"/>
              <w:jc w:val="center"/>
            </w:pPr>
            <w:r w:rsidRPr="006311C5">
              <w:t>152 (35.2)</w:t>
            </w:r>
          </w:p>
        </w:tc>
        <w:tc>
          <w:tcPr>
            <w:tcW w:w="1134" w:type="dxa"/>
            <w:tcBorders>
              <w:top w:val="nil"/>
              <w:bottom w:val="single" w:sz="4" w:space="0" w:color="auto"/>
            </w:tcBorders>
          </w:tcPr>
          <w:p w14:paraId="6055DA8D" w14:textId="77777777" w:rsidR="00511786" w:rsidRPr="006311C5" w:rsidRDefault="00511786" w:rsidP="00511786">
            <w:pPr>
              <w:pStyle w:val="Tabletext"/>
              <w:jc w:val="center"/>
            </w:pPr>
            <w:r w:rsidRPr="006311C5">
              <w:t>280 (64.8)</w:t>
            </w:r>
          </w:p>
        </w:tc>
        <w:tc>
          <w:tcPr>
            <w:tcW w:w="1276" w:type="dxa"/>
            <w:tcBorders>
              <w:top w:val="nil"/>
              <w:bottom w:val="single" w:sz="4" w:space="0" w:color="auto"/>
            </w:tcBorders>
          </w:tcPr>
          <w:p w14:paraId="58AE3C92" w14:textId="77777777" w:rsidR="00511786" w:rsidRPr="006311C5" w:rsidRDefault="00511786" w:rsidP="00511786">
            <w:pPr>
              <w:pStyle w:val="Tabletext"/>
              <w:jc w:val="center"/>
            </w:pPr>
            <w:r w:rsidRPr="006311C5">
              <w:t>170 (39.4)</w:t>
            </w:r>
          </w:p>
        </w:tc>
        <w:tc>
          <w:tcPr>
            <w:tcW w:w="1134" w:type="dxa"/>
            <w:tcBorders>
              <w:top w:val="nil"/>
              <w:bottom w:val="single" w:sz="4" w:space="0" w:color="auto"/>
            </w:tcBorders>
          </w:tcPr>
          <w:p w14:paraId="2F5695B7" w14:textId="77777777" w:rsidR="00511786" w:rsidRPr="006311C5" w:rsidRDefault="00511786" w:rsidP="00511786">
            <w:pPr>
              <w:pStyle w:val="Tabletext"/>
              <w:jc w:val="center"/>
            </w:pPr>
            <w:r w:rsidRPr="006311C5">
              <w:t>262 (60.6)</w:t>
            </w:r>
          </w:p>
        </w:tc>
        <w:tc>
          <w:tcPr>
            <w:tcW w:w="1276" w:type="dxa"/>
            <w:tcBorders>
              <w:top w:val="nil"/>
              <w:bottom w:val="single" w:sz="4" w:space="0" w:color="auto"/>
            </w:tcBorders>
          </w:tcPr>
          <w:p w14:paraId="27BA5DCE" w14:textId="77777777" w:rsidR="00511786" w:rsidRPr="006311C5" w:rsidRDefault="00511786" w:rsidP="00511786">
            <w:pPr>
              <w:pStyle w:val="Tabletext"/>
              <w:jc w:val="center"/>
            </w:pPr>
            <w:r w:rsidRPr="006311C5">
              <w:t>227 (53.9)</w:t>
            </w:r>
          </w:p>
        </w:tc>
        <w:tc>
          <w:tcPr>
            <w:tcW w:w="1134" w:type="dxa"/>
            <w:tcBorders>
              <w:top w:val="nil"/>
              <w:bottom w:val="single" w:sz="4" w:space="0" w:color="auto"/>
            </w:tcBorders>
          </w:tcPr>
          <w:p w14:paraId="33AD76E3" w14:textId="77777777" w:rsidR="00511786" w:rsidRPr="006311C5" w:rsidRDefault="00511786" w:rsidP="00511786">
            <w:pPr>
              <w:pStyle w:val="Tabletext"/>
              <w:jc w:val="center"/>
            </w:pPr>
            <w:r w:rsidRPr="006311C5">
              <w:t>194 (46.1)</w:t>
            </w:r>
          </w:p>
        </w:tc>
        <w:tc>
          <w:tcPr>
            <w:tcW w:w="1276" w:type="dxa"/>
            <w:tcBorders>
              <w:top w:val="nil"/>
              <w:bottom w:val="single" w:sz="4" w:space="0" w:color="auto"/>
            </w:tcBorders>
          </w:tcPr>
          <w:p w14:paraId="20B6AE25" w14:textId="77777777" w:rsidR="00511786" w:rsidRPr="006311C5" w:rsidRDefault="00511786" w:rsidP="00511786">
            <w:pPr>
              <w:pStyle w:val="Tabletext"/>
              <w:jc w:val="center"/>
            </w:pPr>
            <w:r w:rsidRPr="006311C5">
              <w:t>259 (61.5)</w:t>
            </w:r>
          </w:p>
        </w:tc>
        <w:tc>
          <w:tcPr>
            <w:tcW w:w="1134" w:type="dxa"/>
            <w:tcBorders>
              <w:top w:val="nil"/>
              <w:bottom w:val="single" w:sz="4" w:space="0" w:color="auto"/>
            </w:tcBorders>
          </w:tcPr>
          <w:p w14:paraId="1B438674" w14:textId="77777777" w:rsidR="00511786" w:rsidRPr="006311C5" w:rsidRDefault="00511786" w:rsidP="00511786">
            <w:pPr>
              <w:pStyle w:val="Tabletext"/>
              <w:jc w:val="center"/>
            </w:pPr>
            <w:r w:rsidRPr="006311C5">
              <w:t>162 (38.5)</w:t>
            </w:r>
          </w:p>
        </w:tc>
      </w:tr>
      <w:tr w:rsidR="00511786" w:rsidRPr="006311C5" w14:paraId="28903462" w14:textId="77777777" w:rsidTr="6D5927AE">
        <w:trPr>
          <w:jc w:val="center"/>
        </w:trPr>
        <w:tc>
          <w:tcPr>
            <w:tcW w:w="2977" w:type="dxa"/>
            <w:vMerge w:val="restart"/>
          </w:tcPr>
          <w:p w14:paraId="29CEA2CD" w14:textId="77777777" w:rsidR="00511786" w:rsidRPr="006311C5" w:rsidRDefault="00511786" w:rsidP="00511786">
            <w:pPr>
              <w:pStyle w:val="Tabletext"/>
            </w:pPr>
            <w:r w:rsidRPr="006311C5">
              <w:t>Ethnicity</w:t>
            </w:r>
          </w:p>
        </w:tc>
        <w:tc>
          <w:tcPr>
            <w:tcW w:w="1418" w:type="dxa"/>
            <w:tcBorders>
              <w:bottom w:val="nil"/>
            </w:tcBorders>
          </w:tcPr>
          <w:p w14:paraId="77486BA2" w14:textId="77777777" w:rsidR="00511786" w:rsidRPr="006311C5" w:rsidRDefault="00511786" w:rsidP="00511786">
            <w:pPr>
              <w:pStyle w:val="Tabletext"/>
            </w:pPr>
            <w:r w:rsidRPr="006311C5">
              <w:t>White</w:t>
            </w:r>
          </w:p>
        </w:tc>
        <w:tc>
          <w:tcPr>
            <w:tcW w:w="1275" w:type="dxa"/>
            <w:tcBorders>
              <w:bottom w:val="nil"/>
            </w:tcBorders>
          </w:tcPr>
          <w:p w14:paraId="30562BE6" w14:textId="77777777" w:rsidR="00511786" w:rsidRPr="006311C5" w:rsidRDefault="00511786" w:rsidP="00511786">
            <w:pPr>
              <w:pStyle w:val="Tabletext"/>
              <w:jc w:val="center"/>
            </w:pPr>
            <w:r w:rsidRPr="006311C5">
              <w:t>209 (26.4)</w:t>
            </w:r>
          </w:p>
        </w:tc>
        <w:tc>
          <w:tcPr>
            <w:tcW w:w="1134" w:type="dxa"/>
            <w:tcBorders>
              <w:bottom w:val="nil"/>
            </w:tcBorders>
          </w:tcPr>
          <w:p w14:paraId="74DEEEBE" w14:textId="77777777" w:rsidR="00511786" w:rsidRPr="006311C5" w:rsidRDefault="00511786" w:rsidP="00511786">
            <w:pPr>
              <w:pStyle w:val="Tabletext"/>
              <w:jc w:val="center"/>
            </w:pPr>
            <w:r w:rsidRPr="006311C5">
              <w:t>582 (73.6)</w:t>
            </w:r>
          </w:p>
        </w:tc>
        <w:tc>
          <w:tcPr>
            <w:tcW w:w="1276" w:type="dxa"/>
            <w:tcBorders>
              <w:bottom w:val="nil"/>
            </w:tcBorders>
          </w:tcPr>
          <w:p w14:paraId="2779E736" w14:textId="77777777" w:rsidR="00511786" w:rsidRPr="006311C5" w:rsidRDefault="00511786" w:rsidP="00511786">
            <w:pPr>
              <w:pStyle w:val="Tabletext"/>
              <w:jc w:val="center"/>
            </w:pPr>
            <w:r w:rsidRPr="006311C5">
              <w:t>284 (35.9)</w:t>
            </w:r>
          </w:p>
        </w:tc>
        <w:tc>
          <w:tcPr>
            <w:tcW w:w="1134" w:type="dxa"/>
            <w:tcBorders>
              <w:bottom w:val="nil"/>
            </w:tcBorders>
          </w:tcPr>
          <w:p w14:paraId="0AA7C395" w14:textId="77777777" w:rsidR="00511786" w:rsidRPr="006311C5" w:rsidRDefault="00511786" w:rsidP="00511786">
            <w:pPr>
              <w:pStyle w:val="Tabletext"/>
              <w:jc w:val="center"/>
            </w:pPr>
            <w:r w:rsidRPr="006311C5">
              <w:t>508 (64.1)</w:t>
            </w:r>
          </w:p>
        </w:tc>
        <w:tc>
          <w:tcPr>
            <w:tcW w:w="1276" w:type="dxa"/>
            <w:tcBorders>
              <w:bottom w:val="nil"/>
            </w:tcBorders>
          </w:tcPr>
          <w:p w14:paraId="6106F11C" w14:textId="77777777" w:rsidR="00511786" w:rsidRPr="006311C5" w:rsidRDefault="00511786" w:rsidP="00511786">
            <w:pPr>
              <w:pStyle w:val="Tabletext"/>
              <w:jc w:val="center"/>
            </w:pPr>
            <w:r w:rsidRPr="006311C5">
              <w:t>377 (48.7)</w:t>
            </w:r>
          </w:p>
        </w:tc>
        <w:tc>
          <w:tcPr>
            <w:tcW w:w="1134" w:type="dxa"/>
            <w:tcBorders>
              <w:bottom w:val="nil"/>
            </w:tcBorders>
          </w:tcPr>
          <w:p w14:paraId="625CB209" w14:textId="77777777" w:rsidR="00511786" w:rsidRPr="006311C5" w:rsidRDefault="00511786" w:rsidP="00511786">
            <w:pPr>
              <w:pStyle w:val="Tabletext"/>
              <w:jc w:val="center"/>
            </w:pPr>
            <w:r w:rsidRPr="006311C5">
              <w:t>397 (51.3)</w:t>
            </w:r>
          </w:p>
        </w:tc>
        <w:tc>
          <w:tcPr>
            <w:tcW w:w="1276" w:type="dxa"/>
            <w:tcBorders>
              <w:bottom w:val="nil"/>
            </w:tcBorders>
          </w:tcPr>
          <w:p w14:paraId="1926EE92" w14:textId="77777777" w:rsidR="00511786" w:rsidRPr="006311C5" w:rsidRDefault="00511786" w:rsidP="00511786">
            <w:pPr>
              <w:pStyle w:val="Tabletext"/>
              <w:jc w:val="center"/>
            </w:pPr>
            <w:r w:rsidRPr="006311C5">
              <w:t>451 (58.2)</w:t>
            </w:r>
          </w:p>
        </w:tc>
        <w:tc>
          <w:tcPr>
            <w:tcW w:w="1134" w:type="dxa"/>
            <w:tcBorders>
              <w:bottom w:val="nil"/>
            </w:tcBorders>
          </w:tcPr>
          <w:p w14:paraId="059B0EB7" w14:textId="77777777" w:rsidR="00511786" w:rsidRPr="006311C5" w:rsidRDefault="00511786" w:rsidP="00511786">
            <w:pPr>
              <w:pStyle w:val="Tabletext"/>
              <w:jc w:val="center"/>
            </w:pPr>
            <w:r w:rsidRPr="006311C5">
              <w:t>324 (41.8)</w:t>
            </w:r>
          </w:p>
        </w:tc>
      </w:tr>
      <w:tr w:rsidR="00511786" w:rsidRPr="006311C5" w14:paraId="0A97639D" w14:textId="77777777" w:rsidTr="6D5927AE">
        <w:trPr>
          <w:jc w:val="center"/>
        </w:trPr>
        <w:tc>
          <w:tcPr>
            <w:tcW w:w="2977" w:type="dxa"/>
            <w:vMerge/>
          </w:tcPr>
          <w:p w14:paraId="3F366C64" w14:textId="77777777" w:rsidR="00511786" w:rsidRPr="006311C5" w:rsidRDefault="00511786" w:rsidP="00511786">
            <w:pPr>
              <w:pStyle w:val="Tabletext"/>
            </w:pPr>
          </w:p>
        </w:tc>
        <w:tc>
          <w:tcPr>
            <w:tcW w:w="1418" w:type="dxa"/>
            <w:tcBorders>
              <w:top w:val="nil"/>
              <w:bottom w:val="single" w:sz="4" w:space="0" w:color="auto"/>
            </w:tcBorders>
          </w:tcPr>
          <w:p w14:paraId="25E91B89" w14:textId="77777777" w:rsidR="00511786" w:rsidRPr="006311C5" w:rsidRDefault="00511786" w:rsidP="00511786">
            <w:pPr>
              <w:pStyle w:val="Tabletext"/>
            </w:pPr>
            <w:r w:rsidRPr="006311C5">
              <w:t>Other ethnic groups</w:t>
            </w:r>
          </w:p>
        </w:tc>
        <w:tc>
          <w:tcPr>
            <w:tcW w:w="1275" w:type="dxa"/>
            <w:tcBorders>
              <w:top w:val="nil"/>
              <w:bottom w:val="single" w:sz="4" w:space="0" w:color="auto"/>
            </w:tcBorders>
          </w:tcPr>
          <w:p w14:paraId="7AD21D20" w14:textId="77777777" w:rsidR="00511786" w:rsidRPr="006311C5" w:rsidRDefault="00511786" w:rsidP="00511786">
            <w:pPr>
              <w:pStyle w:val="Tabletext"/>
              <w:jc w:val="center"/>
            </w:pPr>
            <w:r w:rsidRPr="006311C5">
              <w:t>25 (22.9)</w:t>
            </w:r>
          </w:p>
        </w:tc>
        <w:tc>
          <w:tcPr>
            <w:tcW w:w="1134" w:type="dxa"/>
            <w:tcBorders>
              <w:top w:val="nil"/>
              <w:bottom w:val="single" w:sz="4" w:space="0" w:color="auto"/>
            </w:tcBorders>
          </w:tcPr>
          <w:p w14:paraId="69B443F7" w14:textId="77777777" w:rsidR="00511786" w:rsidRPr="006311C5" w:rsidRDefault="00511786" w:rsidP="00511786">
            <w:pPr>
              <w:pStyle w:val="Tabletext"/>
              <w:jc w:val="center"/>
            </w:pPr>
            <w:r w:rsidRPr="006311C5">
              <w:t>84 (77.1)</w:t>
            </w:r>
          </w:p>
        </w:tc>
        <w:tc>
          <w:tcPr>
            <w:tcW w:w="1276" w:type="dxa"/>
            <w:tcBorders>
              <w:top w:val="nil"/>
              <w:bottom w:val="single" w:sz="4" w:space="0" w:color="auto"/>
            </w:tcBorders>
          </w:tcPr>
          <w:p w14:paraId="43A057F0" w14:textId="77777777" w:rsidR="00511786" w:rsidRPr="006311C5" w:rsidRDefault="00511786" w:rsidP="00511786">
            <w:pPr>
              <w:pStyle w:val="Tabletext"/>
              <w:jc w:val="center"/>
            </w:pPr>
            <w:r w:rsidRPr="006311C5">
              <w:t>29 (26.6)</w:t>
            </w:r>
          </w:p>
        </w:tc>
        <w:tc>
          <w:tcPr>
            <w:tcW w:w="1134" w:type="dxa"/>
            <w:tcBorders>
              <w:top w:val="nil"/>
              <w:bottom w:val="single" w:sz="4" w:space="0" w:color="auto"/>
            </w:tcBorders>
          </w:tcPr>
          <w:p w14:paraId="795A59AA" w14:textId="6E5E756A" w:rsidR="00511786" w:rsidRPr="006311C5" w:rsidRDefault="00511786" w:rsidP="00511786">
            <w:pPr>
              <w:pStyle w:val="Tabletext"/>
              <w:jc w:val="center"/>
            </w:pPr>
            <w:r w:rsidRPr="006311C5">
              <w:t>80 (73.4)</w:t>
            </w:r>
          </w:p>
        </w:tc>
        <w:tc>
          <w:tcPr>
            <w:tcW w:w="1276" w:type="dxa"/>
            <w:tcBorders>
              <w:top w:val="nil"/>
              <w:bottom w:val="single" w:sz="4" w:space="0" w:color="auto"/>
            </w:tcBorders>
          </w:tcPr>
          <w:p w14:paraId="1A2ED9E7" w14:textId="77777777" w:rsidR="00511786" w:rsidRPr="006311C5" w:rsidRDefault="00511786" w:rsidP="00511786">
            <w:pPr>
              <w:pStyle w:val="Tabletext"/>
              <w:jc w:val="center"/>
            </w:pPr>
            <w:r w:rsidRPr="006311C5">
              <w:t>42 (38.9)</w:t>
            </w:r>
          </w:p>
        </w:tc>
        <w:tc>
          <w:tcPr>
            <w:tcW w:w="1134" w:type="dxa"/>
            <w:tcBorders>
              <w:top w:val="nil"/>
              <w:bottom w:val="single" w:sz="4" w:space="0" w:color="auto"/>
            </w:tcBorders>
          </w:tcPr>
          <w:p w14:paraId="126A323C" w14:textId="77777777" w:rsidR="00511786" w:rsidRPr="006311C5" w:rsidRDefault="00511786" w:rsidP="00511786">
            <w:pPr>
              <w:pStyle w:val="Tabletext"/>
              <w:jc w:val="center"/>
            </w:pPr>
            <w:r w:rsidRPr="006311C5">
              <w:t>66 (61.1)</w:t>
            </w:r>
          </w:p>
        </w:tc>
        <w:tc>
          <w:tcPr>
            <w:tcW w:w="1276" w:type="dxa"/>
            <w:tcBorders>
              <w:top w:val="nil"/>
              <w:bottom w:val="single" w:sz="4" w:space="0" w:color="auto"/>
            </w:tcBorders>
          </w:tcPr>
          <w:p w14:paraId="0F15EDEF" w14:textId="77777777" w:rsidR="00511786" w:rsidRPr="006311C5" w:rsidRDefault="00511786" w:rsidP="00511786">
            <w:pPr>
              <w:pStyle w:val="Tabletext"/>
              <w:jc w:val="center"/>
            </w:pPr>
            <w:r w:rsidRPr="006311C5">
              <w:t>50 (46.3)</w:t>
            </w:r>
          </w:p>
        </w:tc>
        <w:tc>
          <w:tcPr>
            <w:tcW w:w="1134" w:type="dxa"/>
            <w:tcBorders>
              <w:top w:val="nil"/>
              <w:bottom w:val="single" w:sz="4" w:space="0" w:color="auto"/>
            </w:tcBorders>
          </w:tcPr>
          <w:p w14:paraId="57559DE6" w14:textId="77777777" w:rsidR="00511786" w:rsidRPr="006311C5" w:rsidRDefault="00511786" w:rsidP="00511786">
            <w:pPr>
              <w:pStyle w:val="Tabletext"/>
              <w:jc w:val="center"/>
            </w:pPr>
            <w:r w:rsidRPr="006311C5">
              <w:t>58 (53.7)</w:t>
            </w:r>
          </w:p>
        </w:tc>
      </w:tr>
      <w:tr w:rsidR="00511786" w:rsidRPr="006311C5" w14:paraId="0418E4FA" w14:textId="77777777" w:rsidTr="6D5927AE">
        <w:trPr>
          <w:jc w:val="center"/>
        </w:trPr>
        <w:tc>
          <w:tcPr>
            <w:tcW w:w="2977" w:type="dxa"/>
            <w:vMerge w:val="restart"/>
          </w:tcPr>
          <w:p w14:paraId="6CD53674" w14:textId="77777777" w:rsidR="00511786" w:rsidRPr="006311C5" w:rsidRDefault="00511786" w:rsidP="00511786">
            <w:pPr>
              <w:pStyle w:val="Tabletext"/>
            </w:pPr>
            <w:r w:rsidRPr="006311C5">
              <w:t>At risk for COVID-19</w:t>
            </w:r>
          </w:p>
        </w:tc>
        <w:tc>
          <w:tcPr>
            <w:tcW w:w="1418" w:type="dxa"/>
            <w:tcBorders>
              <w:bottom w:val="nil"/>
            </w:tcBorders>
          </w:tcPr>
          <w:p w14:paraId="4A96F7BA" w14:textId="77777777" w:rsidR="00511786" w:rsidRPr="006311C5" w:rsidRDefault="00511786" w:rsidP="00511786">
            <w:pPr>
              <w:pStyle w:val="Tabletext"/>
            </w:pPr>
            <w:r w:rsidRPr="006311C5">
              <w:t>No</w:t>
            </w:r>
          </w:p>
        </w:tc>
        <w:tc>
          <w:tcPr>
            <w:tcW w:w="1275" w:type="dxa"/>
            <w:tcBorders>
              <w:bottom w:val="nil"/>
            </w:tcBorders>
          </w:tcPr>
          <w:p w14:paraId="1CAA7084" w14:textId="77777777" w:rsidR="00511786" w:rsidRPr="006311C5" w:rsidRDefault="00511786" w:rsidP="00511786">
            <w:pPr>
              <w:pStyle w:val="Tabletext"/>
              <w:jc w:val="center"/>
            </w:pPr>
            <w:r w:rsidRPr="006311C5">
              <w:t>187 (25.4)</w:t>
            </w:r>
          </w:p>
        </w:tc>
        <w:tc>
          <w:tcPr>
            <w:tcW w:w="1134" w:type="dxa"/>
            <w:tcBorders>
              <w:bottom w:val="nil"/>
            </w:tcBorders>
          </w:tcPr>
          <w:p w14:paraId="51AB388A" w14:textId="77777777" w:rsidR="00511786" w:rsidRPr="006311C5" w:rsidRDefault="00511786" w:rsidP="00511786">
            <w:pPr>
              <w:pStyle w:val="Tabletext"/>
              <w:jc w:val="center"/>
            </w:pPr>
            <w:r w:rsidRPr="006311C5">
              <w:t>548 (74.6)</w:t>
            </w:r>
          </w:p>
        </w:tc>
        <w:tc>
          <w:tcPr>
            <w:tcW w:w="1276" w:type="dxa"/>
            <w:tcBorders>
              <w:bottom w:val="nil"/>
            </w:tcBorders>
          </w:tcPr>
          <w:p w14:paraId="30A4F601" w14:textId="77777777" w:rsidR="00511786" w:rsidRPr="006311C5" w:rsidRDefault="00511786" w:rsidP="00511786">
            <w:pPr>
              <w:pStyle w:val="Tabletext"/>
              <w:jc w:val="center"/>
            </w:pPr>
            <w:r w:rsidRPr="006311C5">
              <w:t>244 (33.2)</w:t>
            </w:r>
          </w:p>
        </w:tc>
        <w:tc>
          <w:tcPr>
            <w:tcW w:w="1134" w:type="dxa"/>
            <w:tcBorders>
              <w:bottom w:val="nil"/>
            </w:tcBorders>
          </w:tcPr>
          <w:p w14:paraId="437E3F1B" w14:textId="77777777" w:rsidR="00511786" w:rsidRPr="006311C5" w:rsidRDefault="00511786" w:rsidP="00511786">
            <w:pPr>
              <w:pStyle w:val="Tabletext"/>
              <w:jc w:val="center"/>
            </w:pPr>
            <w:r w:rsidRPr="006311C5">
              <w:t>491 (66.8)</w:t>
            </w:r>
          </w:p>
        </w:tc>
        <w:tc>
          <w:tcPr>
            <w:tcW w:w="1276" w:type="dxa"/>
            <w:tcBorders>
              <w:bottom w:val="nil"/>
            </w:tcBorders>
          </w:tcPr>
          <w:p w14:paraId="5D47D83B" w14:textId="77777777" w:rsidR="00511786" w:rsidRPr="006311C5" w:rsidRDefault="00511786" w:rsidP="00511786">
            <w:pPr>
              <w:pStyle w:val="Tabletext"/>
              <w:jc w:val="center"/>
            </w:pPr>
            <w:r w:rsidRPr="006311C5">
              <w:t>341 (47.4)</w:t>
            </w:r>
          </w:p>
        </w:tc>
        <w:tc>
          <w:tcPr>
            <w:tcW w:w="1134" w:type="dxa"/>
            <w:tcBorders>
              <w:bottom w:val="nil"/>
            </w:tcBorders>
          </w:tcPr>
          <w:p w14:paraId="283F3F14" w14:textId="77777777" w:rsidR="00511786" w:rsidRPr="006311C5" w:rsidRDefault="00511786" w:rsidP="00511786">
            <w:pPr>
              <w:pStyle w:val="Tabletext"/>
              <w:jc w:val="center"/>
            </w:pPr>
            <w:r w:rsidRPr="006311C5">
              <w:t>379 (52.6)</w:t>
            </w:r>
          </w:p>
        </w:tc>
        <w:tc>
          <w:tcPr>
            <w:tcW w:w="1276" w:type="dxa"/>
            <w:tcBorders>
              <w:bottom w:val="nil"/>
            </w:tcBorders>
          </w:tcPr>
          <w:p w14:paraId="1D63AE78" w14:textId="77777777" w:rsidR="00511786" w:rsidRPr="006311C5" w:rsidRDefault="00511786" w:rsidP="00511786">
            <w:pPr>
              <w:pStyle w:val="Tabletext"/>
              <w:jc w:val="center"/>
            </w:pPr>
            <w:r w:rsidRPr="006311C5">
              <w:t>412 (57.2)</w:t>
            </w:r>
          </w:p>
        </w:tc>
        <w:tc>
          <w:tcPr>
            <w:tcW w:w="1134" w:type="dxa"/>
            <w:tcBorders>
              <w:bottom w:val="nil"/>
            </w:tcBorders>
          </w:tcPr>
          <w:p w14:paraId="14290105" w14:textId="77777777" w:rsidR="00511786" w:rsidRPr="006311C5" w:rsidRDefault="00511786" w:rsidP="00511786">
            <w:pPr>
              <w:pStyle w:val="Tabletext"/>
              <w:jc w:val="center"/>
            </w:pPr>
            <w:r w:rsidRPr="006311C5">
              <w:t>308 (42.8)</w:t>
            </w:r>
          </w:p>
        </w:tc>
      </w:tr>
      <w:tr w:rsidR="00511786" w:rsidRPr="006311C5" w14:paraId="24CEE4CD" w14:textId="77777777" w:rsidTr="6D5927AE">
        <w:trPr>
          <w:jc w:val="center"/>
        </w:trPr>
        <w:tc>
          <w:tcPr>
            <w:tcW w:w="2977" w:type="dxa"/>
            <w:vMerge/>
          </w:tcPr>
          <w:p w14:paraId="4A14FB39" w14:textId="77777777" w:rsidR="00511786" w:rsidRPr="006311C5" w:rsidRDefault="00511786" w:rsidP="00511786">
            <w:pPr>
              <w:pStyle w:val="Tabletext"/>
            </w:pPr>
          </w:p>
        </w:tc>
        <w:tc>
          <w:tcPr>
            <w:tcW w:w="1418" w:type="dxa"/>
            <w:tcBorders>
              <w:top w:val="nil"/>
              <w:bottom w:val="single" w:sz="4" w:space="0" w:color="auto"/>
            </w:tcBorders>
          </w:tcPr>
          <w:p w14:paraId="21F6A096" w14:textId="77777777" w:rsidR="00511786" w:rsidRPr="006311C5" w:rsidRDefault="00511786" w:rsidP="00511786">
            <w:pPr>
              <w:pStyle w:val="Tabletext"/>
            </w:pPr>
            <w:r w:rsidRPr="006311C5">
              <w:t xml:space="preserve">Yes </w:t>
            </w:r>
          </w:p>
        </w:tc>
        <w:tc>
          <w:tcPr>
            <w:tcW w:w="1275" w:type="dxa"/>
            <w:tcBorders>
              <w:top w:val="nil"/>
              <w:bottom w:val="single" w:sz="4" w:space="0" w:color="auto"/>
            </w:tcBorders>
          </w:tcPr>
          <w:p w14:paraId="0D7B5D08" w14:textId="77777777" w:rsidR="00511786" w:rsidRPr="006311C5" w:rsidRDefault="00511786" w:rsidP="00511786">
            <w:pPr>
              <w:pStyle w:val="Tabletext"/>
              <w:jc w:val="center"/>
            </w:pPr>
            <w:r w:rsidRPr="006311C5">
              <w:t>47 (28.5)</w:t>
            </w:r>
          </w:p>
        </w:tc>
        <w:tc>
          <w:tcPr>
            <w:tcW w:w="1134" w:type="dxa"/>
            <w:tcBorders>
              <w:top w:val="nil"/>
              <w:bottom w:val="single" w:sz="4" w:space="0" w:color="auto"/>
            </w:tcBorders>
          </w:tcPr>
          <w:p w14:paraId="50ACBAC5" w14:textId="77777777" w:rsidR="00511786" w:rsidRPr="006311C5" w:rsidRDefault="00511786" w:rsidP="00511786">
            <w:pPr>
              <w:pStyle w:val="Tabletext"/>
              <w:jc w:val="center"/>
            </w:pPr>
            <w:r w:rsidRPr="006311C5">
              <w:t>118 (71.5)</w:t>
            </w:r>
          </w:p>
        </w:tc>
        <w:tc>
          <w:tcPr>
            <w:tcW w:w="1276" w:type="dxa"/>
            <w:tcBorders>
              <w:top w:val="nil"/>
              <w:bottom w:val="single" w:sz="4" w:space="0" w:color="auto"/>
            </w:tcBorders>
          </w:tcPr>
          <w:p w14:paraId="0D86009F" w14:textId="77777777" w:rsidR="00511786" w:rsidRPr="006311C5" w:rsidRDefault="00511786" w:rsidP="00511786">
            <w:pPr>
              <w:pStyle w:val="Tabletext"/>
              <w:jc w:val="center"/>
            </w:pPr>
            <w:r w:rsidRPr="006311C5">
              <w:t>69 (41.6)</w:t>
            </w:r>
          </w:p>
        </w:tc>
        <w:tc>
          <w:tcPr>
            <w:tcW w:w="1134" w:type="dxa"/>
            <w:tcBorders>
              <w:top w:val="nil"/>
              <w:bottom w:val="single" w:sz="4" w:space="0" w:color="auto"/>
            </w:tcBorders>
          </w:tcPr>
          <w:p w14:paraId="68D27A33" w14:textId="77777777" w:rsidR="00511786" w:rsidRPr="006311C5" w:rsidRDefault="00511786" w:rsidP="00511786">
            <w:pPr>
              <w:pStyle w:val="Tabletext"/>
              <w:jc w:val="center"/>
            </w:pPr>
            <w:r w:rsidRPr="006311C5">
              <w:t>97 (58.4)</w:t>
            </w:r>
          </w:p>
        </w:tc>
        <w:tc>
          <w:tcPr>
            <w:tcW w:w="1276" w:type="dxa"/>
            <w:tcBorders>
              <w:top w:val="nil"/>
              <w:bottom w:val="single" w:sz="4" w:space="0" w:color="auto"/>
            </w:tcBorders>
          </w:tcPr>
          <w:p w14:paraId="6DA6D755" w14:textId="77777777" w:rsidR="00511786" w:rsidRPr="006311C5" w:rsidRDefault="00511786" w:rsidP="00511786">
            <w:pPr>
              <w:pStyle w:val="Tabletext"/>
              <w:jc w:val="center"/>
            </w:pPr>
            <w:r w:rsidRPr="006311C5">
              <w:t>78 (48.1)</w:t>
            </w:r>
          </w:p>
        </w:tc>
        <w:tc>
          <w:tcPr>
            <w:tcW w:w="1134" w:type="dxa"/>
            <w:tcBorders>
              <w:top w:val="nil"/>
              <w:bottom w:val="single" w:sz="4" w:space="0" w:color="auto"/>
            </w:tcBorders>
          </w:tcPr>
          <w:p w14:paraId="349FCBCB" w14:textId="77777777" w:rsidR="00511786" w:rsidRPr="006311C5" w:rsidRDefault="00511786" w:rsidP="00511786">
            <w:pPr>
              <w:pStyle w:val="Tabletext"/>
              <w:jc w:val="center"/>
            </w:pPr>
            <w:r w:rsidRPr="006311C5">
              <w:t>84 (51.9)</w:t>
            </w:r>
          </w:p>
        </w:tc>
        <w:tc>
          <w:tcPr>
            <w:tcW w:w="1276" w:type="dxa"/>
            <w:tcBorders>
              <w:top w:val="nil"/>
              <w:bottom w:val="single" w:sz="4" w:space="0" w:color="auto"/>
            </w:tcBorders>
          </w:tcPr>
          <w:p w14:paraId="715A0495" w14:textId="77777777" w:rsidR="00511786" w:rsidRPr="006311C5" w:rsidRDefault="00511786" w:rsidP="00511786">
            <w:pPr>
              <w:pStyle w:val="Tabletext"/>
              <w:jc w:val="center"/>
            </w:pPr>
            <w:r w:rsidRPr="006311C5">
              <w:t>89 (54.6)</w:t>
            </w:r>
          </w:p>
        </w:tc>
        <w:tc>
          <w:tcPr>
            <w:tcW w:w="1134" w:type="dxa"/>
            <w:tcBorders>
              <w:top w:val="nil"/>
              <w:bottom w:val="single" w:sz="4" w:space="0" w:color="auto"/>
            </w:tcBorders>
          </w:tcPr>
          <w:p w14:paraId="256EC02A" w14:textId="77777777" w:rsidR="00511786" w:rsidRPr="006311C5" w:rsidRDefault="00511786" w:rsidP="00511786">
            <w:pPr>
              <w:pStyle w:val="Tabletext"/>
              <w:jc w:val="center"/>
            </w:pPr>
            <w:r w:rsidRPr="006311C5">
              <w:t>74 (45.4)</w:t>
            </w:r>
          </w:p>
        </w:tc>
      </w:tr>
      <w:tr w:rsidR="00511786" w:rsidRPr="006311C5" w14:paraId="0C02B571" w14:textId="77777777" w:rsidTr="6D5927AE">
        <w:trPr>
          <w:jc w:val="center"/>
        </w:trPr>
        <w:tc>
          <w:tcPr>
            <w:tcW w:w="2977" w:type="dxa"/>
            <w:vMerge w:val="restart"/>
          </w:tcPr>
          <w:p w14:paraId="302C4246" w14:textId="77777777" w:rsidR="00511786" w:rsidRPr="006311C5" w:rsidRDefault="00511786" w:rsidP="00511786">
            <w:pPr>
              <w:pStyle w:val="Tabletext"/>
            </w:pPr>
            <w:r w:rsidRPr="006311C5">
              <w:t>Think previously or currently had COVID-19</w:t>
            </w:r>
          </w:p>
        </w:tc>
        <w:tc>
          <w:tcPr>
            <w:tcW w:w="1418" w:type="dxa"/>
            <w:tcBorders>
              <w:bottom w:val="nil"/>
            </w:tcBorders>
          </w:tcPr>
          <w:p w14:paraId="2CF73AF1" w14:textId="77777777" w:rsidR="00511786" w:rsidRPr="006311C5" w:rsidRDefault="00511786" w:rsidP="00511786">
            <w:pPr>
              <w:pStyle w:val="Tabletext"/>
            </w:pPr>
            <w:r w:rsidRPr="006311C5">
              <w:t>No</w:t>
            </w:r>
          </w:p>
        </w:tc>
        <w:tc>
          <w:tcPr>
            <w:tcW w:w="1275" w:type="dxa"/>
            <w:tcBorders>
              <w:bottom w:val="nil"/>
            </w:tcBorders>
          </w:tcPr>
          <w:p w14:paraId="239CFC48" w14:textId="77777777" w:rsidR="00511786" w:rsidRPr="006311C5" w:rsidRDefault="00511786" w:rsidP="00511786">
            <w:pPr>
              <w:pStyle w:val="Tabletext"/>
              <w:jc w:val="center"/>
            </w:pPr>
            <w:r w:rsidRPr="006311C5">
              <w:t>205 (26.8)</w:t>
            </w:r>
          </w:p>
        </w:tc>
        <w:tc>
          <w:tcPr>
            <w:tcW w:w="1134" w:type="dxa"/>
            <w:tcBorders>
              <w:bottom w:val="nil"/>
            </w:tcBorders>
          </w:tcPr>
          <w:p w14:paraId="588709A1" w14:textId="77777777" w:rsidR="00511786" w:rsidRPr="006311C5" w:rsidRDefault="00511786" w:rsidP="00511786">
            <w:pPr>
              <w:pStyle w:val="Tabletext"/>
              <w:jc w:val="center"/>
            </w:pPr>
            <w:r w:rsidRPr="006311C5">
              <w:t>559 (73.2)</w:t>
            </w:r>
          </w:p>
        </w:tc>
        <w:tc>
          <w:tcPr>
            <w:tcW w:w="1276" w:type="dxa"/>
            <w:tcBorders>
              <w:bottom w:val="nil"/>
            </w:tcBorders>
          </w:tcPr>
          <w:p w14:paraId="4F895D86" w14:textId="77777777" w:rsidR="00511786" w:rsidRPr="006311C5" w:rsidRDefault="00511786" w:rsidP="00511786">
            <w:pPr>
              <w:pStyle w:val="Tabletext"/>
              <w:jc w:val="center"/>
            </w:pPr>
            <w:r w:rsidRPr="006311C5">
              <w:t>277 (36.3)</w:t>
            </w:r>
          </w:p>
        </w:tc>
        <w:tc>
          <w:tcPr>
            <w:tcW w:w="1134" w:type="dxa"/>
            <w:tcBorders>
              <w:bottom w:val="nil"/>
            </w:tcBorders>
          </w:tcPr>
          <w:p w14:paraId="63D5B711" w14:textId="77777777" w:rsidR="00511786" w:rsidRPr="006311C5" w:rsidRDefault="00511786" w:rsidP="00511786">
            <w:pPr>
              <w:pStyle w:val="Tabletext"/>
              <w:jc w:val="center"/>
            </w:pPr>
            <w:r w:rsidRPr="006311C5">
              <w:t>487 (63.7)</w:t>
            </w:r>
          </w:p>
        </w:tc>
        <w:tc>
          <w:tcPr>
            <w:tcW w:w="1276" w:type="dxa"/>
            <w:tcBorders>
              <w:bottom w:val="nil"/>
            </w:tcBorders>
          </w:tcPr>
          <w:p w14:paraId="18DCFBC4" w14:textId="77777777" w:rsidR="00511786" w:rsidRPr="006311C5" w:rsidRDefault="00511786" w:rsidP="00511786">
            <w:pPr>
              <w:pStyle w:val="Tabletext"/>
              <w:jc w:val="center"/>
            </w:pPr>
            <w:r w:rsidRPr="006311C5">
              <w:t>369 (49.1)</w:t>
            </w:r>
          </w:p>
        </w:tc>
        <w:tc>
          <w:tcPr>
            <w:tcW w:w="1134" w:type="dxa"/>
            <w:tcBorders>
              <w:bottom w:val="nil"/>
            </w:tcBorders>
          </w:tcPr>
          <w:p w14:paraId="70B359F4" w14:textId="77777777" w:rsidR="00511786" w:rsidRPr="006311C5" w:rsidRDefault="00511786" w:rsidP="00511786">
            <w:pPr>
              <w:pStyle w:val="Tabletext"/>
              <w:jc w:val="center"/>
            </w:pPr>
            <w:r w:rsidRPr="006311C5">
              <w:t>383 (50.9)</w:t>
            </w:r>
          </w:p>
        </w:tc>
        <w:tc>
          <w:tcPr>
            <w:tcW w:w="1276" w:type="dxa"/>
            <w:tcBorders>
              <w:bottom w:val="nil"/>
            </w:tcBorders>
          </w:tcPr>
          <w:p w14:paraId="2B8ED7FC" w14:textId="77777777" w:rsidR="00511786" w:rsidRPr="006311C5" w:rsidRDefault="00511786" w:rsidP="00511786">
            <w:pPr>
              <w:pStyle w:val="Tabletext"/>
              <w:jc w:val="center"/>
            </w:pPr>
            <w:r w:rsidRPr="006311C5">
              <w:t>444 (59.0)</w:t>
            </w:r>
          </w:p>
        </w:tc>
        <w:tc>
          <w:tcPr>
            <w:tcW w:w="1134" w:type="dxa"/>
            <w:tcBorders>
              <w:bottom w:val="nil"/>
            </w:tcBorders>
          </w:tcPr>
          <w:p w14:paraId="22009938" w14:textId="77777777" w:rsidR="00511786" w:rsidRPr="006311C5" w:rsidRDefault="00511786" w:rsidP="00511786">
            <w:pPr>
              <w:pStyle w:val="Tabletext"/>
              <w:jc w:val="center"/>
            </w:pPr>
            <w:r w:rsidRPr="006311C5">
              <w:t>308 (41.0)</w:t>
            </w:r>
          </w:p>
        </w:tc>
      </w:tr>
      <w:tr w:rsidR="00511786" w:rsidRPr="006311C5" w14:paraId="4AE65BB3" w14:textId="77777777" w:rsidTr="6D5927AE">
        <w:trPr>
          <w:jc w:val="center"/>
        </w:trPr>
        <w:tc>
          <w:tcPr>
            <w:tcW w:w="2977" w:type="dxa"/>
            <w:vMerge/>
          </w:tcPr>
          <w:p w14:paraId="5EF75716" w14:textId="77777777" w:rsidR="00511786" w:rsidRPr="006311C5" w:rsidRDefault="00511786" w:rsidP="00511786">
            <w:pPr>
              <w:pStyle w:val="Tabletext"/>
            </w:pPr>
          </w:p>
        </w:tc>
        <w:tc>
          <w:tcPr>
            <w:tcW w:w="1418" w:type="dxa"/>
            <w:tcBorders>
              <w:top w:val="nil"/>
              <w:bottom w:val="single" w:sz="4" w:space="0" w:color="auto"/>
            </w:tcBorders>
          </w:tcPr>
          <w:p w14:paraId="51D4D92F" w14:textId="77777777" w:rsidR="00511786" w:rsidRPr="006311C5" w:rsidRDefault="00511786" w:rsidP="00511786">
            <w:pPr>
              <w:pStyle w:val="Tabletext"/>
            </w:pPr>
            <w:r w:rsidRPr="006311C5">
              <w:t xml:space="preserve">Yes </w:t>
            </w:r>
          </w:p>
        </w:tc>
        <w:tc>
          <w:tcPr>
            <w:tcW w:w="1275" w:type="dxa"/>
            <w:tcBorders>
              <w:top w:val="nil"/>
              <w:bottom w:val="single" w:sz="4" w:space="0" w:color="auto"/>
            </w:tcBorders>
          </w:tcPr>
          <w:p w14:paraId="6D9CB304" w14:textId="77777777" w:rsidR="00511786" w:rsidRPr="006311C5" w:rsidRDefault="00511786" w:rsidP="00511786">
            <w:pPr>
              <w:pStyle w:val="Tabletext"/>
              <w:jc w:val="center"/>
            </w:pPr>
            <w:r w:rsidRPr="006311C5">
              <w:t>29 (21.3)</w:t>
            </w:r>
          </w:p>
        </w:tc>
        <w:tc>
          <w:tcPr>
            <w:tcW w:w="1134" w:type="dxa"/>
            <w:tcBorders>
              <w:top w:val="nil"/>
              <w:bottom w:val="single" w:sz="4" w:space="0" w:color="auto"/>
            </w:tcBorders>
          </w:tcPr>
          <w:p w14:paraId="2F8CA394" w14:textId="77777777" w:rsidR="00511786" w:rsidRPr="006311C5" w:rsidRDefault="00511786" w:rsidP="00511786">
            <w:pPr>
              <w:pStyle w:val="Tabletext"/>
              <w:jc w:val="center"/>
            </w:pPr>
            <w:r w:rsidRPr="006311C5">
              <w:t>107 (78.7)</w:t>
            </w:r>
          </w:p>
        </w:tc>
        <w:tc>
          <w:tcPr>
            <w:tcW w:w="1276" w:type="dxa"/>
            <w:tcBorders>
              <w:top w:val="nil"/>
              <w:bottom w:val="single" w:sz="4" w:space="0" w:color="auto"/>
            </w:tcBorders>
          </w:tcPr>
          <w:p w14:paraId="416C39CF" w14:textId="77777777" w:rsidR="00511786" w:rsidRPr="006311C5" w:rsidRDefault="00511786" w:rsidP="00511786">
            <w:pPr>
              <w:pStyle w:val="Tabletext"/>
              <w:jc w:val="center"/>
            </w:pPr>
            <w:r w:rsidRPr="006311C5">
              <w:t>36 (26.3)</w:t>
            </w:r>
          </w:p>
        </w:tc>
        <w:tc>
          <w:tcPr>
            <w:tcW w:w="1134" w:type="dxa"/>
            <w:tcBorders>
              <w:top w:val="nil"/>
              <w:bottom w:val="single" w:sz="4" w:space="0" w:color="auto"/>
            </w:tcBorders>
          </w:tcPr>
          <w:p w14:paraId="6FF29A41" w14:textId="77777777" w:rsidR="00511786" w:rsidRPr="006311C5" w:rsidRDefault="00511786" w:rsidP="00511786">
            <w:pPr>
              <w:pStyle w:val="Tabletext"/>
              <w:jc w:val="center"/>
            </w:pPr>
            <w:r w:rsidRPr="006311C5">
              <w:t>101 (73.7)</w:t>
            </w:r>
          </w:p>
        </w:tc>
        <w:tc>
          <w:tcPr>
            <w:tcW w:w="1276" w:type="dxa"/>
            <w:tcBorders>
              <w:top w:val="nil"/>
              <w:bottom w:val="single" w:sz="4" w:space="0" w:color="auto"/>
            </w:tcBorders>
          </w:tcPr>
          <w:p w14:paraId="4914AA92" w14:textId="77777777" w:rsidR="00511786" w:rsidRPr="006311C5" w:rsidRDefault="00511786" w:rsidP="00511786">
            <w:pPr>
              <w:pStyle w:val="Tabletext"/>
              <w:jc w:val="center"/>
            </w:pPr>
            <w:r w:rsidRPr="006311C5">
              <w:t>50 (38.5)</w:t>
            </w:r>
          </w:p>
        </w:tc>
        <w:tc>
          <w:tcPr>
            <w:tcW w:w="1134" w:type="dxa"/>
            <w:tcBorders>
              <w:top w:val="nil"/>
              <w:bottom w:val="single" w:sz="4" w:space="0" w:color="auto"/>
            </w:tcBorders>
          </w:tcPr>
          <w:p w14:paraId="38E07FBA" w14:textId="77777777" w:rsidR="00511786" w:rsidRPr="006311C5" w:rsidRDefault="00511786" w:rsidP="00511786">
            <w:pPr>
              <w:pStyle w:val="Tabletext"/>
              <w:jc w:val="center"/>
            </w:pPr>
            <w:r w:rsidRPr="006311C5">
              <w:t>80 (61.5)</w:t>
            </w:r>
          </w:p>
        </w:tc>
        <w:tc>
          <w:tcPr>
            <w:tcW w:w="1276" w:type="dxa"/>
            <w:tcBorders>
              <w:top w:val="nil"/>
              <w:bottom w:val="single" w:sz="4" w:space="0" w:color="auto"/>
            </w:tcBorders>
          </w:tcPr>
          <w:p w14:paraId="1790D080" w14:textId="77777777" w:rsidR="00511786" w:rsidRPr="006311C5" w:rsidRDefault="00511786" w:rsidP="00511786">
            <w:pPr>
              <w:pStyle w:val="Tabletext"/>
              <w:jc w:val="center"/>
            </w:pPr>
            <w:r w:rsidRPr="006311C5">
              <w:t>57 (43.5)</w:t>
            </w:r>
          </w:p>
        </w:tc>
        <w:tc>
          <w:tcPr>
            <w:tcW w:w="1134" w:type="dxa"/>
            <w:tcBorders>
              <w:top w:val="nil"/>
              <w:bottom w:val="single" w:sz="4" w:space="0" w:color="auto"/>
            </w:tcBorders>
          </w:tcPr>
          <w:p w14:paraId="299B6E62" w14:textId="77777777" w:rsidR="00511786" w:rsidRPr="006311C5" w:rsidRDefault="00511786" w:rsidP="00511786">
            <w:pPr>
              <w:pStyle w:val="Tabletext"/>
              <w:jc w:val="center"/>
            </w:pPr>
            <w:r w:rsidRPr="006311C5">
              <w:t>74 (56.5)</w:t>
            </w:r>
          </w:p>
        </w:tc>
      </w:tr>
      <w:tr w:rsidR="00511786" w:rsidRPr="006311C5" w14:paraId="2A68CD25" w14:textId="77777777" w:rsidTr="6D5927AE">
        <w:trPr>
          <w:jc w:val="center"/>
        </w:trPr>
        <w:tc>
          <w:tcPr>
            <w:tcW w:w="2977" w:type="dxa"/>
            <w:vMerge w:val="restart"/>
          </w:tcPr>
          <w:p w14:paraId="0258C16A" w14:textId="77777777" w:rsidR="00511786" w:rsidRPr="006311C5" w:rsidRDefault="00511786" w:rsidP="00511786">
            <w:pPr>
              <w:pStyle w:val="Tabletext"/>
            </w:pPr>
            <w:r w:rsidRPr="006311C5">
              <w:t>Vaccine brand</w:t>
            </w:r>
          </w:p>
        </w:tc>
        <w:tc>
          <w:tcPr>
            <w:tcW w:w="1418" w:type="dxa"/>
            <w:tcBorders>
              <w:bottom w:val="nil"/>
            </w:tcBorders>
          </w:tcPr>
          <w:p w14:paraId="2200BBC1" w14:textId="77777777" w:rsidR="00511786" w:rsidRPr="006311C5" w:rsidRDefault="00511786" w:rsidP="00511786">
            <w:pPr>
              <w:pStyle w:val="Tabletext"/>
            </w:pPr>
            <w:r w:rsidRPr="006311C5">
              <w:t>Pfizer-BioNTech</w:t>
            </w:r>
          </w:p>
        </w:tc>
        <w:tc>
          <w:tcPr>
            <w:tcW w:w="1275" w:type="dxa"/>
            <w:tcBorders>
              <w:bottom w:val="nil"/>
            </w:tcBorders>
          </w:tcPr>
          <w:p w14:paraId="112F9018" w14:textId="77777777" w:rsidR="00511786" w:rsidRPr="006311C5" w:rsidRDefault="00511786" w:rsidP="00511786">
            <w:pPr>
              <w:pStyle w:val="Tabletext"/>
              <w:jc w:val="center"/>
            </w:pPr>
            <w:r w:rsidRPr="006311C5">
              <w:t>64 (17.9)</w:t>
            </w:r>
          </w:p>
        </w:tc>
        <w:tc>
          <w:tcPr>
            <w:tcW w:w="1134" w:type="dxa"/>
            <w:tcBorders>
              <w:bottom w:val="nil"/>
            </w:tcBorders>
          </w:tcPr>
          <w:p w14:paraId="68B79CF1" w14:textId="77777777" w:rsidR="00511786" w:rsidRPr="006311C5" w:rsidRDefault="00511786" w:rsidP="00511786">
            <w:pPr>
              <w:pStyle w:val="Tabletext"/>
              <w:jc w:val="center"/>
            </w:pPr>
            <w:r w:rsidRPr="006311C5">
              <w:t>293 (82.1)</w:t>
            </w:r>
          </w:p>
        </w:tc>
        <w:tc>
          <w:tcPr>
            <w:tcW w:w="1276" w:type="dxa"/>
            <w:tcBorders>
              <w:bottom w:val="nil"/>
            </w:tcBorders>
          </w:tcPr>
          <w:p w14:paraId="670CBA8A" w14:textId="77777777" w:rsidR="00511786" w:rsidRPr="006311C5" w:rsidRDefault="00511786" w:rsidP="00511786">
            <w:pPr>
              <w:pStyle w:val="Tabletext"/>
              <w:jc w:val="center"/>
            </w:pPr>
            <w:r w:rsidRPr="006311C5">
              <w:t>142 (39.8)</w:t>
            </w:r>
          </w:p>
        </w:tc>
        <w:tc>
          <w:tcPr>
            <w:tcW w:w="1134" w:type="dxa"/>
            <w:tcBorders>
              <w:bottom w:val="nil"/>
            </w:tcBorders>
          </w:tcPr>
          <w:p w14:paraId="6E5D3D09" w14:textId="77777777" w:rsidR="00511786" w:rsidRPr="006311C5" w:rsidRDefault="00511786" w:rsidP="00511786">
            <w:pPr>
              <w:pStyle w:val="Tabletext"/>
              <w:jc w:val="center"/>
            </w:pPr>
            <w:r w:rsidRPr="006311C5">
              <w:t>215 (60.2)</w:t>
            </w:r>
          </w:p>
        </w:tc>
        <w:tc>
          <w:tcPr>
            <w:tcW w:w="1276" w:type="dxa"/>
            <w:tcBorders>
              <w:bottom w:val="nil"/>
            </w:tcBorders>
          </w:tcPr>
          <w:p w14:paraId="09FB7A9C" w14:textId="77777777" w:rsidR="00511786" w:rsidRPr="006311C5" w:rsidRDefault="00511786" w:rsidP="00511786">
            <w:pPr>
              <w:pStyle w:val="Tabletext"/>
              <w:jc w:val="center"/>
            </w:pPr>
            <w:r w:rsidRPr="006311C5">
              <w:t>128 (36.9)</w:t>
            </w:r>
          </w:p>
        </w:tc>
        <w:tc>
          <w:tcPr>
            <w:tcW w:w="1134" w:type="dxa"/>
            <w:tcBorders>
              <w:bottom w:val="nil"/>
            </w:tcBorders>
          </w:tcPr>
          <w:p w14:paraId="0F9B5B5C" w14:textId="77777777" w:rsidR="00511786" w:rsidRPr="006311C5" w:rsidRDefault="00511786" w:rsidP="00511786">
            <w:pPr>
              <w:pStyle w:val="Tabletext"/>
              <w:jc w:val="center"/>
            </w:pPr>
            <w:r w:rsidRPr="006311C5">
              <w:t>219 (63.1)</w:t>
            </w:r>
          </w:p>
        </w:tc>
        <w:tc>
          <w:tcPr>
            <w:tcW w:w="1276" w:type="dxa"/>
            <w:tcBorders>
              <w:bottom w:val="nil"/>
            </w:tcBorders>
          </w:tcPr>
          <w:p w14:paraId="560CA419" w14:textId="77777777" w:rsidR="00511786" w:rsidRPr="006311C5" w:rsidRDefault="00511786" w:rsidP="00511786">
            <w:pPr>
              <w:pStyle w:val="Tabletext"/>
              <w:jc w:val="center"/>
            </w:pPr>
            <w:r w:rsidRPr="006311C5">
              <w:t>176 (50.7)</w:t>
            </w:r>
          </w:p>
        </w:tc>
        <w:tc>
          <w:tcPr>
            <w:tcW w:w="1134" w:type="dxa"/>
            <w:tcBorders>
              <w:bottom w:val="nil"/>
            </w:tcBorders>
          </w:tcPr>
          <w:p w14:paraId="3E003E74" w14:textId="77777777" w:rsidR="00511786" w:rsidRPr="006311C5" w:rsidRDefault="00511786" w:rsidP="00511786">
            <w:pPr>
              <w:pStyle w:val="Tabletext"/>
              <w:jc w:val="center"/>
            </w:pPr>
            <w:r w:rsidRPr="006311C5">
              <w:t>171 (49.3)</w:t>
            </w:r>
          </w:p>
        </w:tc>
      </w:tr>
      <w:tr w:rsidR="00511786" w:rsidRPr="006311C5" w14:paraId="4A606D67" w14:textId="77777777" w:rsidTr="6D5927AE">
        <w:trPr>
          <w:jc w:val="center"/>
        </w:trPr>
        <w:tc>
          <w:tcPr>
            <w:tcW w:w="2977" w:type="dxa"/>
            <w:vMerge/>
          </w:tcPr>
          <w:p w14:paraId="1192D897" w14:textId="77777777" w:rsidR="00511786" w:rsidRPr="006311C5" w:rsidRDefault="00511786" w:rsidP="00511786">
            <w:pPr>
              <w:pStyle w:val="Tabletext"/>
            </w:pPr>
          </w:p>
        </w:tc>
        <w:tc>
          <w:tcPr>
            <w:tcW w:w="1418" w:type="dxa"/>
            <w:tcBorders>
              <w:top w:val="nil"/>
              <w:bottom w:val="nil"/>
            </w:tcBorders>
          </w:tcPr>
          <w:p w14:paraId="498BCBA8" w14:textId="77777777" w:rsidR="00511786" w:rsidRPr="006311C5" w:rsidRDefault="00511786" w:rsidP="00511786">
            <w:pPr>
              <w:pStyle w:val="Tabletext"/>
            </w:pPr>
            <w:r w:rsidRPr="006311C5">
              <w:t>AstraZeneca</w:t>
            </w:r>
          </w:p>
        </w:tc>
        <w:tc>
          <w:tcPr>
            <w:tcW w:w="1275" w:type="dxa"/>
            <w:tcBorders>
              <w:top w:val="nil"/>
              <w:bottom w:val="nil"/>
            </w:tcBorders>
          </w:tcPr>
          <w:p w14:paraId="1310CBB8" w14:textId="77777777" w:rsidR="00511786" w:rsidRPr="006311C5" w:rsidRDefault="00511786" w:rsidP="00511786">
            <w:pPr>
              <w:pStyle w:val="Tabletext"/>
              <w:jc w:val="center"/>
            </w:pPr>
            <w:r w:rsidRPr="006311C5">
              <w:t>168 (32.4)</w:t>
            </w:r>
          </w:p>
        </w:tc>
        <w:tc>
          <w:tcPr>
            <w:tcW w:w="1134" w:type="dxa"/>
            <w:tcBorders>
              <w:top w:val="nil"/>
              <w:bottom w:val="nil"/>
            </w:tcBorders>
          </w:tcPr>
          <w:p w14:paraId="0664039A" w14:textId="77777777" w:rsidR="00511786" w:rsidRPr="006311C5" w:rsidRDefault="00511786" w:rsidP="00511786">
            <w:pPr>
              <w:pStyle w:val="Tabletext"/>
              <w:jc w:val="center"/>
            </w:pPr>
            <w:r w:rsidRPr="006311C5">
              <w:t>350 (67.6)</w:t>
            </w:r>
          </w:p>
        </w:tc>
        <w:tc>
          <w:tcPr>
            <w:tcW w:w="1276" w:type="dxa"/>
            <w:tcBorders>
              <w:top w:val="nil"/>
              <w:bottom w:val="nil"/>
            </w:tcBorders>
          </w:tcPr>
          <w:p w14:paraId="45EACF6F" w14:textId="77777777" w:rsidR="00511786" w:rsidRPr="006311C5" w:rsidRDefault="00511786" w:rsidP="00511786">
            <w:pPr>
              <w:pStyle w:val="Tabletext"/>
              <w:jc w:val="center"/>
            </w:pPr>
            <w:r w:rsidRPr="006311C5">
              <w:t>164 (31.6)</w:t>
            </w:r>
          </w:p>
        </w:tc>
        <w:tc>
          <w:tcPr>
            <w:tcW w:w="1134" w:type="dxa"/>
            <w:tcBorders>
              <w:top w:val="nil"/>
              <w:bottom w:val="nil"/>
            </w:tcBorders>
          </w:tcPr>
          <w:p w14:paraId="5C24C0C5" w14:textId="77777777" w:rsidR="00511786" w:rsidRPr="006311C5" w:rsidRDefault="00511786" w:rsidP="00511786">
            <w:pPr>
              <w:pStyle w:val="Tabletext"/>
              <w:jc w:val="center"/>
            </w:pPr>
            <w:r w:rsidRPr="006311C5">
              <w:t>355 (68.4)</w:t>
            </w:r>
          </w:p>
        </w:tc>
        <w:tc>
          <w:tcPr>
            <w:tcW w:w="1276" w:type="dxa"/>
            <w:tcBorders>
              <w:top w:val="nil"/>
              <w:bottom w:val="nil"/>
            </w:tcBorders>
          </w:tcPr>
          <w:p w14:paraId="0904318B" w14:textId="77777777" w:rsidR="00511786" w:rsidRPr="006311C5" w:rsidRDefault="00511786" w:rsidP="00511786">
            <w:pPr>
              <w:pStyle w:val="Tabletext"/>
              <w:jc w:val="center"/>
            </w:pPr>
            <w:r w:rsidRPr="006311C5">
              <w:t>287 (56.1)</w:t>
            </w:r>
          </w:p>
        </w:tc>
        <w:tc>
          <w:tcPr>
            <w:tcW w:w="1134" w:type="dxa"/>
            <w:tcBorders>
              <w:top w:val="nil"/>
              <w:bottom w:val="nil"/>
            </w:tcBorders>
          </w:tcPr>
          <w:p w14:paraId="00ED4B29" w14:textId="77777777" w:rsidR="00511786" w:rsidRPr="006311C5" w:rsidRDefault="00511786" w:rsidP="00511786">
            <w:pPr>
              <w:pStyle w:val="Tabletext"/>
              <w:jc w:val="center"/>
            </w:pPr>
            <w:r w:rsidRPr="006311C5">
              <w:t>225 (43.9)</w:t>
            </w:r>
          </w:p>
        </w:tc>
        <w:tc>
          <w:tcPr>
            <w:tcW w:w="1276" w:type="dxa"/>
            <w:tcBorders>
              <w:top w:val="nil"/>
              <w:bottom w:val="nil"/>
            </w:tcBorders>
          </w:tcPr>
          <w:p w14:paraId="2A691712" w14:textId="77777777" w:rsidR="00511786" w:rsidRPr="006311C5" w:rsidRDefault="00511786" w:rsidP="00511786">
            <w:pPr>
              <w:pStyle w:val="Tabletext"/>
              <w:jc w:val="center"/>
            </w:pPr>
            <w:r w:rsidRPr="006311C5">
              <w:t>322 (62.8)</w:t>
            </w:r>
          </w:p>
        </w:tc>
        <w:tc>
          <w:tcPr>
            <w:tcW w:w="1134" w:type="dxa"/>
            <w:tcBorders>
              <w:top w:val="nil"/>
              <w:bottom w:val="nil"/>
            </w:tcBorders>
          </w:tcPr>
          <w:p w14:paraId="1CA6E9B4" w14:textId="77777777" w:rsidR="00511786" w:rsidRPr="006311C5" w:rsidRDefault="00511786" w:rsidP="00511786">
            <w:pPr>
              <w:pStyle w:val="Tabletext"/>
              <w:jc w:val="center"/>
            </w:pPr>
            <w:r w:rsidRPr="006311C5">
              <w:t>191 (37.2)</w:t>
            </w:r>
          </w:p>
        </w:tc>
      </w:tr>
      <w:tr w:rsidR="00511786" w:rsidRPr="006311C5" w14:paraId="7EDC784B" w14:textId="77777777" w:rsidTr="6D5927AE">
        <w:trPr>
          <w:jc w:val="center"/>
        </w:trPr>
        <w:tc>
          <w:tcPr>
            <w:tcW w:w="2977" w:type="dxa"/>
            <w:vMerge/>
          </w:tcPr>
          <w:p w14:paraId="7051E3CA" w14:textId="77777777" w:rsidR="00511786" w:rsidRPr="006311C5" w:rsidRDefault="00511786" w:rsidP="00511786">
            <w:pPr>
              <w:pStyle w:val="Tabletext"/>
            </w:pPr>
          </w:p>
        </w:tc>
        <w:tc>
          <w:tcPr>
            <w:tcW w:w="1418" w:type="dxa"/>
            <w:tcBorders>
              <w:top w:val="nil"/>
              <w:bottom w:val="single" w:sz="12" w:space="0" w:color="auto"/>
            </w:tcBorders>
          </w:tcPr>
          <w:p w14:paraId="109CBCF7" w14:textId="77777777" w:rsidR="00511786" w:rsidRPr="006311C5" w:rsidRDefault="00511786" w:rsidP="00511786">
            <w:pPr>
              <w:pStyle w:val="Tabletext"/>
            </w:pPr>
            <w:r w:rsidRPr="006311C5">
              <w:t>Moderna</w:t>
            </w:r>
          </w:p>
        </w:tc>
        <w:tc>
          <w:tcPr>
            <w:tcW w:w="1275" w:type="dxa"/>
            <w:tcBorders>
              <w:top w:val="nil"/>
              <w:bottom w:val="single" w:sz="12" w:space="0" w:color="auto"/>
            </w:tcBorders>
          </w:tcPr>
          <w:p w14:paraId="6809F784" w14:textId="77777777" w:rsidR="00511786" w:rsidRPr="006311C5" w:rsidRDefault="00511786" w:rsidP="00511786">
            <w:pPr>
              <w:pStyle w:val="Tabletext"/>
              <w:jc w:val="center"/>
            </w:pPr>
            <w:r w:rsidRPr="006311C5">
              <w:t>2 (8.0)</w:t>
            </w:r>
          </w:p>
        </w:tc>
        <w:tc>
          <w:tcPr>
            <w:tcW w:w="1134" w:type="dxa"/>
            <w:tcBorders>
              <w:top w:val="nil"/>
              <w:bottom w:val="single" w:sz="12" w:space="0" w:color="auto"/>
            </w:tcBorders>
          </w:tcPr>
          <w:p w14:paraId="61696E19" w14:textId="77777777" w:rsidR="00511786" w:rsidRPr="006311C5" w:rsidRDefault="00511786" w:rsidP="00511786">
            <w:pPr>
              <w:pStyle w:val="Tabletext"/>
              <w:jc w:val="center"/>
            </w:pPr>
            <w:r w:rsidRPr="006311C5">
              <w:t>23 (92.0)</w:t>
            </w:r>
          </w:p>
        </w:tc>
        <w:tc>
          <w:tcPr>
            <w:tcW w:w="1276" w:type="dxa"/>
            <w:tcBorders>
              <w:top w:val="nil"/>
              <w:bottom w:val="single" w:sz="12" w:space="0" w:color="auto"/>
            </w:tcBorders>
          </w:tcPr>
          <w:p w14:paraId="24B1AB8C" w14:textId="38CB5387" w:rsidR="00511786" w:rsidRPr="006311C5" w:rsidRDefault="00511786" w:rsidP="00511786">
            <w:pPr>
              <w:pStyle w:val="Tabletext"/>
              <w:jc w:val="center"/>
            </w:pPr>
            <w:r w:rsidRPr="006311C5">
              <w:t>7 (28.0)</w:t>
            </w:r>
          </w:p>
        </w:tc>
        <w:tc>
          <w:tcPr>
            <w:tcW w:w="1134" w:type="dxa"/>
            <w:tcBorders>
              <w:top w:val="nil"/>
              <w:bottom w:val="single" w:sz="12" w:space="0" w:color="auto"/>
            </w:tcBorders>
          </w:tcPr>
          <w:p w14:paraId="4F0ED401" w14:textId="77777777" w:rsidR="00511786" w:rsidRPr="006311C5" w:rsidRDefault="00511786" w:rsidP="00511786">
            <w:pPr>
              <w:pStyle w:val="Tabletext"/>
              <w:jc w:val="center"/>
            </w:pPr>
            <w:r w:rsidRPr="006311C5">
              <w:t>18 (72.0)</w:t>
            </w:r>
          </w:p>
        </w:tc>
        <w:tc>
          <w:tcPr>
            <w:tcW w:w="1276" w:type="dxa"/>
            <w:tcBorders>
              <w:top w:val="nil"/>
              <w:bottom w:val="single" w:sz="12" w:space="0" w:color="auto"/>
            </w:tcBorders>
          </w:tcPr>
          <w:p w14:paraId="06E80268" w14:textId="77777777" w:rsidR="00511786" w:rsidRPr="006311C5" w:rsidRDefault="00511786" w:rsidP="00511786">
            <w:pPr>
              <w:pStyle w:val="Tabletext"/>
              <w:jc w:val="center"/>
            </w:pPr>
            <w:r w:rsidRPr="006311C5">
              <w:t>4 (17.4 (4)</w:t>
            </w:r>
          </w:p>
        </w:tc>
        <w:tc>
          <w:tcPr>
            <w:tcW w:w="1134" w:type="dxa"/>
            <w:tcBorders>
              <w:top w:val="nil"/>
              <w:bottom w:val="single" w:sz="12" w:space="0" w:color="auto"/>
            </w:tcBorders>
          </w:tcPr>
          <w:p w14:paraId="0DB113AB" w14:textId="77777777" w:rsidR="00511786" w:rsidRPr="006311C5" w:rsidRDefault="00511786" w:rsidP="00511786">
            <w:pPr>
              <w:pStyle w:val="Tabletext"/>
              <w:jc w:val="center"/>
            </w:pPr>
            <w:r w:rsidRPr="006311C5">
              <w:t>19 (82.6)</w:t>
            </w:r>
          </w:p>
        </w:tc>
        <w:tc>
          <w:tcPr>
            <w:tcW w:w="1276" w:type="dxa"/>
            <w:tcBorders>
              <w:top w:val="nil"/>
              <w:bottom w:val="single" w:sz="12" w:space="0" w:color="auto"/>
            </w:tcBorders>
          </w:tcPr>
          <w:p w14:paraId="5D4C5053" w14:textId="77777777" w:rsidR="00511786" w:rsidRPr="006311C5" w:rsidRDefault="00511786" w:rsidP="00511786">
            <w:pPr>
              <w:pStyle w:val="Tabletext"/>
              <w:jc w:val="center"/>
            </w:pPr>
            <w:r w:rsidRPr="006311C5">
              <w:t>3 (13.0)</w:t>
            </w:r>
          </w:p>
        </w:tc>
        <w:tc>
          <w:tcPr>
            <w:tcW w:w="1134" w:type="dxa"/>
            <w:tcBorders>
              <w:top w:val="nil"/>
              <w:bottom w:val="single" w:sz="12" w:space="0" w:color="auto"/>
            </w:tcBorders>
          </w:tcPr>
          <w:p w14:paraId="53B26BC0" w14:textId="77777777" w:rsidR="00511786" w:rsidRPr="006311C5" w:rsidRDefault="00511786" w:rsidP="00511786">
            <w:pPr>
              <w:pStyle w:val="Tabletext"/>
              <w:jc w:val="center"/>
            </w:pPr>
            <w:r w:rsidRPr="006311C5">
              <w:t>20 (87.0)</w:t>
            </w:r>
          </w:p>
        </w:tc>
      </w:tr>
      <w:tr w:rsidR="00511786" w:rsidRPr="006311C5" w14:paraId="4C436132" w14:textId="77777777" w:rsidTr="6D5927AE">
        <w:trPr>
          <w:jc w:val="center"/>
        </w:trPr>
        <w:tc>
          <w:tcPr>
            <w:tcW w:w="2977" w:type="dxa"/>
            <w:tcBorders>
              <w:top w:val="single" w:sz="12" w:space="0" w:color="auto"/>
            </w:tcBorders>
          </w:tcPr>
          <w:p w14:paraId="6AFFC363" w14:textId="77777777" w:rsidR="00511786" w:rsidRPr="006311C5" w:rsidRDefault="00511786" w:rsidP="00511786">
            <w:pPr>
              <w:pStyle w:val="Tabletext"/>
            </w:pPr>
            <w:r w:rsidRPr="006311C5">
              <w:t>I am afraid of needles (0–10, strongly disagree to strongly agree); mean (SD)</w:t>
            </w:r>
          </w:p>
        </w:tc>
        <w:tc>
          <w:tcPr>
            <w:tcW w:w="1418" w:type="dxa"/>
            <w:tcBorders>
              <w:top w:val="single" w:sz="12" w:space="0" w:color="auto"/>
            </w:tcBorders>
          </w:tcPr>
          <w:p w14:paraId="70F7ADC4" w14:textId="77777777" w:rsidR="00511786" w:rsidRPr="006311C5" w:rsidRDefault="00511786" w:rsidP="00511786">
            <w:pPr>
              <w:pStyle w:val="Tabletext"/>
            </w:pPr>
          </w:p>
        </w:tc>
        <w:tc>
          <w:tcPr>
            <w:tcW w:w="1275" w:type="dxa"/>
            <w:tcBorders>
              <w:top w:val="single" w:sz="12" w:space="0" w:color="auto"/>
            </w:tcBorders>
          </w:tcPr>
          <w:p w14:paraId="68D21B55" w14:textId="77777777" w:rsidR="00511786" w:rsidRPr="006311C5" w:rsidRDefault="00511786" w:rsidP="00511786">
            <w:pPr>
              <w:pStyle w:val="Tabletext"/>
              <w:jc w:val="center"/>
            </w:pPr>
            <w:r w:rsidRPr="006311C5">
              <w:t>2.2 (3.1)</w:t>
            </w:r>
          </w:p>
        </w:tc>
        <w:tc>
          <w:tcPr>
            <w:tcW w:w="1134" w:type="dxa"/>
            <w:tcBorders>
              <w:top w:val="single" w:sz="12" w:space="0" w:color="auto"/>
            </w:tcBorders>
          </w:tcPr>
          <w:p w14:paraId="5F6F71B4" w14:textId="77777777" w:rsidR="00511786" w:rsidRPr="006311C5" w:rsidRDefault="00511786" w:rsidP="00511786">
            <w:pPr>
              <w:pStyle w:val="Tabletext"/>
              <w:jc w:val="center"/>
            </w:pPr>
            <w:r w:rsidRPr="006311C5">
              <w:t>2.8 (3.3)</w:t>
            </w:r>
          </w:p>
        </w:tc>
        <w:tc>
          <w:tcPr>
            <w:tcW w:w="1276" w:type="dxa"/>
            <w:tcBorders>
              <w:top w:val="single" w:sz="12" w:space="0" w:color="auto"/>
            </w:tcBorders>
          </w:tcPr>
          <w:p w14:paraId="516A00D3" w14:textId="77777777" w:rsidR="00511786" w:rsidRPr="006311C5" w:rsidRDefault="00511786" w:rsidP="00511786">
            <w:pPr>
              <w:pStyle w:val="Tabletext"/>
              <w:jc w:val="center"/>
            </w:pPr>
            <w:r w:rsidRPr="006311C5">
              <w:t>2.3 (3.2)</w:t>
            </w:r>
          </w:p>
        </w:tc>
        <w:tc>
          <w:tcPr>
            <w:tcW w:w="1134" w:type="dxa"/>
            <w:tcBorders>
              <w:top w:val="single" w:sz="12" w:space="0" w:color="auto"/>
            </w:tcBorders>
          </w:tcPr>
          <w:p w14:paraId="6AAE70D9" w14:textId="77777777" w:rsidR="00511786" w:rsidRPr="006311C5" w:rsidRDefault="00511786" w:rsidP="00511786">
            <w:pPr>
              <w:pStyle w:val="Tabletext"/>
              <w:jc w:val="center"/>
            </w:pPr>
            <w:r w:rsidRPr="006311C5">
              <w:t>2.8 (3.3)</w:t>
            </w:r>
          </w:p>
        </w:tc>
        <w:tc>
          <w:tcPr>
            <w:tcW w:w="1276" w:type="dxa"/>
            <w:tcBorders>
              <w:top w:val="single" w:sz="12" w:space="0" w:color="auto"/>
            </w:tcBorders>
          </w:tcPr>
          <w:p w14:paraId="412C18A3" w14:textId="77777777" w:rsidR="00511786" w:rsidRPr="006311C5" w:rsidRDefault="00511786" w:rsidP="00511786">
            <w:pPr>
              <w:pStyle w:val="Tabletext"/>
              <w:jc w:val="center"/>
            </w:pPr>
            <w:r w:rsidRPr="006311C5">
              <w:t>2.4 (3.2)</w:t>
            </w:r>
          </w:p>
        </w:tc>
        <w:tc>
          <w:tcPr>
            <w:tcW w:w="1134" w:type="dxa"/>
            <w:tcBorders>
              <w:top w:val="single" w:sz="12" w:space="0" w:color="auto"/>
            </w:tcBorders>
          </w:tcPr>
          <w:p w14:paraId="53B9FCF4" w14:textId="77777777" w:rsidR="00511786" w:rsidRPr="006311C5" w:rsidRDefault="00511786" w:rsidP="00511786">
            <w:pPr>
              <w:pStyle w:val="Tabletext"/>
              <w:jc w:val="center"/>
            </w:pPr>
            <w:r w:rsidRPr="006311C5">
              <w:t>2.8 (3.4)</w:t>
            </w:r>
          </w:p>
        </w:tc>
        <w:tc>
          <w:tcPr>
            <w:tcW w:w="1276" w:type="dxa"/>
            <w:tcBorders>
              <w:top w:val="single" w:sz="12" w:space="0" w:color="auto"/>
            </w:tcBorders>
          </w:tcPr>
          <w:p w14:paraId="212A1162" w14:textId="77777777" w:rsidR="00511786" w:rsidRPr="006311C5" w:rsidRDefault="00511786" w:rsidP="00511786">
            <w:pPr>
              <w:pStyle w:val="Tabletext"/>
              <w:jc w:val="center"/>
            </w:pPr>
            <w:r w:rsidRPr="006311C5">
              <w:t>2.5 (3.3)</w:t>
            </w:r>
          </w:p>
        </w:tc>
        <w:tc>
          <w:tcPr>
            <w:tcW w:w="1134" w:type="dxa"/>
            <w:tcBorders>
              <w:top w:val="single" w:sz="12" w:space="0" w:color="auto"/>
            </w:tcBorders>
          </w:tcPr>
          <w:p w14:paraId="65E98FED" w14:textId="77777777" w:rsidR="00511786" w:rsidRPr="006311C5" w:rsidRDefault="00511786" w:rsidP="00511786">
            <w:pPr>
              <w:pStyle w:val="Tabletext"/>
              <w:jc w:val="center"/>
            </w:pPr>
            <w:r w:rsidRPr="006311C5">
              <w:t>2.8 (3.3)</w:t>
            </w:r>
          </w:p>
        </w:tc>
      </w:tr>
      <w:tr w:rsidR="00511786" w:rsidRPr="006311C5" w14:paraId="272E9AB3" w14:textId="77777777" w:rsidTr="00B46A41">
        <w:trPr>
          <w:jc w:val="center"/>
        </w:trPr>
        <w:tc>
          <w:tcPr>
            <w:tcW w:w="2977" w:type="dxa"/>
            <w:tcBorders>
              <w:bottom w:val="single" w:sz="12" w:space="0" w:color="auto"/>
            </w:tcBorders>
          </w:tcPr>
          <w:p w14:paraId="4FF49CCC" w14:textId="77777777" w:rsidR="00511786" w:rsidRPr="006311C5" w:rsidRDefault="00511786" w:rsidP="00511786">
            <w:pPr>
              <w:pStyle w:val="Tabletext"/>
            </w:pPr>
            <w:r w:rsidRPr="006311C5">
              <w:t>How likely to get side effects from vaccine? (0–10, strongly disagree to strongly agree); mean (SD)</w:t>
            </w:r>
          </w:p>
        </w:tc>
        <w:tc>
          <w:tcPr>
            <w:tcW w:w="1418" w:type="dxa"/>
            <w:tcBorders>
              <w:bottom w:val="single" w:sz="12" w:space="0" w:color="auto"/>
            </w:tcBorders>
          </w:tcPr>
          <w:p w14:paraId="76300B95" w14:textId="77777777" w:rsidR="00511786" w:rsidRPr="006311C5" w:rsidRDefault="00511786" w:rsidP="00511786">
            <w:pPr>
              <w:pStyle w:val="Tabletext"/>
            </w:pPr>
          </w:p>
        </w:tc>
        <w:tc>
          <w:tcPr>
            <w:tcW w:w="1275" w:type="dxa"/>
            <w:tcBorders>
              <w:bottom w:val="single" w:sz="12" w:space="0" w:color="auto"/>
            </w:tcBorders>
          </w:tcPr>
          <w:p w14:paraId="2C394C4A" w14:textId="77777777" w:rsidR="00511786" w:rsidRPr="006311C5" w:rsidRDefault="00511786" w:rsidP="00511786">
            <w:pPr>
              <w:pStyle w:val="Tabletext"/>
              <w:jc w:val="center"/>
            </w:pPr>
            <w:r w:rsidRPr="006311C5">
              <w:t>3.6 (2.4)</w:t>
            </w:r>
          </w:p>
        </w:tc>
        <w:tc>
          <w:tcPr>
            <w:tcW w:w="1134" w:type="dxa"/>
            <w:tcBorders>
              <w:bottom w:val="single" w:sz="12" w:space="0" w:color="auto"/>
            </w:tcBorders>
          </w:tcPr>
          <w:p w14:paraId="2D3081C9" w14:textId="77777777" w:rsidR="00511786" w:rsidRPr="006311C5" w:rsidRDefault="00511786" w:rsidP="00511786">
            <w:pPr>
              <w:pStyle w:val="Tabletext"/>
              <w:jc w:val="center"/>
            </w:pPr>
            <w:r w:rsidRPr="006311C5">
              <w:t>3.7 (2.3)</w:t>
            </w:r>
          </w:p>
        </w:tc>
        <w:tc>
          <w:tcPr>
            <w:tcW w:w="1276" w:type="dxa"/>
            <w:tcBorders>
              <w:bottom w:val="single" w:sz="12" w:space="0" w:color="auto"/>
            </w:tcBorders>
          </w:tcPr>
          <w:p w14:paraId="38EFB9C3" w14:textId="77777777" w:rsidR="00511786" w:rsidRPr="006311C5" w:rsidRDefault="00511786" w:rsidP="00511786">
            <w:pPr>
              <w:pStyle w:val="Tabletext"/>
              <w:jc w:val="center"/>
            </w:pPr>
            <w:r w:rsidRPr="006311C5">
              <w:t>3.6 (2.4)</w:t>
            </w:r>
          </w:p>
        </w:tc>
        <w:tc>
          <w:tcPr>
            <w:tcW w:w="1134" w:type="dxa"/>
            <w:tcBorders>
              <w:bottom w:val="single" w:sz="12" w:space="0" w:color="auto"/>
            </w:tcBorders>
          </w:tcPr>
          <w:p w14:paraId="5FB63B17" w14:textId="77777777" w:rsidR="00511786" w:rsidRPr="006311C5" w:rsidRDefault="00511786" w:rsidP="00511786">
            <w:pPr>
              <w:pStyle w:val="Tabletext"/>
              <w:jc w:val="center"/>
            </w:pPr>
            <w:r w:rsidRPr="006311C5">
              <w:t>3.7 (2.3)</w:t>
            </w:r>
          </w:p>
        </w:tc>
        <w:tc>
          <w:tcPr>
            <w:tcW w:w="1276" w:type="dxa"/>
            <w:tcBorders>
              <w:bottom w:val="single" w:sz="12" w:space="0" w:color="auto"/>
            </w:tcBorders>
          </w:tcPr>
          <w:p w14:paraId="6D05C59B" w14:textId="77777777" w:rsidR="00511786" w:rsidRPr="006311C5" w:rsidRDefault="00511786" w:rsidP="00511786">
            <w:pPr>
              <w:pStyle w:val="Tabletext"/>
              <w:jc w:val="center"/>
            </w:pPr>
            <w:r w:rsidRPr="006311C5">
              <w:t>3.5 (2.3)</w:t>
            </w:r>
          </w:p>
        </w:tc>
        <w:tc>
          <w:tcPr>
            <w:tcW w:w="1134" w:type="dxa"/>
            <w:tcBorders>
              <w:bottom w:val="single" w:sz="12" w:space="0" w:color="auto"/>
            </w:tcBorders>
          </w:tcPr>
          <w:p w14:paraId="117ACCDD" w14:textId="77777777" w:rsidR="00511786" w:rsidRPr="006311C5" w:rsidRDefault="00511786" w:rsidP="00511786">
            <w:pPr>
              <w:pStyle w:val="Tabletext"/>
              <w:jc w:val="center"/>
            </w:pPr>
            <w:r w:rsidRPr="006311C5">
              <w:t>3.8 (2.3)</w:t>
            </w:r>
          </w:p>
        </w:tc>
        <w:tc>
          <w:tcPr>
            <w:tcW w:w="1276" w:type="dxa"/>
            <w:tcBorders>
              <w:bottom w:val="single" w:sz="12" w:space="0" w:color="auto"/>
            </w:tcBorders>
          </w:tcPr>
          <w:p w14:paraId="2F11F003" w14:textId="77777777" w:rsidR="00511786" w:rsidRPr="006311C5" w:rsidRDefault="00511786" w:rsidP="00511786">
            <w:pPr>
              <w:pStyle w:val="Tabletext"/>
              <w:jc w:val="center"/>
            </w:pPr>
            <w:r w:rsidRPr="006311C5">
              <w:t>3.5 (2.3)</w:t>
            </w:r>
          </w:p>
        </w:tc>
        <w:tc>
          <w:tcPr>
            <w:tcW w:w="1134" w:type="dxa"/>
            <w:tcBorders>
              <w:bottom w:val="single" w:sz="12" w:space="0" w:color="auto"/>
            </w:tcBorders>
          </w:tcPr>
          <w:p w14:paraId="5E315FA1" w14:textId="77777777" w:rsidR="00511786" w:rsidRPr="006311C5" w:rsidRDefault="00511786" w:rsidP="00511786">
            <w:pPr>
              <w:pStyle w:val="Tabletext"/>
              <w:jc w:val="center"/>
            </w:pPr>
            <w:r w:rsidRPr="006311C5">
              <w:t>3.8 (2.3)</w:t>
            </w:r>
          </w:p>
        </w:tc>
      </w:tr>
      <w:tr w:rsidR="00511786" w:rsidRPr="006311C5" w14:paraId="729FDAC0" w14:textId="77777777" w:rsidTr="00B46A41">
        <w:trPr>
          <w:jc w:val="center"/>
        </w:trPr>
        <w:tc>
          <w:tcPr>
            <w:tcW w:w="2977" w:type="dxa"/>
            <w:vMerge w:val="restart"/>
            <w:tcBorders>
              <w:top w:val="single" w:sz="12" w:space="0" w:color="auto"/>
              <w:bottom w:val="single" w:sz="12" w:space="0" w:color="000000" w:themeColor="text1"/>
            </w:tcBorders>
          </w:tcPr>
          <w:p w14:paraId="41F19E7E" w14:textId="77777777" w:rsidR="00511786" w:rsidRPr="006311C5" w:rsidRDefault="00511786" w:rsidP="00511786">
            <w:pPr>
              <w:pStyle w:val="Tabletext"/>
            </w:pPr>
            <w:r w:rsidRPr="006311C5">
              <w:t>Symptoms reported after first vaccine dose</w:t>
            </w:r>
          </w:p>
        </w:tc>
        <w:tc>
          <w:tcPr>
            <w:tcW w:w="1418" w:type="dxa"/>
            <w:tcBorders>
              <w:top w:val="single" w:sz="12" w:space="0" w:color="auto"/>
              <w:bottom w:val="nil"/>
            </w:tcBorders>
          </w:tcPr>
          <w:p w14:paraId="6D5A1CF7" w14:textId="77777777" w:rsidR="00511786" w:rsidRPr="006311C5" w:rsidRDefault="00511786" w:rsidP="00511786">
            <w:pPr>
              <w:pStyle w:val="Tabletext"/>
            </w:pPr>
            <w:r w:rsidRPr="006311C5">
              <w:t>No</w:t>
            </w:r>
          </w:p>
        </w:tc>
        <w:tc>
          <w:tcPr>
            <w:tcW w:w="1275" w:type="dxa"/>
            <w:tcBorders>
              <w:top w:val="single" w:sz="12" w:space="0" w:color="auto"/>
              <w:bottom w:val="nil"/>
            </w:tcBorders>
          </w:tcPr>
          <w:p w14:paraId="35161DBA" w14:textId="77777777" w:rsidR="00511786" w:rsidRPr="006311C5" w:rsidRDefault="00511786" w:rsidP="00511786">
            <w:pPr>
              <w:pStyle w:val="Tabletext"/>
              <w:jc w:val="center"/>
            </w:pPr>
            <w:r w:rsidRPr="006311C5">
              <w:t>—</w:t>
            </w:r>
          </w:p>
        </w:tc>
        <w:tc>
          <w:tcPr>
            <w:tcW w:w="1134" w:type="dxa"/>
            <w:tcBorders>
              <w:top w:val="single" w:sz="12" w:space="0" w:color="auto"/>
              <w:bottom w:val="nil"/>
            </w:tcBorders>
          </w:tcPr>
          <w:p w14:paraId="2C7F34EC" w14:textId="77777777" w:rsidR="00511786" w:rsidRPr="006311C5" w:rsidRDefault="00511786" w:rsidP="00511786">
            <w:pPr>
              <w:pStyle w:val="Tabletext"/>
              <w:jc w:val="center"/>
            </w:pPr>
            <w:r w:rsidRPr="006311C5">
              <w:t>—</w:t>
            </w:r>
          </w:p>
        </w:tc>
        <w:tc>
          <w:tcPr>
            <w:tcW w:w="1276" w:type="dxa"/>
            <w:tcBorders>
              <w:top w:val="single" w:sz="12" w:space="0" w:color="auto"/>
              <w:bottom w:val="nil"/>
            </w:tcBorders>
          </w:tcPr>
          <w:p w14:paraId="271E1F19" w14:textId="77777777" w:rsidR="00511786" w:rsidRPr="006311C5" w:rsidRDefault="00511786" w:rsidP="00511786">
            <w:pPr>
              <w:pStyle w:val="Tabletext"/>
              <w:jc w:val="center"/>
            </w:pPr>
            <w:r w:rsidRPr="006311C5">
              <w:t>—</w:t>
            </w:r>
          </w:p>
        </w:tc>
        <w:tc>
          <w:tcPr>
            <w:tcW w:w="1134" w:type="dxa"/>
            <w:tcBorders>
              <w:top w:val="single" w:sz="12" w:space="0" w:color="auto"/>
              <w:bottom w:val="nil"/>
            </w:tcBorders>
          </w:tcPr>
          <w:p w14:paraId="499BC1FF" w14:textId="77777777" w:rsidR="00511786" w:rsidRPr="006311C5" w:rsidRDefault="00511786" w:rsidP="00511786">
            <w:pPr>
              <w:pStyle w:val="Tabletext"/>
              <w:jc w:val="center"/>
            </w:pPr>
            <w:r w:rsidRPr="006311C5">
              <w:t>—</w:t>
            </w:r>
          </w:p>
        </w:tc>
        <w:tc>
          <w:tcPr>
            <w:tcW w:w="1276" w:type="dxa"/>
            <w:tcBorders>
              <w:top w:val="single" w:sz="12" w:space="0" w:color="auto"/>
              <w:bottom w:val="nil"/>
            </w:tcBorders>
          </w:tcPr>
          <w:p w14:paraId="776E2B26" w14:textId="77777777" w:rsidR="00511786" w:rsidRPr="006311C5" w:rsidRDefault="00511786" w:rsidP="00511786">
            <w:pPr>
              <w:pStyle w:val="Tabletext"/>
              <w:jc w:val="center"/>
            </w:pPr>
            <w:r w:rsidRPr="006311C5">
              <w:t>207 (89.2)</w:t>
            </w:r>
          </w:p>
        </w:tc>
        <w:tc>
          <w:tcPr>
            <w:tcW w:w="1134" w:type="dxa"/>
            <w:tcBorders>
              <w:top w:val="single" w:sz="12" w:space="0" w:color="auto"/>
              <w:bottom w:val="nil"/>
            </w:tcBorders>
          </w:tcPr>
          <w:p w14:paraId="587A5700" w14:textId="77777777" w:rsidR="00511786" w:rsidRPr="006311C5" w:rsidRDefault="00511786" w:rsidP="00511786">
            <w:pPr>
              <w:pStyle w:val="Tabletext"/>
              <w:jc w:val="center"/>
            </w:pPr>
            <w:r w:rsidRPr="006311C5">
              <w:t>25 (10.8)</w:t>
            </w:r>
          </w:p>
        </w:tc>
        <w:tc>
          <w:tcPr>
            <w:tcW w:w="1276" w:type="dxa"/>
            <w:tcBorders>
              <w:top w:val="single" w:sz="12" w:space="0" w:color="auto"/>
              <w:bottom w:val="nil"/>
            </w:tcBorders>
          </w:tcPr>
          <w:p w14:paraId="68688120" w14:textId="77777777" w:rsidR="00511786" w:rsidRPr="006311C5" w:rsidRDefault="00511786" w:rsidP="00511786">
            <w:pPr>
              <w:pStyle w:val="Tabletext"/>
              <w:jc w:val="center"/>
            </w:pPr>
            <w:r w:rsidRPr="006311C5">
              <w:t>266 (86.6)</w:t>
            </w:r>
          </w:p>
        </w:tc>
        <w:tc>
          <w:tcPr>
            <w:tcW w:w="1134" w:type="dxa"/>
            <w:tcBorders>
              <w:top w:val="single" w:sz="12" w:space="0" w:color="auto"/>
              <w:bottom w:val="nil"/>
            </w:tcBorders>
          </w:tcPr>
          <w:p w14:paraId="0C2E9892" w14:textId="77777777" w:rsidR="00511786" w:rsidRPr="006311C5" w:rsidRDefault="00511786" w:rsidP="00511786">
            <w:pPr>
              <w:pStyle w:val="Tabletext"/>
              <w:jc w:val="center"/>
            </w:pPr>
            <w:r w:rsidRPr="006311C5">
              <w:t>41 (13.4)</w:t>
            </w:r>
          </w:p>
        </w:tc>
      </w:tr>
      <w:tr w:rsidR="00511786" w:rsidRPr="006311C5" w14:paraId="5FC99CA8" w14:textId="77777777" w:rsidTr="6D5927AE">
        <w:trPr>
          <w:jc w:val="center"/>
        </w:trPr>
        <w:tc>
          <w:tcPr>
            <w:tcW w:w="2977" w:type="dxa"/>
            <w:vMerge/>
            <w:tcBorders>
              <w:bottom w:val="single" w:sz="12" w:space="0" w:color="000000" w:themeColor="text1"/>
            </w:tcBorders>
          </w:tcPr>
          <w:p w14:paraId="7997DD0D" w14:textId="77777777" w:rsidR="00511786" w:rsidRPr="006311C5" w:rsidRDefault="00511786" w:rsidP="00511786">
            <w:pPr>
              <w:pStyle w:val="Tabletext"/>
            </w:pPr>
          </w:p>
        </w:tc>
        <w:tc>
          <w:tcPr>
            <w:tcW w:w="1418" w:type="dxa"/>
            <w:tcBorders>
              <w:top w:val="nil"/>
              <w:bottom w:val="single" w:sz="12" w:space="0" w:color="auto"/>
            </w:tcBorders>
          </w:tcPr>
          <w:p w14:paraId="52082BBD" w14:textId="77777777" w:rsidR="00511786" w:rsidRPr="006311C5" w:rsidRDefault="00511786" w:rsidP="00511786">
            <w:pPr>
              <w:pStyle w:val="Tabletext"/>
            </w:pPr>
            <w:r w:rsidRPr="006311C5">
              <w:t>Yes</w:t>
            </w:r>
          </w:p>
        </w:tc>
        <w:tc>
          <w:tcPr>
            <w:tcW w:w="1275" w:type="dxa"/>
            <w:tcBorders>
              <w:top w:val="nil"/>
              <w:bottom w:val="single" w:sz="12" w:space="0" w:color="auto"/>
            </w:tcBorders>
          </w:tcPr>
          <w:p w14:paraId="1E82E0C8" w14:textId="77777777" w:rsidR="00511786" w:rsidRPr="006311C5" w:rsidRDefault="00511786" w:rsidP="00511786">
            <w:pPr>
              <w:pStyle w:val="Tabletext"/>
              <w:jc w:val="center"/>
            </w:pPr>
            <w:r w:rsidRPr="006311C5">
              <w:t>—</w:t>
            </w:r>
          </w:p>
        </w:tc>
        <w:tc>
          <w:tcPr>
            <w:tcW w:w="1134" w:type="dxa"/>
            <w:tcBorders>
              <w:top w:val="nil"/>
              <w:bottom w:val="single" w:sz="12" w:space="0" w:color="auto"/>
            </w:tcBorders>
          </w:tcPr>
          <w:p w14:paraId="1DF61A72" w14:textId="77777777" w:rsidR="00511786" w:rsidRPr="006311C5" w:rsidRDefault="00511786" w:rsidP="00511786">
            <w:pPr>
              <w:pStyle w:val="Tabletext"/>
              <w:jc w:val="center"/>
            </w:pPr>
            <w:r w:rsidRPr="006311C5">
              <w:t>—</w:t>
            </w:r>
          </w:p>
        </w:tc>
        <w:tc>
          <w:tcPr>
            <w:tcW w:w="1276" w:type="dxa"/>
            <w:tcBorders>
              <w:top w:val="nil"/>
              <w:bottom w:val="single" w:sz="12" w:space="0" w:color="auto"/>
            </w:tcBorders>
          </w:tcPr>
          <w:p w14:paraId="05614D53" w14:textId="77777777" w:rsidR="00511786" w:rsidRPr="006311C5" w:rsidRDefault="00511786" w:rsidP="00511786">
            <w:pPr>
              <w:pStyle w:val="Tabletext"/>
              <w:jc w:val="center"/>
            </w:pPr>
            <w:r w:rsidRPr="006311C5">
              <w:t>—</w:t>
            </w:r>
          </w:p>
        </w:tc>
        <w:tc>
          <w:tcPr>
            <w:tcW w:w="1134" w:type="dxa"/>
            <w:tcBorders>
              <w:top w:val="nil"/>
              <w:bottom w:val="single" w:sz="12" w:space="0" w:color="auto"/>
            </w:tcBorders>
          </w:tcPr>
          <w:p w14:paraId="00E02EB1" w14:textId="77777777" w:rsidR="00511786" w:rsidRPr="006311C5" w:rsidRDefault="00511786" w:rsidP="00511786">
            <w:pPr>
              <w:pStyle w:val="Tabletext"/>
              <w:jc w:val="center"/>
            </w:pPr>
            <w:r w:rsidRPr="006311C5">
              <w:t>—</w:t>
            </w:r>
          </w:p>
        </w:tc>
        <w:tc>
          <w:tcPr>
            <w:tcW w:w="1276" w:type="dxa"/>
            <w:tcBorders>
              <w:top w:val="nil"/>
              <w:bottom w:val="single" w:sz="12" w:space="0" w:color="auto"/>
            </w:tcBorders>
          </w:tcPr>
          <w:p w14:paraId="336BDEFE" w14:textId="77777777" w:rsidR="00511786" w:rsidRPr="006311C5" w:rsidRDefault="00511786" w:rsidP="00511786">
            <w:pPr>
              <w:pStyle w:val="Tabletext"/>
              <w:jc w:val="center"/>
            </w:pPr>
            <w:r w:rsidRPr="006311C5">
              <w:t>212 (32.6)</w:t>
            </w:r>
          </w:p>
        </w:tc>
        <w:tc>
          <w:tcPr>
            <w:tcW w:w="1134" w:type="dxa"/>
            <w:tcBorders>
              <w:top w:val="nil"/>
              <w:bottom w:val="single" w:sz="12" w:space="0" w:color="auto"/>
            </w:tcBorders>
          </w:tcPr>
          <w:p w14:paraId="4C5693EF" w14:textId="77777777" w:rsidR="00511786" w:rsidRPr="006311C5" w:rsidRDefault="00511786" w:rsidP="00511786">
            <w:pPr>
              <w:pStyle w:val="Tabletext"/>
              <w:jc w:val="center"/>
            </w:pPr>
            <w:r w:rsidRPr="006311C5">
              <w:t>438 (67.4)</w:t>
            </w:r>
          </w:p>
        </w:tc>
        <w:tc>
          <w:tcPr>
            <w:tcW w:w="1276" w:type="dxa"/>
            <w:tcBorders>
              <w:top w:val="nil"/>
              <w:bottom w:val="single" w:sz="12" w:space="0" w:color="auto"/>
            </w:tcBorders>
          </w:tcPr>
          <w:p w14:paraId="30761F1D" w14:textId="77777777" w:rsidR="00511786" w:rsidRPr="006311C5" w:rsidRDefault="00511786" w:rsidP="00511786">
            <w:pPr>
              <w:pStyle w:val="Tabletext"/>
              <w:jc w:val="center"/>
            </w:pPr>
            <w:r w:rsidRPr="006311C5">
              <w:t>235 (40.8)</w:t>
            </w:r>
          </w:p>
        </w:tc>
        <w:tc>
          <w:tcPr>
            <w:tcW w:w="1134" w:type="dxa"/>
            <w:tcBorders>
              <w:top w:val="nil"/>
              <w:bottom w:val="single" w:sz="12" w:space="0" w:color="auto"/>
            </w:tcBorders>
          </w:tcPr>
          <w:p w14:paraId="3E947141" w14:textId="77777777" w:rsidR="00511786" w:rsidRPr="006311C5" w:rsidRDefault="00511786" w:rsidP="00511786">
            <w:pPr>
              <w:pStyle w:val="Tabletext"/>
              <w:jc w:val="center"/>
            </w:pPr>
            <w:r w:rsidRPr="006311C5">
              <w:t>341 (59.2)</w:t>
            </w:r>
          </w:p>
        </w:tc>
      </w:tr>
    </w:tbl>
    <w:p w14:paraId="548BD543" w14:textId="77777777" w:rsidR="006D75B5" w:rsidRPr="006311C5" w:rsidRDefault="006D75B5" w:rsidP="00296B4E">
      <w:pPr>
        <w:pStyle w:val="Tabletext"/>
      </w:pPr>
      <w:r w:rsidRPr="006311C5">
        <w:t>SD = standard deviation</w:t>
      </w:r>
    </w:p>
    <w:p w14:paraId="13814B53" w14:textId="77777777" w:rsidR="006D75B5" w:rsidRPr="006311C5" w:rsidRDefault="006D75B5" w:rsidP="006D75B5">
      <w:pPr>
        <w:spacing w:line="259" w:lineRule="auto"/>
        <w:rPr>
          <w:szCs w:val="24"/>
        </w:rPr>
      </w:pPr>
      <w:r w:rsidRPr="006311C5">
        <w:rPr>
          <w:szCs w:val="24"/>
        </w:rPr>
        <w:br w:type="page"/>
      </w:r>
    </w:p>
    <w:p w14:paraId="690936AC" w14:textId="77777777" w:rsidR="006D75B5" w:rsidRPr="006311C5" w:rsidRDefault="006D75B5" w:rsidP="0003409C">
      <w:pPr>
        <w:pStyle w:val="Heading3"/>
        <w:sectPr w:rsidR="006D75B5" w:rsidRPr="006311C5" w:rsidSect="006D75B5">
          <w:pgSz w:w="16838" w:h="11906" w:orient="landscape"/>
          <w:pgMar w:top="1440" w:right="1440" w:bottom="1440" w:left="1440" w:header="709" w:footer="709" w:gutter="0"/>
          <w:cols w:space="708"/>
          <w:docGrid w:linePitch="360"/>
        </w:sectPr>
      </w:pPr>
    </w:p>
    <w:p w14:paraId="4870AFB2" w14:textId="6ABC7482" w:rsidR="0003409C" w:rsidRPr="006311C5" w:rsidRDefault="0003409C" w:rsidP="0003409C">
      <w:pPr>
        <w:pStyle w:val="Heading3"/>
      </w:pPr>
      <w:r w:rsidRPr="006311C5">
        <w:lastRenderedPageBreak/>
        <w:t>First vaccine dose</w:t>
      </w:r>
    </w:p>
    <w:p w14:paraId="6CC2200A" w14:textId="0A4B6477" w:rsidR="00F848EC" w:rsidRPr="006311C5" w:rsidRDefault="00DB64AA" w:rsidP="0040492C">
      <w:r w:rsidRPr="006311C5">
        <w:t xml:space="preserve">After the first vaccine dose, reporting </w:t>
      </w:r>
      <w:r w:rsidR="004A14A9" w:rsidRPr="006311C5">
        <w:t xml:space="preserve">of </w:t>
      </w:r>
      <w:r w:rsidRPr="006311C5">
        <w:t>injection</w:t>
      </w:r>
      <w:r w:rsidR="00402390" w:rsidRPr="006311C5">
        <w:t>-</w:t>
      </w:r>
      <w:r w:rsidRPr="006311C5">
        <w:t xml:space="preserve">site and </w:t>
      </w:r>
      <w:r w:rsidR="004A14A9" w:rsidRPr="006311C5">
        <w:t xml:space="preserve">of </w:t>
      </w:r>
      <w:r w:rsidRPr="006311C5">
        <w:t>non-injection</w:t>
      </w:r>
      <w:r w:rsidR="00402390" w:rsidRPr="006311C5">
        <w:t>-</w:t>
      </w:r>
      <w:r w:rsidRPr="006311C5">
        <w:t xml:space="preserve">site symptoms was </w:t>
      </w:r>
      <w:r w:rsidR="004A14A9" w:rsidRPr="006311C5">
        <w:t xml:space="preserve">in each case </w:t>
      </w:r>
      <w:r w:rsidRPr="006311C5">
        <w:t xml:space="preserve">associated with </w:t>
      </w:r>
      <w:r w:rsidR="00F73044" w:rsidRPr="006311C5">
        <w:t>being female</w:t>
      </w:r>
      <w:r w:rsidR="00452D15" w:rsidRPr="006311C5">
        <w:t xml:space="preserve"> and </w:t>
      </w:r>
      <w:r w:rsidR="00F73044" w:rsidRPr="006311C5">
        <w:t xml:space="preserve">younger (Table </w:t>
      </w:r>
      <w:r w:rsidR="00974DF6" w:rsidRPr="006311C5">
        <w:t>5</w:t>
      </w:r>
      <w:r w:rsidR="00F73044" w:rsidRPr="006311C5">
        <w:t>)</w:t>
      </w:r>
      <w:r w:rsidR="00452D15" w:rsidRPr="006311C5">
        <w:t xml:space="preserve">. </w:t>
      </w:r>
      <w:r w:rsidR="00E162C2" w:rsidRPr="006311C5">
        <w:t>Reporting symptoms at either site was also associated with vaccine brand</w:t>
      </w:r>
      <w:r w:rsidR="004B5CE2" w:rsidRPr="006311C5">
        <w:t xml:space="preserve">. </w:t>
      </w:r>
      <w:r w:rsidR="00152776" w:rsidRPr="006311C5">
        <w:t xml:space="preserve">Examination </w:t>
      </w:r>
      <w:r w:rsidR="00F4378D" w:rsidRPr="006311C5">
        <w:t xml:space="preserve">of </w:t>
      </w:r>
      <w:r w:rsidR="00E67A35" w:rsidRPr="006311C5">
        <w:t xml:space="preserve">Table </w:t>
      </w:r>
      <w:r w:rsidR="00974DF6" w:rsidRPr="006311C5">
        <w:t>4</w:t>
      </w:r>
      <w:r w:rsidR="00F4378D" w:rsidRPr="006311C5">
        <w:t xml:space="preserve"> reveals </w:t>
      </w:r>
      <w:r w:rsidR="00E67A35" w:rsidRPr="006311C5">
        <w:t>that r</w:t>
      </w:r>
      <w:r w:rsidR="00057017" w:rsidRPr="006311C5">
        <w:t xml:space="preserve">eporting was highest for the Moderna vaccine, at 92% and 72% for vaccine-site and non-vaccine-site symptoms respectively, though these estimates are imprecise in view of the small number of cases in this category. Reporting was somewhat higher for the </w:t>
      </w:r>
      <w:r w:rsidR="00057017" w:rsidRPr="006311C5">
        <w:rPr>
          <w:rFonts w:cstheme="minorHAnsi"/>
          <w:szCs w:val="18"/>
        </w:rPr>
        <w:t>Pfizer-BioNTech vaccine than for the AstraZeneca vaccine for injection-site symptoms, but the reverse was the case for non-injection-site symptoms.</w:t>
      </w:r>
    </w:p>
    <w:p w14:paraId="49F91C0D" w14:textId="5685BE9A" w:rsidR="00AE51AB" w:rsidRPr="006311C5" w:rsidRDefault="00AE51AB" w:rsidP="0003409C">
      <w:pPr>
        <w:sectPr w:rsidR="00AE51AB" w:rsidRPr="006311C5">
          <w:pgSz w:w="11906" w:h="16838"/>
          <w:pgMar w:top="1440" w:right="1440" w:bottom="1440" w:left="1440" w:header="708" w:footer="708" w:gutter="0"/>
          <w:cols w:space="708"/>
          <w:docGrid w:linePitch="360"/>
        </w:sectPr>
      </w:pPr>
    </w:p>
    <w:p w14:paraId="3475AA4F" w14:textId="0959E51A" w:rsidR="00B070E1" w:rsidRPr="006311C5" w:rsidRDefault="6D5927AE" w:rsidP="0040492C">
      <w:r w:rsidRPr="006311C5">
        <w:lastRenderedPageBreak/>
        <w:t xml:space="preserve">Table </w:t>
      </w:r>
      <w:r w:rsidR="00974DF6" w:rsidRPr="006311C5">
        <w:t>5</w:t>
      </w:r>
      <w:r w:rsidRPr="006311C5">
        <w:t>.</w:t>
      </w:r>
      <w:r w:rsidRPr="006311C5">
        <w:rPr>
          <w:b/>
          <w:bCs/>
        </w:rPr>
        <w:t xml:space="preserve"> </w:t>
      </w:r>
      <w:r w:rsidRPr="006311C5">
        <w:t xml:space="preserve">Results of the full logistic regression models analysing associations with symptom reporting following the first dose of a COVID-19 vaccination. </w:t>
      </w:r>
      <w:bookmarkStart w:id="3" w:name="_Hlk46421429"/>
      <w:r w:rsidRPr="006311C5">
        <w:t xml:space="preserve">Parameter estimates relate to the full model containing all explanatory variables (injection-site symptoms, </w:t>
      </w:r>
      <w:r w:rsidRPr="006311C5">
        <w:rPr>
          <w:i/>
          <w:iCs/>
        </w:rPr>
        <w:t>n</w:t>
      </w:r>
      <w:r w:rsidRPr="006311C5">
        <w:t>=900, 13.0% missing data; non-injection</w:t>
      </w:r>
      <w:r w:rsidR="00AB087F" w:rsidRPr="006311C5">
        <w:t>-</w:t>
      </w:r>
      <w:r w:rsidRPr="006311C5">
        <w:t xml:space="preserve">site symptoms, </w:t>
      </w:r>
      <w:r w:rsidRPr="006311C5">
        <w:rPr>
          <w:i/>
          <w:iCs/>
        </w:rPr>
        <w:t>n</w:t>
      </w:r>
      <w:r w:rsidRPr="006311C5">
        <w:t>=901, 12.9% missing data). For continuous variables, the adjusted odds ratios represent the change in likelihood of side effects for a one-unit increase in the predictor variable, apart from age, where an increase of one-unit represents an increase by decade.</w:t>
      </w:r>
      <w:bookmarkEnd w:id="3"/>
    </w:p>
    <w:tbl>
      <w:tblPr>
        <w:tblStyle w:val="TableGrid2"/>
        <w:tblW w:w="5000" w:type="pct"/>
        <w:jc w:val="center"/>
        <w:tblLook w:val="04A0" w:firstRow="1" w:lastRow="0" w:firstColumn="1" w:lastColumn="0" w:noHBand="0" w:noVBand="1"/>
      </w:tblPr>
      <w:tblGrid>
        <w:gridCol w:w="1713"/>
        <w:gridCol w:w="3816"/>
        <w:gridCol w:w="1985"/>
        <w:gridCol w:w="2409"/>
        <w:gridCol w:w="851"/>
        <w:gridCol w:w="2378"/>
        <w:gridCol w:w="806"/>
      </w:tblGrid>
      <w:tr w:rsidR="00A53D23" w:rsidRPr="006311C5" w14:paraId="7D4F3D1C" w14:textId="77777777" w:rsidTr="00711667">
        <w:trPr>
          <w:jc w:val="center"/>
        </w:trPr>
        <w:tc>
          <w:tcPr>
            <w:tcW w:w="614" w:type="pct"/>
            <w:tcBorders>
              <w:top w:val="single" w:sz="12" w:space="0" w:color="auto"/>
              <w:left w:val="nil"/>
              <w:bottom w:val="nil"/>
              <w:right w:val="nil"/>
            </w:tcBorders>
            <w:shd w:val="clear" w:color="auto" w:fill="auto"/>
          </w:tcPr>
          <w:p w14:paraId="33CB2828" w14:textId="77777777" w:rsidR="006633C7" w:rsidRPr="006311C5" w:rsidRDefault="006633C7" w:rsidP="00A53D23">
            <w:pPr>
              <w:pStyle w:val="Tabletext"/>
              <w:rPr>
                <w:rFonts w:cstheme="minorHAnsi"/>
                <w:szCs w:val="18"/>
              </w:rPr>
            </w:pPr>
          </w:p>
        </w:tc>
        <w:tc>
          <w:tcPr>
            <w:tcW w:w="1367" w:type="pct"/>
            <w:tcBorders>
              <w:top w:val="single" w:sz="12" w:space="0" w:color="auto"/>
              <w:left w:val="nil"/>
              <w:bottom w:val="nil"/>
              <w:right w:val="nil"/>
            </w:tcBorders>
            <w:shd w:val="clear" w:color="auto" w:fill="auto"/>
          </w:tcPr>
          <w:p w14:paraId="579C93B2" w14:textId="035D77D7" w:rsidR="006633C7" w:rsidRPr="006311C5" w:rsidRDefault="006633C7" w:rsidP="00A53D23">
            <w:pPr>
              <w:pStyle w:val="Tabletext"/>
              <w:rPr>
                <w:rFonts w:cstheme="minorHAnsi"/>
                <w:szCs w:val="18"/>
              </w:rPr>
            </w:pPr>
          </w:p>
        </w:tc>
        <w:tc>
          <w:tcPr>
            <w:tcW w:w="711" w:type="pct"/>
            <w:tcBorders>
              <w:top w:val="single" w:sz="12" w:space="0" w:color="auto"/>
              <w:left w:val="nil"/>
              <w:bottom w:val="nil"/>
              <w:right w:val="nil"/>
            </w:tcBorders>
            <w:shd w:val="clear" w:color="auto" w:fill="auto"/>
          </w:tcPr>
          <w:p w14:paraId="2CDAE5B6" w14:textId="77777777" w:rsidR="006633C7" w:rsidRPr="006311C5" w:rsidRDefault="006633C7" w:rsidP="00A53D23">
            <w:pPr>
              <w:pStyle w:val="Tabletext"/>
              <w:rPr>
                <w:rFonts w:cstheme="minorHAnsi"/>
                <w:szCs w:val="18"/>
              </w:rPr>
            </w:pPr>
          </w:p>
        </w:tc>
        <w:tc>
          <w:tcPr>
            <w:tcW w:w="1168" w:type="pct"/>
            <w:gridSpan w:val="2"/>
            <w:tcBorders>
              <w:top w:val="single" w:sz="12" w:space="0" w:color="auto"/>
              <w:left w:val="nil"/>
              <w:bottom w:val="nil"/>
              <w:right w:val="nil"/>
            </w:tcBorders>
            <w:shd w:val="clear" w:color="auto" w:fill="auto"/>
          </w:tcPr>
          <w:p w14:paraId="2BE79DA4" w14:textId="68696E3C" w:rsidR="006633C7" w:rsidRPr="006311C5" w:rsidRDefault="006633C7" w:rsidP="00A53D23">
            <w:pPr>
              <w:pStyle w:val="Tabletext"/>
              <w:rPr>
                <w:rFonts w:cstheme="minorHAnsi"/>
                <w:i/>
                <w:iCs/>
                <w:szCs w:val="18"/>
              </w:rPr>
            </w:pPr>
            <w:r w:rsidRPr="006311C5">
              <w:rPr>
                <w:rFonts w:cstheme="minorHAnsi"/>
                <w:szCs w:val="18"/>
              </w:rPr>
              <w:t>Injection</w:t>
            </w:r>
            <w:r w:rsidR="00183498" w:rsidRPr="006311C5">
              <w:rPr>
                <w:rFonts w:cstheme="minorHAnsi"/>
                <w:szCs w:val="18"/>
              </w:rPr>
              <w:t>-</w:t>
            </w:r>
            <w:r w:rsidRPr="006311C5">
              <w:rPr>
                <w:rFonts w:cstheme="minorHAnsi"/>
                <w:szCs w:val="18"/>
              </w:rPr>
              <w:t xml:space="preserve">site symptoms, </w:t>
            </w:r>
            <w:r w:rsidRPr="006311C5">
              <w:rPr>
                <w:rFonts w:cstheme="minorHAnsi"/>
                <w:i/>
                <w:iCs/>
                <w:szCs w:val="18"/>
              </w:rPr>
              <w:t>n</w:t>
            </w:r>
            <w:r w:rsidRPr="006311C5">
              <w:rPr>
                <w:rFonts w:cstheme="minorHAnsi"/>
                <w:szCs w:val="18"/>
              </w:rPr>
              <w:t>=</w:t>
            </w:r>
            <w:r w:rsidR="009A6EC0" w:rsidRPr="006311C5">
              <w:rPr>
                <w:rFonts w:cstheme="minorHAnsi"/>
                <w:szCs w:val="18"/>
              </w:rPr>
              <w:t>900</w:t>
            </w:r>
          </w:p>
        </w:tc>
        <w:tc>
          <w:tcPr>
            <w:tcW w:w="1141" w:type="pct"/>
            <w:gridSpan w:val="2"/>
            <w:tcBorders>
              <w:top w:val="single" w:sz="12" w:space="0" w:color="auto"/>
              <w:left w:val="nil"/>
              <w:bottom w:val="nil"/>
              <w:right w:val="nil"/>
            </w:tcBorders>
            <w:shd w:val="clear" w:color="auto" w:fill="auto"/>
          </w:tcPr>
          <w:p w14:paraId="273D7F74" w14:textId="44377188" w:rsidR="006633C7" w:rsidRPr="006311C5" w:rsidRDefault="006633C7" w:rsidP="00A53D23">
            <w:pPr>
              <w:pStyle w:val="Tabletext"/>
              <w:rPr>
                <w:rFonts w:cstheme="minorHAnsi"/>
                <w:i/>
                <w:iCs/>
                <w:szCs w:val="18"/>
              </w:rPr>
            </w:pPr>
            <w:r w:rsidRPr="006311C5">
              <w:rPr>
                <w:rFonts w:cstheme="minorHAnsi"/>
                <w:szCs w:val="18"/>
              </w:rPr>
              <w:t>Non-injection</w:t>
            </w:r>
            <w:r w:rsidR="00183498" w:rsidRPr="006311C5">
              <w:rPr>
                <w:rFonts w:cstheme="minorHAnsi"/>
                <w:szCs w:val="18"/>
              </w:rPr>
              <w:t>-</w:t>
            </w:r>
            <w:r w:rsidRPr="006311C5">
              <w:rPr>
                <w:rFonts w:cstheme="minorHAnsi"/>
                <w:szCs w:val="18"/>
              </w:rPr>
              <w:t xml:space="preserve">site symptoms, </w:t>
            </w:r>
            <w:r w:rsidRPr="006311C5">
              <w:rPr>
                <w:rFonts w:cstheme="minorHAnsi"/>
                <w:i/>
                <w:iCs/>
                <w:szCs w:val="18"/>
              </w:rPr>
              <w:t>n</w:t>
            </w:r>
            <w:r w:rsidRPr="006311C5">
              <w:rPr>
                <w:rFonts w:cstheme="minorHAnsi"/>
                <w:szCs w:val="18"/>
              </w:rPr>
              <w:t>=</w:t>
            </w:r>
            <w:r w:rsidR="009A6EC0" w:rsidRPr="006311C5">
              <w:rPr>
                <w:rFonts w:cstheme="minorHAnsi"/>
                <w:szCs w:val="18"/>
              </w:rPr>
              <w:t>901</w:t>
            </w:r>
          </w:p>
        </w:tc>
      </w:tr>
      <w:tr w:rsidR="0027068C" w:rsidRPr="006311C5" w14:paraId="1F8D0F6E" w14:textId="75770EF3" w:rsidTr="00711667">
        <w:trPr>
          <w:jc w:val="center"/>
        </w:trPr>
        <w:tc>
          <w:tcPr>
            <w:tcW w:w="614" w:type="pct"/>
            <w:tcBorders>
              <w:top w:val="nil"/>
              <w:left w:val="nil"/>
              <w:bottom w:val="single" w:sz="12" w:space="0" w:color="auto"/>
              <w:right w:val="nil"/>
            </w:tcBorders>
            <w:shd w:val="clear" w:color="auto" w:fill="auto"/>
          </w:tcPr>
          <w:p w14:paraId="46066C17" w14:textId="77777777" w:rsidR="00FD2FC3" w:rsidRPr="006311C5" w:rsidRDefault="00FD2FC3" w:rsidP="00A53D23">
            <w:pPr>
              <w:pStyle w:val="Tabletext"/>
              <w:rPr>
                <w:rFonts w:cstheme="minorHAnsi"/>
                <w:szCs w:val="18"/>
              </w:rPr>
            </w:pPr>
          </w:p>
        </w:tc>
        <w:tc>
          <w:tcPr>
            <w:tcW w:w="1367" w:type="pct"/>
            <w:tcBorders>
              <w:top w:val="nil"/>
              <w:left w:val="nil"/>
              <w:bottom w:val="single" w:sz="12" w:space="0" w:color="auto"/>
              <w:right w:val="nil"/>
            </w:tcBorders>
            <w:shd w:val="clear" w:color="auto" w:fill="auto"/>
          </w:tcPr>
          <w:p w14:paraId="23DCF05A" w14:textId="1D5AF8C5" w:rsidR="00FD2FC3" w:rsidRPr="006311C5" w:rsidRDefault="00FD2FC3" w:rsidP="00A53D23">
            <w:pPr>
              <w:pStyle w:val="Tabletext"/>
              <w:rPr>
                <w:rFonts w:cstheme="minorHAnsi"/>
                <w:szCs w:val="18"/>
              </w:rPr>
            </w:pPr>
            <w:r w:rsidRPr="006311C5">
              <w:rPr>
                <w:rFonts w:cstheme="minorHAnsi"/>
                <w:szCs w:val="18"/>
              </w:rPr>
              <w:t>Predictor variable</w:t>
            </w:r>
          </w:p>
        </w:tc>
        <w:tc>
          <w:tcPr>
            <w:tcW w:w="711" w:type="pct"/>
            <w:tcBorders>
              <w:top w:val="nil"/>
              <w:left w:val="nil"/>
              <w:bottom w:val="single" w:sz="12" w:space="0" w:color="auto"/>
              <w:right w:val="nil"/>
            </w:tcBorders>
            <w:shd w:val="clear" w:color="auto" w:fill="auto"/>
          </w:tcPr>
          <w:p w14:paraId="6DFD6171" w14:textId="21486737" w:rsidR="00FD2FC3" w:rsidRPr="006311C5" w:rsidRDefault="00FD2FC3" w:rsidP="00A53D23">
            <w:pPr>
              <w:pStyle w:val="Tabletext"/>
              <w:rPr>
                <w:rFonts w:cstheme="minorHAnsi"/>
                <w:szCs w:val="18"/>
              </w:rPr>
            </w:pPr>
            <w:r w:rsidRPr="006311C5">
              <w:rPr>
                <w:rFonts w:cstheme="minorHAnsi"/>
                <w:szCs w:val="18"/>
              </w:rPr>
              <w:t>Level</w:t>
            </w:r>
          </w:p>
        </w:tc>
        <w:tc>
          <w:tcPr>
            <w:tcW w:w="863" w:type="pct"/>
            <w:tcBorders>
              <w:top w:val="nil"/>
              <w:left w:val="nil"/>
              <w:bottom w:val="single" w:sz="12" w:space="0" w:color="auto"/>
              <w:right w:val="nil"/>
            </w:tcBorders>
            <w:shd w:val="clear" w:color="auto" w:fill="auto"/>
          </w:tcPr>
          <w:p w14:paraId="7B9AAFC6" w14:textId="0C571ABB" w:rsidR="00FD2FC3" w:rsidRPr="006311C5" w:rsidRDefault="00FD2FC3" w:rsidP="00A53D23">
            <w:pPr>
              <w:pStyle w:val="Tabletext"/>
              <w:rPr>
                <w:rFonts w:cstheme="minorHAnsi"/>
                <w:szCs w:val="18"/>
              </w:rPr>
            </w:pPr>
            <w:r w:rsidRPr="006311C5">
              <w:rPr>
                <w:rFonts w:cstheme="minorHAnsi"/>
                <w:szCs w:val="18"/>
              </w:rPr>
              <w:t xml:space="preserve">Adjusted odds ratio (95% CI) for reporting symptoms </w:t>
            </w:r>
            <w:r w:rsidR="00793AAB" w:rsidRPr="006311C5">
              <w:rPr>
                <w:rFonts w:cstheme="minorHAnsi"/>
                <w:szCs w:val="18"/>
                <w:vertAlign w:val="superscript"/>
              </w:rPr>
              <w:t>a</w:t>
            </w:r>
          </w:p>
        </w:tc>
        <w:tc>
          <w:tcPr>
            <w:tcW w:w="305" w:type="pct"/>
            <w:tcBorders>
              <w:top w:val="nil"/>
              <w:left w:val="nil"/>
              <w:bottom w:val="single" w:sz="12" w:space="0" w:color="auto"/>
              <w:right w:val="nil"/>
            </w:tcBorders>
            <w:shd w:val="clear" w:color="auto" w:fill="auto"/>
          </w:tcPr>
          <w:p w14:paraId="78563DC8" w14:textId="2A3E3030" w:rsidR="00FD2FC3" w:rsidRPr="006311C5" w:rsidRDefault="00FD2FC3" w:rsidP="00A53D23">
            <w:pPr>
              <w:pStyle w:val="Tabletext"/>
              <w:rPr>
                <w:rFonts w:cstheme="minorHAnsi"/>
                <w:szCs w:val="18"/>
              </w:rPr>
            </w:pPr>
            <w:r w:rsidRPr="006311C5">
              <w:rPr>
                <w:rFonts w:cstheme="minorHAnsi"/>
                <w:i/>
                <w:iCs/>
                <w:szCs w:val="18"/>
              </w:rPr>
              <w:t>p</w:t>
            </w:r>
            <w:r w:rsidRPr="006311C5">
              <w:rPr>
                <w:rFonts w:cstheme="minorHAnsi"/>
                <w:szCs w:val="18"/>
              </w:rPr>
              <w:t xml:space="preserve"> value</w:t>
            </w:r>
          </w:p>
        </w:tc>
        <w:tc>
          <w:tcPr>
            <w:tcW w:w="852" w:type="pct"/>
            <w:tcBorders>
              <w:top w:val="nil"/>
              <w:left w:val="nil"/>
              <w:bottom w:val="single" w:sz="12" w:space="0" w:color="auto"/>
              <w:right w:val="nil"/>
            </w:tcBorders>
            <w:shd w:val="clear" w:color="auto" w:fill="auto"/>
          </w:tcPr>
          <w:p w14:paraId="56D2AA6A" w14:textId="162B1969" w:rsidR="00FD2FC3" w:rsidRPr="006311C5" w:rsidRDefault="00FD2FC3" w:rsidP="00A53D23">
            <w:pPr>
              <w:pStyle w:val="Tabletext"/>
              <w:rPr>
                <w:rFonts w:cstheme="minorHAnsi"/>
                <w:i/>
                <w:iCs/>
                <w:szCs w:val="18"/>
              </w:rPr>
            </w:pPr>
            <w:r w:rsidRPr="006311C5">
              <w:rPr>
                <w:rFonts w:cstheme="minorHAnsi"/>
                <w:szCs w:val="18"/>
              </w:rPr>
              <w:t xml:space="preserve">Adjusted odds ratio (95% CI) for reporting symptoms </w:t>
            </w:r>
            <w:r w:rsidR="00793AAB" w:rsidRPr="006311C5">
              <w:rPr>
                <w:rFonts w:cstheme="minorHAnsi"/>
                <w:szCs w:val="18"/>
                <w:vertAlign w:val="superscript"/>
              </w:rPr>
              <w:t>a</w:t>
            </w:r>
          </w:p>
        </w:tc>
        <w:tc>
          <w:tcPr>
            <w:tcW w:w="289" w:type="pct"/>
            <w:tcBorders>
              <w:top w:val="nil"/>
              <w:left w:val="nil"/>
              <w:bottom w:val="single" w:sz="12" w:space="0" w:color="auto"/>
              <w:right w:val="nil"/>
            </w:tcBorders>
            <w:shd w:val="clear" w:color="auto" w:fill="auto"/>
          </w:tcPr>
          <w:p w14:paraId="6AE08F81" w14:textId="783B14D4" w:rsidR="00FD2FC3" w:rsidRPr="006311C5" w:rsidRDefault="00FD2FC3" w:rsidP="00A53D23">
            <w:pPr>
              <w:pStyle w:val="Tabletext"/>
              <w:rPr>
                <w:rFonts w:cstheme="minorHAnsi"/>
                <w:i/>
                <w:iCs/>
                <w:szCs w:val="18"/>
              </w:rPr>
            </w:pPr>
            <w:r w:rsidRPr="006311C5">
              <w:rPr>
                <w:rFonts w:cstheme="minorHAnsi"/>
                <w:i/>
                <w:iCs/>
                <w:szCs w:val="18"/>
              </w:rPr>
              <w:t>p</w:t>
            </w:r>
            <w:r w:rsidRPr="006311C5">
              <w:rPr>
                <w:rFonts w:cstheme="minorHAnsi"/>
                <w:szCs w:val="18"/>
              </w:rPr>
              <w:t xml:space="preserve"> value</w:t>
            </w:r>
          </w:p>
        </w:tc>
      </w:tr>
      <w:tr w:rsidR="005F3962" w:rsidRPr="006311C5" w14:paraId="1FDAE2B5" w14:textId="1B156CC0" w:rsidTr="009E0FF1">
        <w:trPr>
          <w:jc w:val="center"/>
        </w:trPr>
        <w:tc>
          <w:tcPr>
            <w:tcW w:w="614" w:type="pct"/>
            <w:vMerge w:val="restart"/>
            <w:tcBorders>
              <w:left w:val="nil"/>
              <w:bottom w:val="single" w:sz="12" w:space="0" w:color="000000" w:themeColor="text1"/>
              <w:right w:val="nil"/>
            </w:tcBorders>
            <w:shd w:val="clear" w:color="auto" w:fill="auto"/>
          </w:tcPr>
          <w:p w14:paraId="3A04972C" w14:textId="727FD2A9" w:rsidR="00FD2FC3" w:rsidRPr="006311C5" w:rsidRDefault="00FD2FC3" w:rsidP="00A53D23">
            <w:pPr>
              <w:pStyle w:val="Tabletext"/>
              <w:rPr>
                <w:rFonts w:cstheme="minorHAnsi"/>
                <w:szCs w:val="18"/>
              </w:rPr>
            </w:pPr>
            <w:r w:rsidRPr="006311C5">
              <w:rPr>
                <w:rFonts w:cstheme="minorHAnsi"/>
                <w:szCs w:val="18"/>
              </w:rPr>
              <w:t>Block 1 – personal and clinical characteristics</w:t>
            </w:r>
          </w:p>
        </w:tc>
        <w:tc>
          <w:tcPr>
            <w:tcW w:w="1367" w:type="pct"/>
            <w:tcBorders>
              <w:left w:val="nil"/>
              <w:right w:val="nil"/>
            </w:tcBorders>
            <w:shd w:val="clear" w:color="auto" w:fill="auto"/>
          </w:tcPr>
          <w:p w14:paraId="31A81CE9" w14:textId="48B69BB8" w:rsidR="00FD2FC3" w:rsidRPr="006311C5" w:rsidRDefault="00FD2FC3" w:rsidP="00A53D23">
            <w:pPr>
              <w:pStyle w:val="Tabletext"/>
              <w:rPr>
                <w:rFonts w:cstheme="minorHAnsi"/>
                <w:szCs w:val="18"/>
              </w:rPr>
            </w:pPr>
            <w:r w:rsidRPr="006311C5">
              <w:rPr>
                <w:rFonts w:cstheme="minorHAnsi"/>
                <w:szCs w:val="18"/>
              </w:rPr>
              <w:t>Age</w:t>
            </w:r>
          </w:p>
        </w:tc>
        <w:tc>
          <w:tcPr>
            <w:tcW w:w="711" w:type="pct"/>
            <w:tcBorders>
              <w:left w:val="nil"/>
              <w:bottom w:val="single" w:sz="4" w:space="0" w:color="auto"/>
              <w:right w:val="nil"/>
            </w:tcBorders>
            <w:shd w:val="clear" w:color="auto" w:fill="auto"/>
          </w:tcPr>
          <w:p w14:paraId="1969DE34" w14:textId="7F10560D" w:rsidR="00FD2FC3" w:rsidRPr="006311C5" w:rsidRDefault="0029045F" w:rsidP="00A53D23">
            <w:pPr>
              <w:pStyle w:val="Tabletext"/>
              <w:rPr>
                <w:rFonts w:cstheme="minorHAnsi"/>
                <w:szCs w:val="18"/>
              </w:rPr>
            </w:pPr>
            <w:r w:rsidRPr="006311C5">
              <w:rPr>
                <w:rFonts w:cstheme="minorHAnsi"/>
                <w:szCs w:val="18"/>
              </w:rPr>
              <w:t>Decade</w:t>
            </w:r>
          </w:p>
        </w:tc>
        <w:tc>
          <w:tcPr>
            <w:tcW w:w="863" w:type="pct"/>
            <w:tcBorders>
              <w:top w:val="nil"/>
              <w:left w:val="nil"/>
              <w:bottom w:val="single" w:sz="4" w:space="0" w:color="auto"/>
              <w:right w:val="nil"/>
            </w:tcBorders>
            <w:shd w:val="clear" w:color="auto" w:fill="auto"/>
          </w:tcPr>
          <w:p w14:paraId="7A975C8B" w14:textId="2BCDC2AD" w:rsidR="00FD2FC3" w:rsidRPr="006311C5" w:rsidRDefault="00FD2FC3" w:rsidP="00A53D23">
            <w:pPr>
              <w:pStyle w:val="Tabletext"/>
              <w:rPr>
                <w:rFonts w:cstheme="minorHAnsi"/>
                <w:szCs w:val="18"/>
              </w:rPr>
            </w:pPr>
            <w:r w:rsidRPr="006311C5">
              <w:rPr>
                <w:rFonts w:cstheme="minorHAnsi"/>
                <w:szCs w:val="18"/>
              </w:rPr>
              <w:t>0.785 (0.691 to 0.893)</w:t>
            </w:r>
          </w:p>
        </w:tc>
        <w:tc>
          <w:tcPr>
            <w:tcW w:w="305" w:type="pct"/>
            <w:tcBorders>
              <w:left w:val="nil"/>
              <w:bottom w:val="single" w:sz="4" w:space="0" w:color="auto"/>
              <w:right w:val="nil"/>
            </w:tcBorders>
            <w:shd w:val="clear" w:color="auto" w:fill="auto"/>
          </w:tcPr>
          <w:p w14:paraId="1BC641E6" w14:textId="59AD0365" w:rsidR="00FD2FC3" w:rsidRPr="006311C5" w:rsidRDefault="00FD2FC3" w:rsidP="00A53D23">
            <w:pPr>
              <w:pStyle w:val="Tabletext"/>
              <w:rPr>
                <w:rFonts w:cstheme="minorHAnsi"/>
                <w:szCs w:val="18"/>
              </w:rPr>
            </w:pPr>
            <w:r w:rsidRPr="006311C5">
              <w:rPr>
                <w:rFonts w:cstheme="minorHAnsi"/>
                <w:szCs w:val="18"/>
              </w:rPr>
              <w:t>&lt;0.001*</w:t>
            </w:r>
          </w:p>
        </w:tc>
        <w:tc>
          <w:tcPr>
            <w:tcW w:w="852" w:type="pct"/>
            <w:tcBorders>
              <w:left w:val="nil"/>
              <w:bottom w:val="single" w:sz="4" w:space="0" w:color="auto"/>
              <w:right w:val="nil"/>
            </w:tcBorders>
            <w:shd w:val="clear" w:color="auto" w:fill="auto"/>
          </w:tcPr>
          <w:p w14:paraId="2D781DBC" w14:textId="7ABB153D" w:rsidR="00FD2FC3" w:rsidRPr="006311C5" w:rsidRDefault="00FD2FC3" w:rsidP="00A53D23">
            <w:pPr>
              <w:pStyle w:val="Tabletext"/>
              <w:rPr>
                <w:rFonts w:cstheme="minorHAnsi"/>
                <w:szCs w:val="18"/>
              </w:rPr>
            </w:pPr>
            <w:r w:rsidRPr="006311C5">
              <w:rPr>
                <w:rFonts w:cstheme="minorHAnsi"/>
                <w:szCs w:val="18"/>
              </w:rPr>
              <w:t>0.722 (0.644 to 0.810)</w:t>
            </w:r>
          </w:p>
        </w:tc>
        <w:tc>
          <w:tcPr>
            <w:tcW w:w="289" w:type="pct"/>
            <w:tcBorders>
              <w:left w:val="nil"/>
              <w:bottom w:val="single" w:sz="4" w:space="0" w:color="auto"/>
              <w:right w:val="nil"/>
            </w:tcBorders>
            <w:shd w:val="clear" w:color="auto" w:fill="auto"/>
          </w:tcPr>
          <w:p w14:paraId="74197A3A" w14:textId="7E81D9CA" w:rsidR="00FD2FC3" w:rsidRPr="006311C5" w:rsidRDefault="00FD2FC3" w:rsidP="00A53D23">
            <w:pPr>
              <w:pStyle w:val="Tabletext"/>
              <w:rPr>
                <w:rFonts w:cstheme="minorHAnsi"/>
                <w:szCs w:val="18"/>
              </w:rPr>
            </w:pPr>
            <w:r w:rsidRPr="006311C5">
              <w:rPr>
                <w:rFonts w:cstheme="minorHAnsi"/>
                <w:szCs w:val="18"/>
              </w:rPr>
              <w:t>&lt;0.001*</w:t>
            </w:r>
          </w:p>
        </w:tc>
      </w:tr>
      <w:tr w:rsidR="005F3962" w:rsidRPr="006311C5" w14:paraId="286986B0" w14:textId="1830D696" w:rsidTr="009E0FF1">
        <w:trPr>
          <w:jc w:val="center"/>
        </w:trPr>
        <w:tc>
          <w:tcPr>
            <w:tcW w:w="614" w:type="pct"/>
            <w:vMerge/>
            <w:tcBorders>
              <w:left w:val="nil"/>
              <w:bottom w:val="single" w:sz="12" w:space="0" w:color="000000" w:themeColor="text1"/>
              <w:right w:val="nil"/>
            </w:tcBorders>
          </w:tcPr>
          <w:p w14:paraId="58A423FB" w14:textId="77777777" w:rsidR="00FD2FC3" w:rsidRPr="006311C5" w:rsidRDefault="00FD2FC3" w:rsidP="00A53D23">
            <w:pPr>
              <w:pStyle w:val="Tabletext"/>
              <w:rPr>
                <w:rFonts w:cstheme="minorHAnsi"/>
                <w:szCs w:val="18"/>
              </w:rPr>
            </w:pPr>
          </w:p>
        </w:tc>
        <w:tc>
          <w:tcPr>
            <w:tcW w:w="1367" w:type="pct"/>
            <w:vMerge w:val="restart"/>
            <w:tcBorders>
              <w:left w:val="nil"/>
              <w:right w:val="nil"/>
            </w:tcBorders>
            <w:shd w:val="clear" w:color="auto" w:fill="auto"/>
          </w:tcPr>
          <w:p w14:paraId="2B37FE8A" w14:textId="1201718E" w:rsidR="00FD2FC3" w:rsidRPr="006311C5" w:rsidRDefault="00FD2FC3" w:rsidP="00A53D23">
            <w:pPr>
              <w:pStyle w:val="Tabletext"/>
              <w:rPr>
                <w:rFonts w:cstheme="minorHAnsi"/>
                <w:szCs w:val="18"/>
              </w:rPr>
            </w:pPr>
            <w:r w:rsidRPr="006311C5">
              <w:rPr>
                <w:rFonts w:cstheme="minorHAnsi"/>
                <w:szCs w:val="18"/>
              </w:rPr>
              <w:t>Gender</w:t>
            </w:r>
          </w:p>
        </w:tc>
        <w:tc>
          <w:tcPr>
            <w:tcW w:w="711" w:type="pct"/>
            <w:tcBorders>
              <w:top w:val="single" w:sz="4" w:space="0" w:color="auto"/>
              <w:left w:val="nil"/>
              <w:bottom w:val="nil"/>
              <w:right w:val="nil"/>
            </w:tcBorders>
            <w:shd w:val="clear" w:color="auto" w:fill="auto"/>
          </w:tcPr>
          <w:p w14:paraId="1E2CC43C" w14:textId="1A73527F" w:rsidR="00FD2FC3" w:rsidRPr="006311C5" w:rsidRDefault="00FD2FC3" w:rsidP="00A53D23">
            <w:pPr>
              <w:pStyle w:val="Tabletext"/>
              <w:rPr>
                <w:rFonts w:cstheme="minorHAnsi"/>
                <w:szCs w:val="18"/>
              </w:rPr>
            </w:pPr>
            <w:r w:rsidRPr="006311C5">
              <w:rPr>
                <w:rFonts w:cstheme="minorHAnsi"/>
                <w:szCs w:val="18"/>
              </w:rPr>
              <w:t xml:space="preserve">Female </w:t>
            </w:r>
          </w:p>
        </w:tc>
        <w:tc>
          <w:tcPr>
            <w:tcW w:w="863" w:type="pct"/>
            <w:tcBorders>
              <w:top w:val="single" w:sz="4" w:space="0" w:color="auto"/>
              <w:left w:val="nil"/>
              <w:bottom w:val="nil"/>
              <w:right w:val="nil"/>
            </w:tcBorders>
            <w:shd w:val="clear" w:color="auto" w:fill="auto"/>
          </w:tcPr>
          <w:p w14:paraId="31720F1B" w14:textId="6D0CA3B2" w:rsidR="00FD2FC3" w:rsidRPr="006311C5" w:rsidRDefault="00FD2FC3" w:rsidP="00A53D23">
            <w:pPr>
              <w:pStyle w:val="Tabletext"/>
              <w:rPr>
                <w:rFonts w:cstheme="minorHAnsi"/>
                <w:szCs w:val="18"/>
              </w:rPr>
            </w:pPr>
            <w:r w:rsidRPr="006311C5">
              <w:rPr>
                <w:rFonts w:cstheme="minorHAnsi"/>
                <w:szCs w:val="18"/>
              </w:rPr>
              <w:t>Reference</w:t>
            </w:r>
          </w:p>
        </w:tc>
        <w:tc>
          <w:tcPr>
            <w:tcW w:w="305" w:type="pct"/>
            <w:tcBorders>
              <w:top w:val="single" w:sz="4" w:space="0" w:color="auto"/>
              <w:left w:val="nil"/>
              <w:bottom w:val="nil"/>
              <w:right w:val="nil"/>
            </w:tcBorders>
            <w:shd w:val="clear" w:color="auto" w:fill="auto"/>
          </w:tcPr>
          <w:p w14:paraId="7FBA4803" w14:textId="2C199C5A" w:rsidR="00FD2FC3" w:rsidRPr="006311C5" w:rsidRDefault="00467177" w:rsidP="00A53D23">
            <w:pPr>
              <w:pStyle w:val="Tabletext"/>
              <w:rPr>
                <w:rFonts w:cstheme="minorHAnsi"/>
                <w:szCs w:val="18"/>
              </w:rPr>
            </w:pPr>
            <w:r w:rsidRPr="006311C5">
              <w:rPr>
                <w:rFonts w:cstheme="minorHAnsi"/>
                <w:szCs w:val="18"/>
              </w:rPr>
              <w:t>—</w:t>
            </w:r>
          </w:p>
        </w:tc>
        <w:tc>
          <w:tcPr>
            <w:tcW w:w="852" w:type="pct"/>
            <w:tcBorders>
              <w:top w:val="single" w:sz="4" w:space="0" w:color="auto"/>
              <w:left w:val="nil"/>
              <w:bottom w:val="nil"/>
              <w:right w:val="nil"/>
            </w:tcBorders>
            <w:shd w:val="clear" w:color="auto" w:fill="auto"/>
          </w:tcPr>
          <w:p w14:paraId="6AD0DEF0" w14:textId="710E5E10" w:rsidR="00FD2FC3" w:rsidRPr="006311C5" w:rsidRDefault="00FD2FC3" w:rsidP="00A53D23">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6A0585A3" w14:textId="4F3B802D" w:rsidR="00FD2FC3" w:rsidRPr="006311C5" w:rsidRDefault="00FD2FC3" w:rsidP="00A53D23">
            <w:pPr>
              <w:pStyle w:val="Tabletext"/>
              <w:rPr>
                <w:rFonts w:cstheme="minorHAnsi"/>
                <w:szCs w:val="18"/>
              </w:rPr>
            </w:pPr>
            <w:r w:rsidRPr="006311C5">
              <w:rPr>
                <w:rFonts w:cstheme="minorHAnsi"/>
                <w:szCs w:val="18"/>
              </w:rPr>
              <w:t>-</w:t>
            </w:r>
          </w:p>
        </w:tc>
      </w:tr>
      <w:tr w:rsidR="005F3962" w:rsidRPr="006311C5" w14:paraId="7CA949B3" w14:textId="77777777" w:rsidTr="009E0FF1">
        <w:trPr>
          <w:jc w:val="center"/>
        </w:trPr>
        <w:tc>
          <w:tcPr>
            <w:tcW w:w="614" w:type="pct"/>
            <w:vMerge/>
            <w:tcBorders>
              <w:left w:val="nil"/>
              <w:bottom w:val="single" w:sz="12" w:space="0" w:color="000000" w:themeColor="text1"/>
              <w:right w:val="nil"/>
            </w:tcBorders>
          </w:tcPr>
          <w:p w14:paraId="4A4DBF15" w14:textId="77777777" w:rsidR="00FD2FC3" w:rsidRPr="006311C5" w:rsidRDefault="00FD2FC3" w:rsidP="00A53D23">
            <w:pPr>
              <w:pStyle w:val="Tabletext"/>
              <w:rPr>
                <w:rFonts w:cstheme="minorHAnsi"/>
                <w:szCs w:val="18"/>
              </w:rPr>
            </w:pPr>
          </w:p>
        </w:tc>
        <w:tc>
          <w:tcPr>
            <w:tcW w:w="1367" w:type="pct"/>
            <w:vMerge/>
            <w:tcBorders>
              <w:left w:val="nil"/>
              <w:right w:val="nil"/>
            </w:tcBorders>
          </w:tcPr>
          <w:p w14:paraId="2FAE9E18" w14:textId="13C6BD02" w:rsidR="00FD2FC3" w:rsidRPr="006311C5" w:rsidRDefault="00FD2FC3" w:rsidP="00A53D23">
            <w:pPr>
              <w:pStyle w:val="Tabletext"/>
              <w:rPr>
                <w:rFonts w:cstheme="minorHAnsi"/>
                <w:szCs w:val="18"/>
              </w:rPr>
            </w:pPr>
          </w:p>
        </w:tc>
        <w:tc>
          <w:tcPr>
            <w:tcW w:w="711" w:type="pct"/>
            <w:tcBorders>
              <w:top w:val="nil"/>
              <w:left w:val="nil"/>
              <w:bottom w:val="single" w:sz="4" w:space="0" w:color="auto"/>
              <w:right w:val="nil"/>
            </w:tcBorders>
            <w:shd w:val="clear" w:color="auto" w:fill="auto"/>
          </w:tcPr>
          <w:p w14:paraId="58F3C573" w14:textId="55308310" w:rsidR="00FD2FC3" w:rsidRPr="006311C5" w:rsidRDefault="00FD2FC3" w:rsidP="00A53D23">
            <w:pPr>
              <w:pStyle w:val="Tabletext"/>
              <w:rPr>
                <w:rFonts w:cstheme="minorHAnsi"/>
                <w:szCs w:val="18"/>
              </w:rPr>
            </w:pPr>
            <w:r w:rsidRPr="006311C5">
              <w:rPr>
                <w:rFonts w:cstheme="minorHAnsi"/>
                <w:szCs w:val="18"/>
              </w:rPr>
              <w:t>Male</w:t>
            </w:r>
          </w:p>
        </w:tc>
        <w:tc>
          <w:tcPr>
            <w:tcW w:w="863" w:type="pct"/>
            <w:tcBorders>
              <w:top w:val="nil"/>
              <w:left w:val="nil"/>
              <w:bottom w:val="single" w:sz="4" w:space="0" w:color="auto"/>
              <w:right w:val="nil"/>
            </w:tcBorders>
            <w:shd w:val="clear" w:color="auto" w:fill="auto"/>
          </w:tcPr>
          <w:p w14:paraId="7CF94AAF" w14:textId="238D00E0" w:rsidR="00FD2FC3" w:rsidRPr="006311C5" w:rsidRDefault="00FD2FC3" w:rsidP="00A53D23">
            <w:pPr>
              <w:pStyle w:val="Tabletext"/>
              <w:rPr>
                <w:rFonts w:cstheme="minorHAnsi"/>
                <w:szCs w:val="18"/>
              </w:rPr>
            </w:pPr>
            <w:r w:rsidRPr="006311C5">
              <w:rPr>
                <w:rFonts w:cstheme="minorHAnsi"/>
                <w:szCs w:val="18"/>
              </w:rPr>
              <w:t>0.356 (0.257 to 0.492)</w:t>
            </w:r>
          </w:p>
        </w:tc>
        <w:tc>
          <w:tcPr>
            <w:tcW w:w="305" w:type="pct"/>
            <w:tcBorders>
              <w:top w:val="nil"/>
              <w:left w:val="nil"/>
              <w:bottom w:val="single" w:sz="4" w:space="0" w:color="auto"/>
              <w:right w:val="nil"/>
            </w:tcBorders>
            <w:shd w:val="clear" w:color="auto" w:fill="auto"/>
          </w:tcPr>
          <w:p w14:paraId="02B31D5B" w14:textId="5D681002" w:rsidR="00FD2FC3" w:rsidRPr="006311C5" w:rsidRDefault="00FD2FC3" w:rsidP="00A53D23">
            <w:pPr>
              <w:pStyle w:val="Tabletext"/>
              <w:rPr>
                <w:rFonts w:cstheme="minorHAnsi"/>
                <w:szCs w:val="18"/>
              </w:rPr>
            </w:pPr>
            <w:r w:rsidRPr="006311C5">
              <w:rPr>
                <w:rFonts w:cstheme="minorHAnsi"/>
                <w:szCs w:val="18"/>
              </w:rPr>
              <w:t>&lt;0.001*</w:t>
            </w:r>
          </w:p>
        </w:tc>
        <w:tc>
          <w:tcPr>
            <w:tcW w:w="852" w:type="pct"/>
            <w:tcBorders>
              <w:top w:val="nil"/>
              <w:left w:val="nil"/>
              <w:bottom w:val="single" w:sz="4" w:space="0" w:color="auto"/>
              <w:right w:val="nil"/>
            </w:tcBorders>
            <w:shd w:val="clear" w:color="auto" w:fill="auto"/>
          </w:tcPr>
          <w:p w14:paraId="4FA7E9BF" w14:textId="069DF7AA" w:rsidR="00FD2FC3" w:rsidRPr="006311C5" w:rsidRDefault="00FD2FC3" w:rsidP="00A53D23">
            <w:pPr>
              <w:pStyle w:val="Tabletext"/>
              <w:rPr>
                <w:rFonts w:cstheme="minorHAnsi"/>
                <w:szCs w:val="18"/>
              </w:rPr>
            </w:pPr>
            <w:r w:rsidRPr="006311C5">
              <w:rPr>
                <w:rFonts w:cstheme="minorHAnsi"/>
                <w:szCs w:val="18"/>
              </w:rPr>
              <w:t>0.656 (0.492 to 0.875)</w:t>
            </w:r>
          </w:p>
        </w:tc>
        <w:tc>
          <w:tcPr>
            <w:tcW w:w="289" w:type="pct"/>
            <w:tcBorders>
              <w:top w:val="nil"/>
              <w:left w:val="nil"/>
              <w:bottom w:val="single" w:sz="4" w:space="0" w:color="auto"/>
              <w:right w:val="nil"/>
            </w:tcBorders>
            <w:shd w:val="clear" w:color="auto" w:fill="auto"/>
          </w:tcPr>
          <w:p w14:paraId="77BF3035" w14:textId="568D23E0" w:rsidR="00FD2FC3" w:rsidRPr="006311C5" w:rsidRDefault="00FD2FC3" w:rsidP="00A53D23">
            <w:pPr>
              <w:pStyle w:val="Tabletext"/>
              <w:rPr>
                <w:rFonts w:cstheme="minorHAnsi"/>
                <w:szCs w:val="18"/>
              </w:rPr>
            </w:pPr>
            <w:r w:rsidRPr="006311C5">
              <w:rPr>
                <w:rFonts w:cstheme="minorHAnsi"/>
                <w:szCs w:val="18"/>
              </w:rPr>
              <w:t>0.004*</w:t>
            </w:r>
          </w:p>
        </w:tc>
      </w:tr>
      <w:tr w:rsidR="005F3962" w:rsidRPr="006311C5" w14:paraId="5570FC71" w14:textId="7BB8F234" w:rsidTr="009E0FF1">
        <w:trPr>
          <w:jc w:val="center"/>
        </w:trPr>
        <w:tc>
          <w:tcPr>
            <w:tcW w:w="614" w:type="pct"/>
            <w:vMerge/>
            <w:tcBorders>
              <w:left w:val="nil"/>
              <w:bottom w:val="single" w:sz="12" w:space="0" w:color="000000" w:themeColor="text1"/>
              <w:right w:val="nil"/>
            </w:tcBorders>
          </w:tcPr>
          <w:p w14:paraId="38C505E6" w14:textId="77777777" w:rsidR="00FD2FC3" w:rsidRPr="006311C5" w:rsidRDefault="00FD2FC3" w:rsidP="00A53D23">
            <w:pPr>
              <w:pStyle w:val="Tabletext"/>
              <w:rPr>
                <w:rFonts w:cstheme="minorHAnsi"/>
                <w:szCs w:val="18"/>
              </w:rPr>
            </w:pPr>
          </w:p>
        </w:tc>
        <w:tc>
          <w:tcPr>
            <w:tcW w:w="1367" w:type="pct"/>
            <w:vMerge w:val="restart"/>
            <w:tcBorders>
              <w:top w:val="single" w:sz="4" w:space="0" w:color="auto"/>
              <w:left w:val="nil"/>
              <w:right w:val="nil"/>
            </w:tcBorders>
            <w:shd w:val="clear" w:color="auto" w:fill="auto"/>
          </w:tcPr>
          <w:p w14:paraId="7360E17B" w14:textId="1EC9A4D3" w:rsidR="00FD2FC3" w:rsidRPr="006311C5" w:rsidRDefault="00FD2FC3" w:rsidP="00A53D23">
            <w:pPr>
              <w:pStyle w:val="Tabletext"/>
              <w:rPr>
                <w:rFonts w:cstheme="minorHAnsi"/>
                <w:szCs w:val="18"/>
              </w:rPr>
            </w:pPr>
            <w:r w:rsidRPr="006311C5">
              <w:rPr>
                <w:rFonts w:cstheme="minorHAnsi"/>
                <w:szCs w:val="18"/>
              </w:rPr>
              <w:t>Ethnicity</w:t>
            </w:r>
          </w:p>
        </w:tc>
        <w:tc>
          <w:tcPr>
            <w:tcW w:w="711" w:type="pct"/>
            <w:tcBorders>
              <w:top w:val="single" w:sz="4" w:space="0" w:color="auto"/>
              <w:left w:val="nil"/>
              <w:bottom w:val="nil"/>
              <w:right w:val="nil"/>
            </w:tcBorders>
            <w:shd w:val="clear" w:color="auto" w:fill="auto"/>
          </w:tcPr>
          <w:p w14:paraId="66B719D3" w14:textId="5326E18D" w:rsidR="00FD2FC3" w:rsidRPr="006311C5" w:rsidRDefault="00FD2FC3" w:rsidP="00A53D23">
            <w:pPr>
              <w:pStyle w:val="Tabletext"/>
              <w:rPr>
                <w:rFonts w:cstheme="minorHAnsi"/>
                <w:szCs w:val="18"/>
              </w:rPr>
            </w:pPr>
            <w:r w:rsidRPr="006311C5">
              <w:rPr>
                <w:rFonts w:cstheme="minorHAnsi"/>
                <w:szCs w:val="18"/>
              </w:rPr>
              <w:t>White</w:t>
            </w:r>
          </w:p>
        </w:tc>
        <w:tc>
          <w:tcPr>
            <w:tcW w:w="863" w:type="pct"/>
            <w:tcBorders>
              <w:top w:val="single" w:sz="4" w:space="0" w:color="auto"/>
              <w:left w:val="nil"/>
              <w:bottom w:val="nil"/>
              <w:right w:val="nil"/>
            </w:tcBorders>
            <w:shd w:val="clear" w:color="auto" w:fill="auto"/>
          </w:tcPr>
          <w:p w14:paraId="03D8C1F4" w14:textId="0E5267B7" w:rsidR="00FD2FC3" w:rsidRPr="006311C5" w:rsidRDefault="00FD2FC3" w:rsidP="00A53D23">
            <w:pPr>
              <w:pStyle w:val="Tabletext"/>
              <w:rPr>
                <w:rFonts w:cstheme="minorHAnsi"/>
                <w:szCs w:val="18"/>
              </w:rPr>
            </w:pPr>
            <w:r w:rsidRPr="006311C5">
              <w:rPr>
                <w:rFonts w:cstheme="minorHAnsi"/>
                <w:szCs w:val="18"/>
              </w:rPr>
              <w:t>Reference</w:t>
            </w:r>
          </w:p>
        </w:tc>
        <w:tc>
          <w:tcPr>
            <w:tcW w:w="305" w:type="pct"/>
            <w:tcBorders>
              <w:top w:val="single" w:sz="4" w:space="0" w:color="auto"/>
              <w:left w:val="nil"/>
              <w:bottom w:val="nil"/>
              <w:right w:val="nil"/>
            </w:tcBorders>
            <w:shd w:val="clear" w:color="auto" w:fill="auto"/>
          </w:tcPr>
          <w:p w14:paraId="2D955880" w14:textId="505A3D6E" w:rsidR="00FD2FC3" w:rsidRPr="006311C5" w:rsidRDefault="00467177" w:rsidP="00A53D23">
            <w:pPr>
              <w:pStyle w:val="Tabletext"/>
              <w:rPr>
                <w:rFonts w:cstheme="minorHAnsi"/>
                <w:szCs w:val="18"/>
              </w:rPr>
            </w:pPr>
            <w:r w:rsidRPr="006311C5">
              <w:rPr>
                <w:rFonts w:cstheme="minorHAnsi"/>
                <w:szCs w:val="18"/>
              </w:rPr>
              <w:t>—</w:t>
            </w:r>
          </w:p>
        </w:tc>
        <w:tc>
          <w:tcPr>
            <w:tcW w:w="852" w:type="pct"/>
            <w:tcBorders>
              <w:top w:val="single" w:sz="4" w:space="0" w:color="auto"/>
              <w:left w:val="nil"/>
              <w:bottom w:val="nil"/>
              <w:right w:val="nil"/>
            </w:tcBorders>
            <w:shd w:val="clear" w:color="auto" w:fill="auto"/>
          </w:tcPr>
          <w:p w14:paraId="39ED9C03" w14:textId="38B11BA2" w:rsidR="00FD2FC3" w:rsidRPr="006311C5" w:rsidRDefault="00FD2FC3" w:rsidP="00A53D23">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6B86E046" w14:textId="5192AA13" w:rsidR="00FD2FC3" w:rsidRPr="006311C5" w:rsidRDefault="00FD2FC3" w:rsidP="00A53D23">
            <w:pPr>
              <w:pStyle w:val="Tabletext"/>
              <w:rPr>
                <w:rFonts w:cstheme="minorHAnsi"/>
                <w:szCs w:val="18"/>
              </w:rPr>
            </w:pPr>
            <w:r w:rsidRPr="006311C5">
              <w:rPr>
                <w:rFonts w:cstheme="minorHAnsi"/>
                <w:szCs w:val="18"/>
              </w:rPr>
              <w:t>-</w:t>
            </w:r>
          </w:p>
        </w:tc>
      </w:tr>
      <w:tr w:rsidR="005F3962" w:rsidRPr="006311C5" w14:paraId="5E296C6D" w14:textId="77777777" w:rsidTr="009E0FF1">
        <w:trPr>
          <w:jc w:val="center"/>
        </w:trPr>
        <w:tc>
          <w:tcPr>
            <w:tcW w:w="614" w:type="pct"/>
            <w:vMerge/>
            <w:tcBorders>
              <w:left w:val="nil"/>
              <w:bottom w:val="single" w:sz="12" w:space="0" w:color="000000" w:themeColor="text1"/>
              <w:right w:val="nil"/>
            </w:tcBorders>
          </w:tcPr>
          <w:p w14:paraId="18B30AF7" w14:textId="77777777" w:rsidR="00FD2FC3" w:rsidRPr="006311C5" w:rsidRDefault="00FD2FC3" w:rsidP="00A53D23">
            <w:pPr>
              <w:pStyle w:val="Tabletext"/>
              <w:rPr>
                <w:rFonts w:cstheme="minorHAnsi"/>
                <w:szCs w:val="18"/>
              </w:rPr>
            </w:pPr>
          </w:p>
        </w:tc>
        <w:tc>
          <w:tcPr>
            <w:tcW w:w="1367" w:type="pct"/>
            <w:vMerge/>
            <w:tcBorders>
              <w:left w:val="nil"/>
              <w:right w:val="nil"/>
            </w:tcBorders>
          </w:tcPr>
          <w:p w14:paraId="5559D52C" w14:textId="7567584A" w:rsidR="00FD2FC3" w:rsidRPr="006311C5" w:rsidRDefault="00FD2FC3" w:rsidP="00A53D23">
            <w:pPr>
              <w:pStyle w:val="Tabletext"/>
              <w:rPr>
                <w:rFonts w:cstheme="minorHAnsi"/>
                <w:szCs w:val="18"/>
              </w:rPr>
            </w:pPr>
          </w:p>
        </w:tc>
        <w:tc>
          <w:tcPr>
            <w:tcW w:w="711" w:type="pct"/>
            <w:tcBorders>
              <w:top w:val="nil"/>
              <w:left w:val="nil"/>
              <w:bottom w:val="single" w:sz="4" w:space="0" w:color="auto"/>
              <w:right w:val="nil"/>
            </w:tcBorders>
            <w:shd w:val="clear" w:color="auto" w:fill="auto"/>
          </w:tcPr>
          <w:p w14:paraId="7253EC25" w14:textId="15836FA6" w:rsidR="00FD2FC3" w:rsidRPr="006311C5" w:rsidRDefault="00A8629F" w:rsidP="00A53D23">
            <w:pPr>
              <w:pStyle w:val="Tabletext"/>
              <w:rPr>
                <w:rFonts w:cstheme="minorHAnsi"/>
                <w:szCs w:val="18"/>
              </w:rPr>
            </w:pPr>
            <w:r w:rsidRPr="006311C5">
              <w:rPr>
                <w:rFonts w:cstheme="minorHAnsi"/>
                <w:szCs w:val="18"/>
              </w:rPr>
              <w:t>Other ethnic groups</w:t>
            </w:r>
          </w:p>
        </w:tc>
        <w:tc>
          <w:tcPr>
            <w:tcW w:w="863" w:type="pct"/>
            <w:tcBorders>
              <w:top w:val="nil"/>
              <w:left w:val="nil"/>
              <w:bottom w:val="single" w:sz="4" w:space="0" w:color="auto"/>
              <w:right w:val="nil"/>
            </w:tcBorders>
            <w:shd w:val="clear" w:color="auto" w:fill="auto"/>
          </w:tcPr>
          <w:p w14:paraId="11301642" w14:textId="500197FF" w:rsidR="00FD2FC3" w:rsidRPr="006311C5" w:rsidRDefault="00FD2FC3" w:rsidP="00A53D23">
            <w:pPr>
              <w:pStyle w:val="Tabletext"/>
              <w:rPr>
                <w:rFonts w:cstheme="minorHAnsi"/>
                <w:szCs w:val="18"/>
              </w:rPr>
            </w:pPr>
            <w:r w:rsidRPr="006311C5">
              <w:rPr>
                <w:rFonts w:cstheme="minorHAnsi"/>
                <w:szCs w:val="18"/>
              </w:rPr>
              <w:t>0.954 (0.566 to 1.608)</w:t>
            </w:r>
          </w:p>
        </w:tc>
        <w:tc>
          <w:tcPr>
            <w:tcW w:w="305" w:type="pct"/>
            <w:tcBorders>
              <w:top w:val="nil"/>
              <w:left w:val="nil"/>
              <w:bottom w:val="single" w:sz="4" w:space="0" w:color="auto"/>
              <w:right w:val="nil"/>
            </w:tcBorders>
            <w:shd w:val="clear" w:color="auto" w:fill="auto"/>
          </w:tcPr>
          <w:p w14:paraId="7CD2ACD4" w14:textId="6E224F97" w:rsidR="00FD2FC3" w:rsidRPr="006311C5" w:rsidRDefault="00FD2FC3" w:rsidP="00A53D23">
            <w:pPr>
              <w:pStyle w:val="Tabletext"/>
              <w:rPr>
                <w:rFonts w:cstheme="minorHAnsi"/>
                <w:szCs w:val="18"/>
              </w:rPr>
            </w:pPr>
            <w:r w:rsidRPr="006311C5">
              <w:rPr>
                <w:rFonts w:cstheme="minorHAnsi"/>
                <w:szCs w:val="18"/>
              </w:rPr>
              <w:t>0.860</w:t>
            </w:r>
          </w:p>
        </w:tc>
        <w:tc>
          <w:tcPr>
            <w:tcW w:w="852" w:type="pct"/>
            <w:tcBorders>
              <w:top w:val="nil"/>
              <w:left w:val="nil"/>
              <w:bottom w:val="single" w:sz="4" w:space="0" w:color="auto"/>
              <w:right w:val="nil"/>
            </w:tcBorders>
            <w:shd w:val="clear" w:color="auto" w:fill="auto"/>
          </w:tcPr>
          <w:p w14:paraId="6EB045DE" w14:textId="25945CBE" w:rsidR="00FD2FC3" w:rsidRPr="006311C5" w:rsidRDefault="00FD2FC3" w:rsidP="00A53D23">
            <w:pPr>
              <w:pStyle w:val="Tabletext"/>
              <w:rPr>
                <w:rFonts w:cstheme="minorHAnsi"/>
                <w:szCs w:val="18"/>
              </w:rPr>
            </w:pPr>
            <w:r w:rsidRPr="006311C5">
              <w:rPr>
                <w:rFonts w:cstheme="minorHAnsi"/>
                <w:szCs w:val="18"/>
              </w:rPr>
              <w:t>1.129 (0.699 to 1.822)</w:t>
            </w:r>
          </w:p>
        </w:tc>
        <w:tc>
          <w:tcPr>
            <w:tcW w:w="289" w:type="pct"/>
            <w:tcBorders>
              <w:top w:val="nil"/>
              <w:left w:val="nil"/>
              <w:bottom w:val="single" w:sz="4" w:space="0" w:color="auto"/>
              <w:right w:val="nil"/>
            </w:tcBorders>
            <w:shd w:val="clear" w:color="auto" w:fill="auto"/>
          </w:tcPr>
          <w:p w14:paraId="7B754D75" w14:textId="74E9B1EA" w:rsidR="00FD2FC3" w:rsidRPr="006311C5" w:rsidRDefault="00FD2FC3" w:rsidP="00A53D23">
            <w:pPr>
              <w:pStyle w:val="Tabletext"/>
              <w:rPr>
                <w:rFonts w:cstheme="minorHAnsi"/>
                <w:szCs w:val="18"/>
              </w:rPr>
            </w:pPr>
            <w:r w:rsidRPr="006311C5">
              <w:rPr>
                <w:rFonts w:cstheme="minorHAnsi"/>
                <w:szCs w:val="18"/>
              </w:rPr>
              <w:t>0.620</w:t>
            </w:r>
          </w:p>
        </w:tc>
      </w:tr>
      <w:tr w:rsidR="005F3962" w:rsidRPr="006311C5" w14:paraId="6BEF5724" w14:textId="7720E3C3" w:rsidTr="009E0FF1">
        <w:trPr>
          <w:jc w:val="center"/>
        </w:trPr>
        <w:tc>
          <w:tcPr>
            <w:tcW w:w="614" w:type="pct"/>
            <w:vMerge/>
            <w:tcBorders>
              <w:left w:val="nil"/>
              <w:bottom w:val="single" w:sz="12" w:space="0" w:color="000000" w:themeColor="text1"/>
              <w:right w:val="nil"/>
            </w:tcBorders>
          </w:tcPr>
          <w:p w14:paraId="6273C975" w14:textId="77777777" w:rsidR="00FD2FC3" w:rsidRPr="006311C5" w:rsidRDefault="00FD2FC3" w:rsidP="00A53D23">
            <w:pPr>
              <w:pStyle w:val="Tabletext"/>
              <w:rPr>
                <w:rFonts w:cstheme="minorHAnsi"/>
                <w:szCs w:val="18"/>
              </w:rPr>
            </w:pPr>
          </w:p>
        </w:tc>
        <w:tc>
          <w:tcPr>
            <w:tcW w:w="1367" w:type="pct"/>
            <w:vMerge w:val="restart"/>
            <w:tcBorders>
              <w:left w:val="nil"/>
              <w:right w:val="nil"/>
            </w:tcBorders>
            <w:shd w:val="clear" w:color="auto" w:fill="auto"/>
          </w:tcPr>
          <w:p w14:paraId="46158ED5" w14:textId="32E3A669" w:rsidR="00FD2FC3" w:rsidRPr="006311C5" w:rsidRDefault="00FD2FC3" w:rsidP="00A53D23">
            <w:pPr>
              <w:pStyle w:val="Tabletext"/>
              <w:rPr>
                <w:rFonts w:cstheme="minorHAnsi"/>
                <w:szCs w:val="18"/>
              </w:rPr>
            </w:pPr>
            <w:r w:rsidRPr="006311C5">
              <w:rPr>
                <w:rFonts w:cstheme="minorHAnsi"/>
                <w:szCs w:val="18"/>
              </w:rPr>
              <w:t>At risk for COVID-19</w:t>
            </w:r>
          </w:p>
        </w:tc>
        <w:tc>
          <w:tcPr>
            <w:tcW w:w="711" w:type="pct"/>
            <w:tcBorders>
              <w:left w:val="nil"/>
              <w:bottom w:val="nil"/>
              <w:right w:val="nil"/>
            </w:tcBorders>
            <w:shd w:val="clear" w:color="auto" w:fill="auto"/>
          </w:tcPr>
          <w:p w14:paraId="44155659" w14:textId="2126D308" w:rsidR="00FD2FC3" w:rsidRPr="006311C5" w:rsidRDefault="00FD2FC3" w:rsidP="00A53D23">
            <w:pPr>
              <w:pStyle w:val="Tabletext"/>
              <w:rPr>
                <w:rFonts w:cstheme="minorHAnsi"/>
                <w:szCs w:val="18"/>
              </w:rPr>
            </w:pPr>
            <w:r w:rsidRPr="006311C5">
              <w:rPr>
                <w:rFonts w:cstheme="minorHAnsi"/>
                <w:szCs w:val="18"/>
              </w:rPr>
              <w:t>No</w:t>
            </w:r>
          </w:p>
        </w:tc>
        <w:tc>
          <w:tcPr>
            <w:tcW w:w="863" w:type="pct"/>
            <w:tcBorders>
              <w:top w:val="single" w:sz="4" w:space="0" w:color="auto"/>
              <w:left w:val="nil"/>
              <w:bottom w:val="nil"/>
              <w:right w:val="nil"/>
            </w:tcBorders>
            <w:shd w:val="clear" w:color="auto" w:fill="auto"/>
          </w:tcPr>
          <w:p w14:paraId="52A36684" w14:textId="44BAA3CC" w:rsidR="00FD2FC3" w:rsidRPr="006311C5" w:rsidRDefault="00FD2FC3" w:rsidP="00A53D23">
            <w:pPr>
              <w:pStyle w:val="Tabletext"/>
              <w:rPr>
                <w:rFonts w:cstheme="minorHAnsi"/>
                <w:szCs w:val="18"/>
              </w:rPr>
            </w:pPr>
            <w:r w:rsidRPr="006311C5">
              <w:rPr>
                <w:rFonts w:cstheme="minorHAnsi"/>
                <w:szCs w:val="18"/>
              </w:rPr>
              <w:t>Reference</w:t>
            </w:r>
          </w:p>
        </w:tc>
        <w:tc>
          <w:tcPr>
            <w:tcW w:w="305" w:type="pct"/>
            <w:tcBorders>
              <w:top w:val="single" w:sz="4" w:space="0" w:color="auto"/>
              <w:left w:val="nil"/>
              <w:bottom w:val="nil"/>
              <w:right w:val="nil"/>
            </w:tcBorders>
            <w:shd w:val="clear" w:color="auto" w:fill="auto"/>
          </w:tcPr>
          <w:p w14:paraId="61A0ABE5" w14:textId="4318C488" w:rsidR="00FD2FC3" w:rsidRPr="006311C5" w:rsidRDefault="00467177" w:rsidP="00A53D23">
            <w:pPr>
              <w:pStyle w:val="Tabletext"/>
              <w:rPr>
                <w:rFonts w:cstheme="minorHAnsi"/>
                <w:szCs w:val="18"/>
              </w:rPr>
            </w:pPr>
            <w:r w:rsidRPr="006311C5">
              <w:rPr>
                <w:rFonts w:cstheme="minorHAnsi"/>
                <w:szCs w:val="18"/>
              </w:rPr>
              <w:t>—</w:t>
            </w:r>
          </w:p>
        </w:tc>
        <w:tc>
          <w:tcPr>
            <w:tcW w:w="852" w:type="pct"/>
            <w:tcBorders>
              <w:top w:val="single" w:sz="4" w:space="0" w:color="auto"/>
              <w:left w:val="nil"/>
              <w:bottom w:val="nil"/>
              <w:right w:val="nil"/>
            </w:tcBorders>
            <w:shd w:val="clear" w:color="auto" w:fill="auto"/>
          </w:tcPr>
          <w:p w14:paraId="57CD0A32" w14:textId="51E451FB" w:rsidR="00FD2FC3" w:rsidRPr="006311C5" w:rsidRDefault="00FD2FC3" w:rsidP="00A53D23">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700CF1E9" w14:textId="3F29DC3B" w:rsidR="00FD2FC3" w:rsidRPr="006311C5" w:rsidRDefault="00FD2FC3" w:rsidP="00A53D23">
            <w:pPr>
              <w:pStyle w:val="Tabletext"/>
              <w:rPr>
                <w:rFonts w:cstheme="minorHAnsi"/>
                <w:szCs w:val="18"/>
              </w:rPr>
            </w:pPr>
            <w:r w:rsidRPr="006311C5">
              <w:rPr>
                <w:rFonts w:cstheme="minorHAnsi"/>
                <w:szCs w:val="18"/>
              </w:rPr>
              <w:t>-</w:t>
            </w:r>
          </w:p>
        </w:tc>
      </w:tr>
      <w:tr w:rsidR="005F3962" w:rsidRPr="006311C5" w14:paraId="70873BF9" w14:textId="6065CF76" w:rsidTr="009E0FF1">
        <w:trPr>
          <w:jc w:val="center"/>
        </w:trPr>
        <w:tc>
          <w:tcPr>
            <w:tcW w:w="614" w:type="pct"/>
            <w:vMerge/>
            <w:tcBorders>
              <w:left w:val="nil"/>
              <w:bottom w:val="single" w:sz="12" w:space="0" w:color="000000" w:themeColor="text1"/>
              <w:right w:val="nil"/>
            </w:tcBorders>
          </w:tcPr>
          <w:p w14:paraId="14C202D0" w14:textId="77777777" w:rsidR="00FD2FC3" w:rsidRPr="006311C5" w:rsidRDefault="00FD2FC3" w:rsidP="00A53D23">
            <w:pPr>
              <w:pStyle w:val="Tabletext"/>
              <w:rPr>
                <w:rFonts w:cstheme="minorHAnsi"/>
                <w:szCs w:val="18"/>
              </w:rPr>
            </w:pPr>
          </w:p>
        </w:tc>
        <w:tc>
          <w:tcPr>
            <w:tcW w:w="1367" w:type="pct"/>
            <w:vMerge/>
            <w:tcBorders>
              <w:left w:val="nil"/>
              <w:right w:val="nil"/>
            </w:tcBorders>
          </w:tcPr>
          <w:p w14:paraId="57EEEFF2" w14:textId="75BAA7BD" w:rsidR="00FD2FC3" w:rsidRPr="006311C5" w:rsidRDefault="00FD2FC3" w:rsidP="00A53D23">
            <w:pPr>
              <w:pStyle w:val="Tabletext"/>
              <w:rPr>
                <w:rFonts w:cstheme="minorHAnsi"/>
                <w:szCs w:val="18"/>
              </w:rPr>
            </w:pPr>
          </w:p>
        </w:tc>
        <w:tc>
          <w:tcPr>
            <w:tcW w:w="711" w:type="pct"/>
            <w:tcBorders>
              <w:top w:val="nil"/>
              <w:left w:val="nil"/>
              <w:bottom w:val="single" w:sz="4" w:space="0" w:color="auto"/>
              <w:right w:val="nil"/>
            </w:tcBorders>
            <w:shd w:val="clear" w:color="auto" w:fill="auto"/>
          </w:tcPr>
          <w:p w14:paraId="0477F81A" w14:textId="77777777" w:rsidR="00FD2FC3" w:rsidRPr="006311C5" w:rsidRDefault="00FD2FC3" w:rsidP="00A53D23">
            <w:pPr>
              <w:pStyle w:val="Tabletext"/>
              <w:rPr>
                <w:rFonts w:cstheme="minorHAnsi"/>
                <w:szCs w:val="18"/>
              </w:rPr>
            </w:pPr>
            <w:r w:rsidRPr="006311C5">
              <w:rPr>
                <w:rFonts w:cstheme="minorHAnsi"/>
                <w:szCs w:val="18"/>
              </w:rPr>
              <w:t>Yes</w:t>
            </w:r>
          </w:p>
        </w:tc>
        <w:tc>
          <w:tcPr>
            <w:tcW w:w="863" w:type="pct"/>
            <w:tcBorders>
              <w:top w:val="nil"/>
              <w:left w:val="nil"/>
              <w:bottom w:val="single" w:sz="4" w:space="0" w:color="auto"/>
              <w:right w:val="nil"/>
            </w:tcBorders>
            <w:shd w:val="clear" w:color="auto" w:fill="auto"/>
          </w:tcPr>
          <w:p w14:paraId="5EE56B3D" w14:textId="24245690" w:rsidR="00FD2FC3" w:rsidRPr="006311C5" w:rsidRDefault="00FD2FC3" w:rsidP="00A53D23">
            <w:pPr>
              <w:pStyle w:val="Tabletext"/>
              <w:rPr>
                <w:rFonts w:cstheme="minorHAnsi"/>
                <w:szCs w:val="18"/>
              </w:rPr>
            </w:pPr>
            <w:r w:rsidRPr="006311C5">
              <w:rPr>
                <w:rFonts w:cstheme="minorHAnsi"/>
                <w:szCs w:val="18"/>
              </w:rPr>
              <w:t>0.965 (0.643 to 1.446</w:t>
            </w:r>
            <w:r w:rsidR="00626218" w:rsidRPr="006311C5">
              <w:rPr>
                <w:rFonts w:cstheme="minorHAnsi"/>
                <w:szCs w:val="18"/>
              </w:rPr>
              <w:t>)</w:t>
            </w:r>
          </w:p>
        </w:tc>
        <w:tc>
          <w:tcPr>
            <w:tcW w:w="305" w:type="pct"/>
            <w:tcBorders>
              <w:top w:val="nil"/>
              <w:left w:val="nil"/>
              <w:bottom w:val="single" w:sz="4" w:space="0" w:color="auto"/>
              <w:right w:val="nil"/>
            </w:tcBorders>
            <w:shd w:val="clear" w:color="auto" w:fill="auto"/>
          </w:tcPr>
          <w:p w14:paraId="224FF56E" w14:textId="25F79BD5" w:rsidR="00FD2FC3" w:rsidRPr="006311C5" w:rsidRDefault="00FD2FC3" w:rsidP="00A53D23">
            <w:pPr>
              <w:pStyle w:val="Tabletext"/>
              <w:rPr>
                <w:rFonts w:cstheme="minorHAnsi"/>
                <w:szCs w:val="18"/>
              </w:rPr>
            </w:pPr>
            <w:r w:rsidRPr="006311C5">
              <w:rPr>
                <w:rFonts w:cstheme="minorHAnsi"/>
                <w:szCs w:val="18"/>
              </w:rPr>
              <w:t>0.861</w:t>
            </w:r>
          </w:p>
        </w:tc>
        <w:tc>
          <w:tcPr>
            <w:tcW w:w="852" w:type="pct"/>
            <w:tcBorders>
              <w:top w:val="nil"/>
              <w:left w:val="nil"/>
              <w:bottom w:val="single" w:sz="4" w:space="0" w:color="auto"/>
              <w:right w:val="nil"/>
            </w:tcBorders>
            <w:shd w:val="clear" w:color="auto" w:fill="auto"/>
          </w:tcPr>
          <w:p w14:paraId="773DE066" w14:textId="1993D8BC" w:rsidR="00FD2FC3" w:rsidRPr="006311C5" w:rsidRDefault="00FD2FC3" w:rsidP="00A53D23">
            <w:pPr>
              <w:pStyle w:val="Tabletext"/>
              <w:rPr>
                <w:rFonts w:cstheme="minorHAnsi"/>
                <w:szCs w:val="18"/>
              </w:rPr>
            </w:pPr>
            <w:r w:rsidRPr="006311C5">
              <w:rPr>
                <w:rFonts w:cstheme="minorHAnsi"/>
                <w:szCs w:val="18"/>
              </w:rPr>
              <w:t>0.854 (0.589 to 1.240)</w:t>
            </w:r>
          </w:p>
        </w:tc>
        <w:tc>
          <w:tcPr>
            <w:tcW w:w="289" w:type="pct"/>
            <w:tcBorders>
              <w:top w:val="nil"/>
              <w:left w:val="nil"/>
              <w:bottom w:val="single" w:sz="4" w:space="0" w:color="auto"/>
              <w:right w:val="nil"/>
            </w:tcBorders>
            <w:shd w:val="clear" w:color="auto" w:fill="auto"/>
          </w:tcPr>
          <w:p w14:paraId="1BD6909C" w14:textId="761BAC23" w:rsidR="00FD2FC3" w:rsidRPr="006311C5" w:rsidRDefault="00FD2FC3" w:rsidP="00A53D23">
            <w:pPr>
              <w:pStyle w:val="Tabletext"/>
              <w:rPr>
                <w:rFonts w:cstheme="minorHAnsi"/>
                <w:szCs w:val="18"/>
              </w:rPr>
            </w:pPr>
            <w:r w:rsidRPr="006311C5">
              <w:rPr>
                <w:rFonts w:cstheme="minorHAnsi"/>
                <w:szCs w:val="18"/>
              </w:rPr>
              <w:t>0.408</w:t>
            </w:r>
          </w:p>
        </w:tc>
      </w:tr>
      <w:tr w:rsidR="005F3962" w:rsidRPr="006311C5" w14:paraId="22D00D59" w14:textId="77777777" w:rsidTr="009E0FF1">
        <w:trPr>
          <w:jc w:val="center"/>
        </w:trPr>
        <w:tc>
          <w:tcPr>
            <w:tcW w:w="614" w:type="pct"/>
            <w:vMerge/>
            <w:tcBorders>
              <w:left w:val="nil"/>
              <w:bottom w:val="single" w:sz="12" w:space="0" w:color="000000" w:themeColor="text1"/>
              <w:right w:val="nil"/>
            </w:tcBorders>
          </w:tcPr>
          <w:p w14:paraId="7BF06940" w14:textId="77777777" w:rsidR="00FD2FC3" w:rsidRPr="006311C5" w:rsidRDefault="00FD2FC3" w:rsidP="00A53D23">
            <w:pPr>
              <w:pStyle w:val="Tabletext"/>
              <w:rPr>
                <w:rFonts w:cstheme="minorHAnsi"/>
                <w:szCs w:val="18"/>
              </w:rPr>
            </w:pPr>
          </w:p>
        </w:tc>
        <w:tc>
          <w:tcPr>
            <w:tcW w:w="1367" w:type="pct"/>
            <w:vMerge w:val="restart"/>
            <w:tcBorders>
              <w:left w:val="nil"/>
              <w:right w:val="nil"/>
            </w:tcBorders>
            <w:shd w:val="clear" w:color="auto" w:fill="auto"/>
          </w:tcPr>
          <w:p w14:paraId="5102C119" w14:textId="19FEBCFB" w:rsidR="00FD2FC3" w:rsidRPr="006311C5" w:rsidRDefault="00FD2FC3" w:rsidP="00A53D23">
            <w:pPr>
              <w:pStyle w:val="Tabletext"/>
              <w:rPr>
                <w:rFonts w:cstheme="minorHAnsi"/>
                <w:szCs w:val="18"/>
              </w:rPr>
            </w:pPr>
            <w:r w:rsidRPr="006311C5">
              <w:rPr>
                <w:rFonts w:cstheme="minorHAnsi"/>
                <w:szCs w:val="18"/>
              </w:rPr>
              <w:t>Think previously or currently had COVID-19</w:t>
            </w:r>
          </w:p>
        </w:tc>
        <w:tc>
          <w:tcPr>
            <w:tcW w:w="711" w:type="pct"/>
            <w:tcBorders>
              <w:top w:val="nil"/>
              <w:left w:val="nil"/>
              <w:bottom w:val="nil"/>
              <w:right w:val="nil"/>
            </w:tcBorders>
            <w:shd w:val="clear" w:color="auto" w:fill="auto"/>
          </w:tcPr>
          <w:p w14:paraId="71B6B7DE" w14:textId="1E3847ED" w:rsidR="00FD2FC3" w:rsidRPr="006311C5" w:rsidRDefault="00FD2FC3" w:rsidP="00A53D23">
            <w:pPr>
              <w:pStyle w:val="Tabletext"/>
              <w:rPr>
                <w:rFonts w:cstheme="minorHAnsi"/>
                <w:szCs w:val="18"/>
              </w:rPr>
            </w:pPr>
            <w:r w:rsidRPr="006311C5">
              <w:rPr>
                <w:rFonts w:cstheme="minorHAnsi"/>
                <w:szCs w:val="18"/>
              </w:rPr>
              <w:t>No</w:t>
            </w:r>
          </w:p>
        </w:tc>
        <w:tc>
          <w:tcPr>
            <w:tcW w:w="863" w:type="pct"/>
            <w:tcBorders>
              <w:top w:val="single" w:sz="4" w:space="0" w:color="auto"/>
              <w:left w:val="nil"/>
              <w:bottom w:val="nil"/>
              <w:right w:val="nil"/>
            </w:tcBorders>
            <w:shd w:val="clear" w:color="auto" w:fill="auto"/>
          </w:tcPr>
          <w:p w14:paraId="24234E7C" w14:textId="18B33353" w:rsidR="00FD2FC3" w:rsidRPr="006311C5" w:rsidRDefault="00FD2FC3" w:rsidP="00A53D23">
            <w:pPr>
              <w:pStyle w:val="Tabletext"/>
              <w:rPr>
                <w:rFonts w:cstheme="minorHAnsi"/>
                <w:szCs w:val="18"/>
              </w:rPr>
            </w:pPr>
            <w:r w:rsidRPr="006311C5">
              <w:rPr>
                <w:rFonts w:cstheme="minorHAnsi"/>
                <w:szCs w:val="18"/>
              </w:rPr>
              <w:t>Reference</w:t>
            </w:r>
          </w:p>
        </w:tc>
        <w:tc>
          <w:tcPr>
            <w:tcW w:w="305" w:type="pct"/>
            <w:tcBorders>
              <w:top w:val="single" w:sz="4" w:space="0" w:color="auto"/>
              <w:left w:val="nil"/>
              <w:bottom w:val="nil"/>
              <w:right w:val="nil"/>
            </w:tcBorders>
            <w:shd w:val="clear" w:color="auto" w:fill="auto"/>
          </w:tcPr>
          <w:p w14:paraId="7986A7F6" w14:textId="34C05600" w:rsidR="00FD2FC3" w:rsidRPr="006311C5" w:rsidRDefault="00467177" w:rsidP="00A53D23">
            <w:pPr>
              <w:pStyle w:val="Tabletext"/>
              <w:rPr>
                <w:rFonts w:cstheme="minorHAnsi"/>
                <w:szCs w:val="18"/>
              </w:rPr>
            </w:pPr>
            <w:r w:rsidRPr="006311C5">
              <w:rPr>
                <w:rFonts w:cstheme="minorHAnsi"/>
                <w:szCs w:val="18"/>
              </w:rPr>
              <w:t>—</w:t>
            </w:r>
          </w:p>
        </w:tc>
        <w:tc>
          <w:tcPr>
            <w:tcW w:w="852" w:type="pct"/>
            <w:tcBorders>
              <w:top w:val="single" w:sz="4" w:space="0" w:color="auto"/>
              <w:left w:val="nil"/>
              <w:bottom w:val="nil"/>
              <w:right w:val="nil"/>
            </w:tcBorders>
            <w:shd w:val="clear" w:color="auto" w:fill="auto"/>
          </w:tcPr>
          <w:p w14:paraId="71A87DC3" w14:textId="01E22F59" w:rsidR="00FD2FC3" w:rsidRPr="006311C5" w:rsidRDefault="00FD2FC3" w:rsidP="00A53D23">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67EDA496" w14:textId="5D3F0B33" w:rsidR="00FD2FC3" w:rsidRPr="006311C5" w:rsidRDefault="00FD2FC3" w:rsidP="00A53D23">
            <w:pPr>
              <w:pStyle w:val="Tabletext"/>
              <w:rPr>
                <w:rFonts w:cstheme="minorHAnsi"/>
                <w:szCs w:val="18"/>
              </w:rPr>
            </w:pPr>
            <w:r w:rsidRPr="006311C5">
              <w:rPr>
                <w:rFonts w:cstheme="minorHAnsi"/>
                <w:szCs w:val="18"/>
              </w:rPr>
              <w:t>-</w:t>
            </w:r>
          </w:p>
        </w:tc>
      </w:tr>
      <w:tr w:rsidR="005F3962" w:rsidRPr="006311C5" w14:paraId="5EDAA396" w14:textId="77777777" w:rsidTr="009E0FF1">
        <w:trPr>
          <w:jc w:val="center"/>
        </w:trPr>
        <w:tc>
          <w:tcPr>
            <w:tcW w:w="614" w:type="pct"/>
            <w:vMerge/>
            <w:tcBorders>
              <w:left w:val="nil"/>
              <w:bottom w:val="single" w:sz="12" w:space="0" w:color="000000" w:themeColor="text1"/>
              <w:right w:val="nil"/>
            </w:tcBorders>
          </w:tcPr>
          <w:p w14:paraId="229CD6AA" w14:textId="77777777" w:rsidR="00FD2FC3" w:rsidRPr="006311C5" w:rsidRDefault="00FD2FC3" w:rsidP="00A53D23">
            <w:pPr>
              <w:pStyle w:val="Tabletext"/>
              <w:rPr>
                <w:rFonts w:cstheme="minorHAnsi"/>
                <w:szCs w:val="18"/>
              </w:rPr>
            </w:pPr>
          </w:p>
        </w:tc>
        <w:tc>
          <w:tcPr>
            <w:tcW w:w="1367" w:type="pct"/>
            <w:vMerge/>
            <w:tcBorders>
              <w:left w:val="nil"/>
              <w:right w:val="nil"/>
            </w:tcBorders>
          </w:tcPr>
          <w:p w14:paraId="75E40E99" w14:textId="77777777" w:rsidR="00FD2FC3" w:rsidRPr="006311C5" w:rsidRDefault="00FD2FC3" w:rsidP="00A53D23">
            <w:pPr>
              <w:pStyle w:val="Tabletext"/>
              <w:rPr>
                <w:rFonts w:cstheme="minorHAnsi"/>
                <w:szCs w:val="18"/>
              </w:rPr>
            </w:pPr>
          </w:p>
        </w:tc>
        <w:tc>
          <w:tcPr>
            <w:tcW w:w="711" w:type="pct"/>
            <w:tcBorders>
              <w:top w:val="nil"/>
              <w:left w:val="nil"/>
              <w:bottom w:val="single" w:sz="4" w:space="0" w:color="auto"/>
              <w:right w:val="nil"/>
            </w:tcBorders>
            <w:shd w:val="clear" w:color="auto" w:fill="auto"/>
          </w:tcPr>
          <w:p w14:paraId="4910F16D" w14:textId="702C06C4" w:rsidR="00FD2FC3" w:rsidRPr="006311C5" w:rsidRDefault="00FD2FC3" w:rsidP="00A53D23">
            <w:pPr>
              <w:pStyle w:val="Tabletext"/>
              <w:rPr>
                <w:rFonts w:cstheme="minorHAnsi"/>
                <w:szCs w:val="18"/>
              </w:rPr>
            </w:pPr>
            <w:r w:rsidRPr="006311C5">
              <w:rPr>
                <w:rFonts w:cstheme="minorHAnsi"/>
                <w:szCs w:val="18"/>
              </w:rPr>
              <w:t>Yes</w:t>
            </w:r>
          </w:p>
        </w:tc>
        <w:tc>
          <w:tcPr>
            <w:tcW w:w="863" w:type="pct"/>
            <w:tcBorders>
              <w:top w:val="nil"/>
              <w:left w:val="nil"/>
              <w:bottom w:val="single" w:sz="4" w:space="0" w:color="auto"/>
              <w:right w:val="nil"/>
            </w:tcBorders>
            <w:shd w:val="clear" w:color="auto" w:fill="auto"/>
          </w:tcPr>
          <w:p w14:paraId="4DA668A1" w14:textId="060F1D9A" w:rsidR="00FD2FC3" w:rsidRPr="006311C5" w:rsidRDefault="00FD2FC3" w:rsidP="00A53D23">
            <w:pPr>
              <w:pStyle w:val="Tabletext"/>
              <w:rPr>
                <w:rFonts w:cstheme="minorHAnsi"/>
                <w:szCs w:val="18"/>
              </w:rPr>
            </w:pPr>
            <w:r w:rsidRPr="006311C5">
              <w:rPr>
                <w:rFonts w:cstheme="minorHAnsi"/>
                <w:szCs w:val="18"/>
              </w:rPr>
              <w:t>0.874 (0.542 to 1.410)</w:t>
            </w:r>
          </w:p>
        </w:tc>
        <w:tc>
          <w:tcPr>
            <w:tcW w:w="305" w:type="pct"/>
            <w:tcBorders>
              <w:top w:val="nil"/>
              <w:left w:val="nil"/>
              <w:bottom w:val="single" w:sz="4" w:space="0" w:color="auto"/>
              <w:right w:val="nil"/>
            </w:tcBorders>
            <w:shd w:val="clear" w:color="auto" w:fill="auto"/>
          </w:tcPr>
          <w:p w14:paraId="0408C7E0" w14:textId="24C31DA4" w:rsidR="00FD2FC3" w:rsidRPr="006311C5" w:rsidRDefault="00FD2FC3" w:rsidP="00A53D23">
            <w:pPr>
              <w:pStyle w:val="Tabletext"/>
              <w:rPr>
                <w:rFonts w:cstheme="minorHAnsi"/>
                <w:szCs w:val="18"/>
              </w:rPr>
            </w:pPr>
            <w:r w:rsidRPr="006311C5">
              <w:rPr>
                <w:rFonts w:cstheme="minorHAnsi"/>
                <w:szCs w:val="18"/>
              </w:rPr>
              <w:t>0.582</w:t>
            </w:r>
          </w:p>
        </w:tc>
        <w:tc>
          <w:tcPr>
            <w:tcW w:w="852" w:type="pct"/>
            <w:tcBorders>
              <w:top w:val="nil"/>
              <w:left w:val="nil"/>
              <w:bottom w:val="single" w:sz="4" w:space="0" w:color="auto"/>
              <w:right w:val="nil"/>
            </w:tcBorders>
            <w:shd w:val="clear" w:color="auto" w:fill="auto"/>
          </w:tcPr>
          <w:p w14:paraId="5175D63F" w14:textId="1DCA01D1" w:rsidR="00FD2FC3" w:rsidRPr="006311C5" w:rsidRDefault="00FD2FC3" w:rsidP="00A53D23">
            <w:pPr>
              <w:pStyle w:val="Tabletext"/>
              <w:rPr>
                <w:rFonts w:cstheme="minorHAnsi"/>
                <w:szCs w:val="18"/>
              </w:rPr>
            </w:pPr>
            <w:r w:rsidRPr="006311C5">
              <w:rPr>
                <w:rFonts w:cstheme="minorHAnsi"/>
                <w:szCs w:val="18"/>
              </w:rPr>
              <w:t>1.251 (0.811 to 1.929)</w:t>
            </w:r>
          </w:p>
        </w:tc>
        <w:tc>
          <w:tcPr>
            <w:tcW w:w="289" w:type="pct"/>
            <w:tcBorders>
              <w:top w:val="nil"/>
              <w:left w:val="nil"/>
              <w:bottom w:val="single" w:sz="4" w:space="0" w:color="auto"/>
              <w:right w:val="nil"/>
            </w:tcBorders>
            <w:shd w:val="clear" w:color="auto" w:fill="auto"/>
          </w:tcPr>
          <w:p w14:paraId="30A902BC" w14:textId="08874F07" w:rsidR="00FD2FC3" w:rsidRPr="006311C5" w:rsidRDefault="00FD2FC3" w:rsidP="00A53D23">
            <w:pPr>
              <w:pStyle w:val="Tabletext"/>
              <w:rPr>
                <w:rFonts w:cstheme="minorHAnsi"/>
                <w:szCs w:val="18"/>
              </w:rPr>
            </w:pPr>
            <w:r w:rsidRPr="006311C5">
              <w:rPr>
                <w:rFonts w:cstheme="minorHAnsi"/>
                <w:szCs w:val="18"/>
              </w:rPr>
              <w:t>0.311</w:t>
            </w:r>
          </w:p>
        </w:tc>
      </w:tr>
      <w:tr w:rsidR="005F3962" w:rsidRPr="006311C5" w14:paraId="76A7FEB2" w14:textId="77777777" w:rsidTr="009E0FF1">
        <w:trPr>
          <w:jc w:val="center"/>
        </w:trPr>
        <w:tc>
          <w:tcPr>
            <w:tcW w:w="614" w:type="pct"/>
            <w:vMerge/>
            <w:tcBorders>
              <w:left w:val="nil"/>
              <w:bottom w:val="single" w:sz="12" w:space="0" w:color="000000" w:themeColor="text1"/>
              <w:right w:val="nil"/>
            </w:tcBorders>
          </w:tcPr>
          <w:p w14:paraId="19D16A09" w14:textId="77777777" w:rsidR="00FD2FC3" w:rsidRPr="006311C5" w:rsidRDefault="00FD2FC3" w:rsidP="00A53D23">
            <w:pPr>
              <w:pStyle w:val="Tabletext"/>
              <w:rPr>
                <w:rFonts w:cstheme="minorHAnsi"/>
                <w:szCs w:val="18"/>
              </w:rPr>
            </w:pPr>
          </w:p>
        </w:tc>
        <w:tc>
          <w:tcPr>
            <w:tcW w:w="1367" w:type="pct"/>
            <w:vMerge w:val="restart"/>
            <w:tcBorders>
              <w:top w:val="single" w:sz="4" w:space="0" w:color="auto"/>
              <w:left w:val="nil"/>
              <w:bottom w:val="single" w:sz="12" w:space="0" w:color="000000" w:themeColor="text1"/>
              <w:right w:val="nil"/>
            </w:tcBorders>
            <w:shd w:val="clear" w:color="auto" w:fill="auto"/>
          </w:tcPr>
          <w:p w14:paraId="11DDADD8" w14:textId="47B050B2" w:rsidR="00FD2FC3" w:rsidRPr="006311C5" w:rsidRDefault="00FD2FC3" w:rsidP="00A53D23">
            <w:pPr>
              <w:pStyle w:val="Tabletext"/>
              <w:rPr>
                <w:rFonts w:cstheme="minorHAnsi"/>
                <w:szCs w:val="18"/>
              </w:rPr>
            </w:pPr>
            <w:r w:rsidRPr="006311C5">
              <w:rPr>
                <w:rFonts w:cstheme="minorHAnsi"/>
                <w:szCs w:val="18"/>
              </w:rPr>
              <w:t>Vaccine brand</w:t>
            </w:r>
          </w:p>
        </w:tc>
        <w:tc>
          <w:tcPr>
            <w:tcW w:w="711" w:type="pct"/>
            <w:tcBorders>
              <w:top w:val="single" w:sz="4" w:space="0" w:color="auto"/>
              <w:left w:val="nil"/>
              <w:bottom w:val="nil"/>
              <w:right w:val="nil"/>
            </w:tcBorders>
            <w:shd w:val="clear" w:color="auto" w:fill="auto"/>
          </w:tcPr>
          <w:p w14:paraId="0062F164" w14:textId="11C6371A" w:rsidR="00FD2FC3" w:rsidRPr="006311C5" w:rsidRDefault="00FD2FC3" w:rsidP="00A53D23">
            <w:pPr>
              <w:pStyle w:val="Tabletext"/>
              <w:rPr>
                <w:rFonts w:cstheme="minorHAnsi"/>
                <w:szCs w:val="18"/>
              </w:rPr>
            </w:pPr>
          </w:p>
        </w:tc>
        <w:tc>
          <w:tcPr>
            <w:tcW w:w="863" w:type="pct"/>
            <w:tcBorders>
              <w:top w:val="single" w:sz="4" w:space="0" w:color="auto"/>
              <w:left w:val="nil"/>
              <w:bottom w:val="nil"/>
              <w:right w:val="nil"/>
            </w:tcBorders>
            <w:shd w:val="clear" w:color="auto" w:fill="auto"/>
          </w:tcPr>
          <w:p w14:paraId="38C1E23A" w14:textId="04434B9A" w:rsidR="00FD2FC3" w:rsidRPr="006311C5" w:rsidRDefault="00FD2FC3" w:rsidP="00A53D23">
            <w:pPr>
              <w:pStyle w:val="Tabletext"/>
              <w:rPr>
                <w:rFonts w:cstheme="minorHAnsi"/>
                <w:szCs w:val="18"/>
              </w:rPr>
            </w:pPr>
          </w:p>
        </w:tc>
        <w:tc>
          <w:tcPr>
            <w:tcW w:w="305" w:type="pct"/>
            <w:tcBorders>
              <w:top w:val="single" w:sz="4" w:space="0" w:color="auto"/>
              <w:left w:val="nil"/>
              <w:bottom w:val="nil"/>
              <w:right w:val="nil"/>
            </w:tcBorders>
            <w:shd w:val="clear" w:color="auto" w:fill="auto"/>
          </w:tcPr>
          <w:p w14:paraId="01109D0C" w14:textId="12E15683" w:rsidR="00FD2FC3" w:rsidRPr="006311C5" w:rsidRDefault="00FD2FC3" w:rsidP="00A53D23">
            <w:pPr>
              <w:pStyle w:val="Tabletext"/>
              <w:rPr>
                <w:rFonts w:cstheme="minorHAnsi"/>
                <w:szCs w:val="18"/>
              </w:rPr>
            </w:pPr>
            <w:r w:rsidRPr="006311C5">
              <w:rPr>
                <w:rFonts w:cstheme="minorHAnsi"/>
                <w:szCs w:val="18"/>
              </w:rPr>
              <w:t>0.002 *</w:t>
            </w:r>
          </w:p>
        </w:tc>
        <w:tc>
          <w:tcPr>
            <w:tcW w:w="852" w:type="pct"/>
            <w:tcBorders>
              <w:top w:val="single" w:sz="4" w:space="0" w:color="auto"/>
              <w:left w:val="nil"/>
              <w:bottom w:val="nil"/>
              <w:right w:val="nil"/>
            </w:tcBorders>
            <w:shd w:val="clear" w:color="auto" w:fill="auto"/>
          </w:tcPr>
          <w:p w14:paraId="5A14A266" w14:textId="0F2DDDC9" w:rsidR="00FD2FC3" w:rsidRPr="006311C5" w:rsidRDefault="00FD2FC3" w:rsidP="00A53D23">
            <w:pPr>
              <w:pStyle w:val="Tabletext"/>
              <w:rPr>
                <w:rFonts w:cstheme="minorHAnsi"/>
                <w:szCs w:val="18"/>
              </w:rPr>
            </w:pPr>
          </w:p>
        </w:tc>
        <w:tc>
          <w:tcPr>
            <w:tcW w:w="289" w:type="pct"/>
            <w:tcBorders>
              <w:top w:val="single" w:sz="4" w:space="0" w:color="auto"/>
              <w:left w:val="nil"/>
              <w:bottom w:val="nil"/>
              <w:right w:val="nil"/>
            </w:tcBorders>
            <w:shd w:val="clear" w:color="auto" w:fill="auto"/>
          </w:tcPr>
          <w:p w14:paraId="64A70642" w14:textId="139527E5" w:rsidR="00FD2FC3" w:rsidRPr="006311C5" w:rsidRDefault="00FD2FC3" w:rsidP="00A53D23">
            <w:pPr>
              <w:pStyle w:val="Tabletext"/>
              <w:rPr>
                <w:rFonts w:cstheme="minorHAnsi"/>
                <w:szCs w:val="18"/>
              </w:rPr>
            </w:pPr>
            <w:r w:rsidRPr="006311C5">
              <w:rPr>
                <w:rFonts w:cstheme="minorHAnsi"/>
                <w:szCs w:val="18"/>
              </w:rPr>
              <w:t>&lt;0.001*</w:t>
            </w:r>
          </w:p>
        </w:tc>
      </w:tr>
      <w:tr w:rsidR="005F3962" w:rsidRPr="006311C5" w14:paraId="7A7549A4" w14:textId="77777777" w:rsidTr="009E0FF1">
        <w:trPr>
          <w:jc w:val="center"/>
        </w:trPr>
        <w:tc>
          <w:tcPr>
            <w:tcW w:w="614" w:type="pct"/>
            <w:vMerge/>
            <w:tcBorders>
              <w:left w:val="nil"/>
              <w:bottom w:val="single" w:sz="12" w:space="0" w:color="000000" w:themeColor="text1"/>
              <w:right w:val="nil"/>
            </w:tcBorders>
          </w:tcPr>
          <w:p w14:paraId="0910808C" w14:textId="77777777" w:rsidR="00FD2FC3" w:rsidRPr="006311C5" w:rsidRDefault="00FD2FC3" w:rsidP="00176DDC">
            <w:pPr>
              <w:pStyle w:val="Tabletext"/>
              <w:rPr>
                <w:rFonts w:cstheme="minorHAnsi"/>
                <w:szCs w:val="18"/>
              </w:rPr>
            </w:pPr>
          </w:p>
        </w:tc>
        <w:tc>
          <w:tcPr>
            <w:tcW w:w="1367" w:type="pct"/>
            <w:vMerge/>
            <w:tcBorders>
              <w:left w:val="nil"/>
              <w:bottom w:val="single" w:sz="12" w:space="0" w:color="000000" w:themeColor="text1"/>
              <w:right w:val="nil"/>
            </w:tcBorders>
          </w:tcPr>
          <w:p w14:paraId="5920250B" w14:textId="77777777" w:rsidR="00FD2FC3" w:rsidRPr="006311C5" w:rsidRDefault="00FD2FC3" w:rsidP="00176DDC">
            <w:pPr>
              <w:pStyle w:val="Tabletext"/>
              <w:rPr>
                <w:rFonts w:cstheme="minorHAnsi"/>
                <w:szCs w:val="18"/>
              </w:rPr>
            </w:pPr>
          </w:p>
        </w:tc>
        <w:tc>
          <w:tcPr>
            <w:tcW w:w="711" w:type="pct"/>
            <w:tcBorders>
              <w:top w:val="nil"/>
              <w:left w:val="nil"/>
              <w:bottom w:val="nil"/>
              <w:right w:val="nil"/>
            </w:tcBorders>
            <w:shd w:val="clear" w:color="auto" w:fill="auto"/>
          </w:tcPr>
          <w:p w14:paraId="4139FAF3" w14:textId="56C0414A" w:rsidR="00FD2FC3" w:rsidRPr="006311C5" w:rsidRDefault="00FD2FC3" w:rsidP="00176DDC">
            <w:pPr>
              <w:pStyle w:val="Tabletext"/>
              <w:rPr>
                <w:rFonts w:cstheme="minorHAnsi"/>
                <w:szCs w:val="18"/>
              </w:rPr>
            </w:pPr>
            <w:r w:rsidRPr="006311C5">
              <w:rPr>
                <w:rFonts w:cstheme="minorHAnsi"/>
                <w:szCs w:val="18"/>
              </w:rPr>
              <w:t>Pfizer-BioNTech</w:t>
            </w:r>
          </w:p>
        </w:tc>
        <w:tc>
          <w:tcPr>
            <w:tcW w:w="863" w:type="pct"/>
            <w:tcBorders>
              <w:top w:val="nil"/>
              <w:left w:val="nil"/>
              <w:bottom w:val="nil"/>
              <w:right w:val="nil"/>
            </w:tcBorders>
            <w:shd w:val="clear" w:color="auto" w:fill="auto"/>
          </w:tcPr>
          <w:p w14:paraId="26166B28" w14:textId="590BCAFE" w:rsidR="00FD2FC3" w:rsidRPr="006311C5" w:rsidRDefault="00FD2FC3" w:rsidP="00176DDC">
            <w:pPr>
              <w:pStyle w:val="Tabletext"/>
              <w:rPr>
                <w:rFonts w:cstheme="minorHAnsi"/>
                <w:szCs w:val="18"/>
              </w:rPr>
            </w:pPr>
            <w:r w:rsidRPr="006311C5">
              <w:rPr>
                <w:rFonts w:cstheme="minorHAnsi"/>
                <w:szCs w:val="18"/>
              </w:rPr>
              <w:t>Reference</w:t>
            </w:r>
          </w:p>
        </w:tc>
        <w:tc>
          <w:tcPr>
            <w:tcW w:w="305" w:type="pct"/>
            <w:tcBorders>
              <w:top w:val="nil"/>
              <w:left w:val="nil"/>
              <w:bottom w:val="nil"/>
              <w:right w:val="nil"/>
            </w:tcBorders>
            <w:shd w:val="clear" w:color="auto" w:fill="auto"/>
          </w:tcPr>
          <w:p w14:paraId="45199A39" w14:textId="08B60D88" w:rsidR="00FD2FC3" w:rsidRPr="006311C5" w:rsidRDefault="00FD2FC3" w:rsidP="00176DDC">
            <w:pPr>
              <w:pStyle w:val="Tabletext"/>
              <w:rPr>
                <w:rFonts w:cstheme="minorHAnsi"/>
                <w:szCs w:val="18"/>
              </w:rPr>
            </w:pPr>
          </w:p>
        </w:tc>
        <w:tc>
          <w:tcPr>
            <w:tcW w:w="852" w:type="pct"/>
            <w:tcBorders>
              <w:top w:val="nil"/>
              <w:left w:val="nil"/>
              <w:bottom w:val="nil"/>
              <w:right w:val="nil"/>
            </w:tcBorders>
            <w:shd w:val="clear" w:color="auto" w:fill="auto"/>
          </w:tcPr>
          <w:p w14:paraId="5B472995" w14:textId="55E08A57" w:rsidR="00FD2FC3" w:rsidRPr="006311C5" w:rsidRDefault="00FD2FC3" w:rsidP="00176DDC">
            <w:pPr>
              <w:pStyle w:val="Tabletext"/>
              <w:rPr>
                <w:rFonts w:cstheme="minorHAnsi"/>
                <w:szCs w:val="18"/>
              </w:rPr>
            </w:pPr>
            <w:r w:rsidRPr="006311C5">
              <w:rPr>
                <w:rFonts w:cstheme="minorHAnsi"/>
                <w:szCs w:val="18"/>
              </w:rPr>
              <w:t>Reference</w:t>
            </w:r>
          </w:p>
        </w:tc>
        <w:tc>
          <w:tcPr>
            <w:tcW w:w="289" w:type="pct"/>
            <w:tcBorders>
              <w:top w:val="nil"/>
              <w:left w:val="nil"/>
              <w:bottom w:val="nil"/>
              <w:right w:val="nil"/>
            </w:tcBorders>
            <w:shd w:val="clear" w:color="auto" w:fill="auto"/>
          </w:tcPr>
          <w:p w14:paraId="541310B8" w14:textId="2050A69A" w:rsidR="00FD2FC3" w:rsidRPr="006311C5" w:rsidRDefault="00FD2FC3" w:rsidP="00176DDC">
            <w:pPr>
              <w:pStyle w:val="Tabletext"/>
              <w:rPr>
                <w:rFonts w:cstheme="minorHAnsi"/>
                <w:szCs w:val="18"/>
              </w:rPr>
            </w:pPr>
          </w:p>
        </w:tc>
      </w:tr>
      <w:tr w:rsidR="005F3962" w:rsidRPr="006311C5" w14:paraId="0C87B994" w14:textId="77777777" w:rsidTr="009E0FF1">
        <w:trPr>
          <w:jc w:val="center"/>
        </w:trPr>
        <w:tc>
          <w:tcPr>
            <w:tcW w:w="614" w:type="pct"/>
            <w:vMerge/>
            <w:tcBorders>
              <w:left w:val="nil"/>
              <w:bottom w:val="single" w:sz="12" w:space="0" w:color="000000" w:themeColor="text1"/>
              <w:right w:val="nil"/>
            </w:tcBorders>
          </w:tcPr>
          <w:p w14:paraId="0D96FF4C" w14:textId="77777777" w:rsidR="00FD2FC3" w:rsidRPr="006311C5" w:rsidRDefault="00FD2FC3" w:rsidP="00A53D23">
            <w:pPr>
              <w:pStyle w:val="Tabletext"/>
              <w:rPr>
                <w:rFonts w:cstheme="minorHAnsi"/>
                <w:szCs w:val="18"/>
              </w:rPr>
            </w:pPr>
          </w:p>
        </w:tc>
        <w:tc>
          <w:tcPr>
            <w:tcW w:w="1367" w:type="pct"/>
            <w:vMerge/>
            <w:tcBorders>
              <w:left w:val="nil"/>
              <w:bottom w:val="single" w:sz="12" w:space="0" w:color="000000" w:themeColor="text1"/>
              <w:right w:val="nil"/>
            </w:tcBorders>
          </w:tcPr>
          <w:p w14:paraId="74CCBA02" w14:textId="77777777" w:rsidR="00FD2FC3" w:rsidRPr="006311C5" w:rsidRDefault="00FD2FC3" w:rsidP="00A53D23">
            <w:pPr>
              <w:pStyle w:val="Tabletext"/>
              <w:rPr>
                <w:rFonts w:cstheme="minorHAnsi"/>
                <w:szCs w:val="18"/>
              </w:rPr>
            </w:pPr>
          </w:p>
        </w:tc>
        <w:tc>
          <w:tcPr>
            <w:tcW w:w="711" w:type="pct"/>
            <w:tcBorders>
              <w:top w:val="nil"/>
              <w:left w:val="nil"/>
              <w:bottom w:val="nil"/>
              <w:right w:val="nil"/>
            </w:tcBorders>
            <w:shd w:val="clear" w:color="auto" w:fill="auto"/>
          </w:tcPr>
          <w:p w14:paraId="6D08CFCA" w14:textId="77CA42C8" w:rsidR="00FD2FC3" w:rsidRPr="006311C5" w:rsidRDefault="00FD2FC3" w:rsidP="00A53D23">
            <w:pPr>
              <w:pStyle w:val="Tabletext"/>
              <w:rPr>
                <w:rFonts w:cstheme="minorHAnsi"/>
                <w:szCs w:val="18"/>
              </w:rPr>
            </w:pPr>
            <w:r w:rsidRPr="006311C5">
              <w:rPr>
                <w:rFonts w:cstheme="minorHAnsi"/>
                <w:szCs w:val="18"/>
              </w:rPr>
              <w:t>AstraZeneca</w:t>
            </w:r>
          </w:p>
        </w:tc>
        <w:tc>
          <w:tcPr>
            <w:tcW w:w="863" w:type="pct"/>
            <w:tcBorders>
              <w:top w:val="nil"/>
              <w:left w:val="nil"/>
              <w:bottom w:val="nil"/>
              <w:right w:val="nil"/>
            </w:tcBorders>
            <w:shd w:val="clear" w:color="auto" w:fill="auto"/>
          </w:tcPr>
          <w:p w14:paraId="1FBF870E" w14:textId="68B9B4A5" w:rsidR="00FD2FC3" w:rsidRPr="006311C5" w:rsidRDefault="00FD2FC3" w:rsidP="00A53D23">
            <w:pPr>
              <w:pStyle w:val="Tabletext"/>
              <w:rPr>
                <w:rFonts w:cstheme="minorHAnsi"/>
                <w:szCs w:val="18"/>
              </w:rPr>
            </w:pPr>
            <w:r w:rsidRPr="006311C5">
              <w:rPr>
                <w:rFonts w:cstheme="minorHAnsi"/>
                <w:szCs w:val="18"/>
              </w:rPr>
              <w:t>0.514 (0.361 to 0.732)</w:t>
            </w:r>
          </w:p>
        </w:tc>
        <w:tc>
          <w:tcPr>
            <w:tcW w:w="305" w:type="pct"/>
            <w:tcBorders>
              <w:top w:val="nil"/>
              <w:left w:val="nil"/>
              <w:bottom w:val="nil"/>
              <w:right w:val="nil"/>
            </w:tcBorders>
            <w:shd w:val="clear" w:color="auto" w:fill="auto"/>
          </w:tcPr>
          <w:p w14:paraId="11ACDA90" w14:textId="6E2BFB60" w:rsidR="00FD2FC3" w:rsidRPr="006311C5" w:rsidRDefault="00FD2FC3" w:rsidP="00A53D23">
            <w:pPr>
              <w:pStyle w:val="Tabletext"/>
              <w:rPr>
                <w:rFonts w:cstheme="minorHAnsi"/>
                <w:szCs w:val="18"/>
              </w:rPr>
            </w:pPr>
          </w:p>
        </w:tc>
        <w:tc>
          <w:tcPr>
            <w:tcW w:w="852" w:type="pct"/>
            <w:tcBorders>
              <w:top w:val="nil"/>
              <w:left w:val="nil"/>
              <w:bottom w:val="nil"/>
              <w:right w:val="nil"/>
            </w:tcBorders>
            <w:shd w:val="clear" w:color="auto" w:fill="auto"/>
          </w:tcPr>
          <w:p w14:paraId="26927986" w14:textId="65B90C94" w:rsidR="00FD2FC3" w:rsidRPr="006311C5" w:rsidRDefault="00FD2FC3" w:rsidP="00A53D23">
            <w:pPr>
              <w:pStyle w:val="Tabletext"/>
              <w:rPr>
                <w:rFonts w:cstheme="minorHAnsi"/>
                <w:szCs w:val="18"/>
              </w:rPr>
            </w:pPr>
            <w:r w:rsidRPr="006311C5">
              <w:rPr>
                <w:rFonts w:cstheme="minorHAnsi"/>
                <w:szCs w:val="18"/>
              </w:rPr>
              <w:t>2.066 (1.506 to 2.835)</w:t>
            </w:r>
          </w:p>
        </w:tc>
        <w:tc>
          <w:tcPr>
            <w:tcW w:w="289" w:type="pct"/>
            <w:tcBorders>
              <w:top w:val="nil"/>
              <w:left w:val="nil"/>
              <w:bottom w:val="nil"/>
              <w:right w:val="nil"/>
            </w:tcBorders>
            <w:shd w:val="clear" w:color="auto" w:fill="auto"/>
          </w:tcPr>
          <w:p w14:paraId="5C4CE205" w14:textId="7EECA8AB" w:rsidR="00FD2FC3" w:rsidRPr="006311C5" w:rsidRDefault="00FD2FC3" w:rsidP="00A53D23">
            <w:pPr>
              <w:pStyle w:val="Tabletext"/>
              <w:rPr>
                <w:rFonts w:cstheme="minorHAnsi"/>
                <w:szCs w:val="18"/>
              </w:rPr>
            </w:pPr>
          </w:p>
        </w:tc>
      </w:tr>
      <w:tr w:rsidR="005F3962" w:rsidRPr="006311C5" w14:paraId="0DF503BC" w14:textId="77777777" w:rsidTr="009E0FF1">
        <w:trPr>
          <w:jc w:val="center"/>
        </w:trPr>
        <w:tc>
          <w:tcPr>
            <w:tcW w:w="614" w:type="pct"/>
            <w:vMerge/>
            <w:tcBorders>
              <w:left w:val="nil"/>
              <w:bottom w:val="single" w:sz="12" w:space="0" w:color="000000" w:themeColor="text1"/>
              <w:right w:val="nil"/>
            </w:tcBorders>
          </w:tcPr>
          <w:p w14:paraId="25E2E202" w14:textId="77777777" w:rsidR="00FD2FC3" w:rsidRPr="006311C5" w:rsidRDefault="00FD2FC3" w:rsidP="00A53D23">
            <w:pPr>
              <w:pStyle w:val="Tabletext"/>
              <w:rPr>
                <w:rFonts w:cstheme="minorHAnsi"/>
                <w:szCs w:val="18"/>
              </w:rPr>
            </w:pPr>
          </w:p>
        </w:tc>
        <w:tc>
          <w:tcPr>
            <w:tcW w:w="1367" w:type="pct"/>
            <w:vMerge/>
            <w:tcBorders>
              <w:left w:val="nil"/>
              <w:bottom w:val="single" w:sz="12" w:space="0" w:color="000000" w:themeColor="text1"/>
              <w:right w:val="nil"/>
            </w:tcBorders>
          </w:tcPr>
          <w:p w14:paraId="0C053D92" w14:textId="77777777" w:rsidR="00FD2FC3" w:rsidRPr="006311C5" w:rsidRDefault="00FD2FC3" w:rsidP="00A53D23">
            <w:pPr>
              <w:pStyle w:val="Tabletext"/>
              <w:rPr>
                <w:rFonts w:cstheme="minorHAnsi"/>
                <w:szCs w:val="18"/>
              </w:rPr>
            </w:pPr>
          </w:p>
        </w:tc>
        <w:tc>
          <w:tcPr>
            <w:tcW w:w="711" w:type="pct"/>
            <w:tcBorders>
              <w:top w:val="nil"/>
              <w:left w:val="nil"/>
              <w:bottom w:val="single" w:sz="12" w:space="0" w:color="auto"/>
              <w:right w:val="nil"/>
            </w:tcBorders>
            <w:shd w:val="clear" w:color="auto" w:fill="auto"/>
          </w:tcPr>
          <w:p w14:paraId="4017D185" w14:textId="36B963BB" w:rsidR="00FD2FC3" w:rsidRPr="006311C5" w:rsidRDefault="00FD2FC3" w:rsidP="00A53D23">
            <w:pPr>
              <w:pStyle w:val="Tabletext"/>
              <w:rPr>
                <w:rFonts w:cstheme="minorHAnsi"/>
                <w:szCs w:val="18"/>
              </w:rPr>
            </w:pPr>
            <w:r w:rsidRPr="006311C5">
              <w:rPr>
                <w:rFonts w:cstheme="minorHAnsi"/>
                <w:szCs w:val="18"/>
              </w:rPr>
              <w:t>Moderna</w:t>
            </w:r>
          </w:p>
        </w:tc>
        <w:tc>
          <w:tcPr>
            <w:tcW w:w="863" w:type="pct"/>
            <w:tcBorders>
              <w:top w:val="nil"/>
              <w:left w:val="nil"/>
              <w:bottom w:val="single" w:sz="12" w:space="0" w:color="auto"/>
              <w:right w:val="nil"/>
            </w:tcBorders>
            <w:shd w:val="clear" w:color="auto" w:fill="auto"/>
          </w:tcPr>
          <w:p w14:paraId="7716B550" w14:textId="0726089B" w:rsidR="00FD2FC3" w:rsidRPr="006311C5" w:rsidRDefault="00FD2FC3" w:rsidP="00A53D23">
            <w:pPr>
              <w:pStyle w:val="Tabletext"/>
              <w:rPr>
                <w:rFonts w:cstheme="minorHAnsi"/>
                <w:szCs w:val="18"/>
              </w:rPr>
            </w:pPr>
            <w:r w:rsidRPr="006311C5">
              <w:rPr>
                <w:rFonts w:cstheme="minorHAnsi"/>
                <w:szCs w:val="18"/>
              </w:rPr>
              <w:t>2.029 (0.454 to 9.075)</w:t>
            </w:r>
          </w:p>
        </w:tc>
        <w:tc>
          <w:tcPr>
            <w:tcW w:w="305" w:type="pct"/>
            <w:tcBorders>
              <w:top w:val="nil"/>
              <w:left w:val="nil"/>
              <w:bottom w:val="single" w:sz="12" w:space="0" w:color="auto"/>
              <w:right w:val="nil"/>
            </w:tcBorders>
            <w:shd w:val="clear" w:color="auto" w:fill="auto"/>
          </w:tcPr>
          <w:p w14:paraId="3D36C2FC" w14:textId="0E44853F" w:rsidR="00FD2FC3" w:rsidRPr="006311C5" w:rsidRDefault="00FD2FC3" w:rsidP="00A53D23">
            <w:pPr>
              <w:pStyle w:val="Tabletext"/>
              <w:rPr>
                <w:rFonts w:cstheme="minorHAnsi"/>
                <w:szCs w:val="18"/>
              </w:rPr>
            </w:pPr>
          </w:p>
        </w:tc>
        <w:tc>
          <w:tcPr>
            <w:tcW w:w="852" w:type="pct"/>
            <w:tcBorders>
              <w:top w:val="nil"/>
              <w:left w:val="nil"/>
              <w:bottom w:val="single" w:sz="12" w:space="0" w:color="auto"/>
              <w:right w:val="nil"/>
            </w:tcBorders>
            <w:shd w:val="clear" w:color="auto" w:fill="auto"/>
          </w:tcPr>
          <w:p w14:paraId="7B44A3A1" w14:textId="6FEB717A" w:rsidR="00FD2FC3" w:rsidRPr="006311C5" w:rsidRDefault="00FD2FC3" w:rsidP="00A53D23">
            <w:pPr>
              <w:pStyle w:val="Tabletext"/>
              <w:rPr>
                <w:rFonts w:cstheme="minorHAnsi"/>
                <w:szCs w:val="18"/>
              </w:rPr>
            </w:pPr>
            <w:r w:rsidRPr="006311C5">
              <w:rPr>
                <w:rFonts w:cstheme="minorHAnsi"/>
                <w:szCs w:val="18"/>
              </w:rPr>
              <w:t>1.132 (0.448 to 2.858</w:t>
            </w:r>
            <w:r w:rsidR="00626218" w:rsidRPr="006311C5">
              <w:rPr>
                <w:rFonts w:cstheme="minorHAnsi"/>
                <w:szCs w:val="18"/>
              </w:rPr>
              <w:t>)</w:t>
            </w:r>
          </w:p>
        </w:tc>
        <w:tc>
          <w:tcPr>
            <w:tcW w:w="289" w:type="pct"/>
            <w:tcBorders>
              <w:top w:val="nil"/>
              <w:left w:val="nil"/>
              <w:bottom w:val="single" w:sz="12" w:space="0" w:color="auto"/>
              <w:right w:val="nil"/>
            </w:tcBorders>
            <w:shd w:val="clear" w:color="auto" w:fill="auto"/>
          </w:tcPr>
          <w:p w14:paraId="1346609C" w14:textId="5BCA0C12" w:rsidR="00FD2FC3" w:rsidRPr="006311C5" w:rsidRDefault="00FD2FC3" w:rsidP="00A53D23">
            <w:pPr>
              <w:pStyle w:val="Tabletext"/>
              <w:rPr>
                <w:rFonts w:cstheme="minorHAnsi"/>
                <w:szCs w:val="18"/>
              </w:rPr>
            </w:pPr>
          </w:p>
        </w:tc>
      </w:tr>
      <w:tr w:rsidR="005F3962" w:rsidRPr="006311C5" w14:paraId="68B56F61" w14:textId="2EADFA8E" w:rsidTr="009E0FF1">
        <w:trPr>
          <w:jc w:val="center"/>
        </w:trPr>
        <w:tc>
          <w:tcPr>
            <w:tcW w:w="614" w:type="pct"/>
            <w:vMerge w:val="restart"/>
            <w:tcBorders>
              <w:top w:val="single" w:sz="12" w:space="0" w:color="000000" w:themeColor="text1"/>
              <w:left w:val="nil"/>
              <w:right w:val="nil"/>
            </w:tcBorders>
            <w:shd w:val="clear" w:color="auto" w:fill="auto"/>
          </w:tcPr>
          <w:p w14:paraId="337B1C10" w14:textId="506AD013" w:rsidR="00FD2FC3" w:rsidRPr="006311C5" w:rsidRDefault="00FD2FC3" w:rsidP="00A53D23">
            <w:pPr>
              <w:pStyle w:val="Tabletext"/>
              <w:rPr>
                <w:rFonts w:cstheme="minorHAnsi"/>
                <w:szCs w:val="18"/>
              </w:rPr>
            </w:pPr>
            <w:r w:rsidRPr="006311C5">
              <w:rPr>
                <w:rFonts w:cstheme="minorHAnsi"/>
                <w:szCs w:val="18"/>
              </w:rPr>
              <w:t>Block 2 – psychological and contextual factors</w:t>
            </w:r>
          </w:p>
        </w:tc>
        <w:tc>
          <w:tcPr>
            <w:tcW w:w="1367" w:type="pct"/>
            <w:tcBorders>
              <w:top w:val="single" w:sz="12" w:space="0" w:color="000000" w:themeColor="text1"/>
              <w:left w:val="nil"/>
              <w:bottom w:val="single" w:sz="4" w:space="0" w:color="auto"/>
              <w:right w:val="nil"/>
            </w:tcBorders>
            <w:shd w:val="clear" w:color="auto" w:fill="auto"/>
          </w:tcPr>
          <w:p w14:paraId="1B00D781" w14:textId="174EC756" w:rsidR="00FD2FC3" w:rsidRPr="006311C5" w:rsidRDefault="00FD2FC3" w:rsidP="00A53D23">
            <w:pPr>
              <w:pStyle w:val="Tabletext"/>
              <w:rPr>
                <w:rFonts w:cstheme="minorHAnsi"/>
                <w:szCs w:val="18"/>
              </w:rPr>
            </w:pPr>
            <w:r w:rsidRPr="006311C5">
              <w:rPr>
                <w:rFonts w:cstheme="minorHAnsi"/>
                <w:szCs w:val="18"/>
              </w:rPr>
              <w:t xml:space="preserve">I am afraid of needles </w:t>
            </w:r>
          </w:p>
        </w:tc>
        <w:tc>
          <w:tcPr>
            <w:tcW w:w="711" w:type="pct"/>
            <w:tcBorders>
              <w:left w:val="nil"/>
              <w:bottom w:val="single" w:sz="4" w:space="0" w:color="auto"/>
              <w:right w:val="nil"/>
            </w:tcBorders>
            <w:shd w:val="clear" w:color="auto" w:fill="auto"/>
          </w:tcPr>
          <w:p w14:paraId="0A582ECF" w14:textId="44940F94" w:rsidR="00FD2FC3" w:rsidRPr="006311C5" w:rsidRDefault="00FD2FC3" w:rsidP="00A53D23">
            <w:pPr>
              <w:pStyle w:val="Tabletext"/>
              <w:rPr>
                <w:rFonts w:cstheme="minorHAnsi"/>
                <w:szCs w:val="18"/>
              </w:rPr>
            </w:pPr>
            <w:r w:rsidRPr="006311C5">
              <w:rPr>
                <w:rFonts w:cstheme="minorHAnsi"/>
                <w:szCs w:val="18"/>
              </w:rPr>
              <w:t>0 (strongly disagree) to 10 (strongly agree)</w:t>
            </w:r>
          </w:p>
        </w:tc>
        <w:tc>
          <w:tcPr>
            <w:tcW w:w="863" w:type="pct"/>
            <w:tcBorders>
              <w:top w:val="single" w:sz="12" w:space="0" w:color="auto"/>
              <w:left w:val="nil"/>
              <w:bottom w:val="single" w:sz="4" w:space="0" w:color="auto"/>
              <w:right w:val="nil"/>
            </w:tcBorders>
            <w:shd w:val="clear" w:color="auto" w:fill="auto"/>
          </w:tcPr>
          <w:p w14:paraId="12D2D37A" w14:textId="5589A13F" w:rsidR="00FD2FC3" w:rsidRPr="006311C5" w:rsidRDefault="00FD2FC3" w:rsidP="00A53D23">
            <w:pPr>
              <w:pStyle w:val="Tabletext"/>
              <w:rPr>
                <w:rFonts w:cstheme="minorHAnsi"/>
                <w:szCs w:val="18"/>
              </w:rPr>
            </w:pPr>
            <w:r w:rsidRPr="006311C5">
              <w:rPr>
                <w:rFonts w:cstheme="minorHAnsi"/>
                <w:szCs w:val="18"/>
              </w:rPr>
              <w:t>1.043 (0.991 to 1.098)</w:t>
            </w:r>
          </w:p>
        </w:tc>
        <w:tc>
          <w:tcPr>
            <w:tcW w:w="305" w:type="pct"/>
            <w:tcBorders>
              <w:top w:val="single" w:sz="12" w:space="0" w:color="auto"/>
              <w:left w:val="nil"/>
              <w:bottom w:val="single" w:sz="4" w:space="0" w:color="auto"/>
              <w:right w:val="nil"/>
            </w:tcBorders>
            <w:shd w:val="clear" w:color="auto" w:fill="auto"/>
          </w:tcPr>
          <w:p w14:paraId="3D07A0ED" w14:textId="133EEB82" w:rsidR="00FD2FC3" w:rsidRPr="006311C5" w:rsidRDefault="00FD2FC3" w:rsidP="00A53D23">
            <w:pPr>
              <w:pStyle w:val="Tabletext"/>
              <w:rPr>
                <w:rFonts w:cstheme="minorHAnsi"/>
                <w:szCs w:val="18"/>
              </w:rPr>
            </w:pPr>
            <w:r w:rsidRPr="006311C5">
              <w:rPr>
                <w:rFonts w:cstheme="minorHAnsi"/>
                <w:szCs w:val="18"/>
              </w:rPr>
              <w:t>0.108</w:t>
            </w:r>
          </w:p>
        </w:tc>
        <w:tc>
          <w:tcPr>
            <w:tcW w:w="852" w:type="pct"/>
            <w:tcBorders>
              <w:top w:val="single" w:sz="12" w:space="0" w:color="auto"/>
              <w:left w:val="nil"/>
              <w:bottom w:val="single" w:sz="4" w:space="0" w:color="auto"/>
              <w:right w:val="nil"/>
            </w:tcBorders>
            <w:shd w:val="clear" w:color="auto" w:fill="auto"/>
          </w:tcPr>
          <w:p w14:paraId="11D9106E" w14:textId="0D1DB09C" w:rsidR="00FD2FC3" w:rsidRPr="006311C5" w:rsidRDefault="00FD2FC3" w:rsidP="00A53D23">
            <w:pPr>
              <w:pStyle w:val="Tabletext"/>
              <w:rPr>
                <w:rFonts w:cstheme="minorHAnsi"/>
                <w:szCs w:val="18"/>
              </w:rPr>
            </w:pPr>
            <w:r w:rsidRPr="006311C5">
              <w:rPr>
                <w:rFonts w:cstheme="minorHAnsi"/>
                <w:szCs w:val="18"/>
              </w:rPr>
              <w:t>1.020 (0.974 to 1.067)</w:t>
            </w:r>
          </w:p>
        </w:tc>
        <w:tc>
          <w:tcPr>
            <w:tcW w:w="289" w:type="pct"/>
            <w:tcBorders>
              <w:top w:val="single" w:sz="12" w:space="0" w:color="auto"/>
              <w:left w:val="nil"/>
              <w:bottom w:val="single" w:sz="4" w:space="0" w:color="auto"/>
              <w:right w:val="nil"/>
            </w:tcBorders>
            <w:shd w:val="clear" w:color="auto" w:fill="auto"/>
          </w:tcPr>
          <w:p w14:paraId="4F581205" w14:textId="064EEF1C" w:rsidR="00FD2FC3" w:rsidRPr="006311C5" w:rsidRDefault="00FD2FC3" w:rsidP="00A53D23">
            <w:pPr>
              <w:pStyle w:val="Tabletext"/>
              <w:rPr>
                <w:rFonts w:cstheme="minorHAnsi"/>
                <w:szCs w:val="18"/>
              </w:rPr>
            </w:pPr>
            <w:r w:rsidRPr="006311C5">
              <w:rPr>
                <w:rFonts w:cstheme="minorHAnsi"/>
                <w:szCs w:val="18"/>
              </w:rPr>
              <w:t>0.407</w:t>
            </w:r>
          </w:p>
        </w:tc>
      </w:tr>
      <w:tr w:rsidR="005F3962" w:rsidRPr="006311C5" w14:paraId="58460D2E" w14:textId="77777777" w:rsidTr="009E0FF1">
        <w:trPr>
          <w:jc w:val="center"/>
        </w:trPr>
        <w:tc>
          <w:tcPr>
            <w:tcW w:w="614" w:type="pct"/>
            <w:vMerge/>
            <w:tcBorders>
              <w:left w:val="nil"/>
              <w:right w:val="nil"/>
            </w:tcBorders>
          </w:tcPr>
          <w:p w14:paraId="6208AECC" w14:textId="2CC18DDD" w:rsidR="00FD2FC3" w:rsidRPr="006311C5" w:rsidRDefault="00FD2FC3" w:rsidP="00A53D23">
            <w:pPr>
              <w:pStyle w:val="Tabletext"/>
              <w:rPr>
                <w:rFonts w:cstheme="minorHAnsi"/>
                <w:szCs w:val="18"/>
              </w:rPr>
            </w:pPr>
          </w:p>
        </w:tc>
        <w:tc>
          <w:tcPr>
            <w:tcW w:w="1367" w:type="pct"/>
            <w:tcBorders>
              <w:left w:val="nil"/>
              <w:bottom w:val="single" w:sz="4" w:space="0" w:color="auto"/>
              <w:right w:val="nil"/>
            </w:tcBorders>
            <w:shd w:val="clear" w:color="auto" w:fill="auto"/>
          </w:tcPr>
          <w:p w14:paraId="6ABF222D" w14:textId="2205A084" w:rsidR="00FD2FC3" w:rsidRPr="006311C5" w:rsidRDefault="00FD2FC3" w:rsidP="00A53D23">
            <w:pPr>
              <w:pStyle w:val="Tabletext"/>
              <w:rPr>
                <w:rFonts w:cstheme="minorHAnsi"/>
                <w:szCs w:val="18"/>
              </w:rPr>
            </w:pPr>
            <w:r w:rsidRPr="006311C5">
              <w:rPr>
                <w:rFonts w:cstheme="minorHAnsi"/>
                <w:szCs w:val="18"/>
              </w:rPr>
              <w:t xml:space="preserve">COVID-19 vaccination beliefs component 1: social norms regarding COVID-19 vaccination </w:t>
            </w:r>
          </w:p>
        </w:tc>
        <w:tc>
          <w:tcPr>
            <w:tcW w:w="711" w:type="pct"/>
            <w:tcBorders>
              <w:left w:val="nil"/>
              <w:bottom w:val="single" w:sz="4" w:space="0" w:color="auto"/>
              <w:right w:val="nil"/>
            </w:tcBorders>
            <w:shd w:val="clear" w:color="auto" w:fill="auto"/>
          </w:tcPr>
          <w:p w14:paraId="418F0BE3" w14:textId="1B4FA7B4" w:rsidR="00FD2FC3" w:rsidRPr="006311C5" w:rsidRDefault="00467177" w:rsidP="00A53D23">
            <w:pPr>
              <w:pStyle w:val="Tabletext"/>
              <w:rPr>
                <w:rFonts w:cstheme="minorHAnsi"/>
                <w:szCs w:val="18"/>
              </w:rPr>
            </w:pPr>
            <w:r w:rsidRPr="006311C5">
              <w:rPr>
                <w:rFonts w:cstheme="minorHAnsi"/>
                <w:szCs w:val="18"/>
              </w:rPr>
              <w:t>—</w:t>
            </w:r>
          </w:p>
        </w:tc>
        <w:tc>
          <w:tcPr>
            <w:tcW w:w="863" w:type="pct"/>
            <w:tcBorders>
              <w:top w:val="single" w:sz="4" w:space="0" w:color="auto"/>
              <w:left w:val="nil"/>
              <w:bottom w:val="nil"/>
              <w:right w:val="nil"/>
            </w:tcBorders>
            <w:shd w:val="clear" w:color="auto" w:fill="auto"/>
          </w:tcPr>
          <w:p w14:paraId="13FCEC17" w14:textId="255370CB" w:rsidR="00FD2FC3" w:rsidRPr="006311C5" w:rsidRDefault="00FD2FC3" w:rsidP="00A53D23">
            <w:pPr>
              <w:pStyle w:val="Tabletext"/>
              <w:rPr>
                <w:rFonts w:cstheme="minorHAnsi"/>
                <w:szCs w:val="18"/>
              </w:rPr>
            </w:pPr>
            <w:r w:rsidRPr="006311C5">
              <w:rPr>
                <w:rFonts w:cstheme="minorHAnsi"/>
                <w:szCs w:val="18"/>
              </w:rPr>
              <w:t>1.070 (0.874 to 1.309)</w:t>
            </w:r>
          </w:p>
        </w:tc>
        <w:tc>
          <w:tcPr>
            <w:tcW w:w="305" w:type="pct"/>
            <w:tcBorders>
              <w:top w:val="single" w:sz="4" w:space="0" w:color="auto"/>
              <w:left w:val="nil"/>
              <w:bottom w:val="nil"/>
              <w:right w:val="nil"/>
            </w:tcBorders>
            <w:shd w:val="clear" w:color="auto" w:fill="auto"/>
          </w:tcPr>
          <w:p w14:paraId="68F9E773" w14:textId="174181A3" w:rsidR="00FD2FC3" w:rsidRPr="006311C5" w:rsidRDefault="00FD2FC3" w:rsidP="00A53D23">
            <w:pPr>
              <w:pStyle w:val="Tabletext"/>
              <w:rPr>
                <w:rFonts w:cstheme="minorHAnsi"/>
                <w:szCs w:val="18"/>
              </w:rPr>
            </w:pPr>
            <w:r w:rsidRPr="006311C5">
              <w:rPr>
                <w:rFonts w:cstheme="minorHAnsi"/>
                <w:szCs w:val="18"/>
              </w:rPr>
              <w:t>0.514</w:t>
            </w:r>
          </w:p>
        </w:tc>
        <w:tc>
          <w:tcPr>
            <w:tcW w:w="852" w:type="pct"/>
            <w:tcBorders>
              <w:top w:val="single" w:sz="4" w:space="0" w:color="auto"/>
              <w:left w:val="nil"/>
              <w:bottom w:val="nil"/>
              <w:right w:val="nil"/>
            </w:tcBorders>
            <w:shd w:val="clear" w:color="auto" w:fill="auto"/>
          </w:tcPr>
          <w:p w14:paraId="31678BF8" w14:textId="52FDBEBE" w:rsidR="00FD2FC3" w:rsidRPr="006311C5" w:rsidRDefault="00FD2FC3" w:rsidP="00A53D23">
            <w:pPr>
              <w:pStyle w:val="Tabletext"/>
              <w:rPr>
                <w:rFonts w:cstheme="minorHAnsi"/>
                <w:szCs w:val="18"/>
              </w:rPr>
            </w:pPr>
            <w:r w:rsidRPr="006311C5">
              <w:rPr>
                <w:rFonts w:cstheme="minorHAnsi"/>
                <w:szCs w:val="18"/>
              </w:rPr>
              <w:t>0.966 (0.806 to 1.158)</w:t>
            </w:r>
          </w:p>
        </w:tc>
        <w:tc>
          <w:tcPr>
            <w:tcW w:w="289" w:type="pct"/>
            <w:tcBorders>
              <w:top w:val="single" w:sz="4" w:space="0" w:color="auto"/>
              <w:left w:val="nil"/>
              <w:bottom w:val="nil"/>
              <w:right w:val="nil"/>
            </w:tcBorders>
            <w:shd w:val="clear" w:color="auto" w:fill="auto"/>
          </w:tcPr>
          <w:p w14:paraId="6C717944" w14:textId="2CA3A1DB" w:rsidR="00FD2FC3" w:rsidRPr="006311C5" w:rsidRDefault="00FD2FC3" w:rsidP="00A53D23">
            <w:pPr>
              <w:pStyle w:val="Tabletext"/>
              <w:rPr>
                <w:rFonts w:cstheme="minorHAnsi"/>
                <w:szCs w:val="18"/>
              </w:rPr>
            </w:pPr>
            <w:r w:rsidRPr="006311C5">
              <w:rPr>
                <w:rFonts w:cstheme="minorHAnsi"/>
                <w:szCs w:val="18"/>
              </w:rPr>
              <w:t>0.706</w:t>
            </w:r>
          </w:p>
        </w:tc>
      </w:tr>
      <w:tr w:rsidR="005F3962" w:rsidRPr="006311C5" w14:paraId="0F6584D7" w14:textId="6D116552" w:rsidTr="009E0FF1">
        <w:trPr>
          <w:jc w:val="center"/>
        </w:trPr>
        <w:tc>
          <w:tcPr>
            <w:tcW w:w="614" w:type="pct"/>
            <w:vMerge/>
            <w:tcBorders>
              <w:left w:val="nil"/>
              <w:right w:val="nil"/>
            </w:tcBorders>
          </w:tcPr>
          <w:p w14:paraId="4907EEBF" w14:textId="186C237D" w:rsidR="00FD2FC3" w:rsidRPr="006311C5" w:rsidRDefault="00FD2FC3" w:rsidP="00A53D23">
            <w:pPr>
              <w:pStyle w:val="Tabletext"/>
              <w:rPr>
                <w:rFonts w:cstheme="minorHAnsi"/>
                <w:szCs w:val="18"/>
              </w:rPr>
            </w:pPr>
          </w:p>
        </w:tc>
        <w:tc>
          <w:tcPr>
            <w:tcW w:w="1367" w:type="pct"/>
            <w:tcBorders>
              <w:top w:val="single" w:sz="4" w:space="0" w:color="auto"/>
              <w:left w:val="nil"/>
              <w:right w:val="nil"/>
            </w:tcBorders>
            <w:shd w:val="clear" w:color="auto" w:fill="auto"/>
          </w:tcPr>
          <w:p w14:paraId="33D5F060" w14:textId="53F00B5D" w:rsidR="00FD2FC3" w:rsidRPr="006311C5" w:rsidRDefault="00FD2FC3" w:rsidP="00A53D23">
            <w:pPr>
              <w:pStyle w:val="Tabletext"/>
              <w:rPr>
                <w:rFonts w:cstheme="minorHAnsi"/>
                <w:szCs w:val="18"/>
              </w:rPr>
            </w:pPr>
            <w:r w:rsidRPr="006311C5">
              <w:rPr>
                <w:rFonts w:cstheme="minorHAnsi"/>
                <w:szCs w:val="18"/>
              </w:rPr>
              <w:t xml:space="preserve">COVID-19 vaccination beliefs component 2: the necessity of vaccination </w:t>
            </w:r>
          </w:p>
        </w:tc>
        <w:tc>
          <w:tcPr>
            <w:tcW w:w="711" w:type="pct"/>
            <w:tcBorders>
              <w:top w:val="single" w:sz="4" w:space="0" w:color="auto"/>
              <w:left w:val="nil"/>
              <w:right w:val="nil"/>
            </w:tcBorders>
            <w:shd w:val="clear" w:color="auto" w:fill="auto"/>
          </w:tcPr>
          <w:p w14:paraId="31735843" w14:textId="1999D5D4" w:rsidR="00FD2FC3" w:rsidRPr="006311C5" w:rsidRDefault="00467177" w:rsidP="00A53D23">
            <w:pPr>
              <w:pStyle w:val="Tabletext"/>
              <w:rPr>
                <w:rFonts w:cstheme="minorHAnsi"/>
                <w:szCs w:val="18"/>
              </w:rPr>
            </w:pPr>
            <w:r w:rsidRPr="006311C5">
              <w:rPr>
                <w:rFonts w:cstheme="minorHAnsi"/>
                <w:szCs w:val="18"/>
              </w:rPr>
              <w:t>—</w:t>
            </w:r>
          </w:p>
        </w:tc>
        <w:tc>
          <w:tcPr>
            <w:tcW w:w="863" w:type="pct"/>
            <w:tcBorders>
              <w:top w:val="single" w:sz="4" w:space="0" w:color="auto"/>
              <w:left w:val="nil"/>
              <w:bottom w:val="single" w:sz="4" w:space="0" w:color="auto"/>
              <w:right w:val="nil"/>
            </w:tcBorders>
            <w:shd w:val="clear" w:color="auto" w:fill="auto"/>
          </w:tcPr>
          <w:p w14:paraId="24D0CBD2" w14:textId="76E6F510" w:rsidR="00FD2FC3" w:rsidRPr="006311C5" w:rsidRDefault="00FD2FC3" w:rsidP="00A53D23">
            <w:pPr>
              <w:pStyle w:val="Tabletext"/>
              <w:rPr>
                <w:rFonts w:cstheme="minorHAnsi"/>
                <w:szCs w:val="18"/>
              </w:rPr>
            </w:pPr>
            <w:r w:rsidRPr="006311C5">
              <w:rPr>
                <w:rFonts w:cstheme="minorHAnsi"/>
                <w:szCs w:val="18"/>
              </w:rPr>
              <w:t>1.083 (0.906 to 1.294)</w:t>
            </w:r>
          </w:p>
        </w:tc>
        <w:tc>
          <w:tcPr>
            <w:tcW w:w="305" w:type="pct"/>
            <w:tcBorders>
              <w:top w:val="single" w:sz="4" w:space="0" w:color="auto"/>
              <w:left w:val="nil"/>
              <w:bottom w:val="single" w:sz="4" w:space="0" w:color="auto"/>
              <w:right w:val="nil"/>
            </w:tcBorders>
            <w:shd w:val="clear" w:color="auto" w:fill="auto"/>
          </w:tcPr>
          <w:p w14:paraId="79280570" w14:textId="0384C6BC" w:rsidR="00FD2FC3" w:rsidRPr="006311C5" w:rsidRDefault="00FD2FC3" w:rsidP="00A53D23">
            <w:pPr>
              <w:pStyle w:val="Tabletext"/>
              <w:rPr>
                <w:rFonts w:cstheme="minorHAnsi"/>
                <w:szCs w:val="18"/>
              </w:rPr>
            </w:pPr>
            <w:r w:rsidRPr="006311C5">
              <w:rPr>
                <w:rFonts w:cstheme="minorHAnsi"/>
                <w:szCs w:val="18"/>
              </w:rPr>
              <w:t>0.383</w:t>
            </w:r>
          </w:p>
        </w:tc>
        <w:tc>
          <w:tcPr>
            <w:tcW w:w="852" w:type="pct"/>
            <w:tcBorders>
              <w:top w:val="single" w:sz="4" w:space="0" w:color="auto"/>
              <w:left w:val="nil"/>
              <w:bottom w:val="single" w:sz="4" w:space="0" w:color="auto"/>
              <w:right w:val="nil"/>
            </w:tcBorders>
            <w:shd w:val="clear" w:color="auto" w:fill="auto"/>
          </w:tcPr>
          <w:p w14:paraId="27B62282" w14:textId="53A9672D" w:rsidR="00FD2FC3" w:rsidRPr="006311C5" w:rsidRDefault="00FD2FC3" w:rsidP="00A53D23">
            <w:pPr>
              <w:pStyle w:val="Tabletext"/>
              <w:rPr>
                <w:rFonts w:cstheme="minorHAnsi"/>
                <w:szCs w:val="18"/>
              </w:rPr>
            </w:pPr>
            <w:r w:rsidRPr="006311C5">
              <w:rPr>
                <w:rFonts w:cstheme="minorHAnsi"/>
                <w:szCs w:val="18"/>
              </w:rPr>
              <w:t>1.059 (0.900 to 1.246)</w:t>
            </w:r>
          </w:p>
        </w:tc>
        <w:tc>
          <w:tcPr>
            <w:tcW w:w="289" w:type="pct"/>
            <w:tcBorders>
              <w:top w:val="single" w:sz="4" w:space="0" w:color="auto"/>
              <w:left w:val="nil"/>
              <w:bottom w:val="single" w:sz="4" w:space="0" w:color="auto"/>
              <w:right w:val="nil"/>
            </w:tcBorders>
            <w:shd w:val="clear" w:color="auto" w:fill="auto"/>
          </w:tcPr>
          <w:p w14:paraId="11569CC9" w14:textId="07E959F0" w:rsidR="00FD2FC3" w:rsidRPr="006311C5" w:rsidRDefault="00FD2FC3" w:rsidP="00A53D23">
            <w:pPr>
              <w:pStyle w:val="Tabletext"/>
              <w:rPr>
                <w:rFonts w:cstheme="minorHAnsi"/>
                <w:szCs w:val="18"/>
              </w:rPr>
            </w:pPr>
            <w:r w:rsidRPr="006311C5">
              <w:rPr>
                <w:rFonts w:cstheme="minorHAnsi"/>
                <w:szCs w:val="18"/>
              </w:rPr>
              <w:t>0.491</w:t>
            </w:r>
          </w:p>
        </w:tc>
      </w:tr>
      <w:tr w:rsidR="005F3962" w:rsidRPr="006311C5" w14:paraId="7FB7DA06" w14:textId="57EA7D75" w:rsidTr="009E0FF1">
        <w:trPr>
          <w:jc w:val="center"/>
        </w:trPr>
        <w:tc>
          <w:tcPr>
            <w:tcW w:w="614" w:type="pct"/>
            <w:vMerge/>
            <w:tcBorders>
              <w:left w:val="nil"/>
              <w:right w:val="nil"/>
            </w:tcBorders>
          </w:tcPr>
          <w:p w14:paraId="58008585" w14:textId="77777777" w:rsidR="00FD2FC3" w:rsidRPr="006311C5" w:rsidRDefault="00FD2FC3" w:rsidP="00A53D23">
            <w:pPr>
              <w:pStyle w:val="Tabletext"/>
              <w:rPr>
                <w:rFonts w:cstheme="minorHAnsi"/>
                <w:szCs w:val="18"/>
              </w:rPr>
            </w:pPr>
          </w:p>
        </w:tc>
        <w:tc>
          <w:tcPr>
            <w:tcW w:w="1367" w:type="pct"/>
            <w:tcBorders>
              <w:left w:val="nil"/>
              <w:right w:val="nil"/>
            </w:tcBorders>
            <w:shd w:val="clear" w:color="auto" w:fill="auto"/>
          </w:tcPr>
          <w:p w14:paraId="44A5D5FE" w14:textId="51B954F0" w:rsidR="00FD2FC3" w:rsidRPr="006311C5" w:rsidRDefault="00FD2FC3" w:rsidP="00A53D23">
            <w:pPr>
              <w:pStyle w:val="Tabletext"/>
              <w:rPr>
                <w:rFonts w:cstheme="minorHAnsi"/>
                <w:szCs w:val="18"/>
              </w:rPr>
            </w:pPr>
            <w:r w:rsidRPr="006311C5">
              <w:rPr>
                <w:rFonts w:cstheme="minorHAnsi"/>
                <w:szCs w:val="18"/>
              </w:rPr>
              <w:t xml:space="preserve">COVID-19 vaccination beliefs component 3: safety of the vaccine </w:t>
            </w:r>
          </w:p>
        </w:tc>
        <w:tc>
          <w:tcPr>
            <w:tcW w:w="711" w:type="pct"/>
            <w:tcBorders>
              <w:left w:val="nil"/>
              <w:right w:val="nil"/>
            </w:tcBorders>
            <w:shd w:val="clear" w:color="auto" w:fill="auto"/>
          </w:tcPr>
          <w:p w14:paraId="290F395B" w14:textId="29FCC84F" w:rsidR="00FD2FC3" w:rsidRPr="006311C5" w:rsidRDefault="00467177" w:rsidP="00A53D23">
            <w:pPr>
              <w:pStyle w:val="Tabletext"/>
              <w:rPr>
                <w:rFonts w:cstheme="minorHAnsi"/>
                <w:szCs w:val="18"/>
              </w:rPr>
            </w:pPr>
            <w:r w:rsidRPr="006311C5">
              <w:rPr>
                <w:rFonts w:cstheme="minorHAnsi"/>
                <w:szCs w:val="18"/>
              </w:rPr>
              <w:t>—</w:t>
            </w:r>
          </w:p>
        </w:tc>
        <w:tc>
          <w:tcPr>
            <w:tcW w:w="863" w:type="pct"/>
            <w:tcBorders>
              <w:top w:val="single" w:sz="4" w:space="0" w:color="auto"/>
              <w:left w:val="nil"/>
              <w:bottom w:val="single" w:sz="4" w:space="0" w:color="auto"/>
              <w:right w:val="nil"/>
            </w:tcBorders>
            <w:shd w:val="clear" w:color="auto" w:fill="auto"/>
          </w:tcPr>
          <w:p w14:paraId="4D691B1C" w14:textId="6A5BBD25" w:rsidR="00FD2FC3" w:rsidRPr="006311C5" w:rsidRDefault="00FD2FC3" w:rsidP="00A53D23">
            <w:pPr>
              <w:pStyle w:val="Tabletext"/>
              <w:rPr>
                <w:rFonts w:cstheme="minorHAnsi"/>
                <w:szCs w:val="18"/>
              </w:rPr>
            </w:pPr>
            <w:r w:rsidRPr="006311C5">
              <w:rPr>
                <w:rFonts w:cstheme="minorHAnsi"/>
                <w:szCs w:val="18"/>
              </w:rPr>
              <w:t>0.983 (0.801 to 1.206)</w:t>
            </w:r>
          </w:p>
        </w:tc>
        <w:tc>
          <w:tcPr>
            <w:tcW w:w="305" w:type="pct"/>
            <w:tcBorders>
              <w:top w:val="single" w:sz="4" w:space="0" w:color="auto"/>
              <w:left w:val="nil"/>
              <w:bottom w:val="single" w:sz="4" w:space="0" w:color="auto"/>
              <w:right w:val="nil"/>
            </w:tcBorders>
            <w:shd w:val="clear" w:color="auto" w:fill="auto"/>
          </w:tcPr>
          <w:p w14:paraId="5441E9EC" w14:textId="3343AE2E" w:rsidR="00FD2FC3" w:rsidRPr="006311C5" w:rsidRDefault="00FD2FC3" w:rsidP="00A53D23">
            <w:pPr>
              <w:pStyle w:val="Tabletext"/>
              <w:rPr>
                <w:rFonts w:cstheme="minorHAnsi"/>
                <w:szCs w:val="18"/>
              </w:rPr>
            </w:pPr>
            <w:r w:rsidRPr="006311C5">
              <w:rPr>
                <w:rFonts w:cstheme="minorHAnsi"/>
                <w:szCs w:val="18"/>
              </w:rPr>
              <w:t>0.869</w:t>
            </w:r>
          </w:p>
        </w:tc>
        <w:tc>
          <w:tcPr>
            <w:tcW w:w="852" w:type="pct"/>
            <w:tcBorders>
              <w:top w:val="single" w:sz="4" w:space="0" w:color="auto"/>
              <w:left w:val="nil"/>
              <w:bottom w:val="single" w:sz="4" w:space="0" w:color="auto"/>
              <w:right w:val="nil"/>
            </w:tcBorders>
            <w:shd w:val="clear" w:color="auto" w:fill="auto"/>
          </w:tcPr>
          <w:p w14:paraId="7B95CB37" w14:textId="1BAE1E9E" w:rsidR="00FD2FC3" w:rsidRPr="006311C5" w:rsidRDefault="00FD2FC3" w:rsidP="00A53D23">
            <w:pPr>
              <w:pStyle w:val="Tabletext"/>
              <w:rPr>
                <w:rFonts w:cstheme="minorHAnsi"/>
                <w:szCs w:val="18"/>
              </w:rPr>
            </w:pPr>
            <w:r w:rsidRPr="006311C5">
              <w:rPr>
                <w:rFonts w:cstheme="minorHAnsi"/>
                <w:szCs w:val="18"/>
              </w:rPr>
              <w:t>1.065 (0.885 to 1.282)</w:t>
            </w:r>
          </w:p>
        </w:tc>
        <w:tc>
          <w:tcPr>
            <w:tcW w:w="289" w:type="pct"/>
            <w:tcBorders>
              <w:top w:val="single" w:sz="4" w:space="0" w:color="auto"/>
              <w:left w:val="nil"/>
              <w:bottom w:val="single" w:sz="4" w:space="0" w:color="auto"/>
              <w:right w:val="nil"/>
            </w:tcBorders>
            <w:shd w:val="clear" w:color="auto" w:fill="auto"/>
          </w:tcPr>
          <w:p w14:paraId="3CA1F790" w14:textId="066800F3" w:rsidR="00FD2FC3" w:rsidRPr="006311C5" w:rsidRDefault="00FD2FC3" w:rsidP="00A53D23">
            <w:pPr>
              <w:pStyle w:val="Tabletext"/>
              <w:rPr>
                <w:rFonts w:cstheme="minorHAnsi"/>
                <w:szCs w:val="18"/>
              </w:rPr>
            </w:pPr>
            <w:r w:rsidRPr="006311C5">
              <w:rPr>
                <w:rFonts w:cstheme="minorHAnsi"/>
                <w:szCs w:val="18"/>
              </w:rPr>
              <w:t>0.502</w:t>
            </w:r>
          </w:p>
        </w:tc>
      </w:tr>
      <w:tr w:rsidR="005F3962" w:rsidRPr="006311C5" w14:paraId="6D81AB14" w14:textId="7D85664F" w:rsidTr="009E0FF1">
        <w:trPr>
          <w:jc w:val="center"/>
        </w:trPr>
        <w:tc>
          <w:tcPr>
            <w:tcW w:w="614" w:type="pct"/>
            <w:vMerge/>
            <w:tcBorders>
              <w:left w:val="nil"/>
              <w:right w:val="nil"/>
            </w:tcBorders>
          </w:tcPr>
          <w:p w14:paraId="14B6A1F0" w14:textId="77777777" w:rsidR="00FD2FC3" w:rsidRPr="006311C5" w:rsidRDefault="00FD2FC3" w:rsidP="00A53D23">
            <w:pPr>
              <w:pStyle w:val="Tabletext"/>
              <w:rPr>
                <w:rFonts w:cstheme="minorHAnsi"/>
                <w:szCs w:val="18"/>
              </w:rPr>
            </w:pPr>
          </w:p>
        </w:tc>
        <w:tc>
          <w:tcPr>
            <w:tcW w:w="1367" w:type="pct"/>
            <w:tcBorders>
              <w:left w:val="nil"/>
              <w:right w:val="nil"/>
            </w:tcBorders>
            <w:shd w:val="clear" w:color="auto" w:fill="auto"/>
          </w:tcPr>
          <w:p w14:paraId="4B340979" w14:textId="7756A459" w:rsidR="00FD2FC3" w:rsidRPr="006311C5" w:rsidRDefault="00FD2FC3" w:rsidP="00A53D23">
            <w:pPr>
              <w:pStyle w:val="Tabletext"/>
              <w:rPr>
                <w:rFonts w:cstheme="minorHAnsi"/>
                <w:szCs w:val="18"/>
              </w:rPr>
            </w:pPr>
            <w:r w:rsidRPr="006311C5">
              <w:rPr>
                <w:rFonts w:cstheme="minorHAnsi"/>
                <w:szCs w:val="18"/>
              </w:rPr>
              <w:t xml:space="preserve">COVID-19 vaccination beliefs component 4: adequacy of information about vaccination </w:t>
            </w:r>
          </w:p>
        </w:tc>
        <w:tc>
          <w:tcPr>
            <w:tcW w:w="711" w:type="pct"/>
            <w:tcBorders>
              <w:left w:val="nil"/>
              <w:bottom w:val="single" w:sz="4" w:space="0" w:color="auto"/>
              <w:right w:val="nil"/>
            </w:tcBorders>
            <w:shd w:val="clear" w:color="auto" w:fill="auto"/>
          </w:tcPr>
          <w:p w14:paraId="265C3303" w14:textId="6C592EE9" w:rsidR="00FD2FC3" w:rsidRPr="006311C5" w:rsidRDefault="00467177" w:rsidP="00A53D23">
            <w:pPr>
              <w:pStyle w:val="Tabletext"/>
              <w:rPr>
                <w:rFonts w:cstheme="minorHAnsi"/>
                <w:szCs w:val="18"/>
              </w:rPr>
            </w:pPr>
            <w:r w:rsidRPr="006311C5">
              <w:rPr>
                <w:rFonts w:cstheme="minorHAnsi"/>
                <w:szCs w:val="18"/>
              </w:rPr>
              <w:t>—</w:t>
            </w:r>
          </w:p>
        </w:tc>
        <w:tc>
          <w:tcPr>
            <w:tcW w:w="863" w:type="pct"/>
            <w:tcBorders>
              <w:top w:val="single" w:sz="4" w:space="0" w:color="auto"/>
              <w:left w:val="nil"/>
              <w:bottom w:val="single" w:sz="4" w:space="0" w:color="auto"/>
              <w:right w:val="nil"/>
            </w:tcBorders>
            <w:shd w:val="clear" w:color="auto" w:fill="auto"/>
          </w:tcPr>
          <w:p w14:paraId="41E43A47" w14:textId="4547D020" w:rsidR="00FD2FC3" w:rsidRPr="006311C5" w:rsidRDefault="00FD2FC3" w:rsidP="00A53D23">
            <w:pPr>
              <w:pStyle w:val="Tabletext"/>
              <w:rPr>
                <w:rFonts w:cstheme="minorHAnsi"/>
                <w:szCs w:val="18"/>
              </w:rPr>
            </w:pPr>
            <w:r w:rsidRPr="006311C5">
              <w:rPr>
                <w:rFonts w:cstheme="minorHAnsi"/>
                <w:szCs w:val="18"/>
              </w:rPr>
              <w:t>0.973 (0.813 to 1.166)</w:t>
            </w:r>
          </w:p>
        </w:tc>
        <w:tc>
          <w:tcPr>
            <w:tcW w:w="305" w:type="pct"/>
            <w:tcBorders>
              <w:top w:val="single" w:sz="4" w:space="0" w:color="auto"/>
              <w:left w:val="nil"/>
              <w:bottom w:val="single" w:sz="4" w:space="0" w:color="auto"/>
              <w:right w:val="nil"/>
            </w:tcBorders>
            <w:shd w:val="clear" w:color="auto" w:fill="auto"/>
          </w:tcPr>
          <w:p w14:paraId="6B9C7D59" w14:textId="579846F3" w:rsidR="00FD2FC3" w:rsidRPr="006311C5" w:rsidRDefault="00FD2FC3" w:rsidP="00A53D23">
            <w:pPr>
              <w:pStyle w:val="Tabletext"/>
              <w:rPr>
                <w:rFonts w:cstheme="minorHAnsi"/>
                <w:szCs w:val="18"/>
              </w:rPr>
            </w:pPr>
            <w:r w:rsidRPr="006311C5">
              <w:rPr>
                <w:rFonts w:cstheme="minorHAnsi"/>
                <w:szCs w:val="18"/>
              </w:rPr>
              <w:t>0.770</w:t>
            </w:r>
          </w:p>
        </w:tc>
        <w:tc>
          <w:tcPr>
            <w:tcW w:w="852" w:type="pct"/>
            <w:tcBorders>
              <w:top w:val="single" w:sz="4" w:space="0" w:color="auto"/>
              <w:left w:val="nil"/>
              <w:bottom w:val="single" w:sz="4" w:space="0" w:color="auto"/>
              <w:right w:val="nil"/>
            </w:tcBorders>
            <w:shd w:val="clear" w:color="auto" w:fill="auto"/>
          </w:tcPr>
          <w:p w14:paraId="23B1A641" w14:textId="150CEB3C" w:rsidR="00FD2FC3" w:rsidRPr="006311C5" w:rsidRDefault="00FD2FC3" w:rsidP="00A53D23">
            <w:pPr>
              <w:pStyle w:val="Tabletext"/>
              <w:rPr>
                <w:rFonts w:cstheme="minorHAnsi"/>
                <w:szCs w:val="18"/>
              </w:rPr>
            </w:pPr>
            <w:r w:rsidRPr="006311C5">
              <w:rPr>
                <w:rFonts w:cstheme="minorHAnsi"/>
                <w:szCs w:val="18"/>
              </w:rPr>
              <w:t>0.960 (0.814 to 1.133)</w:t>
            </w:r>
          </w:p>
        </w:tc>
        <w:tc>
          <w:tcPr>
            <w:tcW w:w="289" w:type="pct"/>
            <w:tcBorders>
              <w:top w:val="single" w:sz="4" w:space="0" w:color="auto"/>
              <w:left w:val="nil"/>
              <w:bottom w:val="single" w:sz="4" w:space="0" w:color="auto"/>
              <w:right w:val="nil"/>
            </w:tcBorders>
            <w:shd w:val="clear" w:color="auto" w:fill="auto"/>
          </w:tcPr>
          <w:p w14:paraId="7143E107" w14:textId="65826DCF" w:rsidR="00FD2FC3" w:rsidRPr="006311C5" w:rsidRDefault="00FD2FC3" w:rsidP="00A53D23">
            <w:pPr>
              <w:pStyle w:val="Tabletext"/>
              <w:rPr>
                <w:rFonts w:cstheme="minorHAnsi"/>
                <w:szCs w:val="18"/>
              </w:rPr>
            </w:pPr>
            <w:r w:rsidRPr="006311C5">
              <w:rPr>
                <w:rFonts w:cstheme="minorHAnsi"/>
                <w:szCs w:val="18"/>
              </w:rPr>
              <w:t>0.632</w:t>
            </w:r>
          </w:p>
        </w:tc>
      </w:tr>
      <w:tr w:rsidR="005F3962" w:rsidRPr="006311C5" w14:paraId="364EEFBE" w14:textId="63CBBAC5" w:rsidTr="009E0FF1">
        <w:trPr>
          <w:jc w:val="center"/>
        </w:trPr>
        <w:tc>
          <w:tcPr>
            <w:tcW w:w="614" w:type="pct"/>
            <w:vMerge/>
            <w:tcBorders>
              <w:left w:val="nil"/>
              <w:right w:val="nil"/>
            </w:tcBorders>
          </w:tcPr>
          <w:p w14:paraId="572FAE62" w14:textId="77777777" w:rsidR="00FD2FC3" w:rsidRPr="006311C5" w:rsidRDefault="00FD2FC3" w:rsidP="00A53D23">
            <w:pPr>
              <w:pStyle w:val="Tabletext"/>
              <w:rPr>
                <w:rFonts w:cstheme="minorHAnsi"/>
                <w:szCs w:val="18"/>
              </w:rPr>
            </w:pPr>
          </w:p>
        </w:tc>
        <w:tc>
          <w:tcPr>
            <w:tcW w:w="1367" w:type="pct"/>
            <w:tcBorders>
              <w:left w:val="nil"/>
              <w:bottom w:val="single" w:sz="4" w:space="0" w:color="auto"/>
              <w:right w:val="nil"/>
            </w:tcBorders>
            <w:shd w:val="clear" w:color="auto" w:fill="auto"/>
          </w:tcPr>
          <w:p w14:paraId="228CFFE6" w14:textId="453E2BD4" w:rsidR="00FD2FC3" w:rsidRPr="006311C5" w:rsidRDefault="00FD2FC3" w:rsidP="00A53D23">
            <w:pPr>
              <w:pStyle w:val="Tabletext"/>
              <w:rPr>
                <w:rFonts w:cstheme="minorHAnsi"/>
                <w:szCs w:val="18"/>
              </w:rPr>
            </w:pPr>
            <w:r w:rsidRPr="006311C5">
              <w:rPr>
                <w:rFonts w:cstheme="minorHAnsi"/>
                <w:szCs w:val="18"/>
              </w:rPr>
              <w:t>How likely do you think it is that you would get side effects from a coronavirus vaccine?</w:t>
            </w:r>
          </w:p>
        </w:tc>
        <w:tc>
          <w:tcPr>
            <w:tcW w:w="711" w:type="pct"/>
            <w:tcBorders>
              <w:top w:val="single" w:sz="4" w:space="0" w:color="auto"/>
              <w:left w:val="nil"/>
              <w:bottom w:val="single" w:sz="4" w:space="0" w:color="auto"/>
              <w:right w:val="nil"/>
            </w:tcBorders>
            <w:shd w:val="clear" w:color="auto" w:fill="auto"/>
          </w:tcPr>
          <w:p w14:paraId="1641E81C" w14:textId="0B587E1F" w:rsidR="00FD2FC3" w:rsidRPr="006311C5" w:rsidRDefault="00FD2FC3" w:rsidP="00A53D23">
            <w:pPr>
              <w:pStyle w:val="Tabletext"/>
              <w:rPr>
                <w:rFonts w:cstheme="minorHAnsi"/>
                <w:szCs w:val="18"/>
              </w:rPr>
            </w:pPr>
            <w:r w:rsidRPr="006311C5">
              <w:rPr>
                <w:rFonts w:cstheme="minorHAnsi"/>
                <w:szCs w:val="18"/>
              </w:rPr>
              <w:t>0 (extremely unlikely) to 10 (extremely likely)</w:t>
            </w:r>
          </w:p>
        </w:tc>
        <w:tc>
          <w:tcPr>
            <w:tcW w:w="863" w:type="pct"/>
            <w:tcBorders>
              <w:top w:val="single" w:sz="4" w:space="0" w:color="auto"/>
              <w:left w:val="nil"/>
              <w:bottom w:val="single" w:sz="4" w:space="0" w:color="auto"/>
              <w:right w:val="nil"/>
            </w:tcBorders>
            <w:shd w:val="clear" w:color="auto" w:fill="auto"/>
          </w:tcPr>
          <w:p w14:paraId="5AC18865" w14:textId="3E5B4E33" w:rsidR="00FD2FC3" w:rsidRPr="006311C5" w:rsidRDefault="00FD2FC3" w:rsidP="00A53D23">
            <w:pPr>
              <w:pStyle w:val="Tabletext"/>
              <w:rPr>
                <w:rFonts w:cstheme="minorHAnsi"/>
                <w:szCs w:val="18"/>
              </w:rPr>
            </w:pPr>
            <w:r w:rsidRPr="006311C5">
              <w:rPr>
                <w:rFonts w:cstheme="minorHAnsi"/>
                <w:szCs w:val="18"/>
              </w:rPr>
              <w:t>1.003 (0.929 to 1.084)</w:t>
            </w:r>
          </w:p>
        </w:tc>
        <w:tc>
          <w:tcPr>
            <w:tcW w:w="305" w:type="pct"/>
            <w:tcBorders>
              <w:top w:val="single" w:sz="4" w:space="0" w:color="auto"/>
              <w:left w:val="nil"/>
              <w:bottom w:val="single" w:sz="4" w:space="0" w:color="auto"/>
              <w:right w:val="nil"/>
            </w:tcBorders>
            <w:shd w:val="clear" w:color="auto" w:fill="auto"/>
          </w:tcPr>
          <w:p w14:paraId="4D9A5F82" w14:textId="353EEA8E" w:rsidR="00FD2FC3" w:rsidRPr="006311C5" w:rsidRDefault="00FD2FC3" w:rsidP="00A53D23">
            <w:pPr>
              <w:pStyle w:val="Tabletext"/>
              <w:rPr>
                <w:rFonts w:cstheme="minorHAnsi"/>
                <w:szCs w:val="18"/>
              </w:rPr>
            </w:pPr>
            <w:r w:rsidRPr="006311C5">
              <w:rPr>
                <w:rFonts w:cstheme="minorHAnsi"/>
                <w:szCs w:val="18"/>
              </w:rPr>
              <w:t>0.936</w:t>
            </w:r>
          </w:p>
        </w:tc>
        <w:tc>
          <w:tcPr>
            <w:tcW w:w="852" w:type="pct"/>
            <w:tcBorders>
              <w:top w:val="single" w:sz="4" w:space="0" w:color="auto"/>
              <w:left w:val="nil"/>
              <w:bottom w:val="single" w:sz="4" w:space="0" w:color="auto"/>
              <w:right w:val="nil"/>
            </w:tcBorders>
            <w:shd w:val="clear" w:color="auto" w:fill="auto"/>
          </w:tcPr>
          <w:p w14:paraId="108C129D" w14:textId="0A950EA7" w:rsidR="00FD2FC3" w:rsidRPr="006311C5" w:rsidRDefault="00FD2FC3" w:rsidP="00A53D23">
            <w:pPr>
              <w:pStyle w:val="Tabletext"/>
              <w:rPr>
                <w:rFonts w:cstheme="minorHAnsi"/>
                <w:szCs w:val="18"/>
              </w:rPr>
            </w:pPr>
            <w:r w:rsidRPr="006311C5">
              <w:rPr>
                <w:rFonts w:cstheme="minorHAnsi"/>
                <w:szCs w:val="18"/>
              </w:rPr>
              <w:t>1.000 (0.931 to 1.075)</w:t>
            </w:r>
          </w:p>
        </w:tc>
        <w:tc>
          <w:tcPr>
            <w:tcW w:w="289" w:type="pct"/>
            <w:tcBorders>
              <w:top w:val="single" w:sz="4" w:space="0" w:color="auto"/>
              <w:left w:val="nil"/>
              <w:bottom w:val="single" w:sz="4" w:space="0" w:color="auto"/>
              <w:right w:val="nil"/>
            </w:tcBorders>
            <w:shd w:val="clear" w:color="auto" w:fill="auto"/>
          </w:tcPr>
          <w:p w14:paraId="68B2D4C5" w14:textId="60FD598B" w:rsidR="00FD2FC3" w:rsidRPr="006311C5" w:rsidRDefault="00FD2FC3" w:rsidP="00A53D23">
            <w:pPr>
              <w:pStyle w:val="Tabletext"/>
              <w:rPr>
                <w:rFonts w:cstheme="minorHAnsi"/>
                <w:szCs w:val="18"/>
              </w:rPr>
            </w:pPr>
            <w:r w:rsidRPr="006311C5">
              <w:rPr>
                <w:rFonts w:cstheme="minorHAnsi"/>
                <w:szCs w:val="18"/>
              </w:rPr>
              <w:t>0.991</w:t>
            </w:r>
          </w:p>
        </w:tc>
      </w:tr>
      <w:tr w:rsidR="00F93870" w:rsidRPr="006311C5" w14:paraId="5F6CD978" w14:textId="77777777" w:rsidTr="009E0FF1">
        <w:trPr>
          <w:jc w:val="center"/>
        </w:trPr>
        <w:tc>
          <w:tcPr>
            <w:tcW w:w="614" w:type="pct"/>
            <w:vMerge w:val="restart"/>
            <w:tcBorders>
              <w:top w:val="single" w:sz="12" w:space="0" w:color="auto"/>
              <w:left w:val="nil"/>
              <w:bottom w:val="single" w:sz="12" w:space="0" w:color="000000" w:themeColor="text1"/>
              <w:right w:val="nil"/>
            </w:tcBorders>
            <w:shd w:val="clear" w:color="auto" w:fill="auto"/>
          </w:tcPr>
          <w:p w14:paraId="1EA0BF48" w14:textId="7B11478C" w:rsidR="00F93870" w:rsidRPr="006311C5" w:rsidRDefault="00F93870" w:rsidP="00555132">
            <w:pPr>
              <w:pStyle w:val="Tabletext"/>
              <w:rPr>
                <w:rFonts w:cstheme="minorHAnsi"/>
                <w:szCs w:val="18"/>
              </w:rPr>
            </w:pPr>
            <w:bookmarkStart w:id="4" w:name="_Hlk71217185"/>
            <w:proofErr w:type="spellStart"/>
            <w:r w:rsidRPr="006311C5">
              <w:rPr>
                <w:rFonts w:cstheme="minorHAnsi"/>
                <w:szCs w:val="18"/>
              </w:rPr>
              <w:t>Nagelkerke</w:t>
            </w:r>
            <w:proofErr w:type="spellEnd"/>
            <w:r w:rsidRPr="006311C5">
              <w:rPr>
                <w:rFonts w:cstheme="minorHAnsi"/>
                <w:szCs w:val="18"/>
              </w:rPr>
              <w:t xml:space="preserve"> </w:t>
            </w:r>
            <w:r w:rsidRPr="006311C5">
              <w:rPr>
                <w:rFonts w:cstheme="minorHAnsi"/>
                <w:i/>
                <w:iCs/>
                <w:szCs w:val="18"/>
              </w:rPr>
              <w:t>R</w:t>
            </w:r>
            <w:r w:rsidRPr="006311C5">
              <w:rPr>
                <w:rFonts w:cstheme="minorHAnsi"/>
                <w:szCs w:val="18"/>
                <w:vertAlign w:val="superscript"/>
              </w:rPr>
              <w:t>2</w:t>
            </w:r>
          </w:p>
        </w:tc>
        <w:tc>
          <w:tcPr>
            <w:tcW w:w="1367" w:type="pct"/>
            <w:tcBorders>
              <w:top w:val="single" w:sz="12" w:space="0" w:color="auto"/>
              <w:left w:val="nil"/>
              <w:bottom w:val="nil"/>
              <w:right w:val="nil"/>
            </w:tcBorders>
            <w:shd w:val="clear" w:color="auto" w:fill="auto"/>
          </w:tcPr>
          <w:p w14:paraId="17D6ECEC" w14:textId="77777777" w:rsidR="00F93870" w:rsidRPr="006311C5" w:rsidRDefault="00F93870" w:rsidP="00555132">
            <w:pPr>
              <w:pStyle w:val="Tabletext"/>
              <w:rPr>
                <w:rFonts w:cstheme="minorHAnsi"/>
                <w:szCs w:val="18"/>
              </w:rPr>
            </w:pPr>
          </w:p>
        </w:tc>
        <w:tc>
          <w:tcPr>
            <w:tcW w:w="711" w:type="pct"/>
            <w:tcBorders>
              <w:top w:val="single" w:sz="12" w:space="0" w:color="auto"/>
              <w:left w:val="nil"/>
              <w:bottom w:val="nil"/>
              <w:right w:val="nil"/>
            </w:tcBorders>
            <w:shd w:val="clear" w:color="auto" w:fill="auto"/>
          </w:tcPr>
          <w:p w14:paraId="2B4BE351" w14:textId="77777777" w:rsidR="00F93870" w:rsidRPr="006311C5" w:rsidRDefault="00F93870" w:rsidP="00555132">
            <w:pPr>
              <w:pStyle w:val="Tabletext"/>
              <w:rPr>
                <w:rFonts w:cstheme="minorHAnsi"/>
                <w:szCs w:val="18"/>
              </w:rPr>
            </w:pPr>
          </w:p>
        </w:tc>
        <w:tc>
          <w:tcPr>
            <w:tcW w:w="1168" w:type="pct"/>
            <w:gridSpan w:val="2"/>
            <w:tcBorders>
              <w:top w:val="single" w:sz="12" w:space="0" w:color="auto"/>
              <w:left w:val="nil"/>
              <w:bottom w:val="nil"/>
              <w:right w:val="nil"/>
            </w:tcBorders>
            <w:shd w:val="clear" w:color="auto" w:fill="auto"/>
          </w:tcPr>
          <w:p w14:paraId="195C5C24" w14:textId="01BF24FF" w:rsidR="00F93870" w:rsidRPr="006311C5" w:rsidRDefault="00F93870" w:rsidP="00610769">
            <w:pPr>
              <w:pStyle w:val="Tabletext"/>
              <w:rPr>
                <w:rFonts w:cstheme="minorHAnsi"/>
                <w:szCs w:val="18"/>
              </w:rPr>
            </w:pPr>
            <w:r w:rsidRPr="006311C5">
              <w:rPr>
                <w:rFonts w:cstheme="minorHAnsi"/>
                <w:szCs w:val="18"/>
              </w:rPr>
              <w:t>For 1</w:t>
            </w:r>
            <w:r w:rsidRPr="006311C5">
              <w:rPr>
                <w:rFonts w:cstheme="minorHAnsi"/>
                <w:szCs w:val="18"/>
                <w:vertAlign w:val="superscript"/>
              </w:rPr>
              <w:t>st</w:t>
            </w:r>
            <w:r w:rsidRPr="006311C5">
              <w:rPr>
                <w:rFonts w:cstheme="minorHAnsi"/>
                <w:szCs w:val="18"/>
              </w:rPr>
              <w:t xml:space="preserve"> block = .134</w:t>
            </w:r>
          </w:p>
        </w:tc>
        <w:tc>
          <w:tcPr>
            <w:tcW w:w="1141" w:type="pct"/>
            <w:gridSpan w:val="2"/>
            <w:tcBorders>
              <w:top w:val="single" w:sz="12" w:space="0" w:color="auto"/>
              <w:left w:val="nil"/>
              <w:bottom w:val="nil"/>
              <w:right w:val="nil"/>
            </w:tcBorders>
            <w:shd w:val="clear" w:color="auto" w:fill="auto"/>
          </w:tcPr>
          <w:p w14:paraId="07479006" w14:textId="17E09E62" w:rsidR="00F93870" w:rsidRPr="006311C5" w:rsidRDefault="00F93870" w:rsidP="00610769">
            <w:pPr>
              <w:pStyle w:val="Tabletext"/>
              <w:rPr>
                <w:rFonts w:cstheme="minorHAnsi"/>
                <w:szCs w:val="18"/>
              </w:rPr>
            </w:pPr>
            <w:r w:rsidRPr="006311C5">
              <w:rPr>
                <w:rFonts w:cstheme="minorHAnsi"/>
                <w:szCs w:val="18"/>
              </w:rPr>
              <w:t>For 1</w:t>
            </w:r>
            <w:r w:rsidRPr="006311C5">
              <w:rPr>
                <w:rFonts w:cstheme="minorHAnsi"/>
                <w:szCs w:val="18"/>
                <w:vertAlign w:val="superscript"/>
              </w:rPr>
              <w:t>st</w:t>
            </w:r>
            <w:r w:rsidRPr="006311C5">
              <w:rPr>
                <w:rFonts w:cstheme="minorHAnsi"/>
                <w:szCs w:val="18"/>
              </w:rPr>
              <w:t xml:space="preserve"> block = .096.</w:t>
            </w:r>
          </w:p>
        </w:tc>
      </w:tr>
      <w:tr w:rsidR="00F93870" w:rsidRPr="006311C5" w14:paraId="205BE2C5" w14:textId="77777777" w:rsidTr="009E0FF1">
        <w:trPr>
          <w:jc w:val="center"/>
        </w:trPr>
        <w:tc>
          <w:tcPr>
            <w:tcW w:w="614" w:type="pct"/>
            <w:vMerge/>
            <w:tcBorders>
              <w:left w:val="nil"/>
              <w:bottom w:val="single" w:sz="12" w:space="0" w:color="000000" w:themeColor="text1"/>
              <w:right w:val="nil"/>
            </w:tcBorders>
          </w:tcPr>
          <w:p w14:paraId="38539BFC" w14:textId="77777777" w:rsidR="00F93870" w:rsidRPr="006311C5" w:rsidRDefault="00F93870" w:rsidP="00A53D23">
            <w:pPr>
              <w:pStyle w:val="Tabletext"/>
              <w:rPr>
                <w:rFonts w:cstheme="minorHAnsi"/>
                <w:szCs w:val="18"/>
              </w:rPr>
            </w:pPr>
          </w:p>
        </w:tc>
        <w:tc>
          <w:tcPr>
            <w:tcW w:w="1367" w:type="pct"/>
            <w:tcBorders>
              <w:top w:val="nil"/>
              <w:left w:val="nil"/>
              <w:bottom w:val="single" w:sz="12" w:space="0" w:color="auto"/>
              <w:right w:val="nil"/>
            </w:tcBorders>
            <w:shd w:val="clear" w:color="auto" w:fill="auto"/>
          </w:tcPr>
          <w:p w14:paraId="7A93DA66" w14:textId="2EA59903" w:rsidR="00F93870" w:rsidRPr="006311C5" w:rsidRDefault="00F93870" w:rsidP="00A53D23">
            <w:pPr>
              <w:pStyle w:val="Tabletext"/>
              <w:rPr>
                <w:rFonts w:cstheme="minorHAnsi"/>
                <w:szCs w:val="18"/>
              </w:rPr>
            </w:pPr>
          </w:p>
        </w:tc>
        <w:tc>
          <w:tcPr>
            <w:tcW w:w="711" w:type="pct"/>
            <w:tcBorders>
              <w:top w:val="nil"/>
              <w:left w:val="nil"/>
              <w:bottom w:val="single" w:sz="12" w:space="0" w:color="auto"/>
              <w:right w:val="nil"/>
            </w:tcBorders>
            <w:shd w:val="clear" w:color="auto" w:fill="auto"/>
          </w:tcPr>
          <w:p w14:paraId="152E82AE" w14:textId="77777777" w:rsidR="00F93870" w:rsidRPr="006311C5" w:rsidRDefault="00F93870" w:rsidP="00A53D23">
            <w:pPr>
              <w:pStyle w:val="Tabletext"/>
              <w:rPr>
                <w:rFonts w:cstheme="minorHAnsi"/>
                <w:szCs w:val="18"/>
              </w:rPr>
            </w:pPr>
          </w:p>
        </w:tc>
        <w:tc>
          <w:tcPr>
            <w:tcW w:w="1168" w:type="pct"/>
            <w:gridSpan w:val="2"/>
            <w:tcBorders>
              <w:top w:val="nil"/>
              <w:left w:val="nil"/>
              <w:bottom w:val="single" w:sz="12" w:space="0" w:color="auto"/>
              <w:right w:val="nil"/>
            </w:tcBorders>
            <w:shd w:val="clear" w:color="auto" w:fill="auto"/>
          </w:tcPr>
          <w:p w14:paraId="6EEA6784" w14:textId="78235915" w:rsidR="00F93870" w:rsidRPr="006311C5" w:rsidRDefault="00F93870" w:rsidP="00610769">
            <w:pPr>
              <w:pStyle w:val="Tabletext"/>
              <w:rPr>
                <w:rFonts w:cstheme="minorHAnsi"/>
                <w:szCs w:val="18"/>
              </w:rPr>
            </w:pPr>
            <w:r w:rsidRPr="006311C5">
              <w:rPr>
                <w:rFonts w:cstheme="minorHAnsi"/>
                <w:szCs w:val="18"/>
              </w:rPr>
              <w:t>For full model = .140</w:t>
            </w:r>
          </w:p>
        </w:tc>
        <w:tc>
          <w:tcPr>
            <w:tcW w:w="1141" w:type="pct"/>
            <w:gridSpan w:val="2"/>
            <w:tcBorders>
              <w:top w:val="nil"/>
              <w:left w:val="nil"/>
              <w:bottom w:val="single" w:sz="12" w:space="0" w:color="auto"/>
              <w:right w:val="nil"/>
            </w:tcBorders>
            <w:shd w:val="clear" w:color="auto" w:fill="auto"/>
          </w:tcPr>
          <w:p w14:paraId="408A9AA8" w14:textId="1E63B2BC" w:rsidR="00F93870" w:rsidRPr="006311C5" w:rsidRDefault="00F93870" w:rsidP="00610769">
            <w:pPr>
              <w:pStyle w:val="Tabletext"/>
              <w:rPr>
                <w:rFonts w:cstheme="minorHAnsi"/>
                <w:szCs w:val="18"/>
              </w:rPr>
            </w:pPr>
            <w:r w:rsidRPr="006311C5">
              <w:rPr>
                <w:rFonts w:cstheme="minorHAnsi"/>
                <w:szCs w:val="18"/>
              </w:rPr>
              <w:t>For full model = .099</w:t>
            </w:r>
          </w:p>
        </w:tc>
      </w:tr>
    </w:tbl>
    <w:bookmarkEnd w:id="4"/>
    <w:p w14:paraId="3E9A57E9" w14:textId="1BDE9308" w:rsidR="00017E6B" w:rsidRPr="006311C5" w:rsidRDefault="00793AAB" w:rsidP="00F63C5C">
      <w:pPr>
        <w:pStyle w:val="Tabletext"/>
      </w:pPr>
      <w:proofErr w:type="spellStart"/>
      <w:r w:rsidRPr="006311C5">
        <w:rPr>
          <w:rFonts w:cstheme="minorHAnsi"/>
          <w:szCs w:val="18"/>
          <w:vertAlign w:val="superscript"/>
        </w:rPr>
        <w:t>a</w:t>
      </w:r>
      <w:proofErr w:type="spellEnd"/>
      <w:r w:rsidRPr="006311C5">
        <w:t xml:space="preserve"> </w:t>
      </w:r>
      <w:r w:rsidR="001D072B" w:rsidRPr="006311C5">
        <w:t xml:space="preserve">Adjusting </w:t>
      </w:r>
      <w:r w:rsidR="00DB64AA" w:rsidRPr="006311C5">
        <w:t>for all other variables.</w:t>
      </w:r>
    </w:p>
    <w:p w14:paraId="25D65068" w14:textId="77777777" w:rsidR="002E3593" w:rsidRPr="006311C5" w:rsidRDefault="002E3593" w:rsidP="00F63C5C">
      <w:pPr>
        <w:pStyle w:val="Tabletext"/>
      </w:pPr>
      <w:r w:rsidRPr="006311C5">
        <w:t xml:space="preserve">* </w:t>
      </w:r>
      <w:r w:rsidRPr="006311C5">
        <w:rPr>
          <w:i/>
          <w:iCs/>
        </w:rPr>
        <w:t>p</w:t>
      </w:r>
      <w:r w:rsidRPr="006311C5">
        <w:t xml:space="preserve"> ≤.05</w:t>
      </w:r>
    </w:p>
    <w:p w14:paraId="74B60AFE" w14:textId="1D9B7038" w:rsidR="006143B7" w:rsidRPr="006311C5" w:rsidRDefault="006143B7" w:rsidP="00F63C5C">
      <w:pPr>
        <w:pStyle w:val="Tabletext"/>
        <w:rPr>
          <w:b/>
          <w:bCs/>
          <w:szCs w:val="24"/>
        </w:rPr>
        <w:sectPr w:rsidR="006143B7" w:rsidRPr="006311C5" w:rsidSect="00017E6B">
          <w:pgSz w:w="16838" w:h="11906" w:orient="landscape"/>
          <w:pgMar w:top="1440" w:right="1440" w:bottom="1440" w:left="1440" w:header="709" w:footer="709" w:gutter="0"/>
          <w:cols w:space="708"/>
          <w:docGrid w:linePitch="360"/>
        </w:sectPr>
      </w:pPr>
      <w:r w:rsidRPr="006311C5">
        <w:lastRenderedPageBreak/>
        <w:t>CI = confidence interval</w:t>
      </w:r>
    </w:p>
    <w:p w14:paraId="713775DA" w14:textId="49EB63DA" w:rsidR="00AE51AB" w:rsidRPr="006311C5" w:rsidRDefault="001B40AB" w:rsidP="00AE51AB">
      <w:r w:rsidRPr="006311C5">
        <w:lastRenderedPageBreak/>
        <w:t>The regression model for injection-site symptoms had gre</w:t>
      </w:r>
      <w:r w:rsidR="006A7093" w:rsidRPr="006311C5">
        <w:t>a</w:t>
      </w:r>
      <w:r w:rsidRPr="006311C5">
        <w:t>ter predictive power (</w:t>
      </w:r>
      <w:proofErr w:type="spellStart"/>
      <w:r w:rsidRPr="006311C5">
        <w:t>Nagelkerke</w:t>
      </w:r>
      <w:proofErr w:type="spellEnd"/>
      <w:r w:rsidRPr="006311C5">
        <w:t xml:space="preserve"> </w:t>
      </w:r>
      <w:r w:rsidR="00891A59" w:rsidRPr="006311C5">
        <w:rPr>
          <w:i/>
          <w:iCs/>
        </w:rPr>
        <w:t>R</w:t>
      </w:r>
      <w:r w:rsidR="00891A59" w:rsidRPr="006311C5">
        <w:rPr>
          <w:vertAlign w:val="superscript"/>
        </w:rPr>
        <w:t>2</w:t>
      </w:r>
      <w:r w:rsidR="00891A59" w:rsidRPr="006311C5">
        <w:t xml:space="preserve"> </w:t>
      </w:r>
      <w:r w:rsidRPr="006311C5">
        <w:t>= .140) than that for non-injection-site-symptoms (</w:t>
      </w:r>
      <w:proofErr w:type="spellStart"/>
      <w:r w:rsidRPr="006311C5">
        <w:t>Nagelkerke</w:t>
      </w:r>
      <w:proofErr w:type="spellEnd"/>
      <w:r w:rsidRPr="006311C5">
        <w:t xml:space="preserve"> </w:t>
      </w:r>
      <w:r w:rsidR="00891A59" w:rsidRPr="006311C5">
        <w:rPr>
          <w:i/>
          <w:iCs/>
        </w:rPr>
        <w:t>R</w:t>
      </w:r>
      <w:r w:rsidR="00891A59" w:rsidRPr="006311C5">
        <w:rPr>
          <w:vertAlign w:val="superscript"/>
        </w:rPr>
        <w:t>2</w:t>
      </w:r>
      <w:r w:rsidR="00891A59" w:rsidRPr="006311C5">
        <w:t xml:space="preserve"> </w:t>
      </w:r>
      <w:r w:rsidRPr="006311C5">
        <w:t>= .099</w:t>
      </w:r>
      <w:r w:rsidR="006A7093" w:rsidRPr="006311C5">
        <w:t>)</w:t>
      </w:r>
      <w:r w:rsidRPr="006311C5">
        <w:t xml:space="preserve">. </w:t>
      </w:r>
      <w:r w:rsidR="00891A59" w:rsidRPr="006311C5">
        <w:t>I</w:t>
      </w:r>
      <w:r w:rsidR="006A7093" w:rsidRPr="006311C5">
        <w:t>n</w:t>
      </w:r>
      <w:r w:rsidR="00891A59" w:rsidRPr="006311C5">
        <w:t xml:space="preserve"> both cases, t</w:t>
      </w:r>
      <w:r w:rsidR="00AE51AB" w:rsidRPr="006311C5">
        <w:t xml:space="preserve">he addition of psychological and contextual factors </w:t>
      </w:r>
      <w:r w:rsidR="00891A59" w:rsidRPr="006311C5">
        <w:t xml:space="preserve">in the second block </w:t>
      </w:r>
      <w:r w:rsidRPr="006311C5">
        <w:t xml:space="preserve">produced only a small increase in the </w:t>
      </w:r>
      <w:r w:rsidRPr="006311C5">
        <w:rPr>
          <w:i/>
          <w:iCs/>
        </w:rPr>
        <w:t>R</w:t>
      </w:r>
      <w:r w:rsidRPr="006311C5">
        <w:rPr>
          <w:vertAlign w:val="superscript"/>
        </w:rPr>
        <w:t>2</w:t>
      </w:r>
      <w:r w:rsidRPr="006311C5">
        <w:t xml:space="preserve"> value over that </w:t>
      </w:r>
      <w:r w:rsidR="00E2411E" w:rsidRPr="006311C5">
        <w:t xml:space="preserve">derived </w:t>
      </w:r>
      <w:r w:rsidRPr="006311C5">
        <w:t xml:space="preserve">from the </w:t>
      </w:r>
      <w:r w:rsidR="006A7093" w:rsidRPr="006311C5">
        <w:t xml:space="preserve">personal and clinical variables in the </w:t>
      </w:r>
      <w:r w:rsidRPr="006311C5">
        <w:t>first block</w:t>
      </w:r>
      <w:r w:rsidR="00AE51AB" w:rsidRPr="006311C5">
        <w:t>.</w:t>
      </w:r>
    </w:p>
    <w:p w14:paraId="6393CC4E" w14:textId="77777777" w:rsidR="00AE51AB" w:rsidRPr="006311C5" w:rsidRDefault="00AE51AB" w:rsidP="00AE51AB">
      <w:pPr>
        <w:pStyle w:val="Heading3"/>
      </w:pPr>
      <w:r w:rsidRPr="006311C5">
        <w:t>Second vaccine dose</w:t>
      </w:r>
    </w:p>
    <w:p w14:paraId="348BDBAE" w14:textId="782DCBBD" w:rsidR="001B25EB" w:rsidRPr="006311C5" w:rsidRDefault="6D5927AE" w:rsidP="007E4DB4">
      <w:r w:rsidRPr="006311C5">
        <w:t xml:space="preserve">In respect of both injection-site and non-injection-site symptoms, those having reported symptoms after the first dose were much more likely to do so after the second dose (Table </w:t>
      </w:r>
      <w:r w:rsidR="00974DF6" w:rsidRPr="006311C5">
        <w:t>6</w:t>
      </w:r>
      <w:r w:rsidRPr="006311C5">
        <w:t>). Reporting injection</w:t>
      </w:r>
      <w:r w:rsidR="00AB087F" w:rsidRPr="006311C5">
        <w:t>-</w:t>
      </w:r>
      <w:r w:rsidRPr="006311C5">
        <w:t xml:space="preserve"> and non-injection</w:t>
      </w:r>
      <w:r w:rsidR="00AB087F" w:rsidRPr="006311C5">
        <w:t>-</w:t>
      </w:r>
      <w:r w:rsidRPr="006311C5">
        <w:t xml:space="preserve">site symptoms after the second vaccine dose was associated with vaccine brand, in relation to both types of symptoms. As in the case of first-dose symptoms, the highest rate reported was for the Moderna vaccine (82.6% and 87.0% for injection-site and non-injection-site symptoms, respectively; Table </w:t>
      </w:r>
      <w:r w:rsidR="00974DF6" w:rsidRPr="006311C5">
        <w:t>4</w:t>
      </w:r>
      <w:r w:rsidRPr="006311C5">
        <w:t>). The rate was higher for the Pfizer-BioNTech than for the AstraZeneca vaccine in both cases. Reporting non-injection</w:t>
      </w:r>
      <w:r w:rsidR="00AB087F" w:rsidRPr="006311C5">
        <w:t>-</w:t>
      </w:r>
      <w:r w:rsidRPr="006311C5">
        <w:t>site symptoms was associated with having an illness that put one at higher risk of COVID-19. Reporting injection-site symptoms was associated with not believing that one had enough information about COVID-19 (illness and vaccination) to make an informed decision about vaccination.</w:t>
      </w:r>
    </w:p>
    <w:p w14:paraId="29D79BA2" w14:textId="38C851E7" w:rsidR="005A7C3F" w:rsidRPr="006311C5" w:rsidRDefault="005A7C3F" w:rsidP="00B41893"/>
    <w:p w14:paraId="61302485" w14:textId="77777777" w:rsidR="005A7C3F" w:rsidRPr="006311C5" w:rsidRDefault="005A7C3F" w:rsidP="005A7C3F">
      <w:pPr>
        <w:rPr>
          <w:b/>
          <w:bCs/>
          <w:szCs w:val="24"/>
        </w:rPr>
        <w:sectPr w:rsidR="005A7C3F" w:rsidRPr="006311C5">
          <w:pgSz w:w="11906" w:h="16838"/>
          <w:pgMar w:top="1440" w:right="1440" w:bottom="1440" w:left="1440" w:header="708" w:footer="708" w:gutter="0"/>
          <w:cols w:space="708"/>
          <w:docGrid w:linePitch="360"/>
        </w:sectPr>
      </w:pPr>
    </w:p>
    <w:p w14:paraId="51E8CA73" w14:textId="0FEE09D9" w:rsidR="00714DC8" w:rsidRPr="006311C5" w:rsidRDefault="005A7C3F" w:rsidP="005A7C3F">
      <w:pPr>
        <w:rPr>
          <w:szCs w:val="24"/>
        </w:rPr>
      </w:pPr>
      <w:r w:rsidRPr="006311C5">
        <w:rPr>
          <w:szCs w:val="24"/>
        </w:rPr>
        <w:lastRenderedPageBreak/>
        <w:t xml:space="preserve">Table </w:t>
      </w:r>
      <w:r w:rsidR="00974DF6" w:rsidRPr="006311C5">
        <w:rPr>
          <w:szCs w:val="24"/>
        </w:rPr>
        <w:t>6</w:t>
      </w:r>
      <w:r w:rsidR="000F0E37" w:rsidRPr="006311C5">
        <w:rPr>
          <w:szCs w:val="24"/>
        </w:rPr>
        <w:t>.</w:t>
      </w:r>
      <w:r w:rsidRPr="006311C5">
        <w:rPr>
          <w:b/>
          <w:bCs/>
          <w:szCs w:val="24"/>
        </w:rPr>
        <w:t xml:space="preserve"> </w:t>
      </w:r>
      <w:r w:rsidRPr="006311C5">
        <w:rPr>
          <w:szCs w:val="24"/>
        </w:rPr>
        <w:t xml:space="preserve">Results of the full logistic regression models analysing associations with symptom reporting following the second dose of a COVID-19 vaccination. </w:t>
      </w:r>
      <w:r w:rsidR="00845AA5" w:rsidRPr="006311C5">
        <w:rPr>
          <w:szCs w:val="24"/>
        </w:rPr>
        <w:t>P</w:t>
      </w:r>
      <w:r w:rsidRPr="006311C5">
        <w:rPr>
          <w:szCs w:val="24"/>
        </w:rPr>
        <w:t>arameter estimates relate to the full model containing all explanatory variables</w:t>
      </w:r>
      <w:r w:rsidR="009A6EC0" w:rsidRPr="006311C5">
        <w:rPr>
          <w:szCs w:val="24"/>
        </w:rPr>
        <w:t xml:space="preserve"> (injection</w:t>
      </w:r>
      <w:r w:rsidR="00AB087F" w:rsidRPr="006311C5">
        <w:rPr>
          <w:szCs w:val="24"/>
        </w:rPr>
        <w:t>-</w:t>
      </w:r>
      <w:r w:rsidR="009A6EC0" w:rsidRPr="006311C5">
        <w:rPr>
          <w:szCs w:val="24"/>
        </w:rPr>
        <w:t>site symptoms, n=882, 1</w:t>
      </w:r>
      <w:r w:rsidR="00194A50" w:rsidRPr="006311C5">
        <w:rPr>
          <w:szCs w:val="24"/>
        </w:rPr>
        <w:t>4.7</w:t>
      </w:r>
      <w:r w:rsidR="009A6EC0" w:rsidRPr="006311C5">
        <w:rPr>
          <w:szCs w:val="24"/>
        </w:rPr>
        <w:t>% missing data; non-injection</w:t>
      </w:r>
      <w:r w:rsidR="00AB087F" w:rsidRPr="006311C5">
        <w:rPr>
          <w:szCs w:val="24"/>
        </w:rPr>
        <w:t>-</w:t>
      </w:r>
      <w:r w:rsidR="009A6EC0" w:rsidRPr="006311C5">
        <w:rPr>
          <w:szCs w:val="24"/>
        </w:rPr>
        <w:t>site symptoms, n=883, 1</w:t>
      </w:r>
      <w:r w:rsidR="00194A50" w:rsidRPr="006311C5">
        <w:rPr>
          <w:szCs w:val="24"/>
        </w:rPr>
        <w:t>4.6</w:t>
      </w:r>
      <w:r w:rsidR="009A6EC0" w:rsidRPr="006311C5">
        <w:rPr>
          <w:szCs w:val="24"/>
        </w:rPr>
        <w:t>% missing data)</w:t>
      </w:r>
      <w:r w:rsidRPr="006311C5">
        <w:rPr>
          <w:szCs w:val="24"/>
        </w:rPr>
        <w:t>. For continuous variables, the adjusted odds ratios represent the change in likelihood of side effects for a one-unit increase in the predictor variable, apart from age, where it an increase of one-unit represents an increase by decade.</w:t>
      </w:r>
    </w:p>
    <w:tbl>
      <w:tblPr>
        <w:tblStyle w:val="TableGrid2"/>
        <w:tblW w:w="5000" w:type="pct"/>
        <w:jc w:val="center"/>
        <w:tblLook w:val="04A0" w:firstRow="1" w:lastRow="0" w:firstColumn="1" w:lastColumn="0" w:noHBand="0" w:noVBand="1"/>
      </w:tblPr>
      <w:tblGrid>
        <w:gridCol w:w="1418"/>
        <w:gridCol w:w="4204"/>
        <w:gridCol w:w="2110"/>
        <w:gridCol w:w="2306"/>
        <w:gridCol w:w="807"/>
        <w:gridCol w:w="2306"/>
        <w:gridCol w:w="807"/>
      </w:tblGrid>
      <w:tr w:rsidR="00EE735D" w:rsidRPr="006311C5" w14:paraId="416FCE40" w14:textId="77777777" w:rsidTr="00711667">
        <w:trPr>
          <w:jc w:val="center"/>
        </w:trPr>
        <w:tc>
          <w:tcPr>
            <w:tcW w:w="508" w:type="pct"/>
            <w:tcBorders>
              <w:top w:val="single" w:sz="12" w:space="0" w:color="auto"/>
              <w:left w:val="nil"/>
              <w:bottom w:val="nil"/>
              <w:right w:val="nil"/>
            </w:tcBorders>
            <w:shd w:val="clear" w:color="auto" w:fill="auto"/>
          </w:tcPr>
          <w:p w14:paraId="45F46D1A" w14:textId="77777777" w:rsidR="001471F8" w:rsidRPr="006311C5" w:rsidRDefault="001471F8" w:rsidP="00224A6B">
            <w:pPr>
              <w:pStyle w:val="Tabletext"/>
              <w:rPr>
                <w:rFonts w:cstheme="minorHAnsi"/>
                <w:szCs w:val="18"/>
              </w:rPr>
            </w:pPr>
          </w:p>
        </w:tc>
        <w:tc>
          <w:tcPr>
            <w:tcW w:w="1506" w:type="pct"/>
            <w:tcBorders>
              <w:top w:val="single" w:sz="12" w:space="0" w:color="auto"/>
              <w:left w:val="nil"/>
              <w:bottom w:val="nil"/>
              <w:right w:val="nil"/>
            </w:tcBorders>
            <w:shd w:val="clear" w:color="auto" w:fill="auto"/>
          </w:tcPr>
          <w:p w14:paraId="4D0A66E5" w14:textId="77777777" w:rsidR="001471F8" w:rsidRPr="006311C5" w:rsidRDefault="001471F8" w:rsidP="00224A6B">
            <w:pPr>
              <w:pStyle w:val="Tabletext"/>
              <w:rPr>
                <w:rFonts w:cstheme="minorHAnsi"/>
                <w:szCs w:val="18"/>
              </w:rPr>
            </w:pPr>
          </w:p>
        </w:tc>
        <w:tc>
          <w:tcPr>
            <w:tcW w:w="756" w:type="pct"/>
            <w:tcBorders>
              <w:top w:val="single" w:sz="12" w:space="0" w:color="auto"/>
              <w:left w:val="nil"/>
              <w:bottom w:val="nil"/>
              <w:right w:val="nil"/>
            </w:tcBorders>
            <w:shd w:val="clear" w:color="auto" w:fill="auto"/>
          </w:tcPr>
          <w:p w14:paraId="231A40FA" w14:textId="77777777" w:rsidR="001471F8" w:rsidRPr="006311C5" w:rsidRDefault="001471F8" w:rsidP="00224A6B">
            <w:pPr>
              <w:pStyle w:val="Tabletext"/>
              <w:rPr>
                <w:rFonts w:cstheme="minorHAnsi"/>
                <w:szCs w:val="18"/>
              </w:rPr>
            </w:pPr>
          </w:p>
        </w:tc>
        <w:tc>
          <w:tcPr>
            <w:tcW w:w="1115" w:type="pct"/>
            <w:gridSpan w:val="2"/>
            <w:tcBorders>
              <w:top w:val="single" w:sz="12" w:space="0" w:color="auto"/>
              <w:left w:val="nil"/>
              <w:bottom w:val="nil"/>
              <w:right w:val="nil"/>
            </w:tcBorders>
            <w:shd w:val="clear" w:color="auto" w:fill="auto"/>
          </w:tcPr>
          <w:p w14:paraId="413B6BDF" w14:textId="27289E7D" w:rsidR="001471F8" w:rsidRPr="006311C5" w:rsidRDefault="001471F8" w:rsidP="00224A6B">
            <w:pPr>
              <w:pStyle w:val="Tabletext"/>
              <w:rPr>
                <w:rFonts w:cstheme="minorHAnsi"/>
                <w:i/>
                <w:iCs/>
                <w:szCs w:val="18"/>
              </w:rPr>
            </w:pPr>
            <w:r w:rsidRPr="006311C5">
              <w:rPr>
                <w:rFonts w:cstheme="minorHAnsi"/>
                <w:szCs w:val="18"/>
              </w:rPr>
              <w:t>Injection</w:t>
            </w:r>
            <w:r w:rsidR="00183498" w:rsidRPr="006311C5">
              <w:rPr>
                <w:rFonts w:cstheme="minorHAnsi"/>
                <w:szCs w:val="18"/>
              </w:rPr>
              <w:t>-</w:t>
            </w:r>
            <w:r w:rsidRPr="006311C5">
              <w:rPr>
                <w:rFonts w:cstheme="minorHAnsi"/>
                <w:szCs w:val="18"/>
              </w:rPr>
              <w:t xml:space="preserve">site symptoms, </w:t>
            </w:r>
            <w:r w:rsidRPr="006311C5">
              <w:rPr>
                <w:rFonts w:cstheme="minorHAnsi"/>
                <w:i/>
                <w:iCs/>
                <w:szCs w:val="18"/>
              </w:rPr>
              <w:t>n</w:t>
            </w:r>
            <w:r w:rsidRPr="006311C5">
              <w:rPr>
                <w:rFonts w:cstheme="minorHAnsi"/>
                <w:szCs w:val="18"/>
              </w:rPr>
              <w:t>=</w:t>
            </w:r>
            <w:r w:rsidR="009A6EC0" w:rsidRPr="006311C5">
              <w:rPr>
                <w:rFonts w:cstheme="minorHAnsi"/>
                <w:szCs w:val="18"/>
              </w:rPr>
              <w:t>882</w:t>
            </w:r>
          </w:p>
        </w:tc>
        <w:tc>
          <w:tcPr>
            <w:tcW w:w="1115" w:type="pct"/>
            <w:gridSpan w:val="2"/>
            <w:tcBorders>
              <w:top w:val="single" w:sz="12" w:space="0" w:color="auto"/>
              <w:left w:val="nil"/>
              <w:bottom w:val="nil"/>
              <w:right w:val="nil"/>
            </w:tcBorders>
            <w:shd w:val="clear" w:color="auto" w:fill="auto"/>
          </w:tcPr>
          <w:p w14:paraId="1FA61491" w14:textId="656D8629" w:rsidR="001471F8" w:rsidRPr="006311C5" w:rsidRDefault="00240070" w:rsidP="00224A6B">
            <w:pPr>
              <w:pStyle w:val="Tabletext"/>
              <w:rPr>
                <w:rFonts w:cstheme="minorHAnsi"/>
                <w:i/>
                <w:iCs/>
                <w:szCs w:val="18"/>
              </w:rPr>
            </w:pPr>
            <w:r w:rsidRPr="006311C5">
              <w:rPr>
                <w:rFonts w:cstheme="minorHAnsi"/>
                <w:szCs w:val="18"/>
              </w:rPr>
              <w:t xml:space="preserve">Non-injection-site symptoms, </w:t>
            </w:r>
            <w:r w:rsidRPr="006311C5">
              <w:rPr>
                <w:rFonts w:cstheme="minorHAnsi"/>
                <w:i/>
                <w:iCs/>
                <w:szCs w:val="18"/>
              </w:rPr>
              <w:t>n</w:t>
            </w:r>
            <w:r w:rsidRPr="006311C5">
              <w:rPr>
                <w:rFonts w:cstheme="minorHAnsi"/>
                <w:szCs w:val="18"/>
              </w:rPr>
              <w:t>=883</w:t>
            </w:r>
          </w:p>
        </w:tc>
      </w:tr>
      <w:tr w:rsidR="00EE735D" w:rsidRPr="006311C5" w14:paraId="5B185CF5" w14:textId="77777777" w:rsidTr="00711667">
        <w:trPr>
          <w:jc w:val="center"/>
        </w:trPr>
        <w:tc>
          <w:tcPr>
            <w:tcW w:w="508" w:type="pct"/>
            <w:tcBorders>
              <w:top w:val="nil"/>
              <w:left w:val="nil"/>
              <w:bottom w:val="single" w:sz="12" w:space="0" w:color="auto"/>
              <w:right w:val="nil"/>
            </w:tcBorders>
            <w:shd w:val="clear" w:color="auto" w:fill="auto"/>
          </w:tcPr>
          <w:p w14:paraId="79484357" w14:textId="77777777" w:rsidR="00A145D0" w:rsidRPr="006311C5" w:rsidRDefault="00A145D0" w:rsidP="00224A6B">
            <w:pPr>
              <w:pStyle w:val="Tabletext"/>
              <w:rPr>
                <w:rFonts w:cstheme="minorHAnsi"/>
                <w:szCs w:val="18"/>
              </w:rPr>
            </w:pPr>
          </w:p>
        </w:tc>
        <w:tc>
          <w:tcPr>
            <w:tcW w:w="1506" w:type="pct"/>
            <w:tcBorders>
              <w:top w:val="nil"/>
              <w:left w:val="nil"/>
              <w:bottom w:val="single" w:sz="12" w:space="0" w:color="auto"/>
              <w:right w:val="nil"/>
            </w:tcBorders>
            <w:shd w:val="clear" w:color="auto" w:fill="auto"/>
          </w:tcPr>
          <w:p w14:paraId="644C557E" w14:textId="77777777" w:rsidR="00A145D0" w:rsidRPr="006311C5" w:rsidRDefault="00A145D0" w:rsidP="00224A6B">
            <w:pPr>
              <w:pStyle w:val="Tabletext"/>
              <w:rPr>
                <w:rFonts w:cstheme="minorHAnsi"/>
                <w:szCs w:val="18"/>
              </w:rPr>
            </w:pPr>
            <w:r w:rsidRPr="006311C5">
              <w:rPr>
                <w:rFonts w:cstheme="minorHAnsi"/>
                <w:szCs w:val="18"/>
              </w:rPr>
              <w:t>Predictor variable</w:t>
            </w:r>
          </w:p>
        </w:tc>
        <w:tc>
          <w:tcPr>
            <w:tcW w:w="756" w:type="pct"/>
            <w:tcBorders>
              <w:top w:val="nil"/>
              <w:left w:val="nil"/>
              <w:bottom w:val="single" w:sz="12" w:space="0" w:color="auto"/>
              <w:right w:val="nil"/>
            </w:tcBorders>
            <w:shd w:val="clear" w:color="auto" w:fill="auto"/>
          </w:tcPr>
          <w:p w14:paraId="5F78AA66" w14:textId="77777777" w:rsidR="00A145D0" w:rsidRPr="006311C5" w:rsidRDefault="00A145D0" w:rsidP="00224A6B">
            <w:pPr>
              <w:pStyle w:val="Tabletext"/>
              <w:rPr>
                <w:rFonts w:cstheme="minorHAnsi"/>
                <w:szCs w:val="18"/>
              </w:rPr>
            </w:pPr>
            <w:r w:rsidRPr="006311C5">
              <w:rPr>
                <w:rFonts w:cstheme="minorHAnsi"/>
                <w:szCs w:val="18"/>
              </w:rPr>
              <w:t>Level</w:t>
            </w:r>
          </w:p>
        </w:tc>
        <w:tc>
          <w:tcPr>
            <w:tcW w:w="826" w:type="pct"/>
            <w:tcBorders>
              <w:top w:val="nil"/>
              <w:left w:val="nil"/>
              <w:bottom w:val="single" w:sz="12" w:space="0" w:color="auto"/>
              <w:right w:val="nil"/>
            </w:tcBorders>
            <w:shd w:val="clear" w:color="auto" w:fill="auto"/>
          </w:tcPr>
          <w:p w14:paraId="3E2397FA" w14:textId="61C24CB1" w:rsidR="00A145D0" w:rsidRPr="006311C5" w:rsidRDefault="00A145D0" w:rsidP="00224A6B">
            <w:pPr>
              <w:pStyle w:val="Tabletext"/>
              <w:rPr>
                <w:rFonts w:cstheme="minorHAnsi"/>
                <w:szCs w:val="18"/>
              </w:rPr>
            </w:pPr>
            <w:r w:rsidRPr="006311C5">
              <w:rPr>
                <w:rFonts w:cstheme="minorHAnsi"/>
                <w:szCs w:val="18"/>
              </w:rPr>
              <w:t xml:space="preserve">Adjusted odds ratio (95% CI) for reporting symptoms </w:t>
            </w:r>
            <w:r w:rsidR="00793AAB" w:rsidRPr="006311C5">
              <w:rPr>
                <w:rFonts w:cstheme="minorHAnsi"/>
                <w:szCs w:val="18"/>
                <w:vertAlign w:val="superscript"/>
              </w:rPr>
              <w:t>a</w:t>
            </w:r>
          </w:p>
        </w:tc>
        <w:tc>
          <w:tcPr>
            <w:tcW w:w="289" w:type="pct"/>
            <w:tcBorders>
              <w:top w:val="nil"/>
              <w:left w:val="nil"/>
              <w:bottom w:val="single" w:sz="12" w:space="0" w:color="auto"/>
              <w:right w:val="nil"/>
            </w:tcBorders>
            <w:shd w:val="clear" w:color="auto" w:fill="auto"/>
          </w:tcPr>
          <w:p w14:paraId="768A21C4" w14:textId="77777777" w:rsidR="00A145D0" w:rsidRPr="006311C5" w:rsidRDefault="00A145D0" w:rsidP="00224A6B">
            <w:pPr>
              <w:pStyle w:val="Tabletext"/>
              <w:rPr>
                <w:rFonts w:cstheme="minorHAnsi"/>
                <w:szCs w:val="18"/>
              </w:rPr>
            </w:pPr>
            <w:r w:rsidRPr="006311C5">
              <w:rPr>
                <w:rFonts w:cstheme="minorHAnsi"/>
                <w:i/>
                <w:iCs/>
                <w:szCs w:val="18"/>
              </w:rPr>
              <w:t>p</w:t>
            </w:r>
            <w:r w:rsidRPr="006311C5">
              <w:rPr>
                <w:rFonts w:cstheme="minorHAnsi"/>
                <w:szCs w:val="18"/>
              </w:rPr>
              <w:t xml:space="preserve"> value</w:t>
            </w:r>
          </w:p>
        </w:tc>
        <w:tc>
          <w:tcPr>
            <w:tcW w:w="826" w:type="pct"/>
            <w:tcBorders>
              <w:top w:val="nil"/>
              <w:left w:val="nil"/>
              <w:bottom w:val="single" w:sz="12" w:space="0" w:color="auto"/>
              <w:right w:val="nil"/>
            </w:tcBorders>
            <w:shd w:val="clear" w:color="auto" w:fill="auto"/>
          </w:tcPr>
          <w:p w14:paraId="4DF382E0" w14:textId="3C5D33CE" w:rsidR="00A145D0" w:rsidRPr="006311C5" w:rsidRDefault="00A145D0" w:rsidP="00224A6B">
            <w:pPr>
              <w:pStyle w:val="Tabletext"/>
              <w:rPr>
                <w:rFonts w:cstheme="minorHAnsi"/>
                <w:i/>
                <w:iCs/>
                <w:szCs w:val="18"/>
              </w:rPr>
            </w:pPr>
            <w:r w:rsidRPr="006311C5">
              <w:rPr>
                <w:rFonts w:cstheme="minorHAnsi"/>
                <w:szCs w:val="18"/>
              </w:rPr>
              <w:t xml:space="preserve">Adjusted odds ratio (95% CI) for reporting symptoms </w:t>
            </w:r>
            <w:r w:rsidR="00793AAB" w:rsidRPr="006311C5">
              <w:rPr>
                <w:rFonts w:cstheme="minorHAnsi"/>
                <w:szCs w:val="18"/>
                <w:vertAlign w:val="superscript"/>
              </w:rPr>
              <w:t>a</w:t>
            </w:r>
          </w:p>
        </w:tc>
        <w:tc>
          <w:tcPr>
            <w:tcW w:w="289" w:type="pct"/>
            <w:tcBorders>
              <w:top w:val="nil"/>
              <w:left w:val="nil"/>
              <w:bottom w:val="single" w:sz="12" w:space="0" w:color="auto"/>
              <w:right w:val="nil"/>
            </w:tcBorders>
            <w:shd w:val="clear" w:color="auto" w:fill="auto"/>
          </w:tcPr>
          <w:p w14:paraId="11F0B9E6" w14:textId="77777777" w:rsidR="00A145D0" w:rsidRPr="006311C5" w:rsidRDefault="00A145D0" w:rsidP="00224A6B">
            <w:pPr>
              <w:pStyle w:val="Tabletext"/>
              <w:rPr>
                <w:rFonts w:cstheme="minorHAnsi"/>
                <w:i/>
                <w:iCs/>
                <w:szCs w:val="18"/>
              </w:rPr>
            </w:pPr>
            <w:r w:rsidRPr="006311C5">
              <w:rPr>
                <w:rFonts w:cstheme="minorHAnsi"/>
                <w:i/>
                <w:iCs/>
                <w:szCs w:val="18"/>
              </w:rPr>
              <w:t>p</w:t>
            </w:r>
            <w:r w:rsidRPr="006311C5">
              <w:rPr>
                <w:rFonts w:cstheme="minorHAnsi"/>
                <w:szCs w:val="18"/>
              </w:rPr>
              <w:t xml:space="preserve"> value</w:t>
            </w:r>
          </w:p>
        </w:tc>
      </w:tr>
      <w:tr w:rsidR="00EE735D" w:rsidRPr="006311C5" w14:paraId="2A17CDDA" w14:textId="77777777" w:rsidTr="009E0FF1">
        <w:trPr>
          <w:jc w:val="center"/>
        </w:trPr>
        <w:tc>
          <w:tcPr>
            <w:tcW w:w="508" w:type="pct"/>
            <w:vMerge w:val="restart"/>
            <w:tcBorders>
              <w:left w:val="nil"/>
              <w:right w:val="nil"/>
            </w:tcBorders>
            <w:shd w:val="clear" w:color="auto" w:fill="auto"/>
          </w:tcPr>
          <w:p w14:paraId="50B309E1" w14:textId="77777777" w:rsidR="00A145D0" w:rsidRPr="006311C5" w:rsidRDefault="00A145D0" w:rsidP="00224A6B">
            <w:pPr>
              <w:pStyle w:val="Tabletext"/>
              <w:rPr>
                <w:rFonts w:cstheme="minorHAnsi"/>
                <w:szCs w:val="18"/>
              </w:rPr>
            </w:pPr>
            <w:r w:rsidRPr="006311C5">
              <w:rPr>
                <w:rFonts w:cstheme="minorHAnsi"/>
                <w:szCs w:val="18"/>
              </w:rPr>
              <w:t>Block 1 – personal and clinical characteristics</w:t>
            </w:r>
          </w:p>
        </w:tc>
        <w:tc>
          <w:tcPr>
            <w:tcW w:w="1506" w:type="pct"/>
            <w:tcBorders>
              <w:left w:val="nil"/>
              <w:right w:val="nil"/>
            </w:tcBorders>
            <w:shd w:val="clear" w:color="auto" w:fill="auto"/>
          </w:tcPr>
          <w:p w14:paraId="7F8EE5A2" w14:textId="0385D8EB" w:rsidR="00A145D0" w:rsidRPr="006311C5" w:rsidRDefault="00A145D0" w:rsidP="00224A6B">
            <w:pPr>
              <w:pStyle w:val="Tabletext"/>
              <w:rPr>
                <w:rFonts w:cstheme="minorHAnsi"/>
                <w:szCs w:val="18"/>
              </w:rPr>
            </w:pPr>
            <w:r w:rsidRPr="006311C5">
              <w:rPr>
                <w:rFonts w:cstheme="minorHAnsi"/>
                <w:szCs w:val="18"/>
              </w:rPr>
              <w:t>Age</w:t>
            </w:r>
          </w:p>
        </w:tc>
        <w:tc>
          <w:tcPr>
            <w:tcW w:w="756" w:type="pct"/>
            <w:tcBorders>
              <w:left w:val="nil"/>
              <w:bottom w:val="single" w:sz="4" w:space="0" w:color="auto"/>
              <w:right w:val="nil"/>
            </w:tcBorders>
            <w:shd w:val="clear" w:color="auto" w:fill="auto"/>
          </w:tcPr>
          <w:p w14:paraId="280C8372" w14:textId="5DC52CCA" w:rsidR="00A145D0" w:rsidRPr="006311C5" w:rsidRDefault="00DB228D" w:rsidP="00224A6B">
            <w:pPr>
              <w:pStyle w:val="Tabletext"/>
              <w:rPr>
                <w:rFonts w:cstheme="minorHAnsi"/>
                <w:szCs w:val="18"/>
              </w:rPr>
            </w:pPr>
            <w:r w:rsidRPr="006311C5">
              <w:rPr>
                <w:rFonts w:cstheme="minorHAnsi"/>
                <w:szCs w:val="18"/>
              </w:rPr>
              <w:t>Decade</w:t>
            </w:r>
          </w:p>
        </w:tc>
        <w:tc>
          <w:tcPr>
            <w:tcW w:w="826" w:type="pct"/>
            <w:tcBorders>
              <w:top w:val="nil"/>
              <w:left w:val="nil"/>
              <w:bottom w:val="nil"/>
              <w:right w:val="nil"/>
            </w:tcBorders>
            <w:shd w:val="clear" w:color="auto" w:fill="auto"/>
          </w:tcPr>
          <w:p w14:paraId="5B568C96" w14:textId="6F0CAD52" w:rsidR="00A145D0" w:rsidRPr="006311C5" w:rsidRDefault="00A145D0" w:rsidP="00224A6B">
            <w:pPr>
              <w:pStyle w:val="Tabletext"/>
              <w:rPr>
                <w:rFonts w:cstheme="minorHAnsi"/>
                <w:szCs w:val="18"/>
              </w:rPr>
            </w:pPr>
            <w:r w:rsidRPr="006311C5">
              <w:rPr>
                <w:rFonts w:cstheme="minorHAnsi"/>
                <w:szCs w:val="18"/>
              </w:rPr>
              <w:t>0.947 (0.837 to 1.070)</w:t>
            </w:r>
          </w:p>
        </w:tc>
        <w:tc>
          <w:tcPr>
            <w:tcW w:w="289" w:type="pct"/>
            <w:tcBorders>
              <w:top w:val="nil"/>
              <w:left w:val="nil"/>
              <w:bottom w:val="nil"/>
              <w:right w:val="nil"/>
            </w:tcBorders>
            <w:shd w:val="clear" w:color="auto" w:fill="auto"/>
          </w:tcPr>
          <w:p w14:paraId="225C3B6C" w14:textId="100F672B" w:rsidR="00A145D0" w:rsidRPr="006311C5" w:rsidRDefault="00A145D0" w:rsidP="00224A6B">
            <w:pPr>
              <w:pStyle w:val="Tabletext"/>
              <w:rPr>
                <w:rFonts w:cstheme="minorHAnsi"/>
                <w:szCs w:val="18"/>
              </w:rPr>
            </w:pPr>
            <w:r w:rsidRPr="006311C5">
              <w:rPr>
                <w:rFonts w:cstheme="minorHAnsi"/>
                <w:szCs w:val="18"/>
              </w:rPr>
              <w:t>0.383</w:t>
            </w:r>
          </w:p>
        </w:tc>
        <w:tc>
          <w:tcPr>
            <w:tcW w:w="826" w:type="pct"/>
            <w:tcBorders>
              <w:top w:val="nil"/>
              <w:left w:val="nil"/>
              <w:bottom w:val="nil"/>
              <w:right w:val="nil"/>
            </w:tcBorders>
            <w:shd w:val="clear" w:color="auto" w:fill="auto"/>
          </w:tcPr>
          <w:p w14:paraId="41E9F345" w14:textId="52E3A676" w:rsidR="00A145D0" w:rsidRPr="006311C5" w:rsidRDefault="00A145D0" w:rsidP="00224A6B">
            <w:pPr>
              <w:pStyle w:val="Tabletext"/>
              <w:rPr>
                <w:rFonts w:cstheme="minorHAnsi"/>
                <w:szCs w:val="18"/>
              </w:rPr>
            </w:pPr>
            <w:r w:rsidRPr="006311C5">
              <w:rPr>
                <w:rFonts w:cstheme="minorHAnsi"/>
                <w:szCs w:val="18"/>
              </w:rPr>
              <w:t>0.942 (0.833 to 1.066)</w:t>
            </w:r>
          </w:p>
        </w:tc>
        <w:tc>
          <w:tcPr>
            <w:tcW w:w="289" w:type="pct"/>
            <w:tcBorders>
              <w:top w:val="nil"/>
              <w:left w:val="nil"/>
              <w:bottom w:val="nil"/>
              <w:right w:val="nil"/>
            </w:tcBorders>
            <w:shd w:val="clear" w:color="auto" w:fill="auto"/>
          </w:tcPr>
          <w:p w14:paraId="472679B4" w14:textId="6B024F4B" w:rsidR="00A145D0" w:rsidRPr="006311C5" w:rsidRDefault="00A145D0" w:rsidP="00224A6B">
            <w:pPr>
              <w:pStyle w:val="Tabletext"/>
              <w:rPr>
                <w:rFonts w:cstheme="minorHAnsi"/>
                <w:szCs w:val="18"/>
              </w:rPr>
            </w:pPr>
            <w:r w:rsidRPr="006311C5">
              <w:rPr>
                <w:rFonts w:cstheme="minorHAnsi"/>
                <w:szCs w:val="18"/>
              </w:rPr>
              <w:t>0.343</w:t>
            </w:r>
          </w:p>
        </w:tc>
      </w:tr>
      <w:tr w:rsidR="00EE735D" w:rsidRPr="006311C5" w14:paraId="4F151C05" w14:textId="77777777" w:rsidTr="009E0FF1">
        <w:trPr>
          <w:jc w:val="center"/>
        </w:trPr>
        <w:tc>
          <w:tcPr>
            <w:tcW w:w="508" w:type="pct"/>
            <w:vMerge/>
            <w:tcBorders>
              <w:left w:val="nil"/>
              <w:right w:val="nil"/>
            </w:tcBorders>
          </w:tcPr>
          <w:p w14:paraId="6E40E767" w14:textId="77777777" w:rsidR="00A145D0" w:rsidRPr="006311C5" w:rsidRDefault="00A145D0" w:rsidP="00224A6B">
            <w:pPr>
              <w:pStyle w:val="Tabletext"/>
              <w:rPr>
                <w:rFonts w:cstheme="minorHAnsi"/>
                <w:szCs w:val="18"/>
              </w:rPr>
            </w:pPr>
          </w:p>
        </w:tc>
        <w:tc>
          <w:tcPr>
            <w:tcW w:w="1506" w:type="pct"/>
            <w:vMerge w:val="restart"/>
            <w:tcBorders>
              <w:left w:val="nil"/>
              <w:right w:val="nil"/>
            </w:tcBorders>
            <w:shd w:val="clear" w:color="auto" w:fill="auto"/>
          </w:tcPr>
          <w:p w14:paraId="4AFA57FF" w14:textId="06B08309" w:rsidR="00A145D0" w:rsidRPr="006311C5" w:rsidRDefault="00A145D0" w:rsidP="00224A6B">
            <w:pPr>
              <w:pStyle w:val="Tabletext"/>
              <w:rPr>
                <w:rFonts w:cstheme="minorHAnsi"/>
                <w:szCs w:val="18"/>
              </w:rPr>
            </w:pPr>
            <w:r w:rsidRPr="006311C5">
              <w:rPr>
                <w:rFonts w:cstheme="minorHAnsi"/>
                <w:szCs w:val="18"/>
              </w:rPr>
              <w:t>Gender</w:t>
            </w:r>
          </w:p>
        </w:tc>
        <w:tc>
          <w:tcPr>
            <w:tcW w:w="756" w:type="pct"/>
            <w:tcBorders>
              <w:top w:val="single" w:sz="4" w:space="0" w:color="auto"/>
              <w:left w:val="nil"/>
              <w:bottom w:val="nil"/>
              <w:right w:val="nil"/>
            </w:tcBorders>
            <w:shd w:val="clear" w:color="auto" w:fill="auto"/>
          </w:tcPr>
          <w:p w14:paraId="010EBBF7" w14:textId="77777777" w:rsidR="00A145D0" w:rsidRPr="006311C5" w:rsidRDefault="00A145D0" w:rsidP="00224A6B">
            <w:pPr>
              <w:pStyle w:val="Tabletext"/>
              <w:rPr>
                <w:rFonts w:cstheme="minorHAnsi"/>
                <w:szCs w:val="18"/>
              </w:rPr>
            </w:pPr>
            <w:r w:rsidRPr="006311C5">
              <w:rPr>
                <w:rFonts w:cstheme="minorHAnsi"/>
                <w:szCs w:val="18"/>
              </w:rPr>
              <w:t xml:space="preserve">Female </w:t>
            </w:r>
          </w:p>
        </w:tc>
        <w:tc>
          <w:tcPr>
            <w:tcW w:w="826" w:type="pct"/>
            <w:tcBorders>
              <w:top w:val="single" w:sz="4" w:space="0" w:color="auto"/>
              <w:left w:val="nil"/>
              <w:bottom w:val="nil"/>
              <w:right w:val="nil"/>
            </w:tcBorders>
            <w:shd w:val="clear" w:color="auto" w:fill="auto"/>
          </w:tcPr>
          <w:p w14:paraId="3490DD18" w14:textId="77777777" w:rsidR="00A145D0" w:rsidRPr="006311C5" w:rsidRDefault="00A145D0" w:rsidP="00224A6B">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347EB4A1" w14:textId="5BF3F03C" w:rsidR="00A145D0" w:rsidRPr="006311C5" w:rsidRDefault="0029045F" w:rsidP="00224A6B">
            <w:pPr>
              <w:pStyle w:val="Tabletext"/>
              <w:rPr>
                <w:rFonts w:cstheme="minorHAnsi"/>
                <w:szCs w:val="18"/>
              </w:rPr>
            </w:pPr>
            <w:r w:rsidRPr="006311C5">
              <w:rPr>
                <w:rFonts w:cstheme="minorHAnsi"/>
                <w:szCs w:val="18"/>
              </w:rPr>
              <w:t>—</w:t>
            </w:r>
          </w:p>
        </w:tc>
        <w:tc>
          <w:tcPr>
            <w:tcW w:w="826" w:type="pct"/>
            <w:tcBorders>
              <w:top w:val="single" w:sz="4" w:space="0" w:color="auto"/>
              <w:left w:val="nil"/>
              <w:bottom w:val="nil"/>
              <w:right w:val="nil"/>
            </w:tcBorders>
            <w:shd w:val="clear" w:color="auto" w:fill="auto"/>
          </w:tcPr>
          <w:p w14:paraId="38F8A2C0" w14:textId="77777777" w:rsidR="00A145D0" w:rsidRPr="006311C5" w:rsidRDefault="00A145D0" w:rsidP="00224A6B">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3588759F" w14:textId="77777777" w:rsidR="00A145D0" w:rsidRPr="006311C5" w:rsidRDefault="00A145D0" w:rsidP="00224A6B">
            <w:pPr>
              <w:pStyle w:val="Tabletext"/>
              <w:rPr>
                <w:rFonts w:cstheme="minorHAnsi"/>
                <w:szCs w:val="18"/>
              </w:rPr>
            </w:pPr>
            <w:r w:rsidRPr="006311C5">
              <w:rPr>
                <w:rFonts w:cstheme="minorHAnsi"/>
                <w:szCs w:val="18"/>
              </w:rPr>
              <w:t>-</w:t>
            </w:r>
          </w:p>
        </w:tc>
      </w:tr>
      <w:tr w:rsidR="00EE735D" w:rsidRPr="006311C5" w14:paraId="38D7A9FD" w14:textId="77777777" w:rsidTr="009E0FF1">
        <w:trPr>
          <w:jc w:val="center"/>
        </w:trPr>
        <w:tc>
          <w:tcPr>
            <w:tcW w:w="508" w:type="pct"/>
            <w:vMerge/>
            <w:tcBorders>
              <w:left w:val="nil"/>
              <w:right w:val="nil"/>
            </w:tcBorders>
          </w:tcPr>
          <w:p w14:paraId="77E0BBB0" w14:textId="77777777" w:rsidR="00A145D0" w:rsidRPr="006311C5" w:rsidRDefault="00A145D0" w:rsidP="00224A6B">
            <w:pPr>
              <w:pStyle w:val="Tabletext"/>
              <w:rPr>
                <w:rFonts w:cstheme="minorHAnsi"/>
                <w:szCs w:val="18"/>
              </w:rPr>
            </w:pPr>
          </w:p>
        </w:tc>
        <w:tc>
          <w:tcPr>
            <w:tcW w:w="1506" w:type="pct"/>
            <w:vMerge/>
            <w:tcBorders>
              <w:left w:val="nil"/>
              <w:right w:val="nil"/>
            </w:tcBorders>
          </w:tcPr>
          <w:p w14:paraId="038D40E8" w14:textId="77777777" w:rsidR="00A145D0" w:rsidRPr="006311C5" w:rsidRDefault="00A145D0" w:rsidP="00224A6B">
            <w:pPr>
              <w:pStyle w:val="Tabletext"/>
              <w:rPr>
                <w:rFonts w:cstheme="minorHAnsi"/>
                <w:szCs w:val="18"/>
              </w:rPr>
            </w:pPr>
          </w:p>
        </w:tc>
        <w:tc>
          <w:tcPr>
            <w:tcW w:w="756" w:type="pct"/>
            <w:tcBorders>
              <w:top w:val="nil"/>
              <w:left w:val="nil"/>
              <w:bottom w:val="single" w:sz="4" w:space="0" w:color="auto"/>
              <w:right w:val="nil"/>
            </w:tcBorders>
            <w:shd w:val="clear" w:color="auto" w:fill="auto"/>
          </w:tcPr>
          <w:p w14:paraId="5CFFC265" w14:textId="77777777" w:rsidR="00A145D0" w:rsidRPr="006311C5" w:rsidRDefault="00A145D0" w:rsidP="00224A6B">
            <w:pPr>
              <w:pStyle w:val="Tabletext"/>
              <w:rPr>
                <w:rFonts w:cstheme="minorHAnsi"/>
                <w:szCs w:val="18"/>
              </w:rPr>
            </w:pPr>
            <w:r w:rsidRPr="006311C5">
              <w:rPr>
                <w:rFonts w:cstheme="minorHAnsi"/>
                <w:szCs w:val="18"/>
              </w:rPr>
              <w:t>Male</w:t>
            </w:r>
          </w:p>
        </w:tc>
        <w:tc>
          <w:tcPr>
            <w:tcW w:w="826" w:type="pct"/>
            <w:tcBorders>
              <w:top w:val="nil"/>
              <w:left w:val="nil"/>
              <w:bottom w:val="single" w:sz="4" w:space="0" w:color="auto"/>
              <w:right w:val="nil"/>
            </w:tcBorders>
            <w:shd w:val="clear" w:color="auto" w:fill="auto"/>
          </w:tcPr>
          <w:p w14:paraId="4FF5DF2E" w14:textId="000396E1" w:rsidR="00A145D0" w:rsidRPr="006311C5" w:rsidRDefault="00A145D0" w:rsidP="00224A6B">
            <w:pPr>
              <w:pStyle w:val="Tabletext"/>
              <w:rPr>
                <w:rFonts w:cstheme="minorHAnsi"/>
                <w:szCs w:val="18"/>
              </w:rPr>
            </w:pPr>
            <w:r w:rsidRPr="006311C5">
              <w:rPr>
                <w:rFonts w:cstheme="minorHAnsi"/>
                <w:szCs w:val="18"/>
              </w:rPr>
              <w:t>0.845 (0.613 to 1.166)</w:t>
            </w:r>
          </w:p>
        </w:tc>
        <w:tc>
          <w:tcPr>
            <w:tcW w:w="289" w:type="pct"/>
            <w:tcBorders>
              <w:top w:val="nil"/>
              <w:left w:val="nil"/>
              <w:bottom w:val="single" w:sz="4" w:space="0" w:color="auto"/>
              <w:right w:val="nil"/>
            </w:tcBorders>
            <w:shd w:val="clear" w:color="auto" w:fill="auto"/>
          </w:tcPr>
          <w:p w14:paraId="267FD87B" w14:textId="1F5DA534" w:rsidR="00A145D0" w:rsidRPr="006311C5" w:rsidRDefault="00A145D0" w:rsidP="00224A6B">
            <w:pPr>
              <w:pStyle w:val="Tabletext"/>
              <w:rPr>
                <w:rFonts w:cstheme="minorHAnsi"/>
                <w:szCs w:val="18"/>
              </w:rPr>
            </w:pPr>
            <w:r w:rsidRPr="006311C5">
              <w:rPr>
                <w:rFonts w:cstheme="minorHAnsi"/>
                <w:szCs w:val="18"/>
              </w:rPr>
              <w:t>0.305</w:t>
            </w:r>
          </w:p>
        </w:tc>
        <w:tc>
          <w:tcPr>
            <w:tcW w:w="826" w:type="pct"/>
            <w:tcBorders>
              <w:top w:val="nil"/>
              <w:left w:val="nil"/>
              <w:bottom w:val="single" w:sz="4" w:space="0" w:color="auto"/>
              <w:right w:val="nil"/>
            </w:tcBorders>
            <w:shd w:val="clear" w:color="auto" w:fill="auto"/>
          </w:tcPr>
          <w:p w14:paraId="7A510966" w14:textId="60DB827F" w:rsidR="00A145D0" w:rsidRPr="006311C5" w:rsidRDefault="00A145D0" w:rsidP="00224A6B">
            <w:pPr>
              <w:pStyle w:val="Tabletext"/>
              <w:rPr>
                <w:rFonts w:cstheme="minorHAnsi"/>
                <w:szCs w:val="18"/>
              </w:rPr>
            </w:pPr>
            <w:r w:rsidRPr="006311C5">
              <w:rPr>
                <w:rFonts w:cstheme="minorHAnsi"/>
                <w:szCs w:val="18"/>
              </w:rPr>
              <w:t>0.776 (0.567 to 1.063)</w:t>
            </w:r>
          </w:p>
        </w:tc>
        <w:tc>
          <w:tcPr>
            <w:tcW w:w="289" w:type="pct"/>
            <w:tcBorders>
              <w:top w:val="nil"/>
              <w:left w:val="nil"/>
              <w:bottom w:val="nil"/>
              <w:right w:val="nil"/>
            </w:tcBorders>
            <w:shd w:val="clear" w:color="auto" w:fill="auto"/>
          </w:tcPr>
          <w:p w14:paraId="11E27CBA" w14:textId="29BA886B" w:rsidR="00A145D0" w:rsidRPr="006311C5" w:rsidRDefault="00A145D0" w:rsidP="00224A6B">
            <w:pPr>
              <w:pStyle w:val="Tabletext"/>
              <w:rPr>
                <w:rFonts w:cstheme="minorHAnsi"/>
                <w:szCs w:val="18"/>
              </w:rPr>
            </w:pPr>
            <w:r w:rsidRPr="006311C5">
              <w:rPr>
                <w:rFonts w:cstheme="minorHAnsi"/>
                <w:szCs w:val="18"/>
              </w:rPr>
              <w:t>0.114</w:t>
            </w:r>
          </w:p>
        </w:tc>
      </w:tr>
      <w:tr w:rsidR="00EE735D" w:rsidRPr="006311C5" w14:paraId="5848EC10" w14:textId="77777777" w:rsidTr="009E0FF1">
        <w:trPr>
          <w:jc w:val="center"/>
        </w:trPr>
        <w:tc>
          <w:tcPr>
            <w:tcW w:w="508" w:type="pct"/>
            <w:vMerge/>
            <w:tcBorders>
              <w:left w:val="nil"/>
              <w:right w:val="nil"/>
            </w:tcBorders>
          </w:tcPr>
          <w:p w14:paraId="44A10E26" w14:textId="77777777" w:rsidR="00A145D0" w:rsidRPr="006311C5" w:rsidRDefault="00A145D0" w:rsidP="00224A6B">
            <w:pPr>
              <w:pStyle w:val="Tabletext"/>
              <w:rPr>
                <w:rFonts w:cstheme="minorHAnsi"/>
                <w:szCs w:val="18"/>
              </w:rPr>
            </w:pPr>
          </w:p>
        </w:tc>
        <w:tc>
          <w:tcPr>
            <w:tcW w:w="1506" w:type="pct"/>
            <w:vMerge w:val="restart"/>
            <w:tcBorders>
              <w:left w:val="nil"/>
              <w:right w:val="nil"/>
            </w:tcBorders>
            <w:shd w:val="clear" w:color="auto" w:fill="auto"/>
          </w:tcPr>
          <w:p w14:paraId="71A8AD54" w14:textId="77777777" w:rsidR="00A145D0" w:rsidRPr="006311C5" w:rsidRDefault="00A145D0" w:rsidP="00224A6B">
            <w:pPr>
              <w:pStyle w:val="Tabletext"/>
              <w:rPr>
                <w:rFonts w:cstheme="minorHAnsi"/>
                <w:szCs w:val="18"/>
              </w:rPr>
            </w:pPr>
            <w:r w:rsidRPr="006311C5">
              <w:rPr>
                <w:rFonts w:cstheme="minorHAnsi"/>
                <w:szCs w:val="18"/>
              </w:rPr>
              <w:t>Ethnicity</w:t>
            </w:r>
          </w:p>
        </w:tc>
        <w:tc>
          <w:tcPr>
            <w:tcW w:w="756" w:type="pct"/>
            <w:tcBorders>
              <w:top w:val="single" w:sz="4" w:space="0" w:color="auto"/>
              <w:left w:val="nil"/>
              <w:bottom w:val="nil"/>
              <w:right w:val="nil"/>
            </w:tcBorders>
            <w:shd w:val="clear" w:color="auto" w:fill="auto"/>
          </w:tcPr>
          <w:p w14:paraId="6F0E7470" w14:textId="77777777" w:rsidR="00A145D0" w:rsidRPr="006311C5" w:rsidRDefault="00A145D0" w:rsidP="00224A6B">
            <w:pPr>
              <w:pStyle w:val="Tabletext"/>
              <w:rPr>
                <w:rFonts w:cstheme="minorHAnsi"/>
                <w:szCs w:val="18"/>
              </w:rPr>
            </w:pPr>
            <w:r w:rsidRPr="006311C5">
              <w:rPr>
                <w:rFonts w:cstheme="minorHAnsi"/>
                <w:szCs w:val="18"/>
              </w:rPr>
              <w:t>White</w:t>
            </w:r>
          </w:p>
        </w:tc>
        <w:tc>
          <w:tcPr>
            <w:tcW w:w="826" w:type="pct"/>
            <w:tcBorders>
              <w:top w:val="single" w:sz="4" w:space="0" w:color="auto"/>
              <w:left w:val="nil"/>
              <w:bottom w:val="nil"/>
              <w:right w:val="nil"/>
            </w:tcBorders>
            <w:shd w:val="clear" w:color="auto" w:fill="auto"/>
          </w:tcPr>
          <w:p w14:paraId="29BC9A9F" w14:textId="77777777" w:rsidR="00A145D0" w:rsidRPr="006311C5" w:rsidRDefault="00A145D0" w:rsidP="00224A6B">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43849676" w14:textId="5B29F816" w:rsidR="00A145D0" w:rsidRPr="006311C5" w:rsidRDefault="0029045F" w:rsidP="00224A6B">
            <w:pPr>
              <w:pStyle w:val="Tabletext"/>
              <w:rPr>
                <w:rFonts w:cstheme="minorHAnsi"/>
                <w:szCs w:val="18"/>
              </w:rPr>
            </w:pPr>
            <w:r w:rsidRPr="006311C5">
              <w:rPr>
                <w:rFonts w:cstheme="minorHAnsi"/>
                <w:szCs w:val="18"/>
              </w:rPr>
              <w:t>—</w:t>
            </w:r>
          </w:p>
        </w:tc>
        <w:tc>
          <w:tcPr>
            <w:tcW w:w="826" w:type="pct"/>
            <w:tcBorders>
              <w:top w:val="single" w:sz="4" w:space="0" w:color="auto"/>
              <w:left w:val="nil"/>
              <w:bottom w:val="nil"/>
              <w:right w:val="nil"/>
            </w:tcBorders>
            <w:shd w:val="clear" w:color="auto" w:fill="auto"/>
          </w:tcPr>
          <w:p w14:paraId="760470DE" w14:textId="77777777" w:rsidR="00A145D0" w:rsidRPr="006311C5" w:rsidRDefault="00A145D0" w:rsidP="00224A6B">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236AEE69" w14:textId="77777777" w:rsidR="00A145D0" w:rsidRPr="006311C5" w:rsidRDefault="00A145D0" w:rsidP="00224A6B">
            <w:pPr>
              <w:pStyle w:val="Tabletext"/>
              <w:rPr>
                <w:rFonts w:cstheme="minorHAnsi"/>
                <w:szCs w:val="18"/>
              </w:rPr>
            </w:pPr>
            <w:r w:rsidRPr="006311C5">
              <w:rPr>
                <w:rFonts w:cstheme="minorHAnsi"/>
                <w:szCs w:val="18"/>
              </w:rPr>
              <w:t>-</w:t>
            </w:r>
          </w:p>
        </w:tc>
      </w:tr>
      <w:tr w:rsidR="00EE735D" w:rsidRPr="006311C5" w14:paraId="50DA07A9" w14:textId="77777777" w:rsidTr="009E0FF1">
        <w:trPr>
          <w:jc w:val="center"/>
        </w:trPr>
        <w:tc>
          <w:tcPr>
            <w:tcW w:w="508" w:type="pct"/>
            <w:vMerge/>
            <w:tcBorders>
              <w:left w:val="nil"/>
              <w:right w:val="nil"/>
            </w:tcBorders>
          </w:tcPr>
          <w:p w14:paraId="00950B51" w14:textId="77777777" w:rsidR="00A145D0" w:rsidRPr="006311C5" w:rsidRDefault="00A145D0" w:rsidP="00224A6B">
            <w:pPr>
              <w:pStyle w:val="Tabletext"/>
              <w:rPr>
                <w:rFonts w:cstheme="minorHAnsi"/>
                <w:szCs w:val="18"/>
              </w:rPr>
            </w:pPr>
          </w:p>
        </w:tc>
        <w:tc>
          <w:tcPr>
            <w:tcW w:w="1506" w:type="pct"/>
            <w:vMerge/>
            <w:tcBorders>
              <w:left w:val="nil"/>
              <w:right w:val="nil"/>
            </w:tcBorders>
          </w:tcPr>
          <w:p w14:paraId="70DFCC4F" w14:textId="77777777" w:rsidR="00A145D0" w:rsidRPr="006311C5" w:rsidRDefault="00A145D0" w:rsidP="00224A6B">
            <w:pPr>
              <w:pStyle w:val="Tabletext"/>
              <w:rPr>
                <w:rFonts w:cstheme="minorHAnsi"/>
                <w:szCs w:val="18"/>
              </w:rPr>
            </w:pPr>
          </w:p>
        </w:tc>
        <w:tc>
          <w:tcPr>
            <w:tcW w:w="756" w:type="pct"/>
            <w:tcBorders>
              <w:top w:val="nil"/>
              <w:left w:val="nil"/>
              <w:bottom w:val="single" w:sz="4" w:space="0" w:color="auto"/>
              <w:right w:val="nil"/>
            </w:tcBorders>
            <w:shd w:val="clear" w:color="auto" w:fill="auto"/>
          </w:tcPr>
          <w:p w14:paraId="54ADE125" w14:textId="07A41449" w:rsidR="00A145D0" w:rsidRPr="006311C5" w:rsidRDefault="00A8629F" w:rsidP="00224A6B">
            <w:pPr>
              <w:pStyle w:val="Tabletext"/>
              <w:rPr>
                <w:rFonts w:cstheme="minorHAnsi"/>
                <w:szCs w:val="18"/>
              </w:rPr>
            </w:pPr>
            <w:r w:rsidRPr="006311C5">
              <w:rPr>
                <w:rFonts w:cstheme="minorHAnsi"/>
                <w:szCs w:val="18"/>
              </w:rPr>
              <w:t>Other ethnic groups</w:t>
            </w:r>
          </w:p>
        </w:tc>
        <w:tc>
          <w:tcPr>
            <w:tcW w:w="826" w:type="pct"/>
            <w:tcBorders>
              <w:top w:val="nil"/>
              <w:left w:val="nil"/>
              <w:bottom w:val="single" w:sz="4" w:space="0" w:color="auto"/>
              <w:right w:val="nil"/>
            </w:tcBorders>
            <w:shd w:val="clear" w:color="auto" w:fill="auto"/>
          </w:tcPr>
          <w:p w14:paraId="3471E538" w14:textId="49EE8D4A" w:rsidR="00A145D0" w:rsidRPr="006311C5" w:rsidRDefault="00A145D0" w:rsidP="00224A6B">
            <w:pPr>
              <w:pStyle w:val="Tabletext"/>
              <w:rPr>
                <w:rFonts w:cstheme="minorHAnsi"/>
                <w:szCs w:val="18"/>
              </w:rPr>
            </w:pPr>
            <w:r w:rsidRPr="006311C5">
              <w:rPr>
                <w:rFonts w:cstheme="minorHAnsi"/>
                <w:szCs w:val="18"/>
              </w:rPr>
              <w:t>1.232 (0.738 to 2.056)</w:t>
            </w:r>
          </w:p>
        </w:tc>
        <w:tc>
          <w:tcPr>
            <w:tcW w:w="289" w:type="pct"/>
            <w:tcBorders>
              <w:top w:val="nil"/>
              <w:left w:val="nil"/>
              <w:bottom w:val="single" w:sz="4" w:space="0" w:color="auto"/>
              <w:right w:val="nil"/>
            </w:tcBorders>
            <w:shd w:val="clear" w:color="auto" w:fill="auto"/>
          </w:tcPr>
          <w:p w14:paraId="10736B11" w14:textId="594BB8B0" w:rsidR="00A145D0" w:rsidRPr="006311C5" w:rsidRDefault="00A145D0" w:rsidP="00224A6B">
            <w:pPr>
              <w:pStyle w:val="Tabletext"/>
              <w:rPr>
                <w:rFonts w:cstheme="minorHAnsi"/>
                <w:szCs w:val="18"/>
              </w:rPr>
            </w:pPr>
            <w:r w:rsidRPr="006311C5">
              <w:rPr>
                <w:rFonts w:cstheme="minorHAnsi"/>
                <w:szCs w:val="18"/>
              </w:rPr>
              <w:t>0.425</w:t>
            </w:r>
          </w:p>
        </w:tc>
        <w:tc>
          <w:tcPr>
            <w:tcW w:w="826" w:type="pct"/>
            <w:tcBorders>
              <w:top w:val="nil"/>
              <w:left w:val="nil"/>
              <w:bottom w:val="nil"/>
              <w:right w:val="nil"/>
            </w:tcBorders>
            <w:shd w:val="clear" w:color="auto" w:fill="auto"/>
          </w:tcPr>
          <w:p w14:paraId="79A2E45D" w14:textId="3B82AF4C" w:rsidR="00A145D0" w:rsidRPr="006311C5" w:rsidRDefault="00A145D0" w:rsidP="00224A6B">
            <w:pPr>
              <w:pStyle w:val="Tabletext"/>
              <w:rPr>
                <w:rFonts w:cstheme="minorHAnsi"/>
                <w:szCs w:val="18"/>
              </w:rPr>
            </w:pPr>
            <w:r w:rsidRPr="006311C5">
              <w:rPr>
                <w:rFonts w:cstheme="minorHAnsi"/>
                <w:szCs w:val="18"/>
              </w:rPr>
              <w:t>1.221 (0.752 to 1.981)</w:t>
            </w:r>
          </w:p>
        </w:tc>
        <w:tc>
          <w:tcPr>
            <w:tcW w:w="289" w:type="pct"/>
            <w:tcBorders>
              <w:top w:val="nil"/>
              <w:left w:val="nil"/>
              <w:bottom w:val="nil"/>
              <w:right w:val="nil"/>
            </w:tcBorders>
            <w:shd w:val="clear" w:color="auto" w:fill="auto"/>
          </w:tcPr>
          <w:p w14:paraId="791FB7C5" w14:textId="0D92F61F" w:rsidR="00A145D0" w:rsidRPr="006311C5" w:rsidRDefault="00A145D0" w:rsidP="00224A6B">
            <w:pPr>
              <w:pStyle w:val="Tabletext"/>
              <w:rPr>
                <w:rFonts w:cstheme="minorHAnsi"/>
                <w:szCs w:val="18"/>
              </w:rPr>
            </w:pPr>
            <w:r w:rsidRPr="006311C5">
              <w:rPr>
                <w:rFonts w:cstheme="minorHAnsi"/>
                <w:szCs w:val="18"/>
              </w:rPr>
              <w:t>0.420</w:t>
            </w:r>
          </w:p>
        </w:tc>
      </w:tr>
      <w:tr w:rsidR="00EE735D" w:rsidRPr="006311C5" w14:paraId="2E7B7952" w14:textId="77777777" w:rsidTr="009E0FF1">
        <w:trPr>
          <w:jc w:val="center"/>
        </w:trPr>
        <w:tc>
          <w:tcPr>
            <w:tcW w:w="508" w:type="pct"/>
            <w:vMerge/>
            <w:tcBorders>
              <w:left w:val="nil"/>
              <w:right w:val="nil"/>
            </w:tcBorders>
          </w:tcPr>
          <w:p w14:paraId="5764CB6A" w14:textId="77777777" w:rsidR="00A145D0" w:rsidRPr="006311C5" w:rsidRDefault="00A145D0" w:rsidP="00224A6B">
            <w:pPr>
              <w:pStyle w:val="Tabletext"/>
              <w:rPr>
                <w:rFonts w:cstheme="minorHAnsi"/>
                <w:szCs w:val="18"/>
              </w:rPr>
            </w:pPr>
          </w:p>
        </w:tc>
        <w:tc>
          <w:tcPr>
            <w:tcW w:w="1506" w:type="pct"/>
            <w:vMerge w:val="restart"/>
            <w:tcBorders>
              <w:left w:val="nil"/>
              <w:right w:val="nil"/>
            </w:tcBorders>
            <w:shd w:val="clear" w:color="auto" w:fill="auto"/>
          </w:tcPr>
          <w:p w14:paraId="50DC865C" w14:textId="761E3644" w:rsidR="00A145D0" w:rsidRPr="006311C5" w:rsidRDefault="00A145D0" w:rsidP="00224A6B">
            <w:pPr>
              <w:pStyle w:val="Tabletext"/>
              <w:rPr>
                <w:rFonts w:cstheme="minorHAnsi"/>
                <w:szCs w:val="18"/>
              </w:rPr>
            </w:pPr>
            <w:r w:rsidRPr="006311C5">
              <w:rPr>
                <w:rFonts w:cstheme="minorHAnsi"/>
                <w:szCs w:val="18"/>
              </w:rPr>
              <w:t>At risk for COVID-19</w:t>
            </w:r>
          </w:p>
        </w:tc>
        <w:tc>
          <w:tcPr>
            <w:tcW w:w="756" w:type="pct"/>
            <w:tcBorders>
              <w:left w:val="nil"/>
              <w:bottom w:val="nil"/>
              <w:right w:val="nil"/>
            </w:tcBorders>
            <w:shd w:val="clear" w:color="auto" w:fill="auto"/>
          </w:tcPr>
          <w:p w14:paraId="371B63FE" w14:textId="0014D880" w:rsidR="00A145D0" w:rsidRPr="006311C5" w:rsidRDefault="00A145D0" w:rsidP="00224A6B">
            <w:pPr>
              <w:pStyle w:val="Tabletext"/>
              <w:rPr>
                <w:rFonts w:cstheme="minorHAnsi"/>
                <w:szCs w:val="18"/>
              </w:rPr>
            </w:pPr>
            <w:r w:rsidRPr="006311C5">
              <w:rPr>
                <w:rFonts w:cstheme="minorHAnsi"/>
                <w:szCs w:val="18"/>
              </w:rPr>
              <w:t>No</w:t>
            </w:r>
          </w:p>
        </w:tc>
        <w:tc>
          <w:tcPr>
            <w:tcW w:w="826" w:type="pct"/>
            <w:tcBorders>
              <w:top w:val="single" w:sz="4" w:space="0" w:color="auto"/>
              <w:left w:val="nil"/>
              <w:bottom w:val="nil"/>
              <w:right w:val="nil"/>
            </w:tcBorders>
            <w:shd w:val="clear" w:color="auto" w:fill="auto"/>
          </w:tcPr>
          <w:p w14:paraId="17F17C9A" w14:textId="15E1179E" w:rsidR="00A145D0" w:rsidRPr="006311C5" w:rsidRDefault="00A145D0" w:rsidP="00224A6B">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2645EDA6" w14:textId="3337A1CF" w:rsidR="00A145D0" w:rsidRPr="006311C5" w:rsidRDefault="00467177" w:rsidP="00224A6B">
            <w:pPr>
              <w:pStyle w:val="Tabletext"/>
              <w:rPr>
                <w:rFonts w:cstheme="minorHAnsi"/>
                <w:szCs w:val="18"/>
              </w:rPr>
            </w:pPr>
            <w:r w:rsidRPr="006311C5">
              <w:rPr>
                <w:rFonts w:cstheme="minorHAnsi"/>
                <w:szCs w:val="18"/>
              </w:rPr>
              <w:t>—</w:t>
            </w:r>
          </w:p>
        </w:tc>
        <w:tc>
          <w:tcPr>
            <w:tcW w:w="826" w:type="pct"/>
            <w:tcBorders>
              <w:top w:val="single" w:sz="4" w:space="0" w:color="auto"/>
              <w:left w:val="nil"/>
              <w:bottom w:val="nil"/>
              <w:right w:val="nil"/>
            </w:tcBorders>
            <w:shd w:val="clear" w:color="auto" w:fill="auto"/>
          </w:tcPr>
          <w:p w14:paraId="771063AD" w14:textId="1CC5F1C7" w:rsidR="00A145D0" w:rsidRPr="006311C5" w:rsidRDefault="00A145D0" w:rsidP="00224A6B">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4ACCD105" w14:textId="70D9323C" w:rsidR="00A145D0" w:rsidRPr="006311C5" w:rsidRDefault="00A145D0" w:rsidP="00224A6B">
            <w:pPr>
              <w:pStyle w:val="Tabletext"/>
              <w:rPr>
                <w:rFonts w:cstheme="minorHAnsi"/>
                <w:szCs w:val="18"/>
              </w:rPr>
            </w:pPr>
            <w:r w:rsidRPr="006311C5">
              <w:rPr>
                <w:rFonts w:cstheme="minorHAnsi"/>
                <w:szCs w:val="18"/>
              </w:rPr>
              <w:t>-</w:t>
            </w:r>
          </w:p>
        </w:tc>
      </w:tr>
      <w:tr w:rsidR="00EE735D" w:rsidRPr="006311C5" w14:paraId="6D792915" w14:textId="77777777" w:rsidTr="009E0FF1">
        <w:trPr>
          <w:jc w:val="center"/>
        </w:trPr>
        <w:tc>
          <w:tcPr>
            <w:tcW w:w="508" w:type="pct"/>
            <w:vMerge/>
            <w:tcBorders>
              <w:left w:val="nil"/>
              <w:right w:val="nil"/>
            </w:tcBorders>
          </w:tcPr>
          <w:p w14:paraId="51EA03B9" w14:textId="77777777" w:rsidR="00A145D0" w:rsidRPr="006311C5" w:rsidRDefault="00A145D0" w:rsidP="00224A6B">
            <w:pPr>
              <w:pStyle w:val="Tabletext"/>
              <w:rPr>
                <w:rFonts w:cstheme="minorHAnsi"/>
                <w:szCs w:val="18"/>
              </w:rPr>
            </w:pPr>
          </w:p>
        </w:tc>
        <w:tc>
          <w:tcPr>
            <w:tcW w:w="1506" w:type="pct"/>
            <w:vMerge/>
            <w:tcBorders>
              <w:left w:val="nil"/>
              <w:right w:val="nil"/>
            </w:tcBorders>
          </w:tcPr>
          <w:p w14:paraId="199DAE3F" w14:textId="77777777" w:rsidR="00A145D0" w:rsidRPr="006311C5" w:rsidRDefault="00A145D0" w:rsidP="00224A6B">
            <w:pPr>
              <w:pStyle w:val="Tabletext"/>
              <w:rPr>
                <w:rFonts w:cstheme="minorHAnsi"/>
                <w:szCs w:val="18"/>
              </w:rPr>
            </w:pPr>
          </w:p>
        </w:tc>
        <w:tc>
          <w:tcPr>
            <w:tcW w:w="756" w:type="pct"/>
            <w:tcBorders>
              <w:top w:val="nil"/>
              <w:left w:val="nil"/>
              <w:bottom w:val="single" w:sz="4" w:space="0" w:color="auto"/>
              <w:right w:val="nil"/>
            </w:tcBorders>
            <w:shd w:val="clear" w:color="auto" w:fill="auto"/>
          </w:tcPr>
          <w:p w14:paraId="513258CA" w14:textId="57692AEC" w:rsidR="00A145D0" w:rsidRPr="006311C5" w:rsidRDefault="00A145D0" w:rsidP="00224A6B">
            <w:pPr>
              <w:pStyle w:val="Tabletext"/>
              <w:rPr>
                <w:rFonts w:cstheme="minorHAnsi"/>
                <w:szCs w:val="18"/>
              </w:rPr>
            </w:pPr>
            <w:r w:rsidRPr="006311C5">
              <w:rPr>
                <w:rFonts w:cstheme="minorHAnsi"/>
                <w:szCs w:val="18"/>
              </w:rPr>
              <w:t>Yes</w:t>
            </w:r>
          </w:p>
        </w:tc>
        <w:tc>
          <w:tcPr>
            <w:tcW w:w="826" w:type="pct"/>
            <w:tcBorders>
              <w:top w:val="nil"/>
              <w:left w:val="nil"/>
              <w:bottom w:val="single" w:sz="4" w:space="0" w:color="auto"/>
              <w:right w:val="nil"/>
            </w:tcBorders>
            <w:shd w:val="clear" w:color="auto" w:fill="auto"/>
          </w:tcPr>
          <w:p w14:paraId="54261328" w14:textId="69A8979B" w:rsidR="00A145D0" w:rsidRPr="006311C5" w:rsidRDefault="00A145D0" w:rsidP="00224A6B">
            <w:pPr>
              <w:pStyle w:val="Tabletext"/>
              <w:rPr>
                <w:rFonts w:cstheme="minorHAnsi"/>
                <w:szCs w:val="18"/>
              </w:rPr>
            </w:pPr>
            <w:r w:rsidRPr="006311C5">
              <w:rPr>
                <w:rFonts w:cstheme="minorHAnsi"/>
                <w:szCs w:val="18"/>
              </w:rPr>
              <w:t>1.291 (0.851 to 1.960)</w:t>
            </w:r>
          </w:p>
        </w:tc>
        <w:tc>
          <w:tcPr>
            <w:tcW w:w="289" w:type="pct"/>
            <w:tcBorders>
              <w:top w:val="nil"/>
              <w:left w:val="nil"/>
              <w:bottom w:val="single" w:sz="4" w:space="0" w:color="auto"/>
              <w:right w:val="nil"/>
            </w:tcBorders>
            <w:shd w:val="clear" w:color="auto" w:fill="auto"/>
          </w:tcPr>
          <w:p w14:paraId="53B9D4F3" w14:textId="48561AEC" w:rsidR="00A145D0" w:rsidRPr="006311C5" w:rsidRDefault="00A145D0" w:rsidP="00224A6B">
            <w:pPr>
              <w:pStyle w:val="Tabletext"/>
              <w:rPr>
                <w:rFonts w:cstheme="minorHAnsi"/>
                <w:szCs w:val="18"/>
              </w:rPr>
            </w:pPr>
            <w:r w:rsidRPr="006311C5">
              <w:rPr>
                <w:rFonts w:cstheme="minorHAnsi"/>
                <w:szCs w:val="18"/>
              </w:rPr>
              <w:t>0.229</w:t>
            </w:r>
          </w:p>
        </w:tc>
        <w:tc>
          <w:tcPr>
            <w:tcW w:w="826" w:type="pct"/>
            <w:tcBorders>
              <w:top w:val="nil"/>
              <w:left w:val="nil"/>
              <w:bottom w:val="nil"/>
              <w:right w:val="nil"/>
            </w:tcBorders>
            <w:shd w:val="clear" w:color="auto" w:fill="auto"/>
          </w:tcPr>
          <w:p w14:paraId="7B776AD9" w14:textId="3480A57D" w:rsidR="00A145D0" w:rsidRPr="006311C5" w:rsidRDefault="00A145D0" w:rsidP="00224A6B">
            <w:pPr>
              <w:pStyle w:val="Tabletext"/>
              <w:rPr>
                <w:rFonts w:cstheme="minorHAnsi"/>
                <w:szCs w:val="18"/>
              </w:rPr>
            </w:pPr>
            <w:r w:rsidRPr="006311C5">
              <w:rPr>
                <w:rFonts w:cstheme="minorHAnsi"/>
                <w:szCs w:val="18"/>
              </w:rPr>
              <w:t>1.737 (1.144 to 2.635)</w:t>
            </w:r>
          </w:p>
        </w:tc>
        <w:tc>
          <w:tcPr>
            <w:tcW w:w="289" w:type="pct"/>
            <w:tcBorders>
              <w:top w:val="nil"/>
              <w:left w:val="nil"/>
              <w:bottom w:val="nil"/>
              <w:right w:val="nil"/>
            </w:tcBorders>
            <w:shd w:val="clear" w:color="auto" w:fill="auto"/>
          </w:tcPr>
          <w:p w14:paraId="2F4B0E87" w14:textId="06EB241F" w:rsidR="00A145D0" w:rsidRPr="006311C5" w:rsidRDefault="00A145D0" w:rsidP="00224A6B">
            <w:pPr>
              <w:pStyle w:val="Tabletext"/>
              <w:rPr>
                <w:rFonts w:cstheme="minorHAnsi"/>
                <w:szCs w:val="18"/>
              </w:rPr>
            </w:pPr>
            <w:r w:rsidRPr="006311C5">
              <w:rPr>
                <w:rFonts w:cstheme="minorHAnsi"/>
                <w:szCs w:val="18"/>
              </w:rPr>
              <w:t>0.010*</w:t>
            </w:r>
          </w:p>
        </w:tc>
      </w:tr>
      <w:tr w:rsidR="00EE735D" w:rsidRPr="006311C5" w14:paraId="7144EFFC" w14:textId="77777777" w:rsidTr="009E0FF1">
        <w:trPr>
          <w:jc w:val="center"/>
        </w:trPr>
        <w:tc>
          <w:tcPr>
            <w:tcW w:w="508" w:type="pct"/>
            <w:vMerge/>
            <w:tcBorders>
              <w:left w:val="nil"/>
              <w:right w:val="nil"/>
            </w:tcBorders>
          </w:tcPr>
          <w:p w14:paraId="5C29F4E0" w14:textId="77777777" w:rsidR="00A145D0" w:rsidRPr="006311C5" w:rsidRDefault="00A145D0" w:rsidP="00224A6B">
            <w:pPr>
              <w:pStyle w:val="Tabletext"/>
              <w:rPr>
                <w:rFonts w:cstheme="minorHAnsi"/>
                <w:szCs w:val="18"/>
              </w:rPr>
            </w:pPr>
          </w:p>
        </w:tc>
        <w:tc>
          <w:tcPr>
            <w:tcW w:w="1506" w:type="pct"/>
            <w:vMerge w:val="restart"/>
            <w:tcBorders>
              <w:left w:val="nil"/>
              <w:right w:val="nil"/>
            </w:tcBorders>
            <w:shd w:val="clear" w:color="auto" w:fill="auto"/>
          </w:tcPr>
          <w:p w14:paraId="50A42518" w14:textId="3C016185" w:rsidR="00A145D0" w:rsidRPr="006311C5" w:rsidRDefault="00A145D0" w:rsidP="00224A6B">
            <w:pPr>
              <w:pStyle w:val="Tabletext"/>
              <w:rPr>
                <w:rFonts w:cstheme="minorHAnsi"/>
                <w:szCs w:val="18"/>
              </w:rPr>
            </w:pPr>
            <w:r w:rsidRPr="006311C5">
              <w:rPr>
                <w:rFonts w:cstheme="minorHAnsi"/>
                <w:szCs w:val="18"/>
              </w:rPr>
              <w:t>Think previously or currently had COVID-19</w:t>
            </w:r>
          </w:p>
        </w:tc>
        <w:tc>
          <w:tcPr>
            <w:tcW w:w="756" w:type="pct"/>
            <w:tcBorders>
              <w:left w:val="nil"/>
              <w:bottom w:val="nil"/>
              <w:right w:val="nil"/>
            </w:tcBorders>
            <w:shd w:val="clear" w:color="auto" w:fill="auto"/>
          </w:tcPr>
          <w:p w14:paraId="442FDCE4" w14:textId="29555E98" w:rsidR="00A145D0" w:rsidRPr="006311C5" w:rsidRDefault="00A145D0" w:rsidP="00224A6B">
            <w:pPr>
              <w:pStyle w:val="Tabletext"/>
              <w:rPr>
                <w:rFonts w:cstheme="minorHAnsi"/>
                <w:szCs w:val="18"/>
              </w:rPr>
            </w:pPr>
            <w:r w:rsidRPr="006311C5">
              <w:rPr>
                <w:rFonts w:cstheme="minorHAnsi"/>
                <w:szCs w:val="18"/>
              </w:rPr>
              <w:t>No</w:t>
            </w:r>
          </w:p>
        </w:tc>
        <w:tc>
          <w:tcPr>
            <w:tcW w:w="826" w:type="pct"/>
            <w:tcBorders>
              <w:top w:val="single" w:sz="4" w:space="0" w:color="auto"/>
              <w:left w:val="nil"/>
              <w:bottom w:val="nil"/>
              <w:right w:val="nil"/>
            </w:tcBorders>
            <w:shd w:val="clear" w:color="auto" w:fill="auto"/>
          </w:tcPr>
          <w:p w14:paraId="32398359" w14:textId="23729A9B" w:rsidR="00A145D0" w:rsidRPr="006311C5" w:rsidRDefault="00A145D0" w:rsidP="00224A6B">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6370BFAD" w14:textId="09DA3D74" w:rsidR="00A145D0" w:rsidRPr="006311C5" w:rsidRDefault="00467177" w:rsidP="00224A6B">
            <w:pPr>
              <w:pStyle w:val="Tabletext"/>
              <w:rPr>
                <w:rFonts w:cstheme="minorHAnsi"/>
                <w:szCs w:val="18"/>
              </w:rPr>
            </w:pPr>
            <w:r w:rsidRPr="006311C5">
              <w:rPr>
                <w:rFonts w:cstheme="minorHAnsi"/>
                <w:szCs w:val="18"/>
              </w:rPr>
              <w:t>—</w:t>
            </w:r>
          </w:p>
        </w:tc>
        <w:tc>
          <w:tcPr>
            <w:tcW w:w="826" w:type="pct"/>
            <w:tcBorders>
              <w:top w:val="single" w:sz="4" w:space="0" w:color="auto"/>
              <w:left w:val="nil"/>
              <w:bottom w:val="nil"/>
              <w:right w:val="nil"/>
            </w:tcBorders>
            <w:shd w:val="clear" w:color="auto" w:fill="auto"/>
          </w:tcPr>
          <w:p w14:paraId="52702B42" w14:textId="5D75B905" w:rsidR="00A145D0" w:rsidRPr="006311C5" w:rsidRDefault="00A145D0" w:rsidP="00224A6B">
            <w:pPr>
              <w:pStyle w:val="Tabletext"/>
              <w:rPr>
                <w:rFonts w:cstheme="minorHAnsi"/>
                <w:szCs w:val="18"/>
              </w:rPr>
            </w:pPr>
            <w:r w:rsidRPr="006311C5">
              <w:rPr>
                <w:rFonts w:cstheme="minorHAnsi"/>
                <w:szCs w:val="18"/>
              </w:rPr>
              <w:t>Reference</w:t>
            </w:r>
          </w:p>
        </w:tc>
        <w:tc>
          <w:tcPr>
            <w:tcW w:w="289" w:type="pct"/>
            <w:tcBorders>
              <w:top w:val="single" w:sz="4" w:space="0" w:color="auto"/>
              <w:left w:val="nil"/>
              <w:bottom w:val="nil"/>
              <w:right w:val="nil"/>
            </w:tcBorders>
            <w:shd w:val="clear" w:color="auto" w:fill="auto"/>
          </w:tcPr>
          <w:p w14:paraId="34385C98" w14:textId="0847ECEE" w:rsidR="00A145D0" w:rsidRPr="006311C5" w:rsidRDefault="00A145D0" w:rsidP="00224A6B">
            <w:pPr>
              <w:pStyle w:val="Tabletext"/>
              <w:rPr>
                <w:rFonts w:cstheme="minorHAnsi"/>
                <w:szCs w:val="18"/>
              </w:rPr>
            </w:pPr>
            <w:r w:rsidRPr="006311C5">
              <w:rPr>
                <w:rFonts w:cstheme="minorHAnsi"/>
                <w:szCs w:val="18"/>
              </w:rPr>
              <w:t>-</w:t>
            </w:r>
          </w:p>
        </w:tc>
      </w:tr>
      <w:tr w:rsidR="00EE735D" w:rsidRPr="006311C5" w14:paraId="792A1441" w14:textId="77777777" w:rsidTr="009E0FF1">
        <w:trPr>
          <w:jc w:val="center"/>
        </w:trPr>
        <w:tc>
          <w:tcPr>
            <w:tcW w:w="508" w:type="pct"/>
            <w:vMerge/>
            <w:tcBorders>
              <w:left w:val="nil"/>
              <w:right w:val="nil"/>
            </w:tcBorders>
          </w:tcPr>
          <w:p w14:paraId="7CB77C4C" w14:textId="77777777" w:rsidR="00A145D0" w:rsidRPr="006311C5" w:rsidRDefault="00A145D0" w:rsidP="00224A6B">
            <w:pPr>
              <w:pStyle w:val="Tabletext"/>
              <w:rPr>
                <w:rFonts w:cstheme="minorHAnsi"/>
                <w:szCs w:val="18"/>
              </w:rPr>
            </w:pPr>
          </w:p>
        </w:tc>
        <w:tc>
          <w:tcPr>
            <w:tcW w:w="1506" w:type="pct"/>
            <w:vMerge/>
            <w:tcBorders>
              <w:left w:val="nil"/>
              <w:right w:val="nil"/>
            </w:tcBorders>
          </w:tcPr>
          <w:p w14:paraId="2628633A" w14:textId="77777777" w:rsidR="00A145D0" w:rsidRPr="006311C5" w:rsidRDefault="00A145D0" w:rsidP="00224A6B">
            <w:pPr>
              <w:pStyle w:val="Tabletext"/>
              <w:rPr>
                <w:rFonts w:cstheme="minorHAnsi"/>
                <w:szCs w:val="18"/>
              </w:rPr>
            </w:pPr>
          </w:p>
        </w:tc>
        <w:tc>
          <w:tcPr>
            <w:tcW w:w="756" w:type="pct"/>
            <w:tcBorders>
              <w:top w:val="nil"/>
              <w:left w:val="nil"/>
              <w:bottom w:val="single" w:sz="4" w:space="0" w:color="auto"/>
              <w:right w:val="nil"/>
            </w:tcBorders>
            <w:shd w:val="clear" w:color="auto" w:fill="auto"/>
          </w:tcPr>
          <w:p w14:paraId="76736608" w14:textId="4B1AA6C3" w:rsidR="00A145D0" w:rsidRPr="006311C5" w:rsidRDefault="00A145D0" w:rsidP="00224A6B">
            <w:pPr>
              <w:pStyle w:val="Tabletext"/>
              <w:rPr>
                <w:rFonts w:cstheme="minorHAnsi"/>
                <w:szCs w:val="18"/>
              </w:rPr>
            </w:pPr>
            <w:r w:rsidRPr="006311C5">
              <w:rPr>
                <w:rFonts w:cstheme="minorHAnsi"/>
                <w:szCs w:val="18"/>
              </w:rPr>
              <w:t>Yes</w:t>
            </w:r>
          </w:p>
        </w:tc>
        <w:tc>
          <w:tcPr>
            <w:tcW w:w="826" w:type="pct"/>
            <w:tcBorders>
              <w:top w:val="nil"/>
              <w:left w:val="nil"/>
              <w:bottom w:val="single" w:sz="4" w:space="0" w:color="auto"/>
              <w:right w:val="nil"/>
            </w:tcBorders>
            <w:shd w:val="clear" w:color="auto" w:fill="auto"/>
          </w:tcPr>
          <w:p w14:paraId="18190177" w14:textId="1A8456B8" w:rsidR="00A145D0" w:rsidRPr="006311C5" w:rsidRDefault="00A145D0" w:rsidP="00224A6B">
            <w:pPr>
              <w:pStyle w:val="Tabletext"/>
              <w:rPr>
                <w:rFonts w:cstheme="minorHAnsi"/>
                <w:szCs w:val="18"/>
              </w:rPr>
            </w:pPr>
            <w:r w:rsidRPr="006311C5">
              <w:rPr>
                <w:rFonts w:cstheme="minorHAnsi"/>
                <w:szCs w:val="18"/>
              </w:rPr>
              <w:t>1.234 (0.781 to 1.950)</w:t>
            </w:r>
          </w:p>
        </w:tc>
        <w:tc>
          <w:tcPr>
            <w:tcW w:w="289" w:type="pct"/>
            <w:tcBorders>
              <w:top w:val="nil"/>
              <w:left w:val="nil"/>
              <w:bottom w:val="single" w:sz="4" w:space="0" w:color="auto"/>
              <w:right w:val="nil"/>
            </w:tcBorders>
            <w:shd w:val="clear" w:color="auto" w:fill="auto"/>
          </w:tcPr>
          <w:p w14:paraId="1259FB70" w14:textId="444C4798" w:rsidR="00A145D0" w:rsidRPr="006311C5" w:rsidRDefault="00A145D0" w:rsidP="00224A6B">
            <w:pPr>
              <w:pStyle w:val="Tabletext"/>
              <w:rPr>
                <w:rFonts w:cstheme="minorHAnsi"/>
                <w:szCs w:val="18"/>
              </w:rPr>
            </w:pPr>
            <w:r w:rsidRPr="006311C5">
              <w:rPr>
                <w:rFonts w:cstheme="minorHAnsi"/>
                <w:szCs w:val="18"/>
              </w:rPr>
              <w:t>0.368</w:t>
            </w:r>
          </w:p>
        </w:tc>
        <w:tc>
          <w:tcPr>
            <w:tcW w:w="826" w:type="pct"/>
            <w:tcBorders>
              <w:top w:val="nil"/>
              <w:left w:val="nil"/>
              <w:bottom w:val="nil"/>
              <w:right w:val="nil"/>
            </w:tcBorders>
            <w:shd w:val="clear" w:color="auto" w:fill="auto"/>
          </w:tcPr>
          <w:p w14:paraId="7A05FAEF" w14:textId="52AC23E9" w:rsidR="00A145D0" w:rsidRPr="006311C5" w:rsidRDefault="00A145D0" w:rsidP="00224A6B">
            <w:pPr>
              <w:pStyle w:val="Tabletext"/>
              <w:rPr>
                <w:rFonts w:cstheme="minorHAnsi"/>
                <w:szCs w:val="18"/>
              </w:rPr>
            </w:pPr>
            <w:r w:rsidRPr="006311C5">
              <w:rPr>
                <w:rFonts w:cstheme="minorHAnsi"/>
                <w:szCs w:val="18"/>
              </w:rPr>
              <w:t>1.341 (0.865 to 2.080)</w:t>
            </w:r>
          </w:p>
        </w:tc>
        <w:tc>
          <w:tcPr>
            <w:tcW w:w="289" w:type="pct"/>
            <w:tcBorders>
              <w:top w:val="nil"/>
              <w:left w:val="nil"/>
              <w:bottom w:val="nil"/>
              <w:right w:val="nil"/>
            </w:tcBorders>
            <w:shd w:val="clear" w:color="auto" w:fill="auto"/>
          </w:tcPr>
          <w:p w14:paraId="5278A3A0" w14:textId="07D9C800" w:rsidR="00A145D0" w:rsidRPr="006311C5" w:rsidRDefault="00A145D0" w:rsidP="00224A6B">
            <w:pPr>
              <w:pStyle w:val="Tabletext"/>
              <w:rPr>
                <w:rFonts w:cstheme="minorHAnsi"/>
                <w:szCs w:val="18"/>
              </w:rPr>
            </w:pPr>
            <w:r w:rsidRPr="006311C5">
              <w:rPr>
                <w:rFonts w:cstheme="minorHAnsi"/>
                <w:szCs w:val="18"/>
              </w:rPr>
              <w:t>0.190</w:t>
            </w:r>
          </w:p>
        </w:tc>
      </w:tr>
      <w:tr w:rsidR="00EE735D" w:rsidRPr="006311C5" w14:paraId="41628BD0" w14:textId="77777777" w:rsidTr="009E0FF1">
        <w:trPr>
          <w:jc w:val="center"/>
        </w:trPr>
        <w:tc>
          <w:tcPr>
            <w:tcW w:w="508" w:type="pct"/>
            <w:vMerge/>
            <w:tcBorders>
              <w:left w:val="nil"/>
              <w:right w:val="nil"/>
            </w:tcBorders>
          </w:tcPr>
          <w:p w14:paraId="1F1F793A" w14:textId="77777777" w:rsidR="00A145D0" w:rsidRPr="006311C5" w:rsidRDefault="00A145D0" w:rsidP="00224A6B">
            <w:pPr>
              <w:pStyle w:val="Tabletext"/>
              <w:rPr>
                <w:rFonts w:cstheme="minorHAnsi"/>
                <w:szCs w:val="18"/>
              </w:rPr>
            </w:pPr>
          </w:p>
        </w:tc>
        <w:tc>
          <w:tcPr>
            <w:tcW w:w="1506" w:type="pct"/>
            <w:vMerge w:val="restart"/>
            <w:tcBorders>
              <w:top w:val="single" w:sz="4" w:space="0" w:color="auto"/>
              <w:left w:val="nil"/>
              <w:bottom w:val="single" w:sz="12" w:space="0" w:color="000000" w:themeColor="text1"/>
              <w:right w:val="nil"/>
            </w:tcBorders>
            <w:shd w:val="clear" w:color="auto" w:fill="auto"/>
          </w:tcPr>
          <w:p w14:paraId="157A78B8" w14:textId="776BD652" w:rsidR="00A145D0" w:rsidRPr="006311C5" w:rsidRDefault="00A145D0" w:rsidP="00224A6B">
            <w:pPr>
              <w:pStyle w:val="Tabletext"/>
              <w:rPr>
                <w:rFonts w:cstheme="minorHAnsi"/>
                <w:szCs w:val="18"/>
              </w:rPr>
            </w:pPr>
            <w:r w:rsidRPr="006311C5">
              <w:rPr>
                <w:rFonts w:cstheme="minorHAnsi"/>
                <w:szCs w:val="18"/>
              </w:rPr>
              <w:t>Vaccine brand</w:t>
            </w:r>
          </w:p>
        </w:tc>
        <w:tc>
          <w:tcPr>
            <w:tcW w:w="756" w:type="pct"/>
            <w:tcBorders>
              <w:top w:val="single" w:sz="4" w:space="0" w:color="auto"/>
              <w:left w:val="nil"/>
              <w:bottom w:val="nil"/>
              <w:right w:val="nil"/>
            </w:tcBorders>
            <w:shd w:val="clear" w:color="auto" w:fill="auto"/>
          </w:tcPr>
          <w:p w14:paraId="1675EBBC" w14:textId="49B7654A" w:rsidR="00A145D0" w:rsidRPr="006311C5" w:rsidRDefault="00A145D0" w:rsidP="00224A6B">
            <w:pPr>
              <w:pStyle w:val="Tabletext"/>
              <w:rPr>
                <w:rFonts w:cstheme="minorHAnsi"/>
                <w:szCs w:val="18"/>
              </w:rPr>
            </w:pPr>
          </w:p>
        </w:tc>
        <w:tc>
          <w:tcPr>
            <w:tcW w:w="826" w:type="pct"/>
            <w:tcBorders>
              <w:top w:val="single" w:sz="4" w:space="0" w:color="auto"/>
              <w:left w:val="nil"/>
              <w:bottom w:val="nil"/>
              <w:right w:val="nil"/>
            </w:tcBorders>
            <w:shd w:val="clear" w:color="auto" w:fill="auto"/>
          </w:tcPr>
          <w:p w14:paraId="401CB77F" w14:textId="1AB26500" w:rsidR="00A145D0" w:rsidRPr="006311C5" w:rsidRDefault="00A145D0" w:rsidP="00224A6B">
            <w:pPr>
              <w:pStyle w:val="Tabletext"/>
              <w:rPr>
                <w:rFonts w:cstheme="minorHAnsi"/>
                <w:szCs w:val="18"/>
              </w:rPr>
            </w:pPr>
          </w:p>
        </w:tc>
        <w:tc>
          <w:tcPr>
            <w:tcW w:w="289" w:type="pct"/>
            <w:tcBorders>
              <w:top w:val="single" w:sz="4" w:space="0" w:color="auto"/>
              <w:left w:val="nil"/>
              <w:bottom w:val="nil"/>
              <w:right w:val="nil"/>
            </w:tcBorders>
            <w:shd w:val="clear" w:color="auto" w:fill="auto"/>
          </w:tcPr>
          <w:p w14:paraId="28B864B2" w14:textId="296F42C5" w:rsidR="00A145D0" w:rsidRPr="006311C5" w:rsidRDefault="00A145D0" w:rsidP="00224A6B">
            <w:pPr>
              <w:pStyle w:val="Tabletext"/>
              <w:rPr>
                <w:rFonts w:cstheme="minorHAnsi"/>
                <w:szCs w:val="18"/>
              </w:rPr>
            </w:pPr>
            <w:r w:rsidRPr="006311C5">
              <w:rPr>
                <w:rFonts w:cstheme="minorHAnsi"/>
                <w:szCs w:val="18"/>
              </w:rPr>
              <w:t>0.007*</w:t>
            </w:r>
          </w:p>
        </w:tc>
        <w:tc>
          <w:tcPr>
            <w:tcW w:w="826" w:type="pct"/>
            <w:tcBorders>
              <w:top w:val="single" w:sz="4" w:space="0" w:color="auto"/>
              <w:left w:val="nil"/>
              <w:bottom w:val="nil"/>
              <w:right w:val="nil"/>
            </w:tcBorders>
            <w:shd w:val="clear" w:color="auto" w:fill="auto"/>
          </w:tcPr>
          <w:p w14:paraId="582CA15E" w14:textId="78426BE5" w:rsidR="00A145D0" w:rsidRPr="006311C5" w:rsidRDefault="00A145D0" w:rsidP="00224A6B">
            <w:pPr>
              <w:pStyle w:val="Tabletext"/>
              <w:rPr>
                <w:rFonts w:cstheme="minorHAnsi"/>
                <w:szCs w:val="18"/>
              </w:rPr>
            </w:pPr>
          </w:p>
        </w:tc>
        <w:tc>
          <w:tcPr>
            <w:tcW w:w="289" w:type="pct"/>
            <w:tcBorders>
              <w:top w:val="single" w:sz="4" w:space="0" w:color="auto"/>
              <w:left w:val="nil"/>
              <w:bottom w:val="nil"/>
              <w:right w:val="nil"/>
            </w:tcBorders>
            <w:shd w:val="clear" w:color="auto" w:fill="auto"/>
          </w:tcPr>
          <w:p w14:paraId="433773CE" w14:textId="2C614D32" w:rsidR="00A145D0" w:rsidRPr="006311C5" w:rsidRDefault="00A145D0" w:rsidP="00224A6B">
            <w:pPr>
              <w:pStyle w:val="Tabletext"/>
              <w:rPr>
                <w:rFonts w:cstheme="minorHAnsi"/>
                <w:szCs w:val="18"/>
              </w:rPr>
            </w:pPr>
            <w:r w:rsidRPr="006311C5">
              <w:rPr>
                <w:rFonts w:cstheme="minorHAnsi"/>
                <w:szCs w:val="18"/>
              </w:rPr>
              <w:t>&lt;0.001*</w:t>
            </w:r>
          </w:p>
        </w:tc>
      </w:tr>
      <w:tr w:rsidR="00EE735D" w:rsidRPr="006311C5" w14:paraId="25E1A533" w14:textId="77777777" w:rsidTr="009E0FF1">
        <w:trPr>
          <w:jc w:val="center"/>
        </w:trPr>
        <w:tc>
          <w:tcPr>
            <w:tcW w:w="508" w:type="pct"/>
            <w:vMerge/>
            <w:tcBorders>
              <w:left w:val="nil"/>
              <w:right w:val="nil"/>
            </w:tcBorders>
          </w:tcPr>
          <w:p w14:paraId="2EAEEDE0" w14:textId="77777777" w:rsidR="00A145D0" w:rsidRPr="006311C5" w:rsidRDefault="00A145D0" w:rsidP="00E00E41">
            <w:pPr>
              <w:pStyle w:val="Tabletext"/>
              <w:rPr>
                <w:rFonts w:cstheme="minorHAnsi"/>
                <w:szCs w:val="18"/>
              </w:rPr>
            </w:pPr>
          </w:p>
        </w:tc>
        <w:tc>
          <w:tcPr>
            <w:tcW w:w="1506" w:type="pct"/>
            <w:vMerge/>
            <w:tcBorders>
              <w:left w:val="nil"/>
              <w:bottom w:val="single" w:sz="12" w:space="0" w:color="000000" w:themeColor="text1"/>
              <w:right w:val="nil"/>
            </w:tcBorders>
          </w:tcPr>
          <w:p w14:paraId="07E883B1" w14:textId="77777777" w:rsidR="00A145D0" w:rsidRPr="006311C5" w:rsidRDefault="00A145D0" w:rsidP="00E00E41">
            <w:pPr>
              <w:pStyle w:val="Tabletext"/>
              <w:rPr>
                <w:rFonts w:cstheme="minorHAnsi"/>
                <w:szCs w:val="18"/>
              </w:rPr>
            </w:pPr>
          </w:p>
        </w:tc>
        <w:tc>
          <w:tcPr>
            <w:tcW w:w="756" w:type="pct"/>
            <w:tcBorders>
              <w:top w:val="nil"/>
              <w:left w:val="nil"/>
              <w:bottom w:val="nil"/>
              <w:right w:val="nil"/>
            </w:tcBorders>
            <w:shd w:val="clear" w:color="auto" w:fill="auto"/>
          </w:tcPr>
          <w:p w14:paraId="7E10E48E" w14:textId="3CFECD8E" w:rsidR="00A145D0" w:rsidRPr="006311C5" w:rsidRDefault="00A145D0" w:rsidP="00E00E41">
            <w:pPr>
              <w:pStyle w:val="Tabletext"/>
              <w:rPr>
                <w:rFonts w:cstheme="minorHAnsi"/>
                <w:szCs w:val="18"/>
              </w:rPr>
            </w:pPr>
            <w:r w:rsidRPr="006311C5">
              <w:rPr>
                <w:rFonts w:cstheme="minorHAnsi"/>
                <w:szCs w:val="18"/>
              </w:rPr>
              <w:t>Pfizer-BioNTech</w:t>
            </w:r>
          </w:p>
        </w:tc>
        <w:tc>
          <w:tcPr>
            <w:tcW w:w="826" w:type="pct"/>
            <w:tcBorders>
              <w:top w:val="nil"/>
              <w:left w:val="nil"/>
              <w:bottom w:val="nil"/>
              <w:right w:val="nil"/>
            </w:tcBorders>
            <w:shd w:val="clear" w:color="auto" w:fill="auto"/>
          </w:tcPr>
          <w:p w14:paraId="3E5A3CC2" w14:textId="5715260F" w:rsidR="00A145D0" w:rsidRPr="006311C5" w:rsidRDefault="00A145D0" w:rsidP="00E00E41">
            <w:pPr>
              <w:pStyle w:val="Tabletext"/>
              <w:rPr>
                <w:rFonts w:cstheme="minorHAnsi"/>
                <w:szCs w:val="18"/>
              </w:rPr>
            </w:pPr>
            <w:r w:rsidRPr="006311C5">
              <w:rPr>
                <w:rFonts w:cstheme="minorHAnsi"/>
                <w:szCs w:val="18"/>
              </w:rPr>
              <w:t>Reference</w:t>
            </w:r>
          </w:p>
        </w:tc>
        <w:tc>
          <w:tcPr>
            <w:tcW w:w="289" w:type="pct"/>
            <w:tcBorders>
              <w:top w:val="nil"/>
              <w:left w:val="nil"/>
              <w:bottom w:val="nil"/>
              <w:right w:val="nil"/>
            </w:tcBorders>
            <w:shd w:val="clear" w:color="auto" w:fill="auto"/>
          </w:tcPr>
          <w:p w14:paraId="26D9BF5C" w14:textId="5B5EF021" w:rsidR="00A145D0" w:rsidRPr="006311C5" w:rsidRDefault="00A145D0" w:rsidP="00E00E41">
            <w:pPr>
              <w:pStyle w:val="Tabletext"/>
              <w:rPr>
                <w:rFonts w:cstheme="minorHAnsi"/>
                <w:szCs w:val="18"/>
              </w:rPr>
            </w:pPr>
          </w:p>
        </w:tc>
        <w:tc>
          <w:tcPr>
            <w:tcW w:w="826" w:type="pct"/>
            <w:tcBorders>
              <w:top w:val="nil"/>
              <w:left w:val="nil"/>
              <w:bottom w:val="nil"/>
              <w:right w:val="nil"/>
            </w:tcBorders>
            <w:shd w:val="clear" w:color="auto" w:fill="auto"/>
          </w:tcPr>
          <w:p w14:paraId="1D35903F" w14:textId="463EDDE8" w:rsidR="00A145D0" w:rsidRPr="006311C5" w:rsidRDefault="00A145D0" w:rsidP="00E00E41">
            <w:pPr>
              <w:pStyle w:val="Tabletext"/>
              <w:rPr>
                <w:rFonts w:cstheme="minorHAnsi"/>
                <w:szCs w:val="18"/>
              </w:rPr>
            </w:pPr>
            <w:r w:rsidRPr="006311C5">
              <w:rPr>
                <w:rFonts w:cstheme="minorHAnsi"/>
                <w:szCs w:val="18"/>
              </w:rPr>
              <w:t>Reference</w:t>
            </w:r>
          </w:p>
        </w:tc>
        <w:tc>
          <w:tcPr>
            <w:tcW w:w="289" w:type="pct"/>
            <w:tcBorders>
              <w:top w:val="nil"/>
              <w:left w:val="nil"/>
              <w:bottom w:val="nil"/>
              <w:right w:val="nil"/>
            </w:tcBorders>
            <w:shd w:val="clear" w:color="auto" w:fill="auto"/>
          </w:tcPr>
          <w:p w14:paraId="2AEB7484" w14:textId="3B780D9D" w:rsidR="00A145D0" w:rsidRPr="006311C5" w:rsidRDefault="00A145D0" w:rsidP="00E00E41">
            <w:pPr>
              <w:pStyle w:val="Tabletext"/>
              <w:rPr>
                <w:rFonts w:cstheme="minorHAnsi"/>
                <w:szCs w:val="18"/>
              </w:rPr>
            </w:pPr>
          </w:p>
        </w:tc>
      </w:tr>
      <w:tr w:rsidR="00EE735D" w:rsidRPr="006311C5" w14:paraId="2F4D3125" w14:textId="77777777" w:rsidTr="009E0FF1">
        <w:trPr>
          <w:jc w:val="center"/>
        </w:trPr>
        <w:tc>
          <w:tcPr>
            <w:tcW w:w="508" w:type="pct"/>
            <w:vMerge/>
            <w:tcBorders>
              <w:left w:val="nil"/>
              <w:right w:val="nil"/>
            </w:tcBorders>
          </w:tcPr>
          <w:p w14:paraId="7C9A8C91" w14:textId="77777777" w:rsidR="00A145D0" w:rsidRPr="006311C5" w:rsidRDefault="00A145D0" w:rsidP="00224A6B">
            <w:pPr>
              <w:pStyle w:val="Tabletext"/>
              <w:rPr>
                <w:rFonts w:cstheme="minorHAnsi"/>
                <w:szCs w:val="18"/>
              </w:rPr>
            </w:pPr>
          </w:p>
        </w:tc>
        <w:tc>
          <w:tcPr>
            <w:tcW w:w="1506" w:type="pct"/>
            <w:vMerge/>
            <w:tcBorders>
              <w:left w:val="nil"/>
              <w:bottom w:val="single" w:sz="12" w:space="0" w:color="000000" w:themeColor="text1"/>
              <w:right w:val="nil"/>
            </w:tcBorders>
          </w:tcPr>
          <w:p w14:paraId="500F86FE" w14:textId="77777777" w:rsidR="00A145D0" w:rsidRPr="006311C5" w:rsidRDefault="00A145D0" w:rsidP="00224A6B">
            <w:pPr>
              <w:pStyle w:val="Tabletext"/>
              <w:rPr>
                <w:rFonts w:cstheme="minorHAnsi"/>
                <w:szCs w:val="18"/>
              </w:rPr>
            </w:pPr>
          </w:p>
        </w:tc>
        <w:tc>
          <w:tcPr>
            <w:tcW w:w="756" w:type="pct"/>
            <w:tcBorders>
              <w:top w:val="nil"/>
              <w:left w:val="nil"/>
              <w:bottom w:val="nil"/>
              <w:right w:val="nil"/>
            </w:tcBorders>
            <w:shd w:val="clear" w:color="auto" w:fill="auto"/>
          </w:tcPr>
          <w:p w14:paraId="7EBAA2E6" w14:textId="12D651AF" w:rsidR="00A145D0" w:rsidRPr="006311C5" w:rsidRDefault="00A145D0" w:rsidP="00224A6B">
            <w:pPr>
              <w:pStyle w:val="Tabletext"/>
              <w:rPr>
                <w:rFonts w:cstheme="minorHAnsi"/>
                <w:szCs w:val="18"/>
              </w:rPr>
            </w:pPr>
            <w:r w:rsidRPr="006311C5">
              <w:rPr>
                <w:rFonts w:cstheme="minorHAnsi"/>
                <w:szCs w:val="18"/>
              </w:rPr>
              <w:t>AstraZeneca</w:t>
            </w:r>
          </w:p>
        </w:tc>
        <w:tc>
          <w:tcPr>
            <w:tcW w:w="826" w:type="pct"/>
            <w:tcBorders>
              <w:top w:val="nil"/>
              <w:left w:val="nil"/>
              <w:bottom w:val="nil"/>
              <w:right w:val="nil"/>
            </w:tcBorders>
            <w:shd w:val="clear" w:color="auto" w:fill="auto"/>
          </w:tcPr>
          <w:p w14:paraId="2D82B91C" w14:textId="7CC55973" w:rsidR="00A145D0" w:rsidRPr="006311C5" w:rsidRDefault="00A145D0" w:rsidP="00224A6B">
            <w:pPr>
              <w:pStyle w:val="Tabletext"/>
              <w:rPr>
                <w:rFonts w:cstheme="minorHAnsi"/>
                <w:szCs w:val="18"/>
              </w:rPr>
            </w:pPr>
            <w:r w:rsidRPr="006311C5">
              <w:rPr>
                <w:rFonts w:cstheme="minorHAnsi"/>
                <w:szCs w:val="18"/>
              </w:rPr>
              <w:t>0.627 (0.446 to 0.883)</w:t>
            </w:r>
          </w:p>
        </w:tc>
        <w:tc>
          <w:tcPr>
            <w:tcW w:w="289" w:type="pct"/>
            <w:tcBorders>
              <w:top w:val="nil"/>
              <w:left w:val="nil"/>
              <w:bottom w:val="nil"/>
              <w:right w:val="nil"/>
            </w:tcBorders>
            <w:shd w:val="clear" w:color="auto" w:fill="auto"/>
          </w:tcPr>
          <w:p w14:paraId="0B04224B" w14:textId="042E9A21" w:rsidR="00A145D0" w:rsidRPr="006311C5" w:rsidRDefault="00A145D0" w:rsidP="00224A6B">
            <w:pPr>
              <w:pStyle w:val="Tabletext"/>
              <w:rPr>
                <w:rFonts w:cstheme="minorHAnsi"/>
                <w:szCs w:val="18"/>
              </w:rPr>
            </w:pPr>
          </w:p>
        </w:tc>
        <w:tc>
          <w:tcPr>
            <w:tcW w:w="826" w:type="pct"/>
            <w:tcBorders>
              <w:top w:val="nil"/>
              <w:left w:val="nil"/>
              <w:bottom w:val="nil"/>
              <w:right w:val="nil"/>
            </w:tcBorders>
            <w:shd w:val="clear" w:color="auto" w:fill="auto"/>
          </w:tcPr>
          <w:p w14:paraId="514D6586" w14:textId="4CF2D11E" w:rsidR="00A145D0" w:rsidRPr="006311C5" w:rsidRDefault="00A145D0" w:rsidP="00224A6B">
            <w:pPr>
              <w:pStyle w:val="Tabletext"/>
              <w:rPr>
                <w:rFonts w:cstheme="minorHAnsi"/>
                <w:szCs w:val="18"/>
              </w:rPr>
            </w:pPr>
            <w:r w:rsidRPr="006311C5">
              <w:rPr>
                <w:rFonts w:cstheme="minorHAnsi"/>
                <w:szCs w:val="18"/>
              </w:rPr>
              <w:t>0.483 (0.339 to 0.688)</w:t>
            </w:r>
          </w:p>
        </w:tc>
        <w:tc>
          <w:tcPr>
            <w:tcW w:w="289" w:type="pct"/>
            <w:tcBorders>
              <w:top w:val="nil"/>
              <w:left w:val="nil"/>
              <w:bottom w:val="nil"/>
              <w:right w:val="nil"/>
            </w:tcBorders>
            <w:shd w:val="clear" w:color="auto" w:fill="auto"/>
          </w:tcPr>
          <w:p w14:paraId="213CA9DC" w14:textId="76F81474" w:rsidR="00A145D0" w:rsidRPr="006311C5" w:rsidRDefault="00A145D0" w:rsidP="00224A6B">
            <w:pPr>
              <w:pStyle w:val="Tabletext"/>
              <w:rPr>
                <w:rFonts w:cstheme="minorHAnsi"/>
                <w:szCs w:val="18"/>
              </w:rPr>
            </w:pPr>
          </w:p>
        </w:tc>
      </w:tr>
      <w:tr w:rsidR="00EE735D" w:rsidRPr="006311C5" w14:paraId="360EBBC9" w14:textId="77777777" w:rsidTr="009E0FF1">
        <w:trPr>
          <w:jc w:val="center"/>
        </w:trPr>
        <w:tc>
          <w:tcPr>
            <w:tcW w:w="508" w:type="pct"/>
            <w:vMerge/>
            <w:tcBorders>
              <w:left w:val="nil"/>
              <w:right w:val="nil"/>
            </w:tcBorders>
          </w:tcPr>
          <w:p w14:paraId="3F631236" w14:textId="77777777" w:rsidR="00A145D0" w:rsidRPr="006311C5" w:rsidRDefault="00A145D0" w:rsidP="00224A6B">
            <w:pPr>
              <w:pStyle w:val="Tabletext"/>
              <w:rPr>
                <w:rFonts w:cstheme="minorHAnsi"/>
                <w:szCs w:val="18"/>
              </w:rPr>
            </w:pPr>
          </w:p>
        </w:tc>
        <w:tc>
          <w:tcPr>
            <w:tcW w:w="1506" w:type="pct"/>
            <w:vMerge/>
            <w:tcBorders>
              <w:left w:val="nil"/>
              <w:bottom w:val="single" w:sz="12" w:space="0" w:color="000000" w:themeColor="text1"/>
              <w:right w:val="nil"/>
            </w:tcBorders>
          </w:tcPr>
          <w:p w14:paraId="56BE7D2E" w14:textId="77777777" w:rsidR="00A145D0" w:rsidRPr="006311C5" w:rsidRDefault="00A145D0" w:rsidP="00224A6B">
            <w:pPr>
              <w:pStyle w:val="Tabletext"/>
              <w:rPr>
                <w:rFonts w:cstheme="minorHAnsi"/>
                <w:szCs w:val="18"/>
              </w:rPr>
            </w:pPr>
          </w:p>
        </w:tc>
        <w:tc>
          <w:tcPr>
            <w:tcW w:w="756" w:type="pct"/>
            <w:tcBorders>
              <w:top w:val="nil"/>
              <w:left w:val="nil"/>
              <w:bottom w:val="single" w:sz="12" w:space="0" w:color="auto"/>
              <w:right w:val="nil"/>
            </w:tcBorders>
            <w:shd w:val="clear" w:color="auto" w:fill="auto"/>
          </w:tcPr>
          <w:p w14:paraId="64D52633" w14:textId="4308564E" w:rsidR="00A145D0" w:rsidRPr="006311C5" w:rsidRDefault="00A145D0" w:rsidP="00224A6B">
            <w:pPr>
              <w:pStyle w:val="Tabletext"/>
              <w:rPr>
                <w:rFonts w:cstheme="minorHAnsi"/>
                <w:szCs w:val="18"/>
              </w:rPr>
            </w:pPr>
            <w:r w:rsidRPr="006311C5">
              <w:rPr>
                <w:rFonts w:cstheme="minorHAnsi"/>
                <w:szCs w:val="18"/>
              </w:rPr>
              <w:t>Moderna</w:t>
            </w:r>
          </w:p>
        </w:tc>
        <w:tc>
          <w:tcPr>
            <w:tcW w:w="826" w:type="pct"/>
            <w:tcBorders>
              <w:top w:val="nil"/>
              <w:left w:val="nil"/>
              <w:bottom w:val="single" w:sz="12" w:space="0" w:color="auto"/>
              <w:right w:val="nil"/>
            </w:tcBorders>
            <w:shd w:val="clear" w:color="auto" w:fill="auto"/>
          </w:tcPr>
          <w:p w14:paraId="4F1685B4" w14:textId="7A5E73B4" w:rsidR="00A145D0" w:rsidRPr="006311C5" w:rsidRDefault="00A145D0" w:rsidP="00224A6B">
            <w:pPr>
              <w:pStyle w:val="Tabletext"/>
              <w:rPr>
                <w:rFonts w:cstheme="minorHAnsi"/>
                <w:szCs w:val="18"/>
              </w:rPr>
            </w:pPr>
            <w:r w:rsidRPr="006311C5">
              <w:rPr>
                <w:rFonts w:cstheme="minorHAnsi"/>
                <w:szCs w:val="18"/>
              </w:rPr>
              <w:t>2.332 (0.671 to 8.108)</w:t>
            </w:r>
          </w:p>
        </w:tc>
        <w:tc>
          <w:tcPr>
            <w:tcW w:w="289" w:type="pct"/>
            <w:tcBorders>
              <w:top w:val="nil"/>
              <w:left w:val="nil"/>
              <w:bottom w:val="single" w:sz="12" w:space="0" w:color="auto"/>
              <w:right w:val="nil"/>
            </w:tcBorders>
            <w:shd w:val="clear" w:color="auto" w:fill="auto"/>
          </w:tcPr>
          <w:p w14:paraId="2E142F2C" w14:textId="712D898B" w:rsidR="00A145D0" w:rsidRPr="006311C5" w:rsidRDefault="00A145D0" w:rsidP="00224A6B">
            <w:pPr>
              <w:pStyle w:val="Tabletext"/>
              <w:rPr>
                <w:rFonts w:cstheme="minorHAnsi"/>
                <w:szCs w:val="18"/>
              </w:rPr>
            </w:pPr>
          </w:p>
        </w:tc>
        <w:tc>
          <w:tcPr>
            <w:tcW w:w="826" w:type="pct"/>
            <w:tcBorders>
              <w:top w:val="nil"/>
              <w:left w:val="nil"/>
              <w:bottom w:val="single" w:sz="12" w:space="0" w:color="auto"/>
              <w:right w:val="nil"/>
            </w:tcBorders>
            <w:shd w:val="clear" w:color="auto" w:fill="auto"/>
          </w:tcPr>
          <w:p w14:paraId="7B06C65A" w14:textId="50E56A4B" w:rsidR="00A145D0" w:rsidRPr="006311C5" w:rsidRDefault="00A145D0" w:rsidP="00224A6B">
            <w:pPr>
              <w:pStyle w:val="Tabletext"/>
              <w:rPr>
                <w:rFonts w:cstheme="minorHAnsi"/>
                <w:szCs w:val="18"/>
              </w:rPr>
            </w:pPr>
            <w:r w:rsidRPr="006311C5">
              <w:rPr>
                <w:rFonts w:cstheme="minorHAnsi"/>
                <w:szCs w:val="18"/>
              </w:rPr>
              <w:t>8.593 (2.182 to 33.837)</w:t>
            </w:r>
          </w:p>
        </w:tc>
        <w:tc>
          <w:tcPr>
            <w:tcW w:w="289" w:type="pct"/>
            <w:tcBorders>
              <w:top w:val="nil"/>
              <w:left w:val="nil"/>
              <w:bottom w:val="single" w:sz="12" w:space="0" w:color="auto"/>
              <w:right w:val="nil"/>
            </w:tcBorders>
            <w:shd w:val="clear" w:color="auto" w:fill="auto"/>
          </w:tcPr>
          <w:p w14:paraId="4DF473E3" w14:textId="534BAFCE" w:rsidR="00A145D0" w:rsidRPr="006311C5" w:rsidRDefault="00A145D0" w:rsidP="00224A6B">
            <w:pPr>
              <w:pStyle w:val="Tabletext"/>
              <w:rPr>
                <w:rFonts w:cstheme="minorHAnsi"/>
                <w:szCs w:val="18"/>
              </w:rPr>
            </w:pPr>
          </w:p>
        </w:tc>
      </w:tr>
      <w:tr w:rsidR="00BE65EA" w:rsidRPr="006311C5" w14:paraId="2525A62C" w14:textId="77777777" w:rsidTr="009E0FF1">
        <w:trPr>
          <w:jc w:val="center"/>
        </w:trPr>
        <w:tc>
          <w:tcPr>
            <w:tcW w:w="508" w:type="pct"/>
            <w:vMerge w:val="restart"/>
            <w:tcBorders>
              <w:top w:val="single" w:sz="12" w:space="0" w:color="auto"/>
              <w:left w:val="nil"/>
              <w:right w:val="nil"/>
            </w:tcBorders>
            <w:shd w:val="clear" w:color="auto" w:fill="auto"/>
          </w:tcPr>
          <w:p w14:paraId="5E57E75D" w14:textId="77777777" w:rsidR="00BE65EA" w:rsidRPr="006311C5" w:rsidRDefault="00BE65EA" w:rsidP="00224A6B">
            <w:pPr>
              <w:pStyle w:val="Tabletext"/>
              <w:rPr>
                <w:rFonts w:cstheme="minorHAnsi"/>
                <w:szCs w:val="18"/>
              </w:rPr>
            </w:pPr>
            <w:r w:rsidRPr="006311C5">
              <w:rPr>
                <w:rFonts w:cstheme="minorHAnsi"/>
                <w:szCs w:val="18"/>
              </w:rPr>
              <w:t>Block 2 – psychological and contextual factors</w:t>
            </w:r>
          </w:p>
        </w:tc>
        <w:tc>
          <w:tcPr>
            <w:tcW w:w="1506" w:type="pct"/>
            <w:tcBorders>
              <w:top w:val="single" w:sz="12" w:space="0" w:color="000000" w:themeColor="text1"/>
              <w:left w:val="nil"/>
              <w:bottom w:val="single" w:sz="4" w:space="0" w:color="auto"/>
              <w:right w:val="nil"/>
            </w:tcBorders>
            <w:shd w:val="clear" w:color="auto" w:fill="auto"/>
          </w:tcPr>
          <w:p w14:paraId="6D53CE66" w14:textId="77777777" w:rsidR="00BE65EA" w:rsidRPr="006311C5" w:rsidRDefault="00BE65EA" w:rsidP="00224A6B">
            <w:pPr>
              <w:pStyle w:val="Tabletext"/>
              <w:rPr>
                <w:rFonts w:cstheme="minorHAnsi"/>
                <w:szCs w:val="18"/>
              </w:rPr>
            </w:pPr>
            <w:r w:rsidRPr="006311C5">
              <w:rPr>
                <w:rFonts w:cstheme="minorHAnsi"/>
                <w:szCs w:val="18"/>
              </w:rPr>
              <w:t>I am afraid of needles (0–10)</w:t>
            </w:r>
          </w:p>
        </w:tc>
        <w:tc>
          <w:tcPr>
            <w:tcW w:w="756" w:type="pct"/>
            <w:tcBorders>
              <w:left w:val="nil"/>
              <w:bottom w:val="single" w:sz="4" w:space="0" w:color="auto"/>
              <w:right w:val="nil"/>
            </w:tcBorders>
            <w:shd w:val="clear" w:color="auto" w:fill="auto"/>
          </w:tcPr>
          <w:p w14:paraId="4322034F" w14:textId="77777777" w:rsidR="00BE65EA" w:rsidRPr="006311C5" w:rsidRDefault="00BE65EA" w:rsidP="00224A6B">
            <w:pPr>
              <w:pStyle w:val="Tabletext"/>
              <w:rPr>
                <w:rFonts w:cstheme="minorHAnsi"/>
                <w:szCs w:val="18"/>
              </w:rPr>
            </w:pPr>
            <w:r w:rsidRPr="006311C5">
              <w:rPr>
                <w:rFonts w:cstheme="minorHAnsi"/>
                <w:szCs w:val="18"/>
              </w:rPr>
              <w:t>0 (strongly disagree) to 10 (strongly agree)</w:t>
            </w:r>
          </w:p>
        </w:tc>
        <w:tc>
          <w:tcPr>
            <w:tcW w:w="826" w:type="pct"/>
            <w:tcBorders>
              <w:top w:val="single" w:sz="12" w:space="0" w:color="auto"/>
              <w:left w:val="nil"/>
              <w:bottom w:val="single" w:sz="4" w:space="0" w:color="auto"/>
              <w:right w:val="nil"/>
            </w:tcBorders>
            <w:shd w:val="clear" w:color="auto" w:fill="auto"/>
          </w:tcPr>
          <w:p w14:paraId="3805600A" w14:textId="0FC524FE" w:rsidR="00BE65EA" w:rsidRPr="006311C5" w:rsidRDefault="00BE65EA" w:rsidP="00224A6B">
            <w:pPr>
              <w:pStyle w:val="Tabletext"/>
              <w:rPr>
                <w:rFonts w:cstheme="minorHAnsi"/>
                <w:szCs w:val="18"/>
              </w:rPr>
            </w:pPr>
            <w:r w:rsidRPr="006311C5">
              <w:rPr>
                <w:rFonts w:cstheme="minorHAnsi"/>
                <w:szCs w:val="18"/>
              </w:rPr>
              <w:t>1.005 (0.957 to 1.055)</w:t>
            </w:r>
          </w:p>
        </w:tc>
        <w:tc>
          <w:tcPr>
            <w:tcW w:w="289" w:type="pct"/>
            <w:tcBorders>
              <w:top w:val="single" w:sz="12" w:space="0" w:color="auto"/>
              <w:left w:val="nil"/>
              <w:bottom w:val="single" w:sz="4" w:space="0" w:color="auto"/>
              <w:right w:val="nil"/>
            </w:tcBorders>
            <w:shd w:val="clear" w:color="auto" w:fill="auto"/>
          </w:tcPr>
          <w:p w14:paraId="4142355A" w14:textId="1B12157E" w:rsidR="00BE65EA" w:rsidRPr="006311C5" w:rsidRDefault="00BE65EA" w:rsidP="00224A6B">
            <w:pPr>
              <w:pStyle w:val="Tabletext"/>
              <w:rPr>
                <w:rFonts w:cstheme="minorHAnsi"/>
                <w:szCs w:val="18"/>
              </w:rPr>
            </w:pPr>
            <w:r w:rsidRPr="006311C5">
              <w:rPr>
                <w:rFonts w:cstheme="minorHAnsi"/>
                <w:szCs w:val="18"/>
              </w:rPr>
              <w:t>0.838</w:t>
            </w:r>
          </w:p>
        </w:tc>
        <w:tc>
          <w:tcPr>
            <w:tcW w:w="826" w:type="pct"/>
            <w:tcBorders>
              <w:top w:val="single" w:sz="12" w:space="0" w:color="auto"/>
              <w:left w:val="nil"/>
              <w:bottom w:val="single" w:sz="4" w:space="0" w:color="auto"/>
              <w:right w:val="nil"/>
            </w:tcBorders>
            <w:shd w:val="clear" w:color="auto" w:fill="auto"/>
          </w:tcPr>
          <w:p w14:paraId="2EB4A7D0" w14:textId="087CE819" w:rsidR="00BE65EA" w:rsidRPr="006311C5" w:rsidRDefault="00BE65EA" w:rsidP="00224A6B">
            <w:pPr>
              <w:pStyle w:val="Tabletext"/>
              <w:rPr>
                <w:rFonts w:cstheme="minorHAnsi"/>
                <w:szCs w:val="18"/>
              </w:rPr>
            </w:pPr>
            <w:r w:rsidRPr="006311C5">
              <w:rPr>
                <w:rFonts w:cstheme="minorHAnsi"/>
                <w:szCs w:val="18"/>
              </w:rPr>
              <w:t>0.997 (0.950 to 1.047)</w:t>
            </w:r>
          </w:p>
        </w:tc>
        <w:tc>
          <w:tcPr>
            <w:tcW w:w="289" w:type="pct"/>
            <w:tcBorders>
              <w:top w:val="single" w:sz="12" w:space="0" w:color="auto"/>
              <w:left w:val="nil"/>
              <w:bottom w:val="single" w:sz="4" w:space="0" w:color="auto"/>
              <w:right w:val="nil"/>
            </w:tcBorders>
            <w:shd w:val="clear" w:color="auto" w:fill="auto"/>
          </w:tcPr>
          <w:p w14:paraId="6396A430" w14:textId="2FCC981F" w:rsidR="00BE65EA" w:rsidRPr="006311C5" w:rsidRDefault="00BE65EA" w:rsidP="00224A6B">
            <w:pPr>
              <w:pStyle w:val="Tabletext"/>
              <w:rPr>
                <w:rFonts w:cstheme="minorHAnsi"/>
                <w:szCs w:val="18"/>
              </w:rPr>
            </w:pPr>
            <w:r w:rsidRPr="006311C5">
              <w:rPr>
                <w:rFonts w:cstheme="minorHAnsi"/>
                <w:szCs w:val="18"/>
              </w:rPr>
              <w:t>0.920</w:t>
            </w:r>
          </w:p>
        </w:tc>
      </w:tr>
      <w:tr w:rsidR="00BE65EA" w:rsidRPr="006311C5" w14:paraId="67DD7382" w14:textId="77777777" w:rsidTr="009E0FF1">
        <w:trPr>
          <w:jc w:val="center"/>
        </w:trPr>
        <w:tc>
          <w:tcPr>
            <w:tcW w:w="508" w:type="pct"/>
            <w:vMerge/>
            <w:tcBorders>
              <w:left w:val="nil"/>
              <w:right w:val="nil"/>
            </w:tcBorders>
          </w:tcPr>
          <w:p w14:paraId="3064AC91" w14:textId="77777777" w:rsidR="00BE65EA" w:rsidRPr="006311C5" w:rsidRDefault="00BE65EA" w:rsidP="00224A6B">
            <w:pPr>
              <w:pStyle w:val="Tabletext"/>
              <w:rPr>
                <w:rFonts w:cstheme="minorHAnsi"/>
                <w:szCs w:val="18"/>
              </w:rPr>
            </w:pPr>
          </w:p>
        </w:tc>
        <w:tc>
          <w:tcPr>
            <w:tcW w:w="1506" w:type="pct"/>
            <w:tcBorders>
              <w:left w:val="nil"/>
              <w:bottom w:val="single" w:sz="4" w:space="0" w:color="auto"/>
              <w:right w:val="nil"/>
            </w:tcBorders>
            <w:shd w:val="clear" w:color="auto" w:fill="auto"/>
          </w:tcPr>
          <w:p w14:paraId="213D1490" w14:textId="4411166C" w:rsidR="00BE65EA" w:rsidRPr="006311C5" w:rsidRDefault="00BE65EA" w:rsidP="00224A6B">
            <w:pPr>
              <w:pStyle w:val="Tabletext"/>
              <w:rPr>
                <w:rFonts w:cstheme="minorHAnsi"/>
                <w:szCs w:val="18"/>
              </w:rPr>
            </w:pPr>
            <w:r w:rsidRPr="006311C5">
              <w:rPr>
                <w:rFonts w:cstheme="minorHAnsi"/>
                <w:szCs w:val="18"/>
              </w:rPr>
              <w:t xml:space="preserve">COVID-19 vaccination beliefs component 1: social norms regarding COVID-19 vaccination </w:t>
            </w:r>
          </w:p>
        </w:tc>
        <w:tc>
          <w:tcPr>
            <w:tcW w:w="756" w:type="pct"/>
            <w:tcBorders>
              <w:left w:val="nil"/>
              <w:bottom w:val="single" w:sz="4" w:space="0" w:color="auto"/>
              <w:right w:val="nil"/>
            </w:tcBorders>
            <w:shd w:val="clear" w:color="auto" w:fill="auto"/>
          </w:tcPr>
          <w:p w14:paraId="3F4AA2A4" w14:textId="34694D0B" w:rsidR="00BE65EA" w:rsidRPr="006311C5" w:rsidRDefault="00BE65EA" w:rsidP="00224A6B">
            <w:pPr>
              <w:pStyle w:val="Tabletext"/>
              <w:rPr>
                <w:rFonts w:cstheme="minorHAnsi"/>
                <w:szCs w:val="18"/>
              </w:rPr>
            </w:pPr>
            <w:r w:rsidRPr="006311C5">
              <w:rPr>
                <w:rFonts w:cstheme="minorHAnsi"/>
                <w:szCs w:val="18"/>
              </w:rPr>
              <w:t>—</w:t>
            </w:r>
          </w:p>
        </w:tc>
        <w:tc>
          <w:tcPr>
            <w:tcW w:w="826" w:type="pct"/>
            <w:tcBorders>
              <w:top w:val="single" w:sz="4" w:space="0" w:color="auto"/>
              <w:left w:val="nil"/>
              <w:bottom w:val="nil"/>
              <w:right w:val="nil"/>
            </w:tcBorders>
            <w:shd w:val="clear" w:color="auto" w:fill="auto"/>
          </w:tcPr>
          <w:p w14:paraId="6D415463" w14:textId="13750F8F" w:rsidR="00BE65EA" w:rsidRPr="006311C5" w:rsidRDefault="00BE65EA" w:rsidP="00224A6B">
            <w:pPr>
              <w:pStyle w:val="Tabletext"/>
              <w:rPr>
                <w:rFonts w:cstheme="minorHAnsi"/>
                <w:szCs w:val="18"/>
              </w:rPr>
            </w:pPr>
            <w:r w:rsidRPr="006311C5">
              <w:rPr>
                <w:rFonts w:cstheme="minorHAnsi"/>
                <w:szCs w:val="18"/>
              </w:rPr>
              <w:t>0.895 (0.730 to 1.097)</w:t>
            </w:r>
          </w:p>
        </w:tc>
        <w:tc>
          <w:tcPr>
            <w:tcW w:w="289" w:type="pct"/>
            <w:tcBorders>
              <w:top w:val="single" w:sz="4" w:space="0" w:color="auto"/>
              <w:left w:val="nil"/>
              <w:bottom w:val="nil"/>
              <w:right w:val="nil"/>
            </w:tcBorders>
            <w:shd w:val="clear" w:color="auto" w:fill="auto"/>
          </w:tcPr>
          <w:p w14:paraId="7E4F4C27" w14:textId="55B81F89" w:rsidR="00BE65EA" w:rsidRPr="006311C5" w:rsidRDefault="00BE65EA" w:rsidP="00224A6B">
            <w:pPr>
              <w:pStyle w:val="Tabletext"/>
              <w:rPr>
                <w:rFonts w:cstheme="minorHAnsi"/>
                <w:szCs w:val="18"/>
              </w:rPr>
            </w:pPr>
            <w:r w:rsidRPr="006311C5">
              <w:rPr>
                <w:rFonts w:cstheme="minorHAnsi"/>
                <w:szCs w:val="18"/>
              </w:rPr>
              <w:t>0.285</w:t>
            </w:r>
          </w:p>
        </w:tc>
        <w:tc>
          <w:tcPr>
            <w:tcW w:w="826" w:type="pct"/>
            <w:tcBorders>
              <w:top w:val="single" w:sz="4" w:space="0" w:color="auto"/>
              <w:left w:val="nil"/>
              <w:bottom w:val="nil"/>
              <w:right w:val="nil"/>
            </w:tcBorders>
            <w:shd w:val="clear" w:color="auto" w:fill="auto"/>
          </w:tcPr>
          <w:p w14:paraId="38E0E065" w14:textId="3D322615" w:rsidR="00BE65EA" w:rsidRPr="006311C5" w:rsidRDefault="00BE65EA" w:rsidP="00224A6B">
            <w:pPr>
              <w:pStyle w:val="Tabletext"/>
              <w:rPr>
                <w:rFonts w:cstheme="minorHAnsi"/>
                <w:szCs w:val="18"/>
              </w:rPr>
            </w:pPr>
            <w:r w:rsidRPr="006311C5">
              <w:rPr>
                <w:rFonts w:cstheme="minorHAnsi"/>
                <w:szCs w:val="18"/>
              </w:rPr>
              <w:t>0.869 (0.712 to 1.060)</w:t>
            </w:r>
          </w:p>
        </w:tc>
        <w:tc>
          <w:tcPr>
            <w:tcW w:w="289" w:type="pct"/>
            <w:tcBorders>
              <w:top w:val="single" w:sz="4" w:space="0" w:color="auto"/>
              <w:left w:val="nil"/>
              <w:bottom w:val="nil"/>
              <w:right w:val="nil"/>
            </w:tcBorders>
            <w:shd w:val="clear" w:color="auto" w:fill="auto"/>
          </w:tcPr>
          <w:p w14:paraId="260D50B2" w14:textId="40AF0DA0" w:rsidR="00BE65EA" w:rsidRPr="006311C5" w:rsidRDefault="00BE65EA" w:rsidP="00224A6B">
            <w:pPr>
              <w:pStyle w:val="Tabletext"/>
              <w:rPr>
                <w:rFonts w:cstheme="minorHAnsi"/>
                <w:szCs w:val="18"/>
              </w:rPr>
            </w:pPr>
            <w:r w:rsidRPr="006311C5">
              <w:rPr>
                <w:rFonts w:cstheme="minorHAnsi"/>
                <w:szCs w:val="18"/>
              </w:rPr>
              <w:t>0.167</w:t>
            </w:r>
          </w:p>
        </w:tc>
      </w:tr>
      <w:tr w:rsidR="00BE65EA" w:rsidRPr="006311C5" w14:paraId="73515CE7" w14:textId="77777777" w:rsidTr="009E0FF1">
        <w:trPr>
          <w:jc w:val="center"/>
        </w:trPr>
        <w:tc>
          <w:tcPr>
            <w:tcW w:w="508" w:type="pct"/>
            <w:vMerge/>
            <w:tcBorders>
              <w:left w:val="nil"/>
              <w:right w:val="nil"/>
            </w:tcBorders>
          </w:tcPr>
          <w:p w14:paraId="35A540EE" w14:textId="77777777" w:rsidR="00BE65EA" w:rsidRPr="006311C5" w:rsidRDefault="00BE65EA" w:rsidP="00224A6B">
            <w:pPr>
              <w:pStyle w:val="Tabletext"/>
              <w:rPr>
                <w:rFonts w:cstheme="minorHAnsi"/>
                <w:szCs w:val="18"/>
              </w:rPr>
            </w:pPr>
          </w:p>
        </w:tc>
        <w:tc>
          <w:tcPr>
            <w:tcW w:w="1506" w:type="pct"/>
            <w:tcBorders>
              <w:top w:val="single" w:sz="4" w:space="0" w:color="auto"/>
              <w:left w:val="nil"/>
              <w:right w:val="nil"/>
            </w:tcBorders>
            <w:shd w:val="clear" w:color="auto" w:fill="auto"/>
          </w:tcPr>
          <w:p w14:paraId="1FB8CA39" w14:textId="2A45DA72" w:rsidR="00BE65EA" w:rsidRPr="006311C5" w:rsidRDefault="00BE65EA" w:rsidP="00224A6B">
            <w:pPr>
              <w:pStyle w:val="Tabletext"/>
              <w:rPr>
                <w:rFonts w:cstheme="minorHAnsi"/>
                <w:szCs w:val="18"/>
              </w:rPr>
            </w:pPr>
            <w:r w:rsidRPr="006311C5">
              <w:rPr>
                <w:rFonts w:cstheme="minorHAnsi"/>
                <w:szCs w:val="18"/>
              </w:rPr>
              <w:t xml:space="preserve">COVID-19 vaccination beliefs component 2: the necessity of vaccination </w:t>
            </w:r>
          </w:p>
        </w:tc>
        <w:tc>
          <w:tcPr>
            <w:tcW w:w="756" w:type="pct"/>
            <w:tcBorders>
              <w:top w:val="single" w:sz="4" w:space="0" w:color="auto"/>
              <w:left w:val="nil"/>
              <w:right w:val="nil"/>
            </w:tcBorders>
            <w:shd w:val="clear" w:color="auto" w:fill="auto"/>
          </w:tcPr>
          <w:p w14:paraId="0F32A56E" w14:textId="5CCB9038" w:rsidR="00BE65EA" w:rsidRPr="006311C5" w:rsidRDefault="00BE65EA" w:rsidP="00224A6B">
            <w:pPr>
              <w:pStyle w:val="Tabletext"/>
              <w:rPr>
                <w:rFonts w:cstheme="minorHAnsi"/>
                <w:szCs w:val="18"/>
              </w:rPr>
            </w:pPr>
            <w:r w:rsidRPr="006311C5">
              <w:rPr>
                <w:rFonts w:cstheme="minorHAnsi"/>
                <w:szCs w:val="18"/>
              </w:rPr>
              <w:t>—</w:t>
            </w:r>
          </w:p>
        </w:tc>
        <w:tc>
          <w:tcPr>
            <w:tcW w:w="826" w:type="pct"/>
            <w:tcBorders>
              <w:top w:val="single" w:sz="4" w:space="0" w:color="auto"/>
              <w:left w:val="nil"/>
              <w:bottom w:val="single" w:sz="4" w:space="0" w:color="auto"/>
              <w:right w:val="nil"/>
            </w:tcBorders>
            <w:shd w:val="clear" w:color="auto" w:fill="auto"/>
          </w:tcPr>
          <w:p w14:paraId="50EA02B6" w14:textId="0ADE5265" w:rsidR="00BE65EA" w:rsidRPr="006311C5" w:rsidRDefault="00BE65EA" w:rsidP="00224A6B">
            <w:pPr>
              <w:pStyle w:val="Tabletext"/>
              <w:rPr>
                <w:rFonts w:cstheme="minorHAnsi"/>
                <w:szCs w:val="18"/>
              </w:rPr>
            </w:pPr>
            <w:r w:rsidRPr="006311C5">
              <w:rPr>
                <w:rFonts w:cstheme="minorHAnsi"/>
                <w:szCs w:val="18"/>
              </w:rPr>
              <w:t>0.915 (0.762 to 1.099)</w:t>
            </w:r>
          </w:p>
        </w:tc>
        <w:tc>
          <w:tcPr>
            <w:tcW w:w="289" w:type="pct"/>
            <w:tcBorders>
              <w:top w:val="single" w:sz="4" w:space="0" w:color="auto"/>
              <w:left w:val="nil"/>
              <w:bottom w:val="single" w:sz="4" w:space="0" w:color="auto"/>
              <w:right w:val="nil"/>
            </w:tcBorders>
            <w:shd w:val="clear" w:color="auto" w:fill="auto"/>
          </w:tcPr>
          <w:p w14:paraId="3C76E1E6" w14:textId="0BBA4365" w:rsidR="00BE65EA" w:rsidRPr="006311C5" w:rsidRDefault="00BE65EA" w:rsidP="00224A6B">
            <w:pPr>
              <w:pStyle w:val="Tabletext"/>
              <w:rPr>
                <w:rFonts w:cstheme="minorHAnsi"/>
                <w:szCs w:val="18"/>
              </w:rPr>
            </w:pPr>
            <w:r w:rsidRPr="006311C5">
              <w:rPr>
                <w:rFonts w:cstheme="minorHAnsi"/>
                <w:szCs w:val="18"/>
              </w:rPr>
              <w:t>0.344</w:t>
            </w:r>
          </w:p>
        </w:tc>
        <w:tc>
          <w:tcPr>
            <w:tcW w:w="826" w:type="pct"/>
            <w:tcBorders>
              <w:top w:val="single" w:sz="4" w:space="0" w:color="auto"/>
              <w:left w:val="nil"/>
              <w:bottom w:val="single" w:sz="4" w:space="0" w:color="auto"/>
              <w:right w:val="nil"/>
            </w:tcBorders>
            <w:shd w:val="clear" w:color="auto" w:fill="auto"/>
          </w:tcPr>
          <w:p w14:paraId="5D4F1AE1" w14:textId="0482940B" w:rsidR="00BE65EA" w:rsidRPr="006311C5" w:rsidRDefault="00BE65EA" w:rsidP="00224A6B">
            <w:pPr>
              <w:pStyle w:val="Tabletext"/>
              <w:rPr>
                <w:rFonts w:cstheme="minorHAnsi"/>
                <w:szCs w:val="18"/>
              </w:rPr>
            </w:pPr>
            <w:r w:rsidRPr="006311C5">
              <w:rPr>
                <w:rFonts w:cstheme="minorHAnsi"/>
                <w:szCs w:val="18"/>
              </w:rPr>
              <w:t>0.886 (0.739 to 1.063)</w:t>
            </w:r>
          </w:p>
        </w:tc>
        <w:tc>
          <w:tcPr>
            <w:tcW w:w="289" w:type="pct"/>
            <w:tcBorders>
              <w:top w:val="single" w:sz="4" w:space="0" w:color="auto"/>
              <w:left w:val="nil"/>
              <w:bottom w:val="single" w:sz="4" w:space="0" w:color="auto"/>
              <w:right w:val="nil"/>
            </w:tcBorders>
            <w:shd w:val="clear" w:color="auto" w:fill="auto"/>
          </w:tcPr>
          <w:p w14:paraId="3EC6FFD5" w14:textId="7CC93799" w:rsidR="00BE65EA" w:rsidRPr="006311C5" w:rsidRDefault="00BE65EA" w:rsidP="00224A6B">
            <w:pPr>
              <w:pStyle w:val="Tabletext"/>
              <w:rPr>
                <w:rFonts w:cstheme="minorHAnsi"/>
                <w:szCs w:val="18"/>
              </w:rPr>
            </w:pPr>
            <w:r w:rsidRPr="006311C5">
              <w:rPr>
                <w:rFonts w:cstheme="minorHAnsi"/>
                <w:szCs w:val="18"/>
              </w:rPr>
              <w:t>0.193</w:t>
            </w:r>
          </w:p>
        </w:tc>
      </w:tr>
      <w:tr w:rsidR="00BE65EA" w:rsidRPr="006311C5" w14:paraId="0E37CFC7" w14:textId="77777777" w:rsidTr="009E0FF1">
        <w:trPr>
          <w:jc w:val="center"/>
        </w:trPr>
        <w:tc>
          <w:tcPr>
            <w:tcW w:w="508" w:type="pct"/>
            <w:vMerge/>
            <w:tcBorders>
              <w:left w:val="nil"/>
              <w:right w:val="nil"/>
            </w:tcBorders>
            <w:shd w:val="clear" w:color="auto" w:fill="auto"/>
          </w:tcPr>
          <w:p w14:paraId="1365F18C" w14:textId="77777777" w:rsidR="00BE65EA" w:rsidRPr="006311C5" w:rsidRDefault="00BE65EA" w:rsidP="00224A6B">
            <w:pPr>
              <w:pStyle w:val="Tabletext"/>
              <w:rPr>
                <w:rFonts w:cstheme="minorHAnsi"/>
                <w:szCs w:val="18"/>
              </w:rPr>
            </w:pPr>
          </w:p>
        </w:tc>
        <w:tc>
          <w:tcPr>
            <w:tcW w:w="1506" w:type="pct"/>
            <w:tcBorders>
              <w:left w:val="nil"/>
              <w:right w:val="nil"/>
            </w:tcBorders>
            <w:shd w:val="clear" w:color="auto" w:fill="auto"/>
          </w:tcPr>
          <w:p w14:paraId="48F0436D" w14:textId="16F43BF7" w:rsidR="00BE65EA" w:rsidRPr="006311C5" w:rsidRDefault="00BE65EA" w:rsidP="00224A6B">
            <w:pPr>
              <w:pStyle w:val="Tabletext"/>
              <w:rPr>
                <w:rFonts w:cstheme="minorHAnsi"/>
                <w:szCs w:val="18"/>
              </w:rPr>
            </w:pPr>
            <w:r w:rsidRPr="006311C5">
              <w:rPr>
                <w:rFonts w:cstheme="minorHAnsi"/>
                <w:szCs w:val="18"/>
              </w:rPr>
              <w:t xml:space="preserve">COVID-19 vaccination beliefs component 3: safety of the vaccine </w:t>
            </w:r>
          </w:p>
        </w:tc>
        <w:tc>
          <w:tcPr>
            <w:tcW w:w="756" w:type="pct"/>
            <w:tcBorders>
              <w:left w:val="nil"/>
              <w:bottom w:val="single" w:sz="4" w:space="0" w:color="auto"/>
              <w:right w:val="nil"/>
            </w:tcBorders>
            <w:shd w:val="clear" w:color="auto" w:fill="auto"/>
          </w:tcPr>
          <w:p w14:paraId="445795F2" w14:textId="5E1201C8" w:rsidR="00BE65EA" w:rsidRPr="006311C5" w:rsidRDefault="00BE65EA" w:rsidP="00224A6B">
            <w:pPr>
              <w:pStyle w:val="Tabletext"/>
              <w:rPr>
                <w:rFonts w:cstheme="minorHAnsi"/>
                <w:szCs w:val="18"/>
              </w:rPr>
            </w:pPr>
            <w:r w:rsidRPr="006311C5">
              <w:rPr>
                <w:rFonts w:cstheme="minorHAnsi"/>
                <w:szCs w:val="18"/>
              </w:rPr>
              <w:t>—</w:t>
            </w:r>
          </w:p>
        </w:tc>
        <w:tc>
          <w:tcPr>
            <w:tcW w:w="826" w:type="pct"/>
            <w:tcBorders>
              <w:top w:val="single" w:sz="4" w:space="0" w:color="auto"/>
              <w:left w:val="nil"/>
              <w:bottom w:val="single" w:sz="4" w:space="0" w:color="auto"/>
              <w:right w:val="nil"/>
            </w:tcBorders>
            <w:shd w:val="clear" w:color="auto" w:fill="auto"/>
          </w:tcPr>
          <w:p w14:paraId="45EF35C3" w14:textId="422C4972" w:rsidR="00BE65EA" w:rsidRPr="006311C5" w:rsidRDefault="00BE65EA" w:rsidP="00224A6B">
            <w:pPr>
              <w:pStyle w:val="Tabletext"/>
              <w:rPr>
                <w:rFonts w:cstheme="minorHAnsi"/>
                <w:szCs w:val="18"/>
              </w:rPr>
            </w:pPr>
            <w:r w:rsidRPr="006311C5">
              <w:rPr>
                <w:rFonts w:cstheme="minorHAnsi"/>
                <w:szCs w:val="18"/>
              </w:rPr>
              <w:t>0.943 (0.770 to 1.155)</w:t>
            </w:r>
          </w:p>
        </w:tc>
        <w:tc>
          <w:tcPr>
            <w:tcW w:w="289" w:type="pct"/>
            <w:tcBorders>
              <w:top w:val="single" w:sz="4" w:space="0" w:color="auto"/>
              <w:left w:val="nil"/>
              <w:bottom w:val="single" w:sz="4" w:space="0" w:color="auto"/>
              <w:right w:val="nil"/>
            </w:tcBorders>
            <w:shd w:val="clear" w:color="auto" w:fill="auto"/>
          </w:tcPr>
          <w:p w14:paraId="04EE4585" w14:textId="50DDE910" w:rsidR="00BE65EA" w:rsidRPr="006311C5" w:rsidRDefault="00BE65EA" w:rsidP="00224A6B">
            <w:pPr>
              <w:pStyle w:val="Tabletext"/>
              <w:rPr>
                <w:rFonts w:cstheme="minorHAnsi"/>
                <w:szCs w:val="18"/>
              </w:rPr>
            </w:pPr>
            <w:r w:rsidRPr="006311C5">
              <w:rPr>
                <w:rFonts w:cstheme="minorHAnsi"/>
                <w:szCs w:val="18"/>
              </w:rPr>
              <w:t>0.572</w:t>
            </w:r>
          </w:p>
        </w:tc>
        <w:tc>
          <w:tcPr>
            <w:tcW w:w="826" w:type="pct"/>
            <w:tcBorders>
              <w:top w:val="single" w:sz="4" w:space="0" w:color="auto"/>
              <w:left w:val="nil"/>
              <w:bottom w:val="single" w:sz="4" w:space="0" w:color="auto"/>
              <w:right w:val="nil"/>
            </w:tcBorders>
            <w:shd w:val="clear" w:color="auto" w:fill="auto"/>
          </w:tcPr>
          <w:p w14:paraId="514797AD" w14:textId="3396B163" w:rsidR="00BE65EA" w:rsidRPr="006311C5" w:rsidRDefault="00BE65EA" w:rsidP="00224A6B">
            <w:pPr>
              <w:pStyle w:val="Tabletext"/>
              <w:rPr>
                <w:rFonts w:cstheme="minorHAnsi"/>
                <w:szCs w:val="18"/>
              </w:rPr>
            </w:pPr>
            <w:r w:rsidRPr="006311C5">
              <w:rPr>
                <w:rFonts w:cstheme="minorHAnsi"/>
                <w:szCs w:val="18"/>
              </w:rPr>
              <w:t>0.958 (0.785 to 1.169)</w:t>
            </w:r>
          </w:p>
        </w:tc>
        <w:tc>
          <w:tcPr>
            <w:tcW w:w="289" w:type="pct"/>
            <w:tcBorders>
              <w:top w:val="single" w:sz="4" w:space="0" w:color="auto"/>
              <w:left w:val="nil"/>
              <w:bottom w:val="single" w:sz="4" w:space="0" w:color="auto"/>
              <w:right w:val="nil"/>
            </w:tcBorders>
            <w:shd w:val="clear" w:color="auto" w:fill="auto"/>
          </w:tcPr>
          <w:p w14:paraId="4292A103" w14:textId="0F23D46D" w:rsidR="00BE65EA" w:rsidRPr="006311C5" w:rsidRDefault="00BE65EA" w:rsidP="00224A6B">
            <w:pPr>
              <w:pStyle w:val="Tabletext"/>
              <w:rPr>
                <w:rFonts w:cstheme="minorHAnsi"/>
                <w:szCs w:val="18"/>
              </w:rPr>
            </w:pPr>
            <w:r w:rsidRPr="006311C5">
              <w:rPr>
                <w:rFonts w:cstheme="minorHAnsi"/>
                <w:szCs w:val="18"/>
              </w:rPr>
              <w:t>0.670</w:t>
            </w:r>
          </w:p>
        </w:tc>
      </w:tr>
      <w:tr w:rsidR="00BE65EA" w:rsidRPr="006311C5" w14:paraId="38257744" w14:textId="77777777" w:rsidTr="009E0FF1">
        <w:trPr>
          <w:jc w:val="center"/>
        </w:trPr>
        <w:tc>
          <w:tcPr>
            <w:tcW w:w="508" w:type="pct"/>
            <w:vMerge/>
            <w:tcBorders>
              <w:left w:val="nil"/>
              <w:right w:val="nil"/>
            </w:tcBorders>
            <w:shd w:val="clear" w:color="auto" w:fill="auto"/>
          </w:tcPr>
          <w:p w14:paraId="0E2AB70C" w14:textId="77777777" w:rsidR="00BE65EA" w:rsidRPr="006311C5" w:rsidRDefault="00BE65EA" w:rsidP="00224A6B">
            <w:pPr>
              <w:pStyle w:val="Tabletext"/>
              <w:rPr>
                <w:rFonts w:cstheme="minorHAnsi"/>
                <w:szCs w:val="18"/>
              </w:rPr>
            </w:pPr>
          </w:p>
        </w:tc>
        <w:tc>
          <w:tcPr>
            <w:tcW w:w="1506" w:type="pct"/>
            <w:tcBorders>
              <w:left w:val="nil"/>
              <w:right w:val="nil"/>
            </w:tcBorders>
            <w:shd w:val="clear" w:color="auto" w:fill="auto"/>
          </w:tcPr>
          <w:p w14:paraId="17BD1237" w14:textId="5C6A0866" w:rsidR="00BE65EA" w:rsidRPr="006311C5" w:rsidRDefault="00BE65EA" w:rsidP="00224A6B">
            <w:pPr>
              <w:pStyle w:val="Tabletext"/>
              <w:rPr>
                <w:rFonts w:cstheme="minorHAnsi"/>
                <w:szCs w:val="18"/>
              </w:rPr>
            </w:pPr>
            <w:r w:rsidRPr="006311C5">
              <w:rPr>
                <w:rFonts w:cstheme="minorHAnsi"/>
                <w:szCs w:val="18"/>
              </w:rPr>
              <w:t xml:space="preserve">COVID-19 vaccination beliefs component 4: adequacy of information about vaccination </w:t>
            </w:r>
          </w:p>
        </w:tc>
        <w:tc>
          <w:tcPr>
            <w:tcW w:w="756" w:type="pct"/>
            <w:tcBorders>
              <w:top w:val="single" w:sz="4" w:space="0" w:color="auto"/>
              <w:left w:val="nil"/>
              <w:right w:val="nil"/>
            </w:tcBorders>
            <w:shd w:val="clear" w:color="auto" w:fill="auto"/>
          </w:tcPr>
          <w:p w14:paraId="4B708D10" w14:textId="1100DB20" w:rsidR="00BE65EA" w:rsidRPr="006311C5" w:rsidRDefault="00BE65EA" w:rsidP="00224A6B">
            <w:pPr>
              <w:pStyle w:val="Tabletext"/>
              <w:rPr>
                <w:rFonts w:cstheme="minorHAnsi"/>
                <w:szCs w:val="18"/>
              </w:rPr>
            </w:pPr>
            <w:r w:rsidRPr="006311C5">
              <w:rPr>
                <w:rFonts w:cstheme="minorHAnsi"/>
                <w:szCs w:val="18"/>
              </w:rPr>
              <w:t>—</w:t>
            </w:r>
          </w:p>
        </w:tc>
        <w:tc>
          <w:tcPr>
            <w:tcW w:w="826" w:type="pct"/>
            <w:tcBorders>
              <w:top w:val="single" w:sz="4" w:space="0" w:color="auto"/>
              <w:left w:val="nil"/>
              <w:bottom w:val="single" w:sz="4" w:space="0" w:color="auto"/>
              <w:right w:val="nil"/>
            </w:tcBorders>
            <w:shd w:val="clear" w:color="auto" w:fill="auto"/>
          </w:tcPr>
          <w:p w14:paraId="744FAC88" w14:textId="7198DD82" w:rsidR="00BE65EA" w:rsidRPr="006311C5" w:rsidRDefault="00BE65EA" w:rsidP="00224A6B">
            <w:pPr>
              <w:pStyle w:val="Tabletext"/>
              <w:rPr>
                <w:rFonts w:cstheme="minorHAnsi"/>
                <w:szCs w:val="18"/>
              </w:rPr>
            </w:pPr>
            <w:r w:rsidRPr="006311C5">
              <w:rPr>
                <w:rFonts w:cstheme="minorHAnsi"/>
                <w:szCs w:val="18"/>
              </w:rPr>
              <w:t>0.780 (0.648 to 0.939)</w:t>
            </w:r>
          </w:p>
        </w:tc>
        <w:tc>
          <w:tcPr>
            <w:tcW w:w="289" w:type="pct"/>
            <w:tcBorders>
              <w:top w:val="single" w:sz="4" w:space="0" w:color="auto"/>
              <w:left w:val="nil"/>
              <w:bottom w:val="single" w:sz="4" w:space="0" w:color="auto"/>
              <w:right w:val="nil"/>
            </w:tcBorders>
            <w:shd w:val="clear" w:color="auto" w:fill="auto"/>
          </w:tcPr>
          <w:p w14:paraId="2F9ADFEF" w14:textId="70D16A96" w:rsidR="00BE65EA" w:rsidRPr="006311C5" w:rsidRDefault="00BE65EA" w:rsidP="00224A6B">
            <w:pPr>
              <w:pStyle w:val="Tabletext"/>
              <w:rPr>
                <w:rFonts w:cstheme="minorHAnsi"/>
                <w:szCs w:val="18"/>
              </w:rPr>
            </w:pPr>
            <w:r w:rsidRPr="006311C5">
              <w:rPr>
                <w:rFonts w:cstheme="minorHAnsi"/>
                <w:szCs w:val="18"/>
              </w:rPr>
              <w:t>0.009*</w:t>
            </w:r>
          </w:p>
        </w:tc>
        <w:tc>
          <w:tcPr>
            <w:tcW w:w="826" w:type="pct"/>
            <w:tcBorders>
              <w:top w:val="single" w:sz="4" w:space="0" w:color="auto"/>
              <w:left w:val="nil"/>
              <w:bottom w:val="single" w:sz="4" w:space="0" w:color="auto"/>
              <w:right w:val="nil"/>
            </w:tcBorders>
            <w:shd w:val="clear" w:color="auto" w:fill="auto"/>
          </w:tcPr>
          <w:p w14:paraId="7BB3F9B6" w14:textId="673766B8" w:rsidR="00BE65EA" w:rsidRPr="006311C5" w:rsidRDefault="00BE65EA" w:rsidP="00224A6B">
            <w:pPr>
              <w:pStyle w:val="Tabletext"/>
              <w:rPr>
                <w:rFonts w:cstheme="minorHAnsi"/>
                <w:szCs w:val="18"/>
              </w:rPr>
            </w:pPr>
            <w:r w:rsidRPr="006311C5">
              <w:rPr>
                <w:rFonts w:cstheme="minorHAnsi"/>
                <w:szCs w:val="18"/>
              </w:rPr>
              <w:t>0.989 (0.828 to 1.181)</w:t>
            </w:r>
          </w:p>
        </w:tc>
        <w:tc>
          <w:tcPr>
            <w:tcW w:w="289" w:type="pct"/>
            <w:tcBorders>
              <w:top w:val="single" w:sz="4" w:space="0" w:color="auto"/>
              <w:left w:val="nil"/>
              <w:bottom w:val="single" w:sz="4" w:space="0" w:color="auto"/>
              <w:right w:val="nil"/>
            </w:tcBorders>
            <w:shd w:val="clear" w:color="auto" w:fill="auto"/>
          </w:tcPr>
          <w:p w14:paraId="427FB3E7" w14:textId="14B4CE22" w:rsidR="00BE65EA" w:rsidRPr="006311C5" w:rsidRDefault="00BE65EA" w:rsidP="00224A6B">
            <w:pPr>
              <w:pStyle w:val="Tabletext"/>
              <w:rPr>
                <w:rFonts w:cstheme="minorHAnsi"/>
                <w:szCs w:val="18"/>
              </w:rPr>
            </w:pPr>
            <w:r w:rsidRPr="006311C5">
              <w:rPr>
                <w:rFonts w:cstheme="minorHAnsi"/>
                <w:szCs w:val="18"/>
              </w:rPr>
              <w:t>0.898</w:t>
            </w:r>
          </w:p>
        </w:tc>
      </w:tr>
      <w:tr w:rsidR="00BE65EA" w:rsidRPr="006311C5" w14:paraId="3B26A8E9" w14:textId="77777777" w:rsidTr="009E0FF1">
        <w:trPr>
          <w:jc w:val="center"/>
        </w:trPr>
        <w:tc>
          <w:tcPr>
            <w:tcW w:w="508" w:type="pct"/>
            <w:vMerge/>
            <w:tcBorders>
              <w:left w:val="nil"/>
              <w:bottom w:val="single" w:sz="12" w:space="0" w:color="auto"/>
              <w:right w:val="nil"/>
            </w:tcBorders>
            <w:shd w:val="clear" w:color="auto" w:fill="auto"/>
          </w:tcPr>
          <w:p w14:paraId="105D3716" w14:textId="77777777" w:rsidR="00BE65EA" w:rsidRPr="006311C5" w:rsidRDefault="00BE65EA" w:rsidP="00224A6B">
            <w:pPr>
              <w:pStyle w:val="Tabletext"/>
              <w:rPr>
                <w:rFonts w:cstheme="minorHAnsi"/>
                <w:szCs w:val="18"/>
              </w:rPr>
            </w:pPr>
          </w:p>
        </w:tc>
        <w:tc>
          <w:tcPr>
            <w:tcW w:w="1506" w:type="pct"/>
            <w:tcBorders>
              <w:left w:val="nil"/>
              <w:bottom w:val="single" w:sz="12" w:space="0" w:color="auto"/>
              <w:right w:val="nil"/>
            </w:tcBorders>
            <w:shd w:val="clear" w:color="auto" w:fill="auto"/>
          </w:tcPr>
          <w:p w14:paraId="6316F020" w14:textId="77777777" w:rsidR="00BE65EA" w:rsidRPr="006311C5" w:rsidRDefault="00BE65EA" w:rsidP="00224A6B">
            <w:pPr>
              <w:pStyle w:val="Tabletext"/>
              <w:rPr>
                <w:rFonts w:cstheme="minorHAnsi"/>
                <w:szCs w:val="18"/>
              </w:rPr>
            </w:pPr>
            <w:r w:rsidRPr="006311C5">
              <w:rPr>
                <w:rFonts w:cstheme="minorHAnsi"/>
                <w:szCs w:val="18"/>
              </w:rPr>
              <w:t>How likely do you think it is that you would get side effects from a coronavirus vaccine?</w:t>
            </w:r>
          </w:p>
        </w:tc>
        <w:tc>
          <w:tcPr>
            <w:tcW w:w="756" w:type="pct"/>
            <w:tcBorders>
              <w:left w:val="nil"/>
              <w:bottom w:val="single" w:sz="12" w:space="0" w:color="auto"/>
              <w:right w:val="nil"/>
            </w:tcBorders>
            <w:shd w:val="clear" w:color="auto" w:fill="auto"/>
          </w:tcPr>
          <w:p w14:paraId="0206F11E" w14:textId="77777777" w:rsidR="00BE65EA" w:rsidRPr="006311C5" w:rsidRDefault="00BE65EA" w:rsidP="00224A6B">
            <w:pPr>
              <w:pStyle w:val="Tabletext"/>
              <w:rPr>
                <w:rFonts w:cstheme="minorHAnsi"/>
                <w:szCs w:val="18"/>
              </w:rPr>
            </w:pPr>
            <w:r w:rsidRPr="006311C5">
              <w:rPr>
                <w:rFonts w:cstheme="minorHAnsi"/>
                <w:szCs w:val="18"/>
              </w:rPr>
              <w:t>0 (extremely unlikely) to 10 (extremely likely)</w:t>
            </w:r>
          </w:p>
        </w:tc>
        <w:tc>
          <w:tcPr>
            <w:tcW w:w="826" w:type="pct"/>
            <w:tcBorders>
              <w:top w:val="single" w:sz="4" w:space="0" w:color="auto"/>
              <w:left w:val="nil"/>
              <w:bottom w:val="single" w:sz="12" w:space="0" w:color="auto"/>
              <w:right w:val="nil"/>
            </w:tcBorders>
            <w:shd w:val="clear" w:color="auto" w:fill="auto"/>
          </w:tcPr>
          <w:p w14:paraId="7D2910BF" w14:textId="3E9936BE" w:rsidR="00BE65EA" w:rsidRPr="006311C5" w:rsidRDefault="00BE65EA" w:rsidP="00224A6B">
            <w:pPr>
              <w:pStyle w:val="Tabletext"/>
              <w:rPr>
                <w:rFonts w:cstheme="minorHAnsi"/>
                <w:szCs w:val="18"/>
              </w:rPr>
            </w:pPr>
            <w:r w:rsidRPr="006311C5">
              <w:rPr>
                <w:rFonts w:cstheme="minorHAnsi"/>
                <w:szCs w:val="18"/>
              </w:rPr>
              <w:t>1.020 (0.943 to 1.103)</w:t>
            </w:r>
          </w:p>
        </w:tc>
        <w:tc>
          <w:tcPr>
            <w:tcW w:w="289" w:type="pct"/>
            <w:tcBorders>
              <w:top w:val="single" w:sz="4" w:space="0" w:color="auto"/>
              <w:left w:val="nil"/>
              <w:bottom w:val="single" w:sz="12" w:space="0" w:color="auto"/>
              <w:right w:val="nil"/>
            </w:tcBorders>
            <w:shd w:val="clear" w:color="auto" w:fill="auto"/>
          </w:tcPr>
          <w:p w14:paraId="2B745D4F" w14:textId="229C8FCC" w:rsidR="00BE65EA" w:rsidRPr="006311C5" w:rsidRDefault="00BE65EA" w:rsidP="00224A6B">
            <w:pPr>
              <w:pStyle w:val="Tabletext"/>
              <w:rPr>
                <w:rFonts w:cstheme="minorHAnsi"/>
                <w:szCs w:val="18"/>
              </w:rPr>
            </w:pPr>
            <w:r w:rsidRPr="006311C5">
              <w:rPr>
                <w:rFonts w:cstheme="minorHAnsi"/>
                <w:szCs w:val="18"/>
              </w:rPr>
              <w:t>0.626</w:t>
            </w:r>
          </w:p>
        </w:tc>
        <w:tc>
          <w:tcPr>
            <w:tcW w:w="826" w:type="pct"/>
            <w:tcBorders>
              <w:top w:val="single" w:sz="4" w:space="0" w:color="auto"/>
              <w:left w:val="nil"/>
              <w:bottom w:val="single" w:sz="12" w:space="0" w:color="auto"/>
              <w:right w:val="nil"/>
            </w:tcBorders>
            <w:shd w:val="clear" w:color="auto" w:fill="auto"/>
          </w:tcPr>
          <w:p w14:paraId="4DCAEC82" w14:textId="210513A3" w:rsidR="00BE65EA" w:rsidRPr="006311C5" w:rsidRDefault="00BE65EA" w:rsidP="00224A6B">
            <w:pPr>
              <w:pStyle w:val="Tabletext"/>
              <w:rPr>
                <w:rFonts w:cstheme="minorHAnsi"/>
                <w:szCs w:val="18"/>
              </w:rPr>
            </w:pPr>
            <w:r w:rsidRPr="006311C5">
              <w:rPr>
                <w:rFonts w:cstheme="minorHAnsi"/>
                <w:szCs w:val="18"/>
              </w:rPr>
              <w:t>1.051 (0.973 to 1.135)</w:t>
            </w:r>
          </w:p>
        </w:tc>
        <w:tc>
          <w:tcPr>
            <w:tcW w:w="289" w:type="pct"/>
            <w:tcBorders>
              <w:top w:val="single" w:sz="4" w:space="0" w:color="auto"/>
              <w:left w:val="nil"/>
              <w:bottom w:val="single" w:sz="12" w:space="0" w:color="auto"/>
              <w:right w:val="nil"/>
            </w:tcBorders>
            <w:shd w:val="clear" w:color="auto" w:fill="auto"/>
          </w:tcPr>
          <w:p w14:paraId="7CE01230" w14:textId="7F70DCBE" w:rsidR="00BE65EA" w:rsidRPr="006311C5" w:rsidRDefault="00BE65EA" w:rsidP="00224A6B">
            <w:pPr>
              <w:pStyle w:val="Tabletext"/>
              <w:rPr>
                <w:rFonts w:cstheme="minorHAnsi"/>
                <w:szCs w:val="18"/>
              </w:rPr>
            </w:pPr>
            <w:r w:rsidRPr="006311C5">
              <w:rPr>
                <w:rFonts w:cstheme="minorHAnsi"/>
                <w:szCs w:val="18"/>
              </w:rPr>
              <w:t>0.209</w:t>
            </w:r>
          </w:p>
        </w:tc>
      </w:tr>
      <w:tr w:rsidR="00EE735D" w:rsidRPr="006311C5" w14:paraId="76477A8B" w14:textId="77777777" w:rsidTr="009E0FF1">
        <w:trPr>
          <w:jc w:val="center"/>
        </w:trPr>
        <w:tc>
          <w:tcPr>
            <w:tcW w:w="508" w:type="pct"/>
            <w:vMerge w:val="restart"/>
            <w:tcBorders>
              <w:top w:val="single" w:sz="12" w:space="0" w:color="auto"/>
              <w:left w:val="nil"/>
              <w:right w:val="nil"/>
            </w:tcBorders>
            <w:shd w:val="clear" w:color="auto" w:fill="auto"/>
          </w:tcPr>
          <w:p w14:paraId="1E715DF5" w14:textId="5AF8025A" w:rsidR="00A145D0" w:rsidRPr="006311C5" w:rsidRDefault="00A145D0" w:rsidP="00224A6B">
            <w:pPr>
              <w:pStyle w:val="Tabletext"/>
              <w:rPr>
                <w:rFonts w:cstheme="minorHAnsi"/>
                <w:szCs w:val="18"/>
              </w:rPr>
            </w:pPr>
            <w:r w:rsidRPr="006311C5">
              <w:rPr>
                <w:rFonts w:cstheme="minorHAnsi"/>
                <w:szCs w:val="18"/>
              </w:rPr>
              <w:t>Block 3 – previous symptoms</w:t>
            </w:r>
          </w:p>
        </w:tc>
        <w:tc>
          <w:tcPr>
            <w:tcW w:w="1506" w:type="pct"/>
            <w:vMerge w:val="restart"/>
            <w:tcBorders>
              <w:top w:val="single" w:sz="12" w:space="0" w:color="auto"/>
              <w:left w:val="nil"/>
              <w:right w:val="nil"/>
            </w:tcBorders>
            <w:shd w:val="clear" w:color="auto" w:fill="auto"/>
          </w:tcPr>
          <w:p w14:paraId="7E2E5186" w14:textId="1123B6BA" w:rsidR="00A145D0" w:rsidRPr="006311C5" w:rsidRDefault="00A145D0" w:rsidP="00224A6B">
            <w:pPr>
              <w:pStyle w:val="Tabletext"/>
              <w:rPr>
                <w:rFonts w:cstheme="minorHAnsi"/>
                <w:szCs w:val="18"/>
              </w:rPr>
            </w:pPr>
            <w:r w:rsidRPr="006311C5">
              <w:rPr>
                <w:rFonts w:cstheme="minorHAnsi"/>
                <w:szCs w:val="18"/>
              </w:rPr>
              <w:t xml:space="preserve">Symptoms reported after first vaccine dose </w:t>
            </w:r>
            <w:r w:rsidR="00793AAB" w:rsidRPr="006311C5">
              <w:rPr>
                <w:vertAlign w:val="superscript"/>
              </w:rPr>
              <w:t>b</w:t>
            </w:r>
          </w:p>
        </w:tc>
        <w:tc>
          <w:tcPr>
            <w:tcW w:w="756" w:type="pct"/>
            <w:tcBorders>
              <w:top w:val="single" w:sz="12" w:space="0" w:color="auto"/>
              <w:left w:val="nil"/>
              <w:bottom w:val="nil"/>
              <w:right w:val="nil"/>
            </w:tcBorders>
            <w:shd w:val="clear" w:color="auto" w:fill="auto"/>
          </w:tcPr>
          <w:p w14:paraId="51FA737F" w14:textId="6275BDFD" w:rsidR="00A145D0" w:rsidRPr="006311C5" w:rsidRDefault="00A145D0" w:rsidP="00224A6B">
            <w:pPr>
              <w:pStyle w:val="Tabletext"/>
              <w:rPr>
                <w:rFonts w:cstheme="minorHAnsi"/>
                <w:szCs w:val="18"/>
              </w:rPr>
            </w:pPr>
            <w:r w:rsidRPr="006311C5">
              <w:rPr>
                <w:rFonts w:cstheme="minorHAnsi"/>
                <w:szCs w:val="18"/>
              </w:rPr>
              <w:t>No</w:t>
            </w:r>
          </w:p>
        </w:tc>
        <w:tc>
          <w:tcPr>
            <w:tcW w:w="826" w:type="pct"/>
            <w:tcBorders>
              <w:top w:val="single" w:sz="12" w:space="0" w:color="auto"/>
              <w:left w:val="nil"/>
              <w:bottom w:val="nil"/>
              <w:right w:val="nil"/>
            </w:tcBorders>
            <w:shd w:val="clear" w:color="auto" w:fill="auto"/>
          </w:tcPr>
          <w:p w14:paraId="3FDA97F9" w14:textId="2EB0F3AD" w:rsidR="00A145D0" w:rsidRPr="006311C5" w:rsidRDefault="00A145D0" w:rsidP="00224A6B">
            <w:pPr>
              <w:pStyle w:val="Tabletext"/>
              <w:rPr>
                <w:rFonts w:cstheme="minorHAnsi"/>
                <w:szCs w:val="18"/>
              </w:rPr>
            </w:pPr>
            <w:r w:rsidRPr="006311C5">
              <w:rPr>
                <w:rFonts w:cstheme="minorHAnsi"/>
                <w:szCs w:val="18"/>
              </w:rPr>
              <w:t>Reference</w:t>
            </w:r>
          </w:p>
        </w:tc>
        <w:tc>
          <w:tcPr>
            <w:tcW w:w="289" w:type="pct"/>
            <w:tcBorders>
              <w:top w:val="single" w:sz="12" w:space="0" w:color="auto"/>
              <w:left w:val="nil"/>
              <w:bottom w:val="nil"/>
              <w:right w:val="nil"/>
            </w:tcBorders>
            <w:shd w:val="clear" w:color="auto" w:fill="auto"/>
          </w:tcPr>
          <w:p w14:paraId="40050F90" w14:textId="55810AFD" w:rsidR="00A145D0" w:rsidRPr="006311C5" w:rsidRDefault="00A145D0" w:rsidP="00224A6B">
            <w:pPr>
              <w:pStyle w:val="Tabletext"/>
              <w:rPr>
                <w:rFonts w:cstheme="minorHAnsi"/>
                <w:szCs w:val="18"/>
              </w:rPr>
            </w:pPr>
            <w:r w:rsidRPr="006311C5">
              <w:rPr>
                <w:rFonts w:cstheme="minorHAnsi"/>
                <w:szCs w:val="18"/>
              </w:rPr>
              <w:t>-</w:t>
            </w:r>
          </w:p>
        </w:tc>
        <w:tc>
          <w:tcPr>
            <w:tcW w:w="826" w:type="pct"/>
            <w:tcBorders>
              <w:top w:val="single" w:sz="12" w:space="0" w:color="auto"/>
              <w:left w:val="nil"/>
              <w:bottom w:val="nil"/>
              <w:right w:val="nil"/>
            </w:tcBorders>
            <w:shd w:val="clear" w:color="auto" w:fill="auto"/>
          </w:tcPr>
          <w:p w14:paraId="33E4A1DD" w14:textId="57BCB567" w:rsidR="00A145D0" w:rsidRPr="006311C5" w:rsidRDefault="00A145D0" w:rsidP="00224A6B">
            <w:pPr>
              <w:pStyle w:val="Tabletext"/>
              <w:rPr>
                <w:rFonts w:cstheme="minorHAnsi"/>
                <w:szCs w:val="18"/>
              </w:rPr>
            </w:pPr>
            <w:r w:rsidRPr="006311C5">
              <w:rPr>
                <w:rFonts w:cstheme="minorHAnsi"/>
                <w:szCs w:val="18"/>
              </w:rPr>
              <w:t>Reference</w:t>
            </w:r>
          </w:p>
        </w:tc>
        <w:tc>
          <w:tcPr>
            <w:tcW w:w="289" w:type="pct"/>
            <w:tcBorders>
              <w:top w:val="single" w:sz="12" w:space="0" w:color="auto"/>
              <w:left w:val="nil"/>
              <w:bottom w:val="nil"/>
              <w:right w:val="nil"/>
            </w:tcBorders>
            <w:shd w:val="clear" w:color="auto" w:fill="auto"/>
          </w:tcPr>
          <w:p w14:paraId="6522774C" w14:textId="7D8812CC" w:rsidR="00A145D0" w:rsidRPr="006311C5" w:rsidRDefault="00A145D0" w:rsidP="00224A6B">
            <w:pPr>
              <w:pStyle w:val="Tabletext"/>
              <w:rPr>
                <w:rFonts w:cstheme="minorHAnsi"/>
                <w:szCs w:val="18"/>
              </w:rPr>
            </w:pPr>
            <w:r w:rsidRPr="006311C5">
              <w:rPr>
                <w:rFonts w:cstheme="minorHAnsi"/>
                <w:szCs w:val="18"/>
              </w:rPr>
              <w:t>-</w:t>
            </w:r>
          </w:p>
        </w:tc>
      </w:tr>
      <w:tr w:rsidR="00EE735D" w:rsidRPr="006311C5" w14:paraId="174A74D9" w14:textId="77777777" w:rsidTr="009E0FF1">
        <w:trPr>
          <w:jc w:val="center"/>
        </w:trPr>
        <w:tc>
          <w:tcPr>
            <w:tcW w:w="508" w:type="pct"/>
            <w:vMerge/>
            <w:tcBorders>
              <w:left w:val="nil"/>
              <w:right w:val="nil"/>
            </w:tcBorders>
          </w:tcPr>
          <w:p w14:paraId="25ECC63A" w14:textId="77777777" w:rsidR="00A145D0" w:rsidRPr="006311C5" w:rsidRDefault="00A145D0" w:rsidP="00224A6B">
            <w:pPr>
              <w:pStyle w:val="Tabletext"/>
              <w:rPr>
                <w:rFonts w:cstheme="minorHAnsi"/>
                <w:szCs w:val="18"/>
              </w:rPr>
            </w:pPr>
          </w:p>
        </w:tc>
        <w:tc>
          <w:tcPr>
            <w:tcW w:w="1506" w:type="pct"/>
            <w:vMerge/>
            <w:tcBorders>
              <w:left w:val="nil"/>
              <w:right w:val="nil"/>
            </w:tcBorders>
          </w:tcPr>
          <w:p w14:paraId="077D691A" w14:textId="77777777" w:rsidR="00A145D0" w:rsidRPr="006311C5" w:rsidRDefault="00A145D0" w:rsidP="00224A6B">
            <w:pPr>
              <w:pStyle w:val="Tabletext"/>
              <w:rPr>
                <w:rFonts w:cstheme="minorHAnsi"/>
                <w:szCs w:val="18"/>
              </w:rPr>
            </w:pPr>
          </w:p>
        </w:tc>
        <w:tc>
          <w:tcPr>
            <w:tcW w:w="756" w:type="pct"/>
            <w:tcBorders>
              <w:top w:val="nil"/>
              <w:left w:val="nil"/>
              <w:bottom w:val="single" w:sz="12" w:space="0" w:color="auto"/>
              <w:right w:val="nil"/>
            </w:tcBorders>
            <w:shd w:val="clear" w:color="auto" w:fill="auto"/>
          </w:tcPr>
          <w:p w14:paraId="7135CF9A" w14:textId="5F25FFDD" w:rsidR="00A145D0" w:rsidRPr="006311C5" w:rsidRDefault="00A145D0" w:rsidP="00224A6B">
            <w:pPr>
              <w:pStyle w:val="Tabletext"/>
              <w:rPr>
                <w:rFonts w:cstheme="minorHAnsi"/>
                <w:szCs w:val="18"/>
              </w:rPr>
            </w:pPr>
            <w:r w:rsidRPr="006311C5">
              <w:rPr>
                <w:rFonts w:cstheme="minorHAnsi"/>
                <w:szCs w:val="18"/>
              </w:rPr>
              <w:t>Yes</w:t>
            </w:r>
          </w:p>
        </w:tc>
        <w:tc>
          <w:tcPr>
            <w:tcW w:w="826" w:type="pct"/>
            <w:tcBorders>
              <w:top w:val="nil"/>
              <w:left w:val="nil"/>
              <w:bottom w:val="single" w:sz="12" w:space="0" w:color="auto"/>
              <w:right w:val="nil"/>
            </w:tcBorders>
            <w:shd w:val="clear" w:color="auto" w:fill="auto"/>
          </w:tcPr>
          <w:p w14:paraId="2C7E00CE" w14:textId="76648F2F" w:rsidR="00A145D0" w:rsidRPr="006311C5" w:rsidRDefault="00A145D0" w:rsidP="00224A6B">
            <w:pPr>
              <w:pStyle w:val="Tabletext"/>
              <w:rPr>
                <w:rFonts w:cstheme="minorHAnsi"/>
                <w:szCs w:val="18"/>
              </w:rPr>
            </w:pPr>
            <w:r w:rsidRPr="006311C5">
              <w:rPr>
                <w:rFonts w:cstheme="minorHAnsi"/>
                <w:szCs w:val="18"/>
              </w:rPr>
              <w:t>15.424 (9.724 to 24.467)</w:t>
            </w:r>
          </w:p>
        </w:tc>
        <w:tc>
          <w:tcPr>
            <w:tcW w:w="289" w:type="pct"/>
            <w:tcBorders>
              <w:top w:val="nil"/>
              <w:left w:val="nil"/>
              <w:bottom w:val="single" w:sz="12" w:space="0" w:color="auto"/>
              <w:right w:val="nil"/>
            </w:tcBorders>
            <w:shd w:val="clear" w:color="auto" w:fill="auto"/>
          </w:tcPr>
          <w:p w14:paraId="78F1AF3B" w14:textId="69AD29CB" w:rsidR="00A145D0" w:rsidRPr="006311C5" w:rsidRDefault="00A145D0" w:rsidP="00224A6B">
            <w:pPr>
              <w:pStyle w:val="Tabletext"/>
              <w:rPr>
                <w:rFonts w:cstheme="minorHAnsi"/>
                <w:szCs w:val="18"/>
              </w:rPr>
            </w:pPr>
            <w:r w:rsidRPr="006311C5">
              <w:rPr>
                <w:rFonts w:cstheme="minorHAnsi"/>
                <w:szCs w:val="18"/>
              </w:rPr>
              <w:t>&lt;0.001*</w:t>
            </w:r>
          </w:p>
        </w:tc>
        <w:tc>
          <w:tcPr>
            <w:tcW w:w="826" w:type="pct"/>
            <w:tcBorders>
              <w:top w:val="nil"/>
              <w:left w:val="nil"/>
              <w:bottom w:val="single" w:sz="12" w:space="0" w:color="auto"/>
              <w:right w:val="nil"/>
            </w:tcBorders>
            <w:shd w:val="clear" w:color="auto" w:fill="auto"/>
          </w:tcPr>
          <w:p w14:paraId="3E348581" w14:textId="6F4F071E" w:rsidR="00A145D0" w:rsidRPr="006311C5" w:rsidRDefault="00A145D0" w:rsidP="00224A6B">
            <w:pPr>
              <w:pStyle w:val="Tabletext"/>
              <w:rPr>
                <w:rFonts w:cstheme="minorHAnsi"/>
                <w:szCs w:val="18"/>
              </w:rPr>
            </w:pPr>
            <w:r w:rsidRPr="006311C5">
              <w:rPr>
                <w:rFonts w:cstheme="minorHAnsi"/>
                <w:szCs w:val="18"/>
              </w:rPr>
              <w:t>11.243 (7.489 to 16.878)</w:t>
            </w:r>
          </w:p>
        </w:tc>
        <w:tc>
          <w:tcPr>
            <w:tcW w:w="289" w:type="pct"/>
            <w:tcBorders>
              <w:top w:val="nil"/>
              <w:left w:val="nil"/>
              <w:bottom w:val="single" w:sz="12" w:space="0" w:color="auto"/>
              <w:right w:val="nil"/>
            </w:tcBorders>
            <w:shd w:val="clear" w:color="auto" w:fill="auto"/>
          </w:tcPr>
          <w:p w14:paraId="7FF28E4F" w14:textId="24049E02" w:rsidR="00A145D0" w:rsidRPr="006311C5" w:rsidRDefault="00A145D0" w:rsidP="00224A6B">
            <w:pPr>
              <w:pStyle w:val="Tabletext"/>
              <w:rPr>
                <w:rFonts w:cstheme="minorHAnsi"/>
                <w:szCs w:val="18"/>
              </w:rPr>
            </w:pPr>
            <w:r w:rsidRPr="006311C5">
              <w:rPr>
                <w:rFonts w:cstheme="minorHAnsi"/>
                <w:szCs w:val="18"/>
              </w:rPr>
              <w:t>&lt;0.001*</w:t>
            </w:r>
          </w:p>
        </w:tc>
      </w:tr>
      <w:tr w:rsidR="00EE735D" w:rsidRPr="006311C5" w14:paraId="0CC54335" w14:textId="77777777" w:rsidTr="009E0FF1">
        <w:trPr>
          <w:jc w:val="center"/>
        </w:trPr>
        <w:tc>
          <w:tcPr>
            <w:tcW w:w="508" w:type="pct"/>
            <w:vMerge w:val="restart"/>
            <w:tcBorders>
              <w:top w:val="single" w:sz="12" w:space="0" w:color="auto"/>
              <w:left w:val="nil"/>
              <w:bottom w:val="single" w:sz="12" w:space="0" w:color="000000" w:themeColor="text1"/>
              <w:right w:val="nil"/>
            </w:tcBorders>
            <w:shd w:val="clear" w:color="auto" w:fill="auto"/>
          </w:tcPr>
          <w:p w14:paraId="7A81FB2F" w14:textId="2258DA73" w:rsidR="00D62594" w:rsidRPr="006311C5" w:rsidRDefault="00D62594" w:rsidP="00555132">
            <w:pPr>
              <w:pStyle w:val="Tabletext"/>
              <w:rPr>
                <w:rFonts w:cstheme="minorHAnsi"/>
                <w:szCs w:val="18"/>
              </w:rPr>
            </w:pPr>
            <w:proofErr w:type="spellStart"/>
            <w:r w:rsidRPr="006311C5">
              <w:rPr>
                <w:rFonts w:cstheme="minorHAnsi"/>
                <w:szCs w:val="18"/>
              </w:rPr>
              <w:t>Nagelkerke</w:t>
            </w:r>
            <w:proofErr w:type="spellEnd"/>
            <w:r w:rsidRPr="006311C5">
              <w:rPr>
                <w:rFonts w:cstheme="minorHAnsi"/>
                <w:szCs w:val="18"/>
              </w:rPr>
              <w:t xml:space="preserve"> </w:t>
            </w:r>
            <w:r w:rsidRPr="006311C5">
              <w:rPr>
                <w:rFonts w:cstheme="minorHAnsi"/>
                <w:i/>
                <w:iCs/>
                <w:szCs w:val="18"/>
              </w:rPr>
              <w:t>R</w:t>
            </w:r>
            <w:r w:rsidRPr="006311C5">
              <w:rPr>
                <w:rFonts w:cstheme="minorHAnsi"/>
                <w:szCs w:val="18"/>
                <w:vertAlign w:val="superscript"/>
              </w:rPr>
              <w:t>2</w:t>
            </w:r>
          </w:p>
        </w:tc>
        <w:tc>
          <w:tcPr>
            <w:tcW w:w="1506" w:type="pct"/>
            <w:tcBorders>
              <w:top w:val="single" w:sz="12" w:space="0" w:color="auto"/>
              <w:left w:val="nil"/>
              <w:bottom w:val="nil"/>
              <w:right w:val="nil"/>
            </w:tcBorders>
            <w:shd w:val="clear" w:color="auto" w:fill="auto"/>
          </w:tcPr>
          <w:p w14:paraId="678E2BE3" w14:textId="77777777" w:rsidR="00D62594" w:rsidRPr="006311C5" w:rsidRDefault="00D62594" w:rsidP="00555132">
            <w:pPr>
              <w:pStyle w:val="Tabletext"/>
              <w:rPr>
                <w:rFonts w:cstheme="minorHAnsi"/>
                <w:szCs w:val="18"/>
              </w:rPr>
            </w:pPr>
          </w:p>
        </w:tc>
        <w:tc>
          <w:tcPr>
            <w:tcW w:w="756" w:type="pct"/>
            <w:tcBorders>
              <w:top w:val="single" w:sz="12" w:space="0" w:color="auto"/>
              <w:left w:val="nil"/>
              <w:bottom w:val="nil"/>
              <w:right w:val="nil"/>
            </w:tcBorders>
            <w:shd w:val="clear" w:color="auto" w:fill="auto"/>
          </w:tcPr>
          <w:p w14:paraId="5436A05F" w14:textId="77777777" w:rsidR="00D62594" w:rsidRPr="006311C5" w:rsidRDefault="00D62594" w:rsidP="00555132">
            <w:pPr>
              <w:pStyle w:val="Tabletext"/>
              <w:rPr>
                <w:rFonts w:cstheme="minorHAnsi"/>
                <w:szCs w:val="18"/>
              </w:rPr>
            </w:pPr>
          </w:p>
        </w:tc>
        <w:tc>
          <w:tcPr>
            <w:tcW w:w="1115" w:type="pct"/>
            <w:gridSpan w:val="2"/>
            <w:tcBorders>
              <w:top w:val="single" w:sz="4" w:space="0" w:color="auto"/>
              <w:left w:val="nil"/>
              <w:bottom w:val="nil"/>
              <w:right w:val="nil"/>
            </w:tcBorders>
            <w:shd w:val="clear" w:color="auto" w:fill="auto"/>
          </w:tcPr>
          <w:p w14:paraId="4EB32E7C" w14:textId="6333AC8D" w:rsidR="00D62594" w:rsidRPr="006311C5" w:rsidRDefault="00D62594" w:rsidP="00555132">
            <w:pPr>
              <w:pStyle w:val="Tabletext"/>
              <w:rPr>
                <w:rFonts w:cstheme="minorHAnsi"/>
                <w:szCs w:val="18"/>
              </w:rPr>
            </w:pPr>
            <w:r w:rsidRPr="006311C5">
              <w:rPr>
                <w:rFonts w:cstheme="minorHAnsi"/>
                <w:szCs w:val="18"/>
              </w:rPr>
              <w:t>For 1</w:t>
            </w:r>
            <w:r w:rsidRPr="006311C5">
              <w:rPr>
                <w:rFonts w:cstheme="minorHAnsi"/>
                <w:szCs w:val="18"/>
                <w:vertAlign w:val="superscript"/>
              </w:rPr>
              <w:t>st</w:t>
            </w:r>
            <w:r w:rsidRPr="006311C5">
              <w:rPr>
                <w:rFonts w:cstheme="minorHAnsi"/>
                <w:szCs w:val="18"/>
              </w:rPr>
              <w:t xml:space="preserve"> block = .10</w:t>
            </w:r>
            <w:r w:rsidR="000D669D" w:rsidRPr="006311C5">
              <w:rPr>
                <w:rFonts w:cstheme="minorHAnsi"/>
                <w:szCs w:val="18"/>
              </w:rPr>
              <w:t>2</w:t>
            </w:r>
          </w:p>
        </w:tc>
        <w:tc>
          <w:tcPr>
            <w:tcW w:w="1115" w:type="pct"/>
            <w:gridSpan w:val="2"/>
            <w:tcBorders>
              <w:top w:val="single" w:sz="12" w:space="0" w:color="auto"/>
              <w:left w:val="nil"/>
              <w:bottom w:val="nil"/>
              <w:right w:val="nil"/>
            </w:tcBorders>
            <w:shd w:val="clear" w:color="auto" w:fill="auto"/>
          </w:tcPr>
          <w:p w14:paraId="4B0B19F2" w14:textId="4BA041EA" w:rsidR="00D62594" w:rsidRPr="006311C5" w:rsidRDefault="00D62594" w:rsidP="00555132">
            <w:pPr>
              <w:pStyle w:val="Tabletext"/>
              <w:rPr>
                <w:rFonts w:cstheme="minorHAnsi"/>
                <w:szCs w:val="18"/>
              </w:rPr>
            </w:pPr>
            <w:r w:rsidRPr="006311C5">
              <w:rPr>
                <w:rFonts w:cstheme="minorHAnsi"/>
                <w:szCs w:val="18"/>
              </w:rPr>
              <w:t>For 1</w:t>
            </w:r>
            <w:r w:rsidRPr="006311C5">
              <w:rPr>
                <w:rFonts w:cstheme="minorHAnsi"/>
                <w:szCs w:val="18"/>
                <w:vertAlign w:val="superscript"/>
              </w:rPr>
              <w:t>st</w:t>
            </w:r>
            <w:r w:rsidRPr="006311C5">
              <w:rPr>
                <w:rFonts w:cstheme="minorHAnsi"/>
                <w:szCs w:val="18"/>
              </w:rPr>
              <w:t xml:space="preserve"> block = .</w:t>
            </w:r>
            <w:r w:rsidR="000D669D" w:rsidRPr="006311C5">
              <w:rPr>
                <w:rFonts w:cstheme="minorHAnsi"/>
                <w:szCs w:val="18"/>
              </w:rPr>
              <w:t>100</w:t>
            </w:r>
          </w:p>
        </w:tc>
      </w:tr>
      <w:tr w:rsidR="00EE735D" w:rsidRPr="006311C5" w14:paraId="49FA863E" w14:textId="77777777" w:rsidTr="009E0FF1">
        <w:trPr>
          <w:jc w:val="center"/>
        </w:trPr>
        <w:tc>
          <w:tcPr>
            <w:tcW w:w="508" w:type="pct"/>
            <w:vMerge/>
            <w:tcBorders>
              <w:left w:val="nil"/>
              <w:bottom w:val="single" w:sz="12" w:space="0" w:color="000000" w:themeColor="text1"/>
              <w:right w:val="nil"/>
            </w:tcBorders>
          </w:tcPr>
          <w:p w14:paraId="3D347BF3" w14:textId="77777777" w:rsidR="00D62594" w:rsidRPr="006311C5" w:rsidRDefault="00D62594" w:rsidP="008A4D35">
            <w:pPr>
              <w:pStyle w:val="Tabletext"/>
              <w:rPr>
                <w:rFonts w:cstheme="minorHAnsi"/>
                <w:szCs w:val="18"/>
              </w:rPr>
            </w:pPr>
          </w:p>
        </w:tc>
        <w:tc>
          <w:tcPr>
            <w:tcW w:w="1506" w:type="pct"/>
            <w:tcBorders>
              <w:top w:val="nil"/>
              <w:left w:val="nil"/>
              <w:bottom w:val="nil"/>
              <w:right w:val="nil"/>
            </w:tcBorders>
            <w:shd w:val="clear" w:color="auto" w:fill="auto"/>
          </w:tcPr>
          <w:p w14:paraId="2183F5D1" w14:textId="77777777" w:rsidR="00D62594" w:rsidRPr="006311C5" w:rsidRDefault="00D62594" w:rsidP="008A4D35">
            <w:pPr>
              <w:pStyle w:val="Tabletext"/>
              <w:rPr>
                <w:rFonts w:cstheme="minorHAnsi"/>
                <w:szCs w:val="18"/>
              </w:rPr>
            </w:pPr>
          </w:p>
        </w:tc>
        <w:tc>
          <w:tcPr>
            <w:tcW w:w="756" w:type="pct"/>
            <w:tcBorders>
              <w:top w:val="nil"/>
              <w:left w:val="nil"/>
              <w:bottom w:val="nil"/>
              <w:right w:val="nil"/>
            </w:tcBorders>
            <w:shd w:val="clear" w:color="auto" w:fill="auto"/>
          </w:tcPr>
          <w:p w14:paraId="5E7A12EA" w14:textId="77777777" w:rsidR="00D62594" w:rsidRPr="006311C5" w:rsidRDefault="00D62594" w:rsidP="008A4D35">
            <w:pPr>
              <w:pStyle w:val="Tabletext"/>
              <w:rPr>
                <w:rFonts w:cstheme="minorHAnsi"/>
                <w:szCs w:val="18"/>
              </w:rPr>
            </w:pPr>
          </w:p>
        </w:tc>
        <w:tc>
          <w:tcPr>
            <w:tcW w:w="1115" w:type="pct"/>
            <w:gridSpan w:val="2"/>
            <w:tcBorders>
              <w:top w:val="nil"/>
              <w:left w:val="nil"/>
              <w:bottom w:val="nil"/>
              <w:right w:val="nil"/>
            </w:tcBorders>
            <w:shd w:val="clear" w:color="auto" w:fill="auto"/>
          </w:tcPr>
          <w:p w14:paraId="0C34797F" w14:textId="668A8F65" w:rsidR="00D62594" w:rsidRPr="006311C5" w:rsidRDefault="00D62594" w:rsidP="008A4D35">
            <w:pPr>
              <w:pStyle w:val="Tabletext"/>
              <w:rPr>
                <w:rFonts w:cstheme="minorHAnsi"/>
                <w:szCs w:val="18"/>
              </w:rPr>
            </w:pPr>
            <w:r w:rsidRPr="006311C5">
              <w:rPr>
                <w:rFonts w:cstheme="minorHAnsi"/>
                <w:szCs w:val="18"/>
              </w:rPr>
              <w:t>For 1</w:t>
            </w:r>
            <w:r w:rsidRPr="006311C5">
              <w:rPr>
                <w:rFonts w:cstheme="minorHAnsi"/>
                <w:szCs w:val="18"/>
                <w:vertAlign w:val="superscript"/>
              </w:rPr>
              <w:t>st</w:t>
            </w:r>
            <w:r w:rsidRPr="006311C5">
              <w:rPr>
                <w:rFonts w:cstheme="minorHAnsi"/>
                <w:szCs w:val="18"/>
              </w:rPr>
              <w:t xml:space="preserve"> &amp; 2</w:t>
            </w:r>
            <w:r w:rsidRPr="006311C5">
              <w:rPr>
                <w:rFonts w:cstheme="minorHAnsi"/>
                <w:szCs w:val="18"/>
                <w:vertAlign w:val="superscript"/>
              </w:rPr>
              <w:t>nd</w:t>
            </w:r>
            <w:r w:rsidRPr="006311C5">
              <w:rPr>
                <w:rFonts w:cstheme="minorHAnsi"/>
                <w:szCs w:val="18"/>
              </w:rPr>
              <w:t xml:space="preserve"> block = .11</w:t>
            </w:r>
            <w:r w:rsidR="005B0199" w:rsidRPr="006311C5">
              <w:rPr>
                <w:rFonts w:cstheme="minorHAnsi"/>
                <w:szCs w:val="18"/>
              </w:rPr>
              <w:t>6</w:t>
            </w:r>
          </w:p>
        </w:tc>
        <w:tc>
          <w:tcPr>
            <w:tcW w:w="1115" w:type="pct"/>
            <w:gridSpan w:val="2"/>
            <w:tcBorders>
              <w:top w:val="nil"/>
              <w:left w:val="nil"/>
              <w:bottom w:val="nil"/>
              <w:right w:val="nil"/>
            </w:tcBorders>
            <w:shd w:val="clear" w:color="auto" w:fill="auto"/>
          </w:tcPr>
          <w:p w14:paraId="5425B27C" w14:textId="16ED2A55" w:rsidR="00D62594" w:rsidRPr="006311C5" w:rsidRDefault="00D62594" w:rsidP="008A4D35">
            <w:pPr>
              <w:pStyle w:val="Tabletext"/>
              <w:rPr>
                <w:rFonts w:cstheme="minorHAnsi"/>
                <w:szCs w:val="18"/>
              </w:rPr>
            </w:pPr>
            <w:r w:rsidRPr="006311C5">
              <w:rPr>
                <w:rFonts w:cstheme="minorHAnsi"/>
                <w:szCs w:val="18"/>
              </w:rPr>
              <w:t>For 1</w:t>
            </w:r>
            <w:r w:rsidRPr="006311C5">
              <w:rPr>
                <w:rFonts w:cstheme="minorHAnsi"/>
                <w:szCs w:val="18"/>
                <w:vertAlign w:val="superscript"/>
              </w:rPr>
              <w:t>st</w:t>
            </w:r>
            <w:r w:rsidRPr="006311C5">
              <w:rPr>
                <w:rFonts w:cstheme="minorHAnsi"/>
                <w:szCs w:val="18"/>
              </w:rPr>
              <w:t xml:space="preserve"> &amp; 2</w:t>
            </w:r>
            <w:r w:rsidRPr="006311C5">
              <w:rPr>
                <w:rFonts w:cstheme="minorHAnsi"/>
                <w:szCs w:val="18"/>
                <w:vertAlign w:val="superscript"/>
              </w:rPr>
              <w:t>nd</w:t>
            </w:r>
            <w:r w:rsidRPr="006311C5">
              <w:rPr>
                <w:rFonts w:cstheme="minorHAnsi"/>
                <w:szCs w:val="18"/>
              </w:rPr>
              <w:t xml:space="preserve"> block = .10</w:t>
            </w:r>
            <w:r w:rsidR="005B0199" w:rsidRPr="006311C5">
              <w:rPr>
                <w:rFonts w:cstheme="minorHAnsi"/>
                <w:szCs w:val="18"/>
              </w:rPr>
              <w:t>6</w:t>
            </w:r>
          </w:p>
        </w:tc>
      </w:tr>
      <w:tr w:rsidR="00FD2FC3" w:rsidRPr="006311C5" w14:paraId="1B5145C5" w14:textId="77777777" w:rsidTr="009E0FF1">
        <w:trPr>
          <w:jc w:val="center"/>
        </w:trPr>
        <w:tc>
          <w:tcPr>
            <w:tcW w:w="508" w:type="pct"/>
            <w:vMerge/>
            <w:tcBorders>
              <w:left w:val="nil"/>
              <w:bottom w:val="single" w:sz="12" w:space="0" w:color="000000" w:themeColor="text1"/>
              <w:right w:val="nil"/>
            </w:tcBorders>
          </w:tcPr>
          <w:p w14:paraId="6AFD6BA0" w14:textId="77777777" w:rsidR="00D62594" w:rsidRPr="006311C5" w:rsidRDefault="00D62594" w:rsidP="00224A6B">
            <w:pPr>
              <w:pStyle w:val="Tabletext"/>
              <w:rPr>
                <w:rFonts w:cstheme="minorHAnsi"/>
                <w:szCs w:val="18"/>
              </w:rPr>
            </w:pPr>
          </w:p>
        </w:tc>
        <w:tc>
          <w:tcPr>
            <w:tcW w:w="1506" w:type="pct"/>
            <w:tcBorders>
              <w:top w:val="nil"/>
              <w:left w:val="nil"/>
              <w:bottom w:val="single" w:sz="12" w:space="0" w:color="auto"/>
              <w:right w:val="nil"/>
            </w:tcBorders>
            <w:shd w:val="clear" w:color="auto" w:fill="auto"/>
          </w:tcPr>
          <w:p w14:paraId="1716CBD8" w14:textId="000341F0" w:rsidR="00D62594" w:rsidRPr="006311C5" w:rsidRDefault="00D62594" w:rsidP="00224A6B">
            <w:pPr>
              <w:pStyle w:val="Tabletext"/>
              <w:rPr>
                <w:rFonts w:cstheme="minorHAnsi"/>
                <w:szCs w:val="18"/>
              </w:rPr>
            </w:pPr>
          </w:p>
        </w:tc>
        <w:tc>
          <w:tcPr>
            <w:tcW w:w="756" w:type="pct"/>
            <w:tcBorders>
              <w:top w:val="nil"/>
              <w:left w:val="nil"/>
              <w:bottom w:val="single" w:sz="12" w:space="0" w:color="auto"/>
              <w:right w:val="nil"/>
            </w:tcBorders>
            <w:shd w:val="clear" w:color="auto" w:fill="auto"/>
          </w:tcPr>
          <w:p w14:paraId="6096D48A" w14:textId="77777777" w:rsidR="00D62594" w:rsidRPr="006311C5" w:rsidRDefault="00D62594" w:rsidP="00224A6B">
            <w:pPr>
              <w:pStyle w:val="Tabletext"/>
              <w:rPr>
                <w:rFonts w:cstheme="minorHAnsi"/>
                <w:szCs w:val="18"/>
              </w:rPr>
            </w:pPr>
          </w:p>
        </w:tc>
        <w:tc>
          <w:tcPr>
            <w:tcW w:w="1115" w:type="pct"/>
            <w:gridSpan w:val="2"/>
            <w:tcBorders>
              <w:top w:val="nil"/>
              <w:left w:val="nil"/>
              <w:bottom w:val="single" w:sz="12" w:space="0" w:color="auto"/>
              <w:right w:val="nil"/>
            </w:tcBorders>
            <w:shd w:val="clear" w:color="auto" w:fill="auto"/>
          </w:tcPr>
          <w:p w14:paraId="2EEEA3FB" w14:textId="04D61038" w:rsidR="00D62594" w:rsidRPr="006311C5" w:rsidRDefault="00D62594" w:rsidP="00224A6B">
            <w:pPr>
              <w:pStyle w:val="Tabletext"/>
              <w:rPr>
                <w:rFonts w:cstheme="minorHAnsi"/>
                <w:szCs w:val="18"/>
              </w:rPr>
            </w:pPr>
            <w:r w:rsidRPr="006311C5">
              <w:rPr>
                <w:rFonts w:cstheme="minorHAnsi"/>
                <w:szCs w:val="18"/>
              </w:rPr>
              <w:t>For full model = .361</w:t>
            </w:r>
          </w:p>
        </w:tc>
        <w:tc>
          <w:tcPr>
            <w:tcW w:w="1115" w:type="pct"/>
            <w:gridSpan w:val="2"/>
            <w:tcBorders>
              <w:top w:val="nil"/>
              <w:left w:val="nil"/>
              <w:bottom w:val="single" w:sz="12" w:space="0" w:color="auto"/>
              <w:right w:val="nil"/>
            </w:tcBorders>
            <w:shd w:val="clear" w:color="auto" w:fill="auto"/>
          </w:tcPr>
          <w:p w14:paraId="70BD72EA" w14:textId="60E111E0" w:rsidR="00D62594" w:rsidRPr="006311C5" w:rsidRDefault="00D62594" w:rsidP="00224A6B">
            <w:pPr>
              <w:pStyle w:val="Tabletext"/>
              <w:rPr>
                <w:rFonts w:cstheme="minorHAnsi"/>
                <w:szCs w:val="18"/>
              </w:rPr>
            </w:pPr>
            <w:r w:rsidRPr="006311C5">
              <w:rPr>
                <w:rFonts w:cstheme="minorHAnsi"/>
                <w:szCs w:val="18"/>
              </w:rPr>
              <w:t>For full model = .338</w:t>
            </w:r>
          </w:p>
        </w:tc>
      </w:tr>
    </w:tbl>
    <w:p w14:paraId="03492B39" w14:textId="46B070ED" w:rsidR="00DD3E5F" w:rsidRPr="006311C5" w:rsidRDefault="00793AAB" w:rsidP="00F63C5C">
      <w:pPr>
        <w:pStyle w:val="Tabletext"/>
      </w:pPr>
      <w:proofErr w:type="spellStart"/>
      <w:r w:rsidRPr="006311C5">
        <w:rPr>
          <w:rFonts w:cstheme="minorHAnsi"/>
          <w:szCs w:val="18"/>
          <w:vertAlign w:val="superscript"/>
        </w:rPr>
        <w:t>a</w:t>
      </w:r>
      <w:proofErr w:type="spellEnd"/>
      <w:r w:rsidRPr="006311C5">
        <w:t xml:space="preserve"> </w:t>
      </w:r>
      <w:r w:rsidR="00DB64AA" w:rsidRPr="006311C5">
        <w:t>Adjusting for all other variables</w:t>
      </w:r>
    </w:p>
    <w:p w14:paraId="7B5BB561" w14:textId="7AEE3732" w:rsidR="00DD3E5F" w:rsidRPr="006311C5" w:rsidRDefault="00793AAB" w:rsidP="00F63C5C">
      <w:pPr>
        <w:pStyle w:val="Tabletext"/>
      </w:pPr>
      <w:r w:rsidRPr="006311C5">
        <w:rPr>
          <w:vertAlign w:val="superscript"/>
        </w:rPr>
        <w:t>b</w:t>
      </w:r>
      <w:r w:rsidR="6D5927AE" w:rsidRPr="006311C5">
        <w:t xml:space="preserve"> Injection-site symptoms reported after first vaccine dose included in model investigating reporting of injection-site symptoms. Non-injection-site symptoms reported after first vaccine dose included in model investigating reporting of non-injection-site symptoms.</w:t>
      </w:r>
    </w:p>
    <w:p w14:paraId="301D9662" w14:textId="77777777" w:rsidR="002E3593" w:rsidRPr="006311C5" w:rsidRDefault="002E3593" w:rsidP="00F63C5C">
      <w:pPr>
        <w:pStyle w:val="Tabletext"/>
      </w:pPr>
      <w:r w:rsidRPr="006311C5">
        <w:t xml:space="preserve">* </w:t>
      </w:r>
      <w:r w:rsidRPr="006311C5">
        <w:rPr>
          <w:i/>
          <w:iCs/>
        </w:rPr>
        <w:t>p</w:t>
      </w:r>
      <w:r w:rsidRPr="006311C5">
        <w:t xml:space="preserve"> ≤.05</w:t>
      </w:r>
    </w:p>
    <w:p w14:paraId="0EF5EFCA" w14:textId="1CA28DC2" w:rsidR="006143B7" w:rsidRPr="006311C5" w:rsidRDefault="006143B7" w:rsidP="00F63C5C">
      <w:pPr>
        <w:pStyle w:val="Tabletext"/>
        <w:sectPr w:rsidR="006143B7" w:rsidRPr="006311C5" w:rsidSect="005A7C3F">
          <w:pgSz w:w="16838" w:h="11906" w:orient="landscape"/>
          <w:pgMar w:top="1440" w:right="1440" w:bottom="1440" w:left="1440" w:header="709" w:footer="709" w:gutter="0"/>
          <w:cols w:space="708"/>
          <w:docGrid w:linePitch="360"/>
        </w:sectPr>
      </w:pPr>
      <w:r w:rsidRPr="006311C5">
        <w:t>CI = confidence interval</w:t>
      </w:r>
    </w:p>
    <w:p w14:paraId="065C593C" w14:textId="5C117EE8" w:rsidR="007E4DB4" w:rsidRPr="006311C5" w:rsidRDefault="6D5927AE" w:rsidP="007E4DB4">
      <w:r w:rsidRPr="006311C5">
        <w:lastRenderedPageBreak/>
        <w:t>The predictive power of the regression models for injection-site and non-injection-site symptoms was similar (</w:t>
      </w:r>
      <w:proofErr w:type="spellStart"/>
      <w:r w:rsidRPr="006311C5">
        <w:t>Nagelkerke</w:t>
      </w:r>
      <w:proofErr w:type="spellEnd"/>
      <w:r w:rsidRPr="006311C5">
        <w:t xml:space="preserve"> </w:t>
      </w:r>
      <w:r w:rsidRPr="006311C5">
        <w:rPr>
          <w:i/>
          <w:iCs/>
        </w:rPr>
        <w:t>R</w:t>
      </w:r>
      <w:r w:rsidRPr="006311C5">
        <w:rPr>
          <w:vertAlign w:val="superscript"/>
        </w:rPr>
        <w:t>2</w:t>
      </w:r>
      <w:r w:rsidRPr="006311C5">
        <w:t xml:space="preserve"> of .361 and .338, respectively). The higher </w:t>
      </w:r>
      <w:r w:rsidRPr="006311C5">
        <w:rPr>
          <w:i/>
          <w:iCs/>
        </w:rPr>
        <w:t>R</w:t>
      </w:r>
      <w:r w:rsidRPr="006311C5">
        <w:rPr>
          <w:vertAlign w:val="superscript"/>
        </w:rPr>
        <w:t>2</w:t>
      </w:r>
      <w:r w:rsidRPr="006311C5">
        <w:t xml:space="preserve"> values than in the regression models for the first dose is largely due to the marked effect of reporting of symptoms related to the first dose; before this predictor was added in the third block, the </w:t>
      </w:r>
      <w:r w:rsidRPr="006311C5">
        <w:rPr>
          <w:i/>
          <w:iCs/>
        </w:rPr>
        <w:t>R</w:t>
      </w:r>
      <w:r w:rsidRPr="006311C5">
        <w:rPr>
          <w:vertAlign w:val="superscript"/>
        </w:rPr>
        <w:t>2</w:t>
      </w:r>
      <w:r w:rsidRPr="006311C5">
        <w:t xml:space="preserve"> values (.115 and .105) were not markedly different from those in the regression models for first-dose symptom reporting. </w:t>
      </w:r>
    </w:p>
    <w:p w14:paraId="4692BAFF" w14:textId="5FB6E42C" w:rsidR="00BC5542" w:rsidRPr="006311C5" w:rsidRDefault="00BC5542" w:rsidP="007E4DB4">
      <w:pPr>
        <w:pStyle w:val="Heading1"/>
        <w:rPr>
          <w:rStyle w:val="Hyperlink"/>
          <w:color w:val="auto"/>
          <w:u w:val="none"/>
        </w:rPr>
      </w:pPr>
      <w:r w:rsidRPr="006311C5">
        <w:rPr>
          <w:rStyle w:val="Hyperlink"/>
          <w:color w:val="auto"/>
          <w:u w:val="none"/>
        </w:rPr>
        <w:t>Discussion</w:t>
      </w:r>
    </w:p>
    <w:p w14:paraId="0986FE21" w14:textId="5C9943A0" w:rsidR="00127685" w:rsidRPr="006311C5" w:rsidRDefault="00127685">
      <w:pPr>
        <w:spacing w:line="259" w:lineRule="auto"/>
        <w:rPr>
          <w:rStyle w:val="Hyperlink"/>
          <w:color w:val="auto"/>
          <w:u w:val="none"/>
        </w:rPr>
      </w:pPr>
      <w:r w:rsidRPr="006311C5">
        <w:rPr>
          <w:rStyle w:val="Hyperlink"/>
          <w:color w:val="auto"/>
          <w:u w:val="none"/>
        </w:rPr>
        <w:t xml:space="preserve">We found that 74% of people </w:t>
      </w:r>
      <w:r w:rsidR="00143A6E" w:rsidRPr="006311C5">
        <w:rPr>
          <w:rStyle w:val="Hyperlink"/>
          <w:color w:val="auto"/>
          <w:u w:val="none"/>
        </w:rPr>
        <w:t xml:space="preserve">included in this study </w:t>
      </w:r>
      <w:r w:rsidRPr="006311C5">
        <w:rPr>
          <w:rStyle w:val="Hyperlink"/>
          <w:color w:val="auto"/>
          <w:u w:val="none"/>
        </w:rPr>
        <w:t>reported injection</w:t>
      </w:r>
      <w:r w:rsidR="00A475E5" w:rsidRPr="006311C5">
        <w:rPr>
          <w:rStyle w:val="Hyperlink"/>
          <w:color w:val="auto"/>
          <w:u w:val="none"/>
        </w:rPr>
        <w:t>-</w:t>
      </w:r>
      <w:r w:rsidRPr="006311C5">
        <w:rPr>
          <w:rStyle w:val="Hyperlink"/>
          <w:color w:val="auto"/>
          <w:u w:val="none"/>
        </w:rPr>
        <w:t xml:space="preserve">site symptoms and </w:t>
      </w:r>
      <w:r w:rsidR="00B515A8" w:rsidRPr="006311C5">
        <w:rPr>
          <w:rStyle w:val="Hyperlink"/>
          <w:color w:val="auto"/>
          <w:u w:val="none"/>
        </w:rPr>
        <w:t>65% reported non-injection</w:t>
      </w:r>
      <w:r w:rsidR="00A475E5" w:rsidRPr="006311C5">
        <w:rPr>
          <w:rStyle w:val="Hyperlink"/>
          <w:color w:val="auto"/>
          <w:u w:val="none"/>
        </w:rPr>
        <w:t>-</w:t>
      </w:r>
      <w:r w:rsidR="00B515A8" w:rsidRPr="006311C5">
        <w:rPr>
          <w:rStyle w:val="Hyperlink"/>
          <w:color w:val="auto"/>
          <w:u w:val="none"/>
        </w:rPr>
        <w:t xml:space="preserve">site symptoms </w:t>
      </w:r>
      <w:r w:rsidRPr="006311C5">
        <w:rPr>
          <w:rStyle w:val="Hyperlink"/>
          <w:color w:val="auto"/>
          <w:u w:val="none"/>
        </w:rPr>
        <w:t xml:space="preserve">following </w:t>
      </w:r>
      <w:r w:rsidR="00B515A8" w:rsidRPr="006311C5">
        <w:rPr>
          <w:rStyle w:val="Hyperlink"/>
          <w:color w:val="auto"/>
          <w:u w:val="none"/>
        </w:rPr>
        <w:t>their first</w:t>
      </w:r>
      <w:r w:rsidR="006305A1" w:rsidRPr="006311C5">
        <w:rPr>
          <w:rStyle w:val="Hyperlink"/>
          <w:color w:val="auto"/>
          <w:u w:val="none"/>
        </w:rPr>
        <w:t xml:space="preserve"> COVID-19</w:t>
      </w:r>
      <w:r w:rsidR="00B515A8" w:rsidRPr="006311C5">
        <w:rPr>
          <w:rStyle w:val="Hyperlink"/>
          <w:color w:val="auto"/>
          <w:u w:val="none"/>
        </w:rPr>
        <w:t xml:space="preserve"> vaccine dose</w:t>
      </w:r>
      <w:r w:rsidR="006305A1" w:rsidRPr="006311C5">
        <w:rPr>
          <w:rStyle w:val="Hyperlink"/>
          <w:color w:val="auto"/>
          <w:u w:val="none"/>
        </w:rPr>
        <w:t>. Following the second vaccine dose,</w:t>
      </w:r>
      <w:r w:rsidR="00B515A8" w:rsidRPr="006311C5">
        <w:rPr>
          <w:rStyle w:val="Hyperlink"/>
          <w:color w:val="auto"/>
          <w:u w:val="none"/>
        </w:rPr>
        <w:t xml:space="preserve"> 53% </w:t>
      </w:r>
      <w:r w:rsidR="006305A1" w:rsidRPr="006311C5">
        <w:rPr>
          <w:rStyle w:val="Hyperlink"/>
          <w:color w:val="auto"/>
          <w:u w:val="none"/>
        </w:rPr>
        <w:t>reported injection</w:t>
      </w:r>
      <w:r w:rsidR="00A475E5" w:rsidRPr="006311C5">
        <w:rPr>
          <w:rStyle w:val="Hyperlink"/>
          <w:color w:val="auto"/>
          <w:u w:val="none"/>
        </w:rPr>
        <w:t>-</w:t>
      </w:r>
      <w:r w:rsidR="006305A1" w:rsidRPr="006311C5">
        <w:rPr>
          <w:rStyle w:val="Hyperlink"/>
          <w:color w:val="auto"/>
          <w:u w:val="none"/>
        </w:rPr>
        <w:t xml:space="preserve">site </w:t>
      </w:r>
      <w:r w:rsidR="00B515A8" w:rsidRPr="006311C5">
        <w:rPr>
          <w:rStyle w:val="Hyperlink"/>
          <w:color w:val="auto"/>
          <w:u w:val="none"/>
        </w:rPr>
        <w:t xml:space="preserve">and </w:t>
      </w:r>
      <w:r w:rsidR="006305A1" w:rsidRPr="006311C5">
        <w:rPr>
          <w:rStyle w:val="Hyperlink"/>
          <w:color w:val="auto"/>
          <w:u w:val="none"/>
        </w:rPr>
        <w:t>44% reported non-injection</w:t>
      </w:r>
      <w:r w:rsidR="00A475E5" w:rsidRPr="006311C5">
        <w:rPr>
          <w:rStyle w:val="Hyperlink"/>
          <w:color w:val="auto"/>
          <w:u w:val="none"/>
        </w:rPr>
        <w:t>-</w:t>
      </w:r>
      <w:r w:rsidR="006305A1" w:rsidRPr="006311C5">
        <w:rPr>
          <w:rStyle w:val="Hyperlink"/>
          <w:color w:val="auto"/>
          <w:u w:val="none"/>
        </w:rPr>
        <w:t>site symptoms.</w:t>
      </w:r>
      <w:r w:rsidR="007D0E84" w:rsidRPr="006311C5">
        <w:rPr>
          <w:rStyle w:val="Hyperlink"/>
          <w:color w:val="auto"/>
          <w:u w:val="none"/>
        </w:rPr>
        <w:t xml:space="preserve"> </w:t>
      </w:r>
      <w:r w:rsidR="00FE10A9" w:rsidRPr="006311C5">
        <w:rPr>
          <w:rStyle w:val="Hyperlink"/>
          <w:color w:val="auto"/>
          <w:u w:val="none"/>
        </w:rPr>
        <w:t>Clinical trial data indicate that side</w:t>
      </w:r>
      <w:r w:rsidR="00CF5A0F" w:rsidRPr="006311C5">
        <w:rPr>
          <w:rStyle w:val="Hyperlink"/>
          <w:color w:val="auto"/>
          <w:u w:val="none"/>
        </w:rPr>
        <w:t>-</w:t>
      </w:r>
      <w:r w:rsidR="00FE10A9" w:rsidRPr="006311C5">
        <w:rPr>
          <w:rStyle w:val="Hyperlink"/>
          <w:color w:val="auto"/>
          <w:u w:val="none"/>
        </w:rPr>
        <w:t>effect reporting is lower for the</w:t>
      </w:r>
      <w:r w:rsidR="001602EC" w:rsidRPr="006311C5">
        <w:rPr>
          <w:rStyle w:val="Hyperlink"/>
          <w:color w:val="auto"/>
          <w:u w:val="none"/>
        </w:rPr>
        <w:t xml:space="preserve"> second dose of the</w:t>
      </w:r>
      <w:r w:rsidR="00FE10A9" w:rsidRPr="006311C5">
        <w:rPr>
          <w:rStyle w:val="Hyperlink"/>
          <w:color w:val="auto"/>
          <w:u w:val="none"/>
        </w:rPr>
        <w:t xml:space="preserve"> AstraZeneca vaccine</w:t>
      </w:r>
      <w:r w:rsidR="007E562C" w:rsidRPr="006311C5">
        <w:rPr>
          <w:rStyle w:val="Hyperlink"/>
          <w:color w:val="auto"/>
          <w:u w:val="none"/>
        </w:rPr>
        <w:t>,</w:t>
      </w:r>
      <w:r w:rsidR="003D7738" w:rsidRPr="006311C5">
        <w:rPr>
          <w:noProof/>
        </w:rPr>
        <w:t xml:space="preserve"> [8]</w:t>
      </w:r>
      <w:r w:rsidR="00FE10A9" w:rsidRPr="006311C5">
        <w:rPr>
          <w:rStyle w:val="Hyperlink"/>
          <w:color w:val="auto"/>
          <w:u w:val="none"/>
        </w:rPr>
        <w:t xml:space="preserve"> which </w:t>
      </w:r>
      <w:r w:rsidR="0071041F" w:rsidRPr="006311C5">
        <w:rPr>
          <w:rStyle w:val="Hyperlink"/>
          <w:color w:val="auto"/>
          <w:u w:val="none"/>
        </w:rPr>
        <w:t>most of</w:t>
      </w:r>
      <w:r w:rsidR="001602EC" w:rsidRPr="006311C5">
        <w:rPr>
          <w:rStyle w:val="Hyperlink"/>
          <w:color w:val="auto"/>
          <w:u w:val="none"/>
        </w:rPr>
        <w:t xml:space="preserve"> our participants </w:t>
      </w:r>
      <w:r w:rsidR="00EE6B5D" w:rsidRPr="006311C5">
        <w:rPr>
          <w:rStyle w:val="Hyperlink"/>
          <w:color w:val="auto"/>
          <w:u w:val="none"/>
        </w:rPr>
        <w:t xml:space="preserve">(58%) </w:t>
      </w:r>
      <w:r w:rsidR="001602EC" w:rsidRPr="006311C5">
        <w:rPr>
          <w:rStyle w:val="Hyperlink"/>
          <w:color w:val="auto"/>
          <w:u w:val="none"/>
        </w:rPr>
        <w:t>reported receiving</w:t>
      </w:r>
      <w:r w:rsidR="007E562C" w:rsidRPr="006311C5">
        <w:rPr>
          <w:rStyle w:val="Hyperlink"/>
          <w:color w:val="auto"/>
          <w:u w:val="none"/>
        </w:rPr>
        <w:t>.</w:t>
      </w:r>
      <w:r w:rsidR="00C1206F" w:rsidRPr="006311C5">
        <w:rPr>
          <w:rStyle w:val="Hyperlink"/>
          <w:color w:val="auto"/>
          <w:u w:val="none"/>
        </w:rPr>
        <w:t xml:space="preserve"> </w:t>
      </w:r>
      <w:r w:rsidR="005E2C2D" w:rsidRPr="006311C5">
        <w:rPr>
          <w:rStyle w:val="Hyperlink"/>
          <w:color w:val="auto"/>
          <w:u w:val="none"/>
        </w:rPr>
        <w:t>Rates of c</w:t>
      </w:r>
      <w:r w:rsidR="00694E28" w:rsidRPr="006311C5">
        <w:rPr>
          <w:rStyle w:val="Hyperlink"/>
          <w:color w:val="auto"/>
          <w:u w:val="none"/>
        </w:rPr>
        <w:t>ommonly reported</w:t>
      </w:r>
      <w:r w:rsidR="004D5193" w:rsidRPr="006311C5">
        <w:rPr>
          <w:rStyle w:val="Hyperlink"/>
          <w:color w:val="auto"/>
          <w:u w:val="none"/>
        </w:rPr>
        <w:t xml:space="preserve"> injection</w:t>
      </w:r>
      <w:r w:rsidR="00A475E5" w:rsidRPr="006311C5">
        <w:rPr>
          <w:rStyle w:val="Hyperlink"/>
          <w:color w:val="auto"/>
          <w:u w:val="none"/>
        </w:rPr>
        <w:t>-</w:t>
      </w:r>
      <w:r w:rsidR="004D5193" w:rsidRPr="006311C5">
        <w:rPr>
          <w:rStyle w:val="Hyperlink"/>
          <w:color w:val="auto"/>
          <w:u w:val="none"/>
        </w:rPr>
        <w:t xml:space="preserve"> and</w:t>
      </w:r>
      <w:r w:rsidR="00694E28" w:rsidRPr="006311C5">
        <w:rPr>
          <w:rStyle w:val="Hyperlink"/>
          <w:color w:val="auto"/>
          <w:u w:val="none"/>
        </w:rPr>
        <w:t xml:space="preserve"> non-injection</w:t>
      </w:r>
      <w:r w:rsidR="00A475E5" w:rsidRPr="006311C5">
        <w:rPr>
          <w:rStyle w:val="Hyperlink"/>
          <w:color w:val="auto"/>
          <w:u w:val="none"/>
        </w:rPr>
        <w:t>-</w:t>
      </w:r>
      <w:r w:rsidR="00694E28" w:rsidRPr="006311C5">
        <w:rPr>
          <w:rStyle w:val="Hyperlink"/>
          <w:color w:val="auto"/>
          <w:u w:val="none"/>
        </w:rPr>
        <w:t>site symptoms (fatigue, headache</w:t>
      </w:r>
      <w:r w:rsidR="00B65F53" w:rsidRPr="006311C5">
        <w:rPr>
          <w:rStyle w:val="Hyperlink"/>
          <w:color w:val="auto"/>
          <w:u w:val="none"/>
        </w:rPr>
        <w:t>, fever</w:t>
      </w:r>
      <w:r w:rsidR="00694E28" w:rsidRPr="006311C5">
        <w:rPr>
          <w:rStyle w:val="Hyperlink"/>
          <w:color w:val="auto"/>
          <w:u w:val="none"/>
        </w:rPr>
        <w:t>)</w:t>
      </w:r>
      <w:r w:rsidR="00B65F53" w:rsidRPr="006311C5">
        <w:rPr>
          <w:rStyle w:val="Hyperlink"/>
          <w:color w:val="auto"/>
          <w:u w:val="none"/>
        </w:rPr>
        <w:t xml:space="preserve"> were within </w:t>
      </w:r>
      <w:r w:rsidR="00A475E5" w:rsidRPr="006311C5">
        <w:rPr>
          <w:rStyle w:val="Hyperlink"/>
          <w:color w:val="auto"/>
          <w:u w:val="none"/>
        </w:rPr>
        <w:t xml:space="preserve">the range of </w:t>
      </w:r>
      <w:r w:rsidR="00B65F53" w:rsidRPr="006311C5">
        <w:rPr>
          <w:rStyle w:val="Hyperlink"/>
          <w:color w:val="auto"/>
          <w:u w:val="none"/>
        </w:rPr>
        <w:t>those seen in clinical trial data.</w:t>
      </w:r>
      <w:r w:rsidR="003D7738" w:rsidRPr="006311C5">
        <w:rPr>
          <w:noProof/>
        </w:rPr>
        <w:t xml:space="preserve"> [9, 12, 25]</w:t>
      </w:r>
      <w:r w:rsidR="00F32E80" w:rsidRPr="006311C5">
        <w:t xml:space="preserve"> </w:t>
      </w:r>
      <w:r w:rsidR="00E20F3C" w:rsidRPr="006311C5">
        <w:t xml:space="preserve">Most people attributed at least one of the symptoms reported after vaccination </w:t>
      </w:r>
      <w:r w:rsidR="00DB447B" w:rsidRPr="006311C5">
        <w:t>to the vaccine.</w:t>
      </w:r>
    </w:p>
    <w:p w14:paraId="61694AE3" w14:textId="4321EB4F" w:rsidR="00B870FD" w:rsidRPr="006311C5" w:rsidRDefault="003D35B7" w:rsidP="00DC5902">
      <w:pPr>
        <w:spacing w:line="259" w:lineRule="auto"/>
      </w:pPr>
      <w:r w:rsidRPr="006311C5">
        <w:rPr>
          <w:rStyle w:val="Hyperlink"/>
          <w:color w:val="auto"/>
          <w:u w:val="none"/>
        </w:rPr>
        <w:t xml:space="preserve">In line with previous research, we found that </w:t>
      </w:r>
      <w:r w:rsidR="001838DA" w:rsidRPr="006311C5">
        <w:rPr>
          <w:rStyle w:val="Hyperlink"/>
          <w:color w:val="auto"/>
          <w:u w:val="none"/>
        </w:rPr>
        <w:t xml:space="preserve">younger people were more likely to report </w:t>
      </w:r>
      <w:r w:rsidR="00C9373E" w:rsidRPr="006311C5">
        <w:rPr>
          <w:rStyle w:val="Hyperlink"/>
          <w:color w:val="auto"/>
          <w:u w:val="none"/>
        </w:rPr>
        <w:t>vaccine side effects.</w:t>
      </w:r>
      <w:r w:rsidR="003D7738" w:rsidRPr="006311C5">
        <w:rPr>
          <w:noProof/>
        </w:rPr>
        <w:t xml:space="preserve"> [8-10]</w:t>
      </w:r>
      <w:r w:rsidR="000640C7" w:rsidRPr="006311C5">
        <w:t xml:space="preserve"> Women were also more likely to report symptoms</w:t>
      </w:r>
      <w:r w:rsidR="00D11685" w:rsidRPr="006311C5">
        <w:t>, as in other studies investigating symptom reporting following COVID-19 vaccination</w:t>
      </w:r>
      <w:r w:rsidR="000640C7" w:rsidRPr="006311C5">
        <w:t>.</w:t>
      </w:r>
      <w:r w:rsidR="003D7738" w:rsidRPr="006311C5">
        <w:rPr>
          <w:noProof/>
        </w:rPr>
        <w:t xml:space="preserve"> [12, 13]</w:t>
      </w:r>
      <w:r w:rsidR="000640C7" w:rsidRPr="006311C5">
        <w:t xml:space="preserve"> </w:t>
      </w:r>
      <w:r w:rsidR="00CB59C2" w:rsidRPr="006311C5">
        <w:t>Higher rates of symptoms are consistently perceived by females than by males in studies investigating symptom reporting</w:t>
      </w:r>
      <w:r w:rsidR="005C5C93" w:rsidRPr="006311C5">
        <w:t>.</w:t>
      </w:r>
      <w:r w:rsidR="003D7738" w:rsidRPr="006311C5">
        <w:rPr>
          <w:noProof/>
        </w:rPr>
        <w:t xml:space="preserve"> [26, 27]</w:t>
      </w:r>
      <w:r w:rsidR="00B870FD" w:rsidRPr="006311C5">
        <w:t xml:space="preserve"> </w:t>
      </w:r>
      <w:r w:rsidR="00B870FD" w:rsidRPr="006311C5">
        <w:rPr>
          <w:rFonts w:eastAsia="Times New Roman" w:cs="Times New Roman"/>
        </w:rPr>
        <w:t xml:space="preserve">Though most research points to an association between female sex and symptom perception, </w:t>
      </w:r>
      <w:r w:rsidR="00B870FD" w:rsidRPr="006311C5">
        <w:t xml:space="preserve">a recent comprehensive systematic review of factors associated with the nocebo response found </w:t>
      </w:r>
      <w:r w:rsidR="00D11685" w:rsidRPr="006311C5">
        <w:t>little evidence for a</w:t>
      </w:r>
      <w:r w:rsidR="00B870FD" w:rsidRPr="006311C5">
        <w:t xml:space="preserve"> gender effect</w:t>
      </w:r>
      <w:r w:rsidR="00D11685" w:rsidRPr="006311C5">
        <w:t>.</w:t>
      </w:r>
      <w:r w:rsidR="003D7738" w:rsidRPr="006311C5">
        <w:rPr>
          <w:noProof/>
        </w:rPr>
        <w:t xml:space="preserve"> [3]</w:t>
      </w:r>
      <w:r w:rsidR="00B870FD" w:rsidRPr="006311C5">
        <w:t xml:space="preserve"> </w:t>
      </w:r>
      <w:r w:rsidR="00E81535" w:rsidRPr="006311C5">
        <w:t xml:space="preserve">We found no </w:t>
      </w:r>
      <w:r w:rsidR="00D61EB2" w:rsidRPr="006311C5">
        <w:t>evidence for an</w:t>
      </w:r>
      <w:r w:rsidR="00E81535" w:rsidRPr="006311C5">
        <w:t xml:space="preserve"> association </w:t>
      </w:r>
      <w:r w:rsidR="00D61EB2" w:rsidRPr="006311C5">
        <w:t>between previous or current SARS-CoV-2 infection</w:t>
      </w:r>
      <w:r w:rsidR="00541D6D" w:rsidRPr="006311C5">
        <w:t xml:space="preserve"> and </w:t>
      </w:r>
      <w:r w:rsidR="000C6FAB" w:rsidRPr="006311C5">
        <w:t>symptom reporting</w:t>
      </w:r>
      <w:r w:rsidR="001C3F93" w:rsidRPr="006311C5">
        <w:t>, contrary to previous research</w:t>
      </w:r>
      <w:r w:rsidR="00D61EB2" w:rsidRPr="006311C5">
        <w:t>.</w:t>
      </w:r>
      <w:r w:rsidR="003D7738" w:rsidRPr="006311C5">
        <w:rPr>
          <w:noProof/>
        </w:rPr>
        <w:t xml:space="preserve"> [12, 13]</w:t>
      </w:r>
      <w:r w:rsidR="00D61EB2" w:rsidRPr="006311C5">
        <w:t xml:space="preserve"> This may have been </w:t>
      </w:r>
      <w:r w:rsidR="00C837EC" w:rsidRPr="006311C5">
        <w:t xml:space="preserve">due to </w:t>
      </w:r>
      <w:r w:rsidR="00DB5932" w:rsidRPr="006311C5">
        <w:t xml:space="preserve">smaller sample sizes and </w:t>
      </w:r>
      <w:r w:rsidR="00A01091" w:rsidRPr="006311C5">
        <w:t>wording of the</w:t>
      </w:r>
      <w:r w:rsidR="00E945B9" w:rsidRPr="006311C5">
        <w:t xml:space="preserve"> item </w:t>
      </w:r>
      <w:r w:rsidR="00FF2687" w:rsidRPr="006311C5">
        <w:t xml:space="preserve">used </w:t>
      </w:r>
      <w:r w:rsidR="00E945B9" w:rsidRPr="006311C5">
        <w:t xml:space="preserve">to include current infection. </w:t>
      </w:r>
      <w:r w:rsidR="00E81535" w:rsidRPr="006311C5">
        <w:t xml:space="preserve">Personal and clinical characteristics </w:t>
      </w:r>
      <w:r w:rsidR="00A475E5" w:rsidRPr="006311C5">
        <w:t>contributed little to the predictive strength of the regression models</w:t>
      </w:r>
      <w:r w:rsidR="00775EF7" w:rsidRPr="006311C5">
        <w:t xml:space="preserve"> in this study</w:t>
      </w:r>
      <w:r w:rsidR="00855A32" w:rsidRPr="006311C5">
        <w:t xml:space="preserve">. </w:t>
      </w:r>
    </w:p>
    <w:p w14:paraId="3DB9F67B" w14:textId="51554370" w:rsidR="004C7C98" w:rsidRPr="006311C5" w:rsidRDefault="00A5226B" w:rsidP="6D5927AE">
      <w:pPr>
        <w:spacing w:line="259" w:lineRule="auto"/>
        <w:rPr>
          <w:rFonts w:cs="Times New Roman"/>
        </w:rPr>
      </w:pPr>
      <w:r w:rsidRPr="006311C5">
        <w:t>Few psychological and contextual factors were significantly associated with symptom reporting following COVID-19 vaccination</w:t>
      </w:r>
      <w:r w:rsidR="00AC7745" w:rsidRPr="006311C5">
        <w:t xml:space="preserve">, </w:t>
      </w:r>
      <w:r w:rsidR="00C7557B" w:rsidRPr="006311C5">
        <w:t>except for</w:t>
      </w:r>
      <w:r w:rsidR="00AC7745" w:rsidRPr="006311C5">
        <w:t xml:space="preserve"> prior symptom experience</w:t>
      </w:r>
      <w:r w:rsidRPr="006311C5">
        <w:t xml:space="preserve">. </w:t>
      </w:r>
      <w:r w:rsidR="00D473C6" w:rsidRPr="006311C5">
        <w:t xml:space="preserve">This </w:t>
      </w:r>
      <w:r w:rsidR="009A3142" w:rsidRPr="006311C5">
        <w:t>variable</w:t>
      </w:r>
      <w:r w:rsidR="00D473C6" w:rsidRPr="006311C5">
        <w:t xml:space="preserve"> likely drove the </w:t>
      </w:r>
      <w:r w:rsidR="004C7C98" w:rsidRPr="006311C5">
        <w:rPr>
          <w:rFonts w:cs="Times New Roman"/>
        </w:rPr>
        <w:t xml:space="preserve">additional predictive power (increase in </w:t>
      </w:r>
      <w:proofErr w:type="spellStart"/>
      <w:r w:rsidR="004C7C98" w:rsidRPr="006311C5">
        <w:rPr>
          <w:rFonts w:cs="Times New Roman"/>
        </w:rPr>
        <w:t>Nagelkerke</w:t>
      </w:r>
      <w:proofErr w:type="spellEnd"/>
      <w:r w:rsidR="004C7C98" w:rsidRPr="006311C5">
        <w:rPr>
          <w:rFonts w:cs="Times New Roman"/>
        </w:rPr>
        <w:t xml:space="preserve"> </w:t>
      </w:r>
      <w:r w:rsidR="6D5927AE" w:rsidRPr="006311C5">
        <w:rPr>
          <w:rFonts w:ascii="Calibri" w:eastAsia="Calibri" w:hAnsi="Calibri" w:cs="Calibri"/>
          <w:i/>
          <w:iCs/>
        </w:rPr>
        <w:t>R</w:t>
      </w:r>
      <w:r w:rsidR="6D5927AE" w:rsidRPr="006311C5">
        <w:rPr>
          <w:rFonts w:ascii="Calibri" w:eastAsia="Calibri" w:hAnsi="Calibri" w:cs="Calibri"/>
          <w:vertAlign w:val="superscript"/>
        </w:rPr>
        <w:t>2</w:t>
      </w:r>
      <w:r w:rsidR="004C7C98" w:rsidRPr="006311C5">
        <w:rPr>
          <w:rFonts w:cs="Times New Roman"/>
        </w:rPr>
        <w:t xml:space="preserve"> from .116 to .361 for injection</w:t>
      </w:r>
      <w:r w:rsidR="00340956" w:rsidRPr="006311C5">
        <w:rPr>
          <w:rFonts w:cs="Times New Roman"/>
        </w:rPr>
        <w:t>-</w:t>
      </w:r>
      <w:r w:rsidR="004C7C98" w:rsidRPr="006311C5">
        <w:rPr>
          <w:rFonts w:cs="Times New Roman"/>
        </w:rPr>
        <w:t>site symptoms and from</w:t>
      </w:r>
      <w:r w:rsidR="00B46A41" w:rsidRPr="006311C5">
        <w:rPr>
          <w:rFonts w:cs="Times New Roman"/>
        </w:rPr>
        <w:t xml:space="preserve"> </w:t>
      </w:r>
      <w:r w:rsidR="004C7C98" w:rsidRPr="006311C5">
        <w:rPr>
          <w:rFonts w:cs="Times New Roman"/>
        </w:rPr>
        <w:t>.106 to .338 for non-injection</w:t>
      </w:r>
      <w:r w:rsidR="00340956" w:rsidRPr="006311C5">
        <w:rPr>
          <w:rFonts w:cs="Times New Roman"/>
        </w:rPr>
        <w:t>-</w:t>
      </w:r>
      <w:r w:rsidR="004C7C98" w:rsidRPr="006311C5">
        <w:rPr>
          <w:rFonts w:cs="Times New Roman"/>
        </w:rPr>
        <w:t>site symptoms) when added to personal and clinical characteristics in the regression models</w:t>
      </w:r>
      <w:r w:rsidR="00292A13" w:rsidRPr="006311C5">
        <w:rPr>
          <w:rFonts w:cs="Times New Roman"/>
        </w:rPr>
        <w:t xml:space="preserve"> of symptom reporting following the second vaccine dose</w:t>
      </w:r>
      <w:r w:rsidR="0073158A" w:rsidRPr="006311C5">
        <w:rPr>
          <w:rFonts w:cs="Times New Roman"/>
        </w:rPr>
        <w:t>.</w:t>
      </w:r>
      <w:r w:rsidR="00225BFC" w:rsidRPr="006311C5">
        <w:rPr>
          <w:rFonts w:cs="Times New Roman"/>
        </w:rPr>
        <w:t xml:space="preserve"> </w:t>
      </w:r>
      <w:r w:rsidR="003A1A5F" w:rsidRPr="006311C5">
        <w:rPr>
          <w:rFonts w:cs="Times New Roman"/>
        </w:rPr>
        <w:t xml:space="preserve">An important implication for policy, however, is that high uptake of the second COVID-19 vaccine dose suggests that previously experiencing symptoms from the first vaccine did not influence uptake of the second vaccine dose. </w:t>
      </w:r>
      <w:r w:rsidR="00AD353E" w:rsidRPr="006311C5">
        <w:rPr>
          <w:rFonts w:cs="Times New Roman"/>
        </w:rPr>
        <w:t xml:space="preserve">This </w:t>
      </w:r>
      <w:r w:rsidR="00280041" w:rsidRPr="006311C5">
        <w:rPr>
          <w:rFonts w:cs="Times New Roman"/>
        </w:rPr>
        <w:t>contrasts with</w:t>
      </w:r>
      <w:r w:rsidR="00AD353E" w:rsidRPr="006311C5">
        <w:rPr>
          <w:rFonts w:cs="Times New Roman"/>
        </w:rPr>
        <w:t xml:space="preserve"> </w:t>
      </w:r>
      <w:r w:rsidR="003430CD" w:rsidRPr="006311C5">
        <w:rPr>
          <w:rFonts w:cs="Times New Roman"/>
        </w:rPr>
        <w:t xml:space="preserve">review findings that fear of side effects is </w:t>
      </w:r>
      <w:r w:rsidR="00A328B0" w:rsidRPr="006311C5">
        <w:rPr>
          <w:rFonts w:cs="Times New Roman"/>
        </w:rPr>
        <w:t>one of the most common reasons for vaccine refusal.</w:t>
      </w:r>
      <w:r w:rsidR="003D7738" w:rsidRPr="006311C5">
        <w:rPr>
          <w:rFonts w:cs="Times New Roman"/>
          <w:noProof/>
        </w:rPr>
        <w:t xml:space="preserve"> [28, 29]</w:t>
      </w:r>
      <w:r w:rsidR="00A328B0" w:rsidRPr="006311C5">
        <w:rPr>
          <w:rFonts w:cs="Times New Roman"/>
        </w:rPr>
        <w:t xml:space="preserve"> </w:t>
      </w:r>
      <w:r w:rsidR="00D03AA3" w:rsidRPr="006311C5">
        <w:rPr>
          <w:rFonts w:cs="Times New Roman"/>
        </w:rPr>
        <w:t xml:space="preserve">However, one study suggests that perceived </w:t>
      </w:r>
      <w:r w:rsidR="00BD019A" w:rsidRPr="006311C5">
        <w:rPr>
          <w:rFonts w:cs="Times New Roman"/>
        </w:rPr>
        <w:t>severity of</w:t>
      </w:r>
      <w:r w:rsidR="00142C05" w:rsidRPr="006311C5">
        <w:rPr>
          <w:rFonts w:cs="Times New Roman"/>
        </w:rPr>
        <w:t>,</w:t>
      </w:r>
      <w:r w:rsidR="00BD019A" w:rsidRPr="006311C5">
        <w:rPr>
          <w:rFonts w:cs="Times New Roman"/>
        </w:rPr>
        <w:t xml:space="preserve"> and worry about</w:t>
      </w:r>
      <w:r w:rsidR="00142C05" w:rsidRPr="006311C5">
        <w:rPr>
          <w:rFonts w:cs="Times New Roman"/>
        </w:rPr>
        <w:t>,</w:t>
      </w:r>
      <w:r w:rsidR="00BD019A" w:rsidRPr="006311C5">
        <w:rPr>
          <w:rFonts w:cs="Times New Roman"/>
        </w:rPr>
        <w:t xml:space="preserve"> side effects, rather than mere perception of side effects, may </w:t>
      </w:r>
      <w:r w:rsidR="00B6181B" w:rsidRPr="006311C5">
        <w:rPr>
          <w:rFonts w:cs="Times New Roman"/>
        </w:rPr>
        <w:t>affect future uptake.</w:t>
      </w:r>
      <w:r w:rsidR="003D7738" w:rsidRPr="006311C5">
        <w:rPr>
          <w:rFonts w:cs="Times New Roman"/>
          <w:noProof/>
        </w:rPr>
        <w:t xml:space="preserve"> [30]</w:t>
      </w:r>
      <w:r w:rsidR="00383D20" w:rsidRPr="006311C5">
        <w:rPr>
          <w:rFonts w:cs="Times New Roman"/>
        </w:rPr>
        <w:t xml:space="preserve"> </w:t>
      </w:r>
      <w:r w:rsidR="008A0F46" w:rsidRPr="006311C5">
        <w:rPr>
          <w:rFonts w:cs="Times New Roman"/>
        </w:rPr>
        <w:t>Other p</w:t>
      </w:r>
      <w:r w:rsidR="00383D20" w:rsidRPr="006311C5">
        <w:rPr>
          <w:rFonts w:cs="Times New Roman"/>
        </w:rPr>
        <w:t>ossible reasons th</w:t>
      </w:r>
      <w:r w:rsidR="00263007" w:rsidRPr="006311C5">
        <w:rPr>
          <w:rFonts w:cs="Times New Roman"/>
        </w:rPr>
        <w:t xml:space="preserve">at </w:t>
      </w:r>
      <w:r w:rsidR="008A0F46" w:rsidRPr="006311C5">
        <w:rPr>
          <w:rFonts w:cs="Times New Roman"/>
        </w:rPr>
        <w:t xml:space="preserve">uptake of the second </w:t>
      </w:r>
      <w:r w:rsidR="00263007" w:rsidRPr="006311C5">
        <w:rPr>
          <w:rFonts w:cs="Times New Roman"/>
        </w:rPr>
        <w:t xml:space="preserve">COVID-19 </w:t>
      </w:r>
      <w:r w:rsidR="008A0F46" w:rsidRPr="006311C5">
        <w:rPr>
          <w:rFonts w:cs="Times New Roman"/>
        </w:rPr>
        <w:t xml:space="preserve">vaccine dose was high include </w:t>
      </w:r>
      <w:r w:rsidR="00F51FB4" w:rsidRPr="006311C5">
        <w:rPr>
          <w:rFonts w:cs="Times New Roman"/>
        </w:rPr>
        <w:t>the</w:t>
      </w:r>
      <w:r w:rsidR="00415AF5" w:rsidRPr="006311C5">
        <w:rPr>
          <w:rFonts w:cs="Times New Roman"/>
        </w:rPr>
        <w:t xml:space="preserve"> emphasis on vaccination </w:t>
      </w:r>
      <w:r w:rsidR="00F9742F" w:rsidRPr="006311C5">
        <w:rPr>
          <w:rFonts w:cs="Times New Roman"/>
        </w:rPr>
        <w:t xml:space="preserve">in the media and public discourse about the pandemic. Alternatively, people may have </w:t>
      </w:r>
      <w:r w:rsidR="00CD3C11" w:rsidRPr="006311C5">
        <w:rPr>
          <w:rFonts w:cs="Times New Roman"/>
        </w:rPr>
        <w:t>perceived side effects as evidence that the vaccine is “working”, increasing motivation to have a second dose.</w:t>
      </w:r>
      <w:r w:rsidR="003D7738" w:rsidRPr="006311C5">
        <w:rPr>
          <w:rFonts w:cs="Times New Roman"/>
          <w:noProof/>
        </w:rPr>
        <w:t xml:space="preserve"> [31]</w:t>
      </w:r>
      <w:r w:rsidR="007B1A12" w:rsidRPr="006311C5">
        <w:rPr>
          <w:rFonts w:cs="Times New Roman"/>
        </w:rPr>
        <w:t xml:space="preserve"> </w:t>
      </w:r>
      <w:r w:rsidR="00292A13" w:rsidRPr="006311C5">
        <w:rPr>
          <w:rFonts w:cs="Times New Roman"/>
        </w:rPr>
        <w:t xml:space="preserve">One mechanism </w:t>
      </w:r>
      <w:r w:rsidR="00E74F39" w:rsidRPr="006311C5">
        <w:rPr>
          <w:rFonts w:cs="Times New Roman"/>
        </w:rPr>
        <w:t>through which</w:t>
      </w:r>
      <w:r w:rsidR="00292A13" w:rsidRPr="006311C5">
        <w:rPr>
          <w:rFonts w:cs="Times New Roman"/>
        </w:rPr>
        <w:t xml:space="preserve"> </w:t>
      </w:r>
      <w:r w:rsidR="00E74F39" w:rsidRPr="006311C5">
        <w:rPr>
          <w:rFonts w:cs="Times New Roman"/>
        </w:rPr>
        <w:t xml:space="preserve">previous </w:t>
      </w:r>
      <w:r w:rsidR="00292A13" w:rsidRPr="006311C5">
        <w:rPr>
          <w:rFonts w:cs="Times New Roman"/>
        </w:rPr>
        <w:t xml:space="preserve">symptom experience may feed into later symptom perception </w:t>
      </w:r>
      <w:r w:rsidR="00E74F39" w:rsidRPr="006311C5">
        <w:rPr>
          <w:rFonts w:cs="Times New Roman"/>
        </w:rPr>
        <w:t>is</w:t>
      </w:r>
      <w:r w:rsidR="00292A13" w:rsidRPr="006311C5">
        <w:rPr>
          <w:rFonts w:cs="Times New Roman"/>
        </w:rPr>
        <w:t xml:space="preserve"> expectation.</w:t>
      </w:r>
      <w:r w:rsidR="00E74F39" w:rsidRPr="006311C5">
        <w:rPr>
          <w:rFonts w:cs="Times New Roman"/>
        </w:rPr>
        <w:t xml:space="preserve"> </w:t>
      </w:r>
      <w:r w:rsidR="00C7557B" w:rsidRPr="006311C5">
        <w:rPr>
          <w:rFonts w:cs="Times New Roman"/>
        </w:rPr>
        <w:t>Symptom expectation is strongly associated with the nocebo effect and later symptom perception.</w:t>
      </w:r>
      <w:r w:rsidR="003D7738" w:rsidRPr="006311C5">
        <w:rPr>
          <w:rFonts w:cs="Times New Roman"/>
          <w:noProof/>
        </w:rPr>
        <w:t xml:space="preserve"> [3, 4, 32]</w:t>
      </w:r>
      <w:r w:rsidR="00C7557B" w:rsidRPr="006311C5">
        <w:rPr>
          <w:rFonts w:cs="Times New Roman"/>
        </w:rPr>
        <w:t xml:space="preserve"> </w:t>
      </w:r>
      <w:r w:rsidR="00E74F39" w:rsidRPr="006311C5">
        <w:rPr>
          <w:rFonts w:cs="Times New Roman"/>
        </w:rPr>
        <w:t xml:space="preserve">However, </w:t>
      </w:r>
      <w:r w:rsidR="002949E7" w:rsidRPr="006311C5">
        <w:rPr>
          <w:rFonts w:cs="Times New Roman"/>
        </w:rPr>
        <w:t xml:space="preserve">in this study, we did not find a statistically significant association between </w:t>
      </w:r>
      <w:r w:rsidR="00C33609" w:rsidRPr="006311C5">
        <w:rPr>
          <w:rFonts w:cs="Times New Roman"/>
        </w:rPr>
        <w:t>side</w:t>
      </w:r>
      <w:r w:rsidR="00CF5A0F" w:rsidRPr="006311C5">
        <w:rPr>
          <w:rFonts w:cs="Times New Roman"/>
        </w:rPr>
        <w:t>-</w:t>
      </w:r>
      <w:r w:rsidR="00C33609" w:rsidRPr="006311C5">
        <w:rPr>
          <w:rFonts w:cs="Times New Roman"/>
        </w:rPr>
        <w:t xml:space="preserve">effect expectations at the start of the vaccine rollout in the UK and later symptom reporting. One reason for this may be that </w:t>
      </w:r>
      <w:r w:rsidR="00CC7FC4" w:rsidRPr="006311C5">
        <w:rPr>
          <w:rFonts w:cs="Times New Roman"/>
        </w:rPr>
        <w:t xml:space="preserve">most participants were unsure whether they would </w:t>
      </w:r>
      <w:r w:rsidR="006B10B6" w:rsidRPr="006311C5">
        <w:rPr>
          <w:rFonts w:cs="Times New Roman"/>
        </w:rPr>
        <w:t>experience symptoms from a COVID-19 vaccine at T1.</w:t>
      </w:r>
      <w:r w:rsidR="003D7738" w:rsidRPr="006311C5">
        <w:rPr>
          <w:rFonts w:cs="Times New Roman"/>
          <w:noProof/>
        </w:rPr>
        <w:t xml:space="preserve"> [17]</w:t>
      </w:r>
    </w:p>
    <w:p w14:paraId="6348DB72" w14:textId="729D6DAD" w:rsidR="00C85C91" w:rsidRPr="006311C5" w:rsidRDefault="00C7557B">
      <w:pPr>
        <w:spacing w:line="259" w:lineRule="auto"/>
        <w:rPr>
          <w:rStyle w:val="Hyperlink"/>
          <w:color w:val="auto"/>
          <w:u w:val="none"/>
        </w:rPr>
      </w:pPr>
      <w:r w:rsidRPr="006311C5">
        <w:rPr>
          <w:rStyle w:val="Hyperlink"/>
          <w:color w:val="auto"/>
          <w:u w:val="none"/>
        </w:rPr>
        <w:lastRenderedPageBreak/>
        <w:t>We investigated factors associated with side</w:t>
      </w:r>
      <w:r w:rsidR="00CF5A0F" w:rsidRPr="006311C5">
        <w:rPr>
          <w:rStyle w:val="Hyperlink"/>
          <w:color w:val="auto"/>
          <w:u w:val="none"/>
        </w:rPr>
        <w:t>-</w:t>
      </w:r>
      <w:r w:rsidRPr="006311C5">
        <w:rPr>
          <w:rStyle w:val="Hyperlink"/>
          <w:color w:val="auto"/>
          <w:u w:val="none"/>
        </w:rPr>
        <w:t>effect expectations in our T1 survey,</w:t>
      </w:r>
      <w:r w:rsidR="003D7738" w:rsidRPr="006311C5">
        <w:rPr>
          <w:rStyle w:val="Hyperlink"/>
          <w:noProof/>
          <w:color w:val="auto"/>
          <w:u w:val="none"/>
        </w:rPr>
        <w:t xml:space="preserve"> [17]</w:t>
      </w:r>
      <w:r w:rsidRPr="006311C5">
        <w:rPr>
          <w:rStyle w:val="Hyperlink"/>
          <w:color w:val="auto"/>
          <w:u w:val="none"/>
        </w:rPr>
        <w:t xml:space="preserve"> as well as others theoretically associated with nocebo reporting</w:t>
      </w:r>
      <w:r w:rsidR="003D7738" w:rsidRPr="006311C5">
        <w:rPr>
          <w:rStyle w:val="Hyperlink"/>
          <w:noProof/>
          <w:color w:val="auto"/>
          <w:u w:val="none"/>
        </w:rPr>
        <w:t xml:space="preserve"> [3]</w:t>
      </w:r>
      <w:r w:rsidRPr="006311C5">
        <w:rPr>
          <w:rStyle w:val="Hyperlink"/>
          <w:color w:val="auto"/>
          <w:u w:val="none"/>
        </w:rPr>
        <w:t xml:space="preserve"> and side</w:t>
      </w:r>
      <w:r w:rsidR="00CF5A0F" w:rsidRPr="006311C5">
        <w:rPr>
          <w:rStyle w:val="Hyperlink"/>
          <w:color w:val="auto"/>
          <w:u w:val="none"/>
        </w:rPr>
        <w:t>-</w:t>
      </w:r>
      <w:r w:rsidRPr="006311C5">
        <w:rPr>
          <w:rStyle w:val="Hyperlink"/>
          <w:color w:val="auto"/>
          <w:u w:val="none"/>
        </w:rPr>
        <w:t>effect expectations.</w:t>
      </w:r>
      <w:r w:rsidR="003D7738" w:rsidRPr="006311C5">
        <w:rPr>
          <w:rStyle w:val="Hyperlink"/>
          <w:noProof/>
          <w:color w:val="auto"/>
          <w:u w:val="none"/>
        </w:rPr>
        <w:t xml:space="preserve"> [33]</w:t>
      </w:r>
      <w:r w:rsidRPr="006311C5">
        <w:rPr>
          <w:rStyle w:val="Hyperlink"/>
          <w:color w:val="auto"/>
          <w:u w:val="none"/>
        </w:rPr>
        <w:t xml:space="preserve"> However, we found few associations with symptom reporting, and in particular few associations with psychological factors. </w:t>
      </w:r>
      <w:r w:rsidR="009E188C" w:rsidRPr="006311C5">
        <w:rPr>
          <w:rStyle w:val="Hyperlink"/>
          <w:color w:val="auto"/>
          <w:u w:val="none"/>
        </w:rPr>
        <w:t xml:space="preserve">This may be due to the </w:t>
      </w:r>
      <w:r w:rsidR="009E188C" w:rsidRPr="006311C5">
        <w:rPr>
          <w:rFonts w:cs="Times New Roman"/>
        </w:rPr>
        <w:t xml:space="preserve">long period of time between measurement of psychological factors (January 2021) and symptom reporting (October 2021) and the </w:t>
      </w:r>
      <w:r w:rsidR="00340956" w:rsidRPr="006311C5">
        <w:rPr>
          <w:rFonts w:cs="Times New Roman"/>
        </w:rPr>
        <w:t xml:space="preserve">fact that each explanatory variable was adjusted for all of the other variables in the </w:t>
      </w:r>
      <w:r w:rsidR="009E188C" w:rsidRPr="006311C5">
        <w:rPr>
          <w:rStyle w:val="Hyperlink"/>
          <w:color w:val="auto"/>
          <w:u w:val="none"/>
        </w:rPr>
        <w:t xml:space="preserve">statistical </w:t>
      </w:r>
      <w:r w:rsidR="00340956" w:rsidRPr="006311C5">
        <w:rPr>
          <w:rStyle w:val="Hyperlink"/>
          <w:color w:val="auto"/>
          <w:u w:val="none"/>
        </w:rPr>
        <w:t xml:space="preserve">model. </w:t>
      </w:r>
      <w:r w:rsidR="00C85C91" w:rsidRPr="006311C5">
        <w:rPr>
          <w:rStyle w:val="Hyperlink"/>
          <w:color w:val="auto"/>
          <w:u w:val="none"/>
        </w:rPr>
        <w:t xml:space="preserve">For example, </w:t>
      </w:r>
      <w:r w:rsidR="009E188C" w:rsidRPr="006311C5">
        <w:rPr>
          <w:rStyle w:val="Hyperlink"/>
          <w:color w:val="auto"/>
          <w:u w:val="none"/>
        </w:rPr>
        <w:t xml:space="preserve">we found no evidence for an association between </w:t>
      </w:r>
      <w:r w:rsidR="00C85C91" w:rsidRPr="006311C5">
        <w:rPr>
          <w:rStyle w:val="Hyperlink"/>
          <w:color w:val="auto"/>
          <w:u w:val="none"/>
        </w:rPr>
        <w:t xml:space="preserve">perceived vaccine safety </w:t>
      </w:r>
      <w:r w:rsidR="009E188C" w:rsidRPr="006311C5">
        <w:rPr>
          <w:rStyle w:val="Hyperlink"/>
          <w:color w:val="auto"/>
          <w:u w:val="none"/>
        </w:rPr>
        <w:t xml:space="preserve">and </w:t>
      </w:r>
      <w:r w:rsidR="00C85C91" w:rsidRPr="006311C5">
        <w:rPr>
          <w:rStyle w:val="Hyperlink"/>
          <w:color w:val="auto"/>
          <w:u w:val="none"/>
        </w:rPr>
        <w:t>side</w:t>
      </w:r>
      <w:r w:rsidR="00CF5A0F" w:rsidRPr="006311C5">
        <w:rPr>
          <w:rStyle w:val="Hyperlink"/>
          <w:color w:val="auto"/>
          <w:u w:val="none"/>
        </w:rPr>
        <w:t>-</w:t>
      </w:r>
      <w:r w:rsidR="00C85C91" w:rsidRPr="006311C5">
        <w:rPr>
          <w:rStyle w:val="Hyperlink"/>
          <w:color w:val="auto"/>
          <w:u w:val="none"/>
        </w:rPr>
        <w:t>effect</w:t>
      </w:r>
      <w:r w:rsidR="009E188C" w:rsidRPr="006311C5">
        <w:rPr>
          <w:rStyle w:val="Hyperlink"/>
          <w:color w:val="auto"/>
          <w:u w:val="none"/>
        </w:rPr>
        <w:t xml:space="preserve"> reporting</w:t>
      </w:r>
      <w:r w:rsidR="00C85C91" w:rsidRPr="006311C5">
        <w:rPr>
          <w:rStyle w:val="Hyperlink"/>
          <w:color w:val="auto"/>
          <w:u w:val="none"/>
        </w:rPr>
        <w:t xml:space="preserve">. In the UK, there was a media flurry around vaccine safety in April 2021, when news </w:t>
      </w:r>
      <w:r w:rsidR="00340956" w:rsidRPr="006311C5">
        <w:rPr>
          <w:rStyle w:val="Hyperlink"/>
          <w:color w:val="auto"/>
          <w:u w:val="none"/>
        </w:rPr>
        <w:t xml:space="preserve">broke </w:t>
      </w:r>
      <w:r w:rsidR="00C85C91" w:rsidRPr="006311C5">
        <w:rPr>
          <w:rStyle w:val="Hyperlink"/>
          <w:color w:val="auto"/>
          <w:u w:val="none"/>
        </w:rPr>
        <w:t>that the AstraZeneca vaccine may have been linked to unusual blood clots with low platelets.</w:t>
      </w:r>
      <w:r w:rsidR="003D7738" w:rsidRPr="006311C5">
        <w:rPr>
          <w:rStyle w:val="Hyperlink"/>
          <w:noProof/>
          <w:color w:val="auto"/>
          <w:u w:val="none"/>
        </w:rPr>
        <w:t xml:space="preserve"> [34]</w:t>
      </w:r>
      <w:r w:rsidR="000A48AC" w:rsidRPr="006311C5">
        <w:rPr>
          <w:rStyle w:val="Hyperlink"/>
          <w:color w:val="auto"/>
          <w:u w:val="none"/>
        </w:rPr>
        <w:t xml:space="preserve"> </w:t>
      </w:r>
      <w:r w:rsidR="00FF2687" w:rsidRPr="006311C5">
        <w:rPr>
          <w:rStyle w:val="Hyperlink"/>
          <w:color w:val="auto"/>
          <w:u w:val="none"/>
        </w:rPr>
        <w:t xml:space="preserve">This occurred after we had measured </w:t>
      </w:r>
      <w:r w:rsidR="00B477B9" w:rsidRPr="006311C5">
        <w:rPr>
          <w:rStyle w:val="Hyperlink"/>
          <w:color w:val="auto"/>
          <w:u w:val="none"/>
        </w:rPr>
        <w:t xml:space="preserve">the psychological factors used as predictors in this study, and is likely to have affected perceptions. </w:t>
      </w:r>
      <w:r w:rsidR="000A48AC" w:rsidRPr="006311C5">
        <w:rPr>
          <w:rStyle w:val="Hyperlink"/>
          <w:color w:val="auto"/>
          <w:u w:val="none"/>
        </w:rPr>
        <w:t>Studies have found that media reporting is associated with symptom reporting from the COVID-19 vaccine.</w:t>
      </w:r>
      <w:r w:rsidR="003D7738" w:rsidRPr="006311C5">
        <w:rPr>
          <w:noProof/>
        </w:rPr>
        <w:t xml:space="preserve"> [14, 15]</w:t>
      </w:r>
      <w:r w:rsidR="009E188C" w:rsidRPr="006311C5">
        <w:rPr>
          <w:rStyle w:val="Hyperlink"/>
          <w:color w:val="auto"/>
          <w:u w:val="none"/>
        </w:rPr>
        <w:t xml:space="preserve"> </w:t>
      </w:r>
      <w:r w:rsidR="002870E6" w:rsidRPr="006311C5">
        <w:rPr>
          <w:rStyle w:val="Hyperlink"/>
          <w:color w:val="auto"/>
          <w:u w:val="none"/>
        </w:rPr>
        <w:t>I</w:t>
      </w:r>
      <w:r w:rsidR="009E188C" w:rsidRPr="006311C5">
        <w:rPr>
          <w:rStyle w:val="Hyperlink"/>
          <w:color w:val="auto"/>
          <w:u w:val="none"/>
        </w:rPr>
        <w:t>nvestigat</w:t>
      </w:r>
      <w:r w:rsidR="002870E6" w:rsidRPr="006311C5">
        <w:rPr>
          <w:rStyle w:val="Hyperlink"/>
          <w:color w:val="auto"/>
          <w:u w:val="none"/>
        </w:rPr>
        <w:t xml:space="preserve">ion of </w:t>
      </w:r>
      <w:r w:rsidR="009E188C" w:rsidRPr="006311C5">
        <w:rPr>
          <w:rStyle w:val="Hyperlink"/>
          <w:color w:val="auto"/>
          <w:u w:val="none"/>
        </w:rPr>
        <w:t>possible associations of the influence of media and social media on symptom reporting</w:t>
      </w:r>
      <w:r w:rsidR="006774FB" w:rsidRPr="006311C5">
        <w:rPr>
          <w:rStyle w:val="Hyperlink"/>
          <w:color w:val="auto"/>
          <w:u w:val="none"/>
        </w:rPr>
        <w:t xml:space="preserve"> was outside the scope of the study</w:t>
      </w:r>
      <w:r w:rsidR="009E188C" w:rsidRPr="006311C5">
        <w:rPr>
          <w:rStyle w:val="Hyperlink"/>
          <w:color w:val="auto"/>
          <w:u w:val="none"/>
        </w:rPr>
        <w:t>.</w:t>
      </w:r>
      <w:r w:rsidR="002A62FB" w:rsidRPr="006311C5">
        <w:rPr>
          <w:rStyle w:val="Hyperlink"/>
          <w:color w:val="auto"/>
          <w:u w:val="none"/>
        </w:rPr>
        <w:t xml:space="preserve"> </w:t>
      </w:r>
      <w:r w:rsidR="00300C76" w:rsidRPr="006311C5">
        <w:rPr>
          <w:rStyle w:val="Hyperlink"/>
          <w:color w:val="auto"/>
          <w:u w:val="none"/>
        </w:rPr>
        <w:t>Other explanations are also possible. B</w:t>
      </w:r>
      <w:r w:rsidR="002A62FB" w:rsidRPr="006311C5">
        <w:rPr>
          <w:rStyle w:val="Hyperlink"/>
          <w:color w:val="auto"/>
          <w:u w:val="none"/>
        </w:rPr>
        <w:t xml:space="preserve">iological factors </w:t>
      </w:r>
      <w:r w:rsidR="00300C76" w:rsidRPr="006311C5">
        <w:rPr>
          <w:rStyle w:val="Hyperlink"/>
          <w:color w:val="auto"/>
          <w:u w:val="none"/>
        </w:rPr>
        <w:t xml:space="preserve">may </w:t>
      </w:r>
      <w:r w:rsidR="00663012" w:rsidRPr="006311C5">
        <w:rPr>
          <w:rStyle w:val="Hyperlink"/>
          <w:color w:val="auto"/>
          <w:u w:val="none"/>
        </w:rPr>
        <w:t>play a stronger role in incidence of symptoms following COVID-19 vaccination than psychological factors</w:t>
      </w:r>
      <w:r w:rsidR="0097013B" w:rsidRPr="006311C5">
        <w:rPr>
          <w:rStyle w:val="Hyperlink"/>
          <w:color w:val="auto"/>
          <w:u w:val="none"/>
        </w:rPr>
        <w:t>. R</w:t>
      </w:r>
      <w:r w:rsidR="004C4D7B" w:rsidRPr="006311C5">
        <w:rPr>
          <w:rStyle w:val="Hyperlink"/>
          <w:color w:val="auto"/>
          <w:u w:val="none"/>
        </w:rPr>
        <w:t>elevant p</w:t>
      </w:r>
      <w:r w:rsidR="0065304C" w:rsidRPr="006311C5">
        <w:rPr>
          <w:rStyle w:val="Hyperlink"/>
          <w:color w:val="auto"/>
          <w:u w:val="none"/>
        </w:rPr>
        <w:t>sycholo</w:t>
      </w:r>
      <w:r w:rsidR="004C4D7B" w:rsidRPr="006311C5">
        <w:rPr>
          <w:rStyle w:val="Hyperlink"/>
          <w:color w:val="auto"/>
          <w:u w:val="none"/>
        </w:rPr>
        <w:t>gical factors may not have been measured.</w:t>
      </w:r>
      <w:r w:rsidR="006250AF" w:rsidRPr="006311C5">
        <w:rPr>
          <w:rStyle w:val="Hyperlink"/>
          <w:color w:val="auto"/>
          <w:u w:val="none"/>
        </w:rPr>
        <w:t xml:space="preserve"> </w:t>
      </w:r>
      <w:r w:rsidR="0097013B" w:rsidRPr="006311C5">
        <w:rPr>
          <w:rStyle w:val="Hyperlink"/>
          <w:color w:val="auto"/>
          <w:u w:val="none"/>
        </w:rPr>
        <w:t>Alternatively, t</w:t>
      </w:r>
      <w:r w:rsidR="006250AF" w:rsidRPr="006311C5">
        <w:rPr>
          <w:rStyle w:val="Hyperlink"/>
          <w:color w:val="auto"/>
          <w:u w:val="none"/>
        </w:rPr>
        <w:t xml:space="preserve">he influence of psychological factors previously found to be associated with symptom reporting and attribution may have been attenuated in this unique pandemic situation, where </w:t>
      </w:r>
      <w:r w:rsidR="00A82B8E" w:rsidRPr="006311C5">
        <w:rPr>
          <w:rStyle w:val="Hyperlink"/>
          <w:color w:val="auto"/>
          <w:u w:val="none"/>
        </w:rPr>
        <w:t>emphasis was</w:t>
      </w:r>
      <w:r w:rsidR="000D08B1" w:rsidRPr="006311C5">
        <w:rPr>
          <w:rStyle w:val="Hyperlink"/>
          <w:color w:val="auto"/>
          <w:u w:val="none"/>
        </w:rPr>
        <w:t xml:space="preserve"> repeatedly</w:t>
      </w:r>
      <w:r w:rsidR="00A82B8E" w:rsidRPr="006311C5">
        <w:rPr>
          <w:rStyle w:val="Hyperlink"/>
          <w:color w:val="auto"/>
          <w:u w:val="none"/>
        </w:rPr>
        <w:t xml:space="preserve"> placed on vaccination as a “route out of the pandemic”.</w:t>
      </w:r>
      <w:r w:rsidR="003D7738" w:rsidRPr="006311C5">
        <w:rPr>
          <w:rStyle w:val="Hyperlink"/>
          <w:noProof/>
          <w:color w:val="auto"/>
          <w:u w:val="none"/>
        </w:rPr>
        <w:t xml:space="preserve"> [35, 36]</w:t>
      </w:r>
    </w:p>
    <w:p w14:paraId="1F15DDC1" w14:textId="7C87D6E6" w:rsidR="00F243B9" w:rsidRPr="006311C5" w:rsidRDefault="00C95AF6" w:rsidP="000D07A7">
      <w:pPr>
        <w:spacing w:line="259" w:lineRule="auto"/>
        <w:rPr>
          <w:rStyle w:val="Hyperlink"/>
          <w:color w:val="auto"/>
          <w:u w:val="none"/>
        </w:rPr>
      </w:pPr>
      <w:r w:rsidRPr="006311C5">
        <w:rPr>
          <w:rStyle w:val="Hyperlink"/>
          <w:color w:val="auto"/>
          <w:u w:val="none"/>
        </w:rPr>
        <w:t xml:space="preserve">Strengths of this study include its large sample size and </w:t>
      </w:r>
      <w:r w:rsidR="00340956" w:rsidRPr="006311C5">
        <w:rPr>
          <w:rStyle w:val="Hyperlink"/>
          <w:color w:val="auto"/>
          <w:u w:val="none"/>
        </w:rPr>
        <w:t>consequent power</w:t>
      </w:r>
      <w:r w:rsidRPr="006311C5">
        <w:rPr>
          <w:rStyle w:val="Hyperlink"/>
          <w:color w:val="auto"/>
          <w:u w:val="none"/>
        </w:rPr>
        <w:t xml:space="preserve"> to detect small effect</w:t>
      </w:r>
      <w:r w:rsidR="000C6FAB" w:rsidRPr="006311C5">
        <w:rPr>
          <w:rStyle w:val="Hyperlink"/>
          <w:color w:val="auto"/>
          <w:u w:val="none"/>
        </w:rPr>
        <w:t>s</w:t>
      </w:r>
      <w:r w:rsidRPr="006311C5">
        <w:rPr>
          <w:rStyle w:val="Hyperlink"/>
          <w:color w:val="auto"/>
          <w:u w:val="none"/>
        </w:rPr>
        <w:t xml:space="preserve">. Limitations include that </w:t>
      </w:r>
      <w:r w:rsidR="00FB3D26" w:rsidRPr="006311C5">
        <w:rPr>
          <w:rStyle w:val="Hyperlink"/>
          <w:color w:val="auto"/>
          <w:u w:val="none"/>
        </w:rPr>
        <w:t xml:space="preserve">our outcome measure (symptom reporting after the first and second COVID-19 vaccines) was measured in October 2021. While the second wave of data collection was </w:t>
      </w:r>
      <w:r w:rsidR="004D7615" w:rsidRPr="006311C5">
        <w:rPr>
          <w:rStyle w:val="Hyperlink"/>
          <w:color w:val="auto"/>
          <w:u w:val="none"/>
        </w:rPr>
        <w:t xml:space="preserve">timed to coincide with when all UK adults had been offered both vaccine doses, </w:t>
      </w:r>
      <w:r w:rsidR="00B40E83" w:rsidRPr="006311C5">
        <w:rPr>
          <w:rStyle w:val="Hyperlink"/>
          <w:color w:val="auto"/>
          <w:u w:val="none"/>
        </w:rPr>
        <w:t xml:space="preserve">thus </w:t>
      </w:r>
      <w:r w:rsidR="004D7615" w:rsidRPr="006311C5">
        <w:rPr>
          <w:rStyle w:val="Hyperlink"/>
          <w:color w:val="auto"/>
          <w:u w:val="none"/>
        </w:rPr>
        <w:t>avoiding systematic biases within the data, some participants may have completed their vaccine schedule some months before</w:t>
      </w:r>
      <w:r w:rsidR="00DA39CD" w:rsidRPr="006311C5">
        <w:rPr>
          <w:rStyle w:val="Hyperlink"/>
          <w:color w:val="auto"/>
          <w:u w:val="none"/>
        </w:rPr>
        <w:t xml:space="preserve">. </w:t>
      </w:r>
      <w:r w:rsidR="00B477B9" w:rsidRPr="006311C5">
        <w:rPr>
          <w:rStyle w:val="Hyperlink"/>
          <w:color w:val="auto"/>
          <w:u w:val="none"/>
        </w:rPr>
        <w:t xml:space="preserve">Recall for symptoms can fade </w:t>
      </w:r>
      <w:r w:rsidR="008B0577" w:rsidRPr="006311C5">
        <w:rPr>
          <w:rStyle w:val="Hyperlink"/>
          <w:color w:val="auto"/>
          <w:u w:val="none"/>
        </w:rPr>
        <w:t>quickly</w:t>
      </w:r>
      <w:r w:rsidR="00B477B9" w:rsidRPr="006311C5">
        <w:rPr>
          <w:rStyle w:val="Hyperlink"/>
          <w:color w:val="auto"/>
          <w:u w:val="none"/>
        </w:rPr>
        <w:t>.</w:t>
      </w:r>
      <w:r w:rsidR="003D7738" w:rsidRPr="006311C5">
        <w:rPr>
          <w:rStyle w:val="Hyperlink"/>
          <w:noProof/>
          <w:color w:val="auto"/>
          <w:u w:val="none"/>
        </w:rPr>
        <w:t xml:space="preserve"> [37]</w:t>
      </w:r>
      <w:r w:rsidR="00B477B9" w:rsidRPr="006311C5">
        <w:rPr>
          <w:rStyle w:val="Hyperlink"/>
          <w:color w:val="auto"/>
          <w:u w:val="none"/>
        </w:rPr>
        <w:t xml:space="preserve"> </w:t>
      </w:r>
      <w:r w:rsidR="00DA39CD" w:rsidRPr="006311C5">
        <w:rPr>
          <w:rStyle w:val="Hyperlink"/>
          <w:color w:val="auto"/>
          <w:u w:val="none"/>
        </w:rPr>
        <w:t>Therefore symptom reporting, especially for the first vaccine dose (generally given 12 weeks before the second vaccine dose) may be affected by recall bias.</w:t>
      </w:r>
      <w:r w:rsidR="009F246A" w:rsidRPr="006311C5">
        <w:rPr>
          <w:rStyle w:val="Hyperlink"/>
          <w:color w:val="auto"/>
          <w:u w:val="none"/>
        </w:rPr>
        <w:t xml:space="preserve"> </w:t>
      </w:r>
      <w:r w:rsidR="00232EFD" w:rsidRPr="006311C5">
        <w:rPr>
          <w:rStyle w:val="Hyperlink"/>
          <w:color w:val="auto"/>
          <w:u w:val="none"/>
        </w:rPr>
        <w:t xml:space="preserve">We were unable to investigate factors associated with symptom attribution, </w:t>
      </w:r>
      <w:r w:rsidR="00232EFD" w:rsidRPr="006311C5">
        <w:t>as very few people did not attribute their symptoms to the vaccine (first and second vaccine dose)</w:t>
      </w:r>
      <w:r w:rsidR="00232EFD" w:rsidRPr="006311C5">
        <w:rPr>
          <w:rStyle w:val="Hyperlink"/>
          <w:color w:val="auto"/>
          <w:u w:val="none"/>
        </w:rPr>
        <w:t xml:space="preserve">. </w:t>
      </w:r>
      <w:r w:rsidR="003B424E" w:rsidRPr="006311C5">
        <w:rPr>
          <w:rStyle w:val="Hyperlink"/>
          <w:color w:val="auto"/>
          <w:u w:val="none"/>
        </w:rPr>
        <w:t>We were unable to investigate whether reporting side effects following the first vaccine dose affected uptake of the second dose due to small numbers. As so few people reported only having one dose (</w:t>
      </w:r>
      <w:r w:rsidR="00606852" w:rsidRPr="006311C5">
        <w:rPr>
          <w:rStyle w:val="Hyperlink"/>
          <w:color w:val="auto"/>
          <w:u w:val="none"/>
        </w:rPr>
        <w:t xml:space="preserve">2%, </w:t>
      </w:r>
      <w:r w:rsidR="00606852" w:rsidRPr="006311C5">
        <w:rPr>
          <w:rStyle w:val="Hyperlink"/>
          <w:i/>
          <w:iCs/>
          <w:color w:val="auto"/>
          <w:u w:val="none"/>
        </w:rPr>
        <w:t>n</w:t>
      </w:r>
      <w:r w:rsidR="00606852" w:rsidRPr="006311C5">
        <w:rPr>
          <w:rStyle w:val="Hyperlink"/>
          <w:color w:val="auto"/>
          <w:u w:val="none"/>
        </w:rPr>
        <w:t>=</w:t>
      </w:r>
      <w:r w:rsidR="00E753D7" w:rsidRPr="006311C5">
        <w:rPr>
          <w:rStyle w:val="Hyperlink"/>
          <w:color w:val="auto"/>
          <w:u w:val="none"/>
        </w:rPr>
        <w:t xml:space="preserve">25/1034), we assume there was no impact. </w:t>
      </w:r>
      <w:r w:rsidR="00891F4B" w:rsidRPr="006311C5">
        <w:rPr>
          <w:rStyle w:val="Hyperlink"/>
          <w:color w:val="auto"/>
          <w:u w:val="none"/>
        </w:rPr>
        <w:t>This is supported by other research finding that experiencing side effects from the initial course of the COVID-19 vaccine (two doses) did not affect intention to receive a booster dose.</w:t>
      </w:r>
      <w:r w:rsidR="003D7738" w:rsidRPr="006311C5">
        <w:rPr>
          <w:rStyle w:val="Hyperlink"/>
          <w:noProof/>
          <w:color w:val="auto"/>
          <w:u w:val="none"/>
        </w:rPr>
        <w:t xml:space="preserve"> [38]</w:t>
      </w:r>
      <w:r w:rsidR="000D07A7" w:rsidRPr="006311C5">
        <w:rPr>
          <w:rStyle w:val="Hyperlink"/>
          <w:color w:val="auto"/>
          <w:u w:val="none"/>
        </w:rPr>
        <w:t xml:space="preserve"> </w:t>
      </w:r>
      <w:r w:rsidR="00E93786" w:rsidRPr="006311C5">
        <w:rPr>
          <w:rStyle w:val="Hyperlink"/>
          <w:color w:val="auto"/>
          <w:u w:val="none"/>
        </w:rPr>
        <w:t xml:space="preserve">Few people reported receiving a Moderna vaccine and </w:t>
      </w:r>
      <w:r w:rsidR="00222260" w:rsidRPr="006311C5">
        <w:rPr>
          <w:rStyle w:val="Hyperlink"/>
          <w:color w:val="auto"/>
          <w:u w:val="none"/>
        </w:rPr>
        <w:t>so confidence intervals are wide</w:t>
      </w:r>
      <w:r w:rsidR="00B40E83" w:rsidRPr="006311C5">
        <w:rPr>
          <w:rStyle w:val="Hyperlink"/>
          <w:color w:val="auto"/>
          <w:u w:val="none"/>
        </w:rPr>
        <w:t>r</w:t>
      </w:r>
      <w:r w:rsidR="00222260" w:rsidRPr="006311C5">
        <w:rPr>
          <w:rStyle w:val="Hyperlink"/>
          <w:color w:val="auto"/>
          <w:u w:val="none"/>
        </w:rPr>
        <w:t xml:space="preserve"> for these analyses</w:t>
      </w:r>
      <w:r w:rsidR="00D02FA3" w:rsidRPr="006311C5">
        <w:rPr>
          <w:rStyle w:val="Hyperlink"/>
          <w:color w:val="auto"/>
          <w:u w:val="none"/>
        </w:rPr>
        <w:t>,</w:t>
      </w:r>
      <w:r w:rsidR="00340956" w:rsidRPr="006311C5">
        <w:rPr>
          <w:rStyle w:val="Hyperlink"/>
          <w:color w:val="auto"/>
          <w:u w:val="none"/>
        </w:rPr>
        <w:t xml:space="preserve"> and no hypothesis tests were performed in respect of comparisons between the three vaccines</w:t>
      </w:r>
      <w:r w:rsidR="00D02FA3" w:rsidRPr="006311C5">
        <w:rPr>
          <w:rStyle w:val="Hyperlink"/>
          <w:color w:val="auto"/>
          <w:u w:val="none"/>
        </w:rPr>
        <w:t xml:space="preserve"> in view of the disparity in the size of these subgroups</w:t>
      </w:r>
      <w:r w:rsidR="00222260" w:rsidRPr="006311C5">
        <w:rPr>
          <w:rStyle w:val="Hyperlink"/>
          <w:color w:val="auto"/>
          <w:u w:val="none"/>
        </w:rPr>
        <w:t>.</w:t>
      </w:r>
      <w:r w:rsidR="000D07A7" w:rsidRPr="006311C5">
        <w:rPr>
          <w:rStyle w:val="Hyperlink"/>
          <w:color w:val="auto"/>
          <w:u w:val="none"/>
        </w:rPr>
        <w:t xml:space="preserve"> There may be some </w:t>
      </w:r>
      <w:r w:rsidR="007D4B2F" w:rsidRPr="006311C5">
        <w:rPr>
          <w:rStyle w:val="Hyperlink"/>
          <w:color w:val="auto"/>
          <w:u w:val="none"/>
        </w:rPr>
        <w:t>experience of adverse events</w:t>
      </w:r>
      <w:r w:rsidR="000D07A7" w:rsidRPr="006311C5">
        <w:rPr>
          <w:rStyle w:val="Hyperlink"/>
          <w:color w:val="auto"/>
          <w:u w:val="none"/>
        </w:rPr>
        <w:t xml:space="preserve"> from vaccination </w:t>
      </w:r>
      <w:r w:rsidR="007D4B2F" w:rsidRPr="006311C5">
        <w:rPr>
          <w:rStyle w:val="Hyperlink"/>
          <w:color w:val="auto"/>
          <w:u w:val="none"/>
        </w:rPr>
        <w:t xml:space="preserve">in those </w:t>
      </w:r>
      <w:r w:rsidR="00156084" w:rsidRPr="006311C5">
        <w:rPr>
          <w:rStyle w:val="Hyperlink"/>
          <w:color w:val="auto"/>
          <w:u w:val="none"/>
        </w:rPr>
        <w:t>infected with SARS-CoV-2 when vaccinated</w:t>
      </w:r>
      <w:r w:rsidR="000D07A7" w:rsidRPr="006311C5">
        <w:rPr>
          <w:rStyle w:val="Hyperlink"/>
          <w:color w:val="auto"/>
          <w:u w:val="none"/>
        </w:rPr>
        <w:t>.</w:t>
      </w:r>
      <w:r w:rsidR="003D7738" w:rsidRPr="006311C5">
        <w:rPr>
          <w:rStyle w:val="Hyperlink"/>
          <w:noProof/>
          <w:color w:val="auto"/>
          <w:u w:val="none"/>
        </w:rPr>
        <w:t xml:space="preserve"> [10]</w:t>
      </w:r>
      <w:r w:rsidR="00D424A0" w:rsidRPr="006311C5">
        <w:rPr>
          <w:rStyle w:val="Hyperlink"/>
          <w:color w:val="auto"/>
          <w:u w:val="none"/>
        </w:rPr>
        <w:t xml:space="preserve"> </w:t>
      </w:r>
      <w:r w:rsidR="00D5530F" w:rsidRPr="006311C5">
        <w:rPr>
          <w:rStyle w:val="Hyperlink"/>
          <w:color w:val="auto"/>
          <w:u w:val="none"/>
        </w:rPr>
        <w:t xml:space="preserve">Our question measuring previous SARS-CoV-2 infection asked whether participants had previously had, or currently had, COVID-19 </w:t>
      </w:r>
      <w:r w:rsidR="00261233" w:rsidRPr="006311C5">
        <w:rPr>
          <w:rStyle w:val="Hyperlink"/>
          <w:color w:val="auto"/>
          <w:u w:val="none"/>
        </w:rPr>
        <w:t xml:space="preserve">and </w:t>
      </w:r>
      <w:r w:rsidR="00D5530F" w:rsidRPr="006311C5">
        <w:rPr>
          <w:rStyle w:val="Hyperlink"/>
          <w:color w:val="auto"/>
          <w:u w:val="none"/>
        </w:rPr>
        <w:t xml:space="preserve">was asked at T1. </w:t>
      </w:r>
      <w:r w:rsidR="003359CA" w:rsidRPr="006311C5">
        <w:rPr>
          <w:rStyle w:val="Hyperlink"/>
          <w:color w:val="auto"/>
          <w:u w:val="none"/>
        </w:rPr>
        <w:t>Therefore</w:t>
      </w:r>
      <w:r w:rsidR="00D424A0" w:rsidRPr="006311C5">
        <w:rPr>
          <w:rStyle w:val="Hyperlink"/>
          <w:color w:val="auto"/>
          <w:u w:val="none"/>
        </w:rPr>
        <w:t xml:space="preserve">, </w:t>
      </w:r>
      <w:r w:rsidR="00D5530F" w:rsidRPr="006311C5">
        <w:rPr>
          <w:rStyle w:val="Hyperlink"/>
          <w:color w:val="auto"/>
          <w:u w:val="none"/>
        </w:rPr>
        <w:t xml:space="preserve">some </w:t>
      </w:r>
      <w:r w:rsidR="00D424A0" w:rsidRPr="006311C5">
        <w:rPr>
          <w:rStyle w:val="Hyperlink"/>
          <w:color w:val="auto"/>
          <w:u w:val="none"/>
        </w:rPr>
        <w:t>participants may have been infected with SARS-CoV-2 after having completed the T1 questionnaire, but before receiving their first vaccine</w:t>
      </w:r>
      <w:r w:rsidR="00261233" w:rsidRPr="006311C5">
        <w:rPr>
          <w:rStyle w:val="Hyperlink"/>
          <w:color w:val="auto"/>
          <w:u w:val="none"/>
        </w:rPr>
        <w:t>,</w:t>
      </w:r>
      <w:r w:rsidR="00D5530F" w:rsidRPr="006311C5">
        <w:rPr>
          <w:rStyle w:val="Hyperlink"/>
          <w:color w:val="auto"/>
          <w:u w:val="none"/>
        </w:rPr>
        <w:t xml:space="preserve"> </w:t>
      </w:r>
      <w:r w:rsidR="00261233" w:rsidRPr="006311C5">
        <w:rPr>
          <w:rStyle w:val="Hyperlink"/>
          <w:color w:val="auto"/>
          <w:u w:val="none"/>
        </w:rPr>
        <w:t>whom</w:t>
      </w:r>
      <w:r w:rsidR="00D5530F" w:rsidRPr="006311C5">
        <w:rPr>
          <w:rStyle w:val="Hyperlink"/>
          <w:color w:val="auto"/>
          <w:u w:val="none"/>
        </w:rPr>
        <w:t xml:space="preserve"> we were not able to identify</w:t>
      </w:r>
      <w:r w:rsidR="00D424A0" w:rsidRPr="006311C5">
        <w:rPr>
          <w:rStyle w:val="Hyperlink"/>
          <w:color w:val="auto"/>
          <w:u w:val="none"/>
        </w:rPr>
        <w:t xml:space="preserve">. </w:t>
      </w:r>
    </w:p>
    <w:p w14:paraId="1D0EDE43" w14:textId="63806357" w:rsidR="00D424A0" w:rsidRPr="006311C5" w:rsidRDefault="6D5927AE">
      <w:pPr>
        <w:spacing w:line="259" w:lineRule="auto"/>
        <w:rPr>
          <w:rStyle w:val="Hyperlink"/>
          <w:color w:val="auto"/>
          <w:u w:val="none"/>
        </w:rPr>
      </w:pPr>
      <w:r w:rsidRPr="006311C5">
        <w:rPr>
          <w:rStyle w:val="Hyperlink"/>
          <w:color w:val="auto"/>
          <w:u w:val="none"/>
        </w:rPr>
        <w:t xml:space="preserve">In conclusion, in this study, more people reported injection-site symptoms than non-injection-site symptoms. Symptoms were more likely to be reported following the first compared to the second vaccine dose. Approximately 90% of people reporting symptoms attributed them to the vaccine. Women and younger people were more likely to report symptoms, in line with clinical trial data. The factor most strongly associated with symptom reporting following the second vaccine dose was reporting symptoms from the first vaccine. However, few people had only had one vaccine, suggesting that perception of side effects did not deter people from having their second vaccine. </w:t>
      </w:r>
      <w:r w:rsidRPr="006311C5">
        <w:rPr>
          <w:rStyle w:val="Hyperlink"/>
          <w:color w:val="auto"/>
          <w:u w:val="none"/>
        </w:rPr>
        <w:lastRenderedPageBreak/>
        <w:t>Few psychological factors were associated with side-effect reporting, possibly due to the long time period between waves of data collection (January and October 2021).</w:t>
      </w:r>
      <w:r w:rsidR="003F77E7" w:rsidRPr="006311C5">
        <w:rPr>
          <w:rStyle w:val="Hyperlink"/>
          <w:color w:val="auto"/>
          <w:u w:val="none"/>
        </w:rPr>
        <w:br w:type="page"/>
      </w:r>
    </w:p>
    <w:p w14:paraId="3AF3D221" w14:textId="57F88381" w:rsidR="007A76D0" w:rsidRPr="006311C5" w:rsidRDefault="007A76D0" w:rsidP="00BC5542">
      <w:pPr>
        <w:pStyle w:val="Heading1"/>
        <w:rPr>
          <w:rStyle w:val="Hyperlink"/>
          <w:color w:val="auto"/>
          <w:u w:val="none"/>
        </w:rPr>
      </w:pPr>
      <w:r w:rsidRPr="006311C5">
        <w:rPr>
          <w:rStyle w:val="Hyperlink"/>
          <w:color w:val="auto"/>
          <w:u w:val="none"/>
        </w:rPr>
        <w:lastRenderedPageBreak/>
        <w:t>Sources of Funding</w:t>
      </w:r>
    </w:p>
    <w:p w14:paraId="73D9DDC0" w14:textId="2CE03DC1" w:rsidR="007A76D0" w:rsidRPr="006311C5" w:rsidRDefault="0072109D" w:rsidP="007A76D0">
      <w:r w:rsidRPr="006311C5">
        <w:t xml:space="preserve">Data collection was funded by a </w:t>
      </w:r>
      <w:proofErr w:type="spellStart"/>
      <w:r w:rsidRPr="006311C5">
        <w:t>Keele</w:t>
      </w:r>
      <w:proofErr w:type="spellEnd"/>
      <w:r w:rsidRPr="006311C5">
        <w:t xml:space="preserve"> University Faculty of Natural Sciences Research Development award to SS, JS and NS, and a Kings COVID Appeal Fund award granted jointly to LS, GJR, RA, NS, SS and JS. NS research is supported by the National Institute for Health Research (NIHR) Applied Research Collaboration (ARC) South London at King’s College Hospital NHS Foundation Trust. NS is a member of King’s Improvement Science, which offers co-funding to the NIHR ARC South London and is funded by Kings Health Partners (Guys and St Thomas NHS Foundation Trust, King’s College Hospital NHS Foundation Trust, Kings College London and South London and Maudsley NHS Foundation Trust), and the Guy’s and St </w:t>
      </w:r>
      <w:proofErr w:type="spellStart"/>
      <w:r w:rsidRPr="006311C5">
        <w:t>Thomas’</w:t>
      </w:r>
      <w:proofErr w:type="spellEnd"/>
      <w:r w:rsidRPr="006311C5">
        <w:t xml:space="preserve"> Foundation. </w:t>
      </w:r>
      <w:r w:rsidR="0050645F" w:rsidRPr="006311C5">
        <w:t xml:space="preserve">LS, RA and GJR are </w:t>
      </w:r>
      <w:r w:rsidR="0050645F" w:rsidRPr="006311C5">
        <w:rPr>
          <w:rFonts w:cs="Arial"/>
          <w:color w:val="000000"/>
        </w:rPr>
        <w:t xml:space="preserve">funded by the National Institute for Health and Care Research Health Protection Research Unit (NIHR HPRU) in Emergency Preparedness and Response, a partnership between the UK Health Security Agency, King’s College London and the University of East Anglia. </w:t>
      </w:r>
      <w:r w:rsidRPr="006311C5">
        <w:t xml:space="preserve">The views expressed are those of the authors and not necessarily those of the NIHR, </w:t>
      </w:r>
      <w:r w:rsidR="0050645F" w:rsidRPr="006311C5">
        <w:t>UK</w:t>
      </w:r>
      <w:r w:rsidR="00F321FF" w:rsidRPr="006311C5">
        <w:t xml:space="preserve"> </w:t>
      </w:r>
      <w:r w:rsidR="0050645F" w:rsidRPr="006311C5">
        <w:t>H</w:t>
      </w:r>
      <w:r w:rsidR="00F321FF" w:rsidRPr="006311C5">
        <w:t xml:space="preserve">ealth </w:t>
      </w:r>
      <w:r w:rsidR="0050645F" w:rsidRPr="006311C5">
        <w:t>S</w:t>
      </w:r>
      <w:r w:rsidR="00F321FF" w:rsidRPr="006311C5">
        <w:t xml:space="preserve">ecurity </w:t>
      </w:r>
      <w:r w:rsidR="0050645F" w:rsidRPr="006311C5">
        <w:t>A</w:t>
      </w:r>
      <w:r w:rsidR="00F321FF" w:rsidRPr="006311C5">
        <w:t>gency</w:t>
      </w:r>
      <w:r w:rsidR="0050645F" w:rsidRPr="006311C5">
        <w:t xml:space="preserve">, </w:t>
      </w:r>
      <w:r w:rsidRPr="006311C5">
        <w:t>the charities or the Department of Health and Social Care.</w:t>
      </w:r>
      <w:r w:rsidR="00875697" w:rsidRPr="006311C5">
        <w:t xml:space="preserve"> </w:t>
      </w:r>
      <w:r w:rsidR="00875697" w:rsidRPr="006311C5">
        <w:rPr>
          <w:rFonts w:cs="Arial"/>
          <w:color w:val="000000"/>
        </w:rPr>
        <w:t>For the purpose of open access, the author has applied a Creative Commons Attribution (CC BY) licence to any Author Accepted Manuscript version arising.</w:t>
      </w:r>
    </w:p>
    <w:p w14:paraId="2281D7D7" w14:textId="78F360C6" w:rsidR="002D6828" w:rsidRPr="006311C5" w:rsidRDefault="002D6828" w:rsidP="00BC5542">
      <w:pPr>
        <w:pStyle w:val="Heading1"/>
        <w:rPr>
          <w:rStyle w:val="Hyperlink"/>
          <w:color w:val="auto"/>
          <w:u w:val="none"/>
        </w:rPr>
      </w:pPr>
      <w:r w:rsidRPr="006311C5">
        <w:rPr>
          <w:rStyle w:val="Hyperlink"/>
          <w:color w:val="auto"/>
          <w:u w:val="none"/>
        </w:rPr>
        <w:t>Conflicts of Interest</w:t>
      </w:r>
    </w:p>
    <w:p w14:paraId="12BD955D" w14:textId="525C351F" w:rsidR="008736D7" w:rsidRPr="006311C5" w:rsidRDefault="008736D7" w:rsidP="008736D7">
      <w:r w:rsidRPr="006311C5">
        <w:t xml:space="preserve">All authors have completed the Unified Competing Interest form at </w:t>
      </w:r>
      <w:hyperlink r:id="rId13">
        <w:r w:rsidRPr="006311C5">
          <w:rPr>
            <w:rStyle w:val="Hyperlink"/>
          </w:rPr>
          <w:t>http://www.icmje.org/coi_disclosure.pdf</w:t>
        </w:r>
      </w:hyperlink>
      <w:r w:rsidRPr="006311C5">
        <w:t xml:space="preserve"> and declare that data collection was funded by a </w:t>
      </w:r>
      <w:proofErr w:type="spellStart"/>
      <w:r w:rsidRPr="006311C5">
        <w:t>Keele</w:t>
      </w:r>
      <w:proofErr w:type="spellEnd"/>
      <w:r w:rsidRPr="006311C5">
        <w:t xml:space="preserve"> University Faculty of Natural Sciences Research Development award to SS, JS and NS, and a Kings COVID Appeal Fund award granted jointly to LS, GJR, RA, NS, SS and JS.</w:t>
      </w:r>
      <w:r w:rsidR="00333BB9" w:rsidRPr="006311C5">
        <w:t xml:space="preserve"> </w:t>
      </w:r>
    </w:p>
    <w:p w14:paraId="0E17BE58" w14:textId="267032AA" w:rsidR="008736D7" w:rsidRPr="006311C5" w:rsidRDefault="008736D7" w:rsidP="008736D7">
      <w:r w:rsidRPr="006311C5">
        <w:t>NS is the director of the London Safety and Training Solutions Ltd, which offers training in patient safety, implementation solutions and human factors to healthcare organi</w:t>
      </w:r>
      <w:r w:rsidR="005337EC" w:rsidRPr="006311C5">
        <w:t>z</w:t>
      </w:r>
      <w:r w:rsidRPr="006311C5">
        <w:t xml:space="preserve">ations and the pharmaceutical industry; RA is employed by the UK Health Security Agency. </w:t>
      </w:r>
      <w:r w:rsidR="00805CCC" w:rsidRPr="006311C5">
        <w:t>At the time of writing GJR is acting as an expert witness in an unrelated case involving Bayer PLC</w:t>
      </w:r>
      <w:r w:rsidR="0010193A" w:rsidRPr="006311C5">
        <w:t xml:space="preserve">. LS helped prepare documents for the </w:t>
      </w:r>
      <w:r w:rsidR="00764E72" w:rsidRPr="006311C5">
        <w:t>testimony</w:t>
      </w:r>
      <w:r w:rsidR="00805CCC" w:rsidRPr="006311C5">
        <w:t xml:space="preserve">. The </w:t>
      </w:r>
      <w:r w:rsidRPr="006311C5">
        <w:t>other authors have no conflicts of interest to declare.</w:t>
      </w:r>
    </w:p>
    <w:p w14:paraId="3B539C71" w14:textId="77777777" w:rsidR="008736D7" w:rsidRPr="006311C5" w:rsidRDefault="008736D7">
      <w:pPr>
        <w:spacing w:line="259" w:lineRule="auto"/>
        <w:rPr>
          <w:rStyle w:val="Hyperlink"/>
          <w:rFonts w:eastAsiaTheme="majorEastAsia" w:cstheme="majorBidi"/>
          <w:b/>
          <w:color w:val="auto"/>
          <w:sz w:val="24"/>
          <w:szCs w:val="32"/>
          <w:u w:val="none"/>
        </w:rPr>
      </w:pPr>
      <w:r w:rsidRPr="006311C5">
        <w:rPr>
          <w:rStyle w:val="Hyperlink"/>
          <w:color w:val="auto"/>
          <w:u w:val="none"/>
        </w:rPr>
        <w:br w:type="page"/>
      </w:r>
    </w:p>
    <w:p w14:paraId="145F532F" w14:textId="7B1A4EF2" w:rsidR="00BC5542" w:rsidRPr="006311C5" w:rsidRDefault="4F99F936" w:rsidP="4F99F936">
      <w:pPr>
        <w:pStyle w:val="Heading1"/>
        <w:rPr>
          <w:rStyle w:val="Hyperlink"/>
          <w:rFonts w:eastAsiaTheme="minorEastAsia" w:cstheme="minorBidi"/>
          <w:color w:val="auto"/>
          <w:u w:val="none"/>
        </w:rPr>
      </w:pPr>
      <w:r w:rsidRPr="006311C5">
        <w:rPr>
          <w:rStyle w:val="Hyperlink"/>
          <w:color w:val="auto"/>
          <w:u w:val="none"/>
        </w:rPr>
        <w:lastRenderedPageBreak/>
        <w:t>References</w:t>
      </w:r>
    </w:p>
    <w:p w14:paraId="1DCC4454" w14:textId="103390A3" w:rsidR="007315E0" w:rsidRPr="006311C5" w:rsidRDefault="007315E0" w:rsidP="00223E31">
      <w:pPr>
        <w:rPr>
          <w:noProof/>
        </w:rPr>
      </w:pPr>
      <w:r w:rsidRPr="006311C5">
        <w:rPr>
          <w:noProof/>
        </w:rPr>
        <w:t>[1] Barsky, A.J., R. Saintfort, M.P. Rogers, and J.F. Borus, Nonspecific medication side effects and the nocebo phenomenon</w:t>
      </w:r>
      <w:r w:rsidRPr="006311C5">
        <w:rPr>
          <w:i/>
          <w:noProof/>
        </w:rPr>
        <w:t>.</w:t>
      </w:r>
      <w:r w:rsidRPr="006311C5">
        <w:rPr>
          <w:noProof/>
        </w:rPr>
        <w:t xml:space="preserve"> JAMA, 2002. 287(5), 622-7. </w:t>
      </w:r>
      <w:hyperlink r:id="rId14" w:history="1">
        <w:r w:rsidR="009244FE" w:rsidRPr="006311C5">
          <w:rPr>
            <w:rStyle w:val="Hyperlink"/>
          </w:rPr>
          <w:t>https://doi.org/10.1001/jama.287.5.622</w:t>
        </w:r>
      </w:hyperlink>
      <w:r w:rsidRPr="006311C5">
        <w:rPr>
          <w:noProof/>
        </w:rPr>
        <w:t>.</w:t>
      </w:r>
      <w:r w:rsidR="009244FE" w:rsidRPr="006311C5">
        <w:t xml:space="preserve"> </w:t>
      </w:r>
    </w:p>
    <w:p w14:paraId="11621FE6" w14:textId="011D5BE1" w:rsidR="007315E0" w:rsidRPr="006311C5" w:rsidRDefault="007315E0" w:rsidP="00223E31">
      <w:pPr>
        <w:rPr>
          <w:noProof/>
        </w:rPr>
      </w:pPr>
      <w:r w:rsidRPr="006311C5">
        <w:rPr>
          <w:noProof/>
        </w:rPr>
        <w:t>[2] Faasse, K. and K.J. Petrie, The nocebo effect: patient expectations and medication side effects</w:t>
      </w:r>
      <w:r w:rsidRPr="006311C5">
        <w:rPr>
          <w:i/>
          <w:noProof/>
        </w:rPr>
        <w:t>.</w:t>
      </w:r>
      <w:r w:rsidRPr="006311C5">
        <w:rPr>
          <w:noProof/>
        </w:rPr>
        <w:t xml:space="preserve"> Postgrad Med J, 2013. 89(1055), 540-6. </w:t>
      </w:r>
      <w:hyperlink r:id="rId15" w:history="1">
        <w:r w:rsidR="009244FE" w:rsidRPr="006311C5">
          <w:rPr>
            <w:rStyle w:val="Hyperlink"/>
          </w:rPr>
          <w:t>https://doi.org/10.1136/postgradmedj-2012-131730</w:t>
        </w:r>
      </w:hyperlink>
      <w:r w:rsidRPr="006311C5">
        <w:rPr>
          <w:noProof/>
        </w:rPr>
        <w:t>.</w:t>
      </w:r>
      <w:r w:rsidR="009244FE" w:rsidRPr="006311C5">
        <w:t xml:space="preserve"> </w:t>
      </w:r>
    </w:p>
    <w:p w14:paraId="222BA729" w14:textId="297F86A5" w:rsidR="007315E0" w:rsidRPr="006311C5" w:rsidRDefault="007315E0" w:rsidP="00223E31">
      <w:pPr>
        <w:rPr>
          <w:noProof/>
        </w:rPr>
      </w:pPr>
      <w:r w:rsidRPr="006311C5">
        <w:rPr>
          <w:noProof/>
        </w:rPr>
        <w:t>[3] Webster, R.K., J. Weinman, and G.J. Rubin, A systematic review of factors that contribute to nocebo effects</w:t>
      </w:r>
      <w:r w:rsidRPr="006311C5">
        <w:rPr>
          <w:i/>
          <w:noProof/>
        </w:rPr>
        <w:t>.</w:t>
      </w:r>
      <w:r w:rsidRPr="006311C5">
        <w:rPr>
          <w:noProof/>
        </w:rPr>
        <w:t xml:space="preserve"> Health Psychol, 2016. 35(12), 1334-1355. </w:t>
      </w:r>
      <w:hyperlink r:id="rId16" w:history="1">
        <w:r w:rsidR="009244FE" w:rsidRPr="006311C5">
          <w:rPr>
            <w:rStyle w:val="Hyperlink"/>
          </w:rPr>
          <w:t>https://doi.org/10.1037/hea0000416</w:t>
        </w:r>
      </w:hyperlink>
      <w:r w:rsidRPr="006311C5">
        <w:rPr>
          <w:noProof/>
        </w:rPr>
        <w:t>.</w:t>
      </w:r>
      <w:r w:rsidR="009244FE" w:rsidRPr="006311C5">
        <w:t xml:space="preserve"> </w:t>
      </w:r>
    </w:p>
    <w:p w14:paraId="0FDA6DF0" w14:textId="41DFC879" w:rsidR="007315E0" w:rsidRPr="006311C5" w:rsidRDefault="007315E0" w:rsidP="00223E31">
      <w:pPr>
        <w:rPr>
          <w:noProof/>
        </w:rPr>
      </w:pPr>
      <w:r w:rsidRPr="006311C5">
        <w:rPr>
          <w:noProof/>
        </w:rPr>
        <w:t>[4] Smith, L.E., J. Weinman, R. Amlot, J. Yiend, and G.J. Rubin, Parental Expectation of Side Effects Following Vaccination Is Self-fulfilling: A Prospective Cohort Study</w:t>
      </w:r>
      <w:r w:rsidRPr="006311C5">
        <w:rPr>
          <w:i/>
          <w:noProof/>
        </w:rPr>
        <w:t>.</w:t>
      </w:r>
      <w:r w:rsidRPr="006311C5">
        <w:rPr>
          <w:noProof/>
        </w:rPr>
        <w:t xml:space="preserve"> Ann Behav Med, 2019. 53(3), 267-282. </w:t>
      </w:r>
      <w:hyperlink r:id="rId17" w:history="1">
        <w:r w:rsidR="009244FE" w:rsidRPr="006311C5">
          <w:rPr>
            <w:rStyle w:val="Hyperlink"/>
          </w:rPr>
          <w:t>https://doi.org/10.1093/abm/kay040</w:t>
        </w:r>
      </w:hyperlink>
      <w:r w:rsidRPr="006311C5">
        <w:rPr>
          <w:noProof/>
        </w:rPr>
        <w:t>.</w:t>
      </w:r>
      <w:r w:rsidR="009244FE" w:rsidRPr="006311C5">
        <w:t xml:space="preserve"> </w:t>
      </w:r>
    </w:p>
    <w:p w14:paraId="10D5BC19" w14:textId="4E5970D1" w:rsidR="007315E0" w:rsidRPr="006311C5" w:rsidRDefault="007315E0" w:rsidP="00223E31">
      <w:pPr>
        <w:rPr>
          <w:noProof/>
        </w:rPr>
      </w:pPr>
      <w:r w:rsidRPr="006311C5">
        <w:rPr>
          <w:noProof/>
        </w:rPr>
        <w:t>[5] Faasse, K., J.T. Porsius, J. Faasse, and L.R. Martin, Bad news: The influence of news coverage and Google searches on Gardasil adverse event reporting</w:t>
      </w:r>
      <w:r w:rsidRPr="006311C5">
        <w:rPr>
          <w:i/>
          <w:noProof/>
        </w:rPr>
        <w:t>.</w:t>
      </w:r>
      <w:r w:rsidRPr="006311C5">
        <w:rPr>
          <w:noProof/>
        </w:rPr>
        <w:t xml:space="preserve"> Vaccine, 2017. 35(49 Pt B), 6872-6878. </w:t>
      </w:r>
      <w:hyperlink r:id="rId18" w:history="1">
        <w:r w:rsidR="009244FE" w:rsidRPr="006311C5">
          <w:rPr>
            <w:rStyle w:val="Hyperlink"/>
          </w:rPr>
          <w:t>https://doi.org/10.1016/j.vaccine.2017.10.004</w:t>
        </w:r>
      </w:hyperlink>
      <w:r w:rsidRPr="006311C5">
        <w:rPr>
          <w:noProof/>
        </w:rPr>
        <w:t>.</w:t>
      </w:r>
      <w:r w:rsidR="009244FE" w:rsidRPr="006311C5">
        <w:t xml:space="preserve"> </w:t>
      </w:r>
    </w:p>
    <w:p w14:paraId="6A75D0EC" w14:textId="6D7C5CA2" w:rsidR="007315E0" w:rsidRPr="006311C5" w:rsidRDefault="007315E0" w:rsidP="00223E31">
      <w:pPr>
        <w:rPr>
          <w:noProof/>
        </w:rPr>
      </w:pPr>
      <w:r w:rsidRPr="006311C5">
        <w:rPr>
          <w:noProof/>
        </w:rPr>
        <w:t>[6] Nestoriuc, Y., E.J. Orav, M.H. Liang, R. Horne, and A.J. Barsky, Prediction of nonspecific side effects in rheumatoid arthritis patients by beliefs about medicines</w:t>
      </w:r>
      <w:r w:rsidRPr="006311C5">
        <w:rPr>
          <w:i/>
          <w:noProof/>
        </w:rPr>
        <w:t>.</w:t>
      </w:r>
      <w:r w:rsidRPr="006311C5">
        <w:rPr>
          <w:noProof/>
        </w:rPr>
        <w:t xml:space="preserve"> Arthritis Care Res (Hoboken), 2010. 62(6), 791-9. </w:t>
      </w:r>
      <w:hyperlink r:id="rId19" w:history="1">
        <w:r w:rsidR="009244FE" w:rsidRPr="006311C5">
          <w:rPr>
            <w:rStyle w:val="Hyperlink"/>
          </w:rPr>
          <w:t>https://doi.org/10.1002/acr.20160</w:t>
        </w:r>
      </w:hyperlink>
      <w:r w:rsidRPr="006311C5">
        <w:rPr>
          <w:noProof/>
        </w:rPr>
        <w:t>.</w:t>
      </w:r>
      <w:r w:rsidR="009244FE" w:rsidRPr="006311C5">
        <w:t xml:space="preserve"> </w:t>
      </w:r>
    </w:p>
    <w:p w14:paraId="628ABE0A" w14:textId="3ABB7D96" w:rsidR="007315E0" w:rsidRPr="006311C5" w:rsidRDefault="007315E0" w:rsidP="00223E31">
      <w:pPr>
        <w:rPr>
          <w:noProof/>
        </w:rPr>
      </w:pPr>
      <w:r w:rsidRPr="006311C5">
        <w:rPr>
          <w:noProof/>
        </w:rPr>
        <w:t>[7] Cooper, V., L. Metcalf, J. Versnel, J. Upton, S. Walker, et al., Patient-reported side effects, concerns and adherence to corticosteroid treatment for asthma, and comparison with physician estimates of side-effect prevalence: a UK-wide, cross-sectional study</w:t>
      </w:r>
      <w:r w:rsidRPr="006311C5">
        <w:rPr>
          <w:i/>
          <w:noProof/>
        </w:rPr>
        <w:t>.</w:t>
      </w:r>
      <w:r w:rsidRPr="006311C5">
        <w:rPr>
          <w:noProof/>
        </w:rPr>
        <w:t xml:space="preserve"> NPJ Prim Care Respir Med, 2015. 2515026. </w:t>
      </w:r>
      <w:hyperlink r:id="rId20" w:history="1">
        <w:r w:rsidR="009244FE" w:rsidRPr="006311C5">
          <w:rPr>
            <w:rStyle w:val="Hyperlink"/>
          </w:rPr>
          <w:t>https://doi.org/10.1038/npjpcrm.2015.26</w:t>
        </w:r>
      </w:hyperlink>
      <w:r w:rsidRPr="006311C5">
        <w:rPr>
          <w:noProof/>
        </w:rPr>
        <w:t>.</w:t>
      </w:r>
      <w:r w:rsidR="009244FE" w:rsidRPr="006311C5">
        <w:t xml:space="preserve"> </w:t>
      </w:r>
    </w:p>
    <w:p w14:paraId="5A3339AB" w14:textId="473266CC" w:rsidR="007315E0" w:rsidRPr="006311C5" w:rsidRDefault="007315E0" w:rsidP="00223E31">
      <w:pPr>
        <w:rPr>
          <w:noProof/>
        </w:rPr>
      </w:pPr>
      <w:r w:rsidRPr="006311C5">
        <w:rPr>
          <w:noProof/>
        </w:rPr>
        <w:t>[8] Voysey, M., S.A.C. Clemens, S.A. Madhi, L.Y. Weckx, P.M. Folegatti, et al., Safety and efficacy of the ChAdOx1 nCoV-19 vaccine (AZD1222) against SARS-CoV-2: an interim analysis of four randomised controlled trials in Brazil, South Africa, and the UK</w:t>
      </w:r>
      <w:r w:rsidRPr="006311C5">
        <w:rPr>
          <w:i/>
          <w:noProof/>
        </w:rPr>
        <w:t>.</w:t>
      </w:r>
      <w:r w:rsidRPr="006311C5">
        <w:rPr>
          <w:noProof/>
        </w:rPr>
        <w:t xml:space="preserve"> Lancet, 2021. 397(10269), 99-111. </w:t>
      </w:r>
      <w:hyperlink r:id="rId21" w:history="1">
        <w:r w:rsidR="009244FE" w:rsidRPr="006311C5">
          <w:rPr>
            <w:rStyle w:val="Hyperlink"/>
          </w:rPr>
          <w:t>https://doi.org/10.1016/S0140-6736(20)32661-1</w:t>
        </w:r>
      </w:hyperlink>
      <w:r w:rsidRPr="006311C5">
        <w:rPr>
          <w:noProof/>
        </w:rPr>
        <w:t>.</w:t>
      </w:r>
      <w:r w:rsidR="009244FE" w:rsidRPr="006311C5">
        <w:t xml:space="preserve"> </w:t>
      </w:r>
    </w:p>
    <w:p w14:paraId="7C7BA4D5" w14:textId="21C576FD" w:rsidR="007315E0" w:rsidRPr="006311C5" w:rsidRDefault="007315E0" w:rsidP="00223E31">
      <w:pPr>
        <w:rPr>
          <w:noProof/>
        </w:rPr>
      </w:pPr>
      <w:r w:rsidRPr="006311C5">
        <w:rPr>
          <w:noProof/>
        </w:rPr>
        <w:t>[9] Polack, F.P., S.J. Thomas, N. Kitchin, J. Absalon, A. Gurtman, et al., Safety and Efficacy of the BNT162b2 mRNA Covid-19 Vaccine</w:t>
      </w:r>
      <w:r w:rsidRPr="006311C5">
        <w:rPr>
          <w:i/>
          <w:noProof/>
        </w:rPr>
        <w:t>.</w:t>
      </w:r>
      <w:r w:rsidRPr="006311C5">
        <w:rPr>
          <w:noProof/>
        </w:rPr>
        <w:t xml:space="preserve"> N Engl J Med, 2020. 383(27), 2603-2615. </w:t>
      </w:r>
      <w:hyperlink r:id="rId22" w:history="1">
        <w:r w:rsidR="009244FE" w:rsidRPr="006311C5">
          <w:rPr>
            <w:rStyle w:val="Hyperlink"/>
          </w:rPr>
          <w:t>https://doi.org/10.1056/NEJMoa2034577</w:t>
        </w:r>
      </w:hyperlink>
      <w:r w:rsidRPr="006311C5">
        <w:rPr>
          <w:noProof/>
        </w:rPr>
        <w:t>.</w:t>
      </w:r>
      <w:r w:rsidR="009244FE" w:rsidRPr="006311C5">
        <w:t xml:space="preserve"> </w:t>
      </w:r>
    </w:p>
    <w:p w14:paraId="4B815250" w14:textId="310445F0" w:rsidR="007315E0" w:rsidRPr="006311C5" w:rsidRDefault="007315E0" w:rsidP="00223E31">
      <w:pPr>
        <w:rPr>
          <w:noProof/>
        </w:rPr>
      </w:pPr>
      <w:r w:rsidRPr="006311C5">
        <w:rPr>
          <w:noProof/>
        </w:rPr>
        <w:t>[10] Baden, L.R., H.M. El Sahly, B. Essink, K. Kotloff, S. Frey, et al., Efficacy and Safety of the mRNA-1273 SARS-CoV-2 Vaccine</w:t>
      </w:r>
      <w:r w:rsidRPr="006311C5">
        <w:rPr>
          <w:i/>
          <w:noProof/>
        </w:rPr>
        <w:t>.</w:t>
      </w:r>
      <w:r w:rsidRPr="006311C5">
        <w:rPr>
          <w:noProof/>
        </w:rPr>
        <w:t xml:space="preserve"> N Engl J Med, 2021. 384(5), 403-416. </w:t>
      </w:r>
      <w:hyperlink r:id="rId23" w:history="1">
        <w:r w:rsidR="009244FE" w:rsidRPr="006311C5">
          <w:rPr>
            <w:rStyle w:val="Hyperlink"/>
          </w:rPr>
          <w:t>https://doi.org/10.1056/NEJMoa2035389</w:t>
        </w:r>
      </w:hyperlink>
      <w:r w:rsidRPr="006311C5">
        <w:rPr>
          <w:noProof/>
        </w:rPr>
        <w:t>.</w:t>
      </w:r>
      <w:r w:rsidR="009244FE" w:rsidRPr="006311C5">
        <w:t xml:space="preserve"> </w:t>
      </w:r>
    </w:p>
    <w:p w14:paraId="18FB1278" w14:textId="641934B1" w:rsidR="007315E0" w:rsidRPr="006311C5" w:rsidRDefault="007315E0" w:rsidP="00223E31">
      <w:pPr>
        <w:rPr>
          <w:noProof/>
        </w:rPr>
      </w:pPr>
      <w:r w:rsidRPr="006311C5">
        <w:rPr>
          <w:noProof/>
        </w:rPr>
        <w:t>[11] Thomas, S.J., E.D. Moreira, Jr., N. Kitchin, J. Absalon, A. Gurtman, et al., Safety and Efficacy of the BNT162b2 mRNA Covid-19 Vaccine through 6 Months</w:t>
      </w:r>
      <w:r w:rsidRPr="006311C5">
        <w:rPr>
          <w:i/>
          <w:noProof/>
        </w:rPr>
        <w:t>.</w:t>
      </w:r>
      <w:r w:rsidRPr="006311C5">
        <w:rPr>
          <w:noProof/>
        </w:rPr>
        <w:t xml:space="preserve"> N Engl J Med, 2021. 385(19), 1761-1773. </w:t>
      </w:r>
      <w:hyperlink r:id="rId24" w:history="1">
        <w:r w:rsidR="009244FE" w:rsidRPr="006311C5">
          <w:rPr>
            <w:rStyle w:val="Hyperlink"/>
          </w:rPr>
          <w:t>https://doi.org/10.1056/NEJMoa2110345</w:t>
        </w:r>
      </w:hyperlink>
      <w:r w:rsidRPr="006311C5">
        <w:rPr>
          <w:noProof/>
        </w:rPr>
        <w:t>.</w:t>
      </w:r>
      <w:r w:rsidR="009244FE" w:rsidRPr="006311C5">
        <w:t xml:space="preserve"> </w:t>
      </w:r>
    </w:p>
    <w:p w14:paraId="7E33C322" w14:textId="3B38E22C" w:rsidR="007315E0" w:rsidRPr="006311C5" w:rsidRDefault="007315E0" w:rsidP="00223E31">
      <w:pPr>
        <w:rPr>
          <w:noProof/>
        </w:rPr>
      </w:pPr>
      <w:r w:rsidRPr="006311C5">
        <w:rPr>
          <w:noProof/>
        </w:rPr>
        <w:t>[12] Menni, C., K. Klaser, A. May, L. Polidori, J. Capdevila, et al., Vaccine side-effects and SARS-CoV-2 infection after vaccination in users of the COVID Symptom Study app in the UK: a prospective observational study</w:t>
      </w:r>
      <w:r w:rsidRPr="006311C5">
        <w:rPr>
          <w:i/>
          <w:noProof/>
        </w:rPr>
        <w:t>.</w:t>
      </w:r>
      <w:r w:rsidRPr="006311C5">
        <w:rPr>
          <w:noProof/>
        </w:rPr>
        <w:t xml:space="preserve"> Lancet Infect Dis, 2021. 21(7), 939-949. </w:t>
      </w:r>
      <w:hyperlink r:id="rId25" w:history="1">
        <w:r w:rsidR="009244FE" w:rsidRPr="006311C5">
          <w:rPr>
            <w:rStyle w:val="Hyperlink"/>
          </w:rPr>
          <w:t>https://doi.org/10.1016/S1473-3099(21)00224-3</w:t>
        </w:r>
      </w:hyperlink>
      <w:r w:rsidRPr="006311C5">
        <w:rPr>
          <w:noProof/>
        </w:rPr>
        <w:t>.</w:t>
      </w:r>
      <w:r w:rsidR="009244FE" w:rsidRPr="006311C5">
        <w:t xml:space="preserve"> </w:t>
      </w:r>
    </w:p>
    <w:p w14:paraId="22361F22" w14:textId="7736D60C" w:rsidR="007315E0" w:rsidRPr="006311C5" w:rsidRDefault="007315E0" w:rsidP="00223E31">
      <w:pPr>
        <w:rPr>
          <w:noProof/>
        </w:rPr>
      </w:pPr>
      <w:r w:rsidRPr="006311C5">
        <w:rPr>
          <w:noProof/>
        </w:rPr>
        <w:lastRenderedPageBreak/>
        <w:t>[13] Beatty, A.L., N.D. Peyser, X.E. Butcher, J.M. Cocohoba, F. Lin, et al., Analysis of COVID-19 Vaccine Type and Adverse Effects Following Vaccination</w:t>
      </w:r>
      <w:r w:rsidRPr="006311C5">
        <w:rPr>
          <w:i/>
          <w:noProof/>
        </w:rPr>
        <w:t>.</w:t>
      </w:r>
      <w:r w:rsidRPr="006311C5">
        <w:rPr>
          <w:noProof/>
        </w:rPr>
        <w:t xml:space="preserve"> JAMA Netw Open, 2021. 4(12), e2140364. </w:t>
      </w:r>
      <w:hyperlink r:id="rId26" w:history="1">
        <w:r w:rsidR="00B33B18" w:rsidRPr="006311C5">
          <w:rPr>
            <w:rStyle w:val="Hyperlink"/>
          </w:rPr>
          <w:t>https://doi.org/10.1001/jamanetworkopen.2021.40364</w:t>
        </w:r>
      </w:hyperlink>
      <w:r w:rsidRPr="006311C5">
        <w:rPr>
          <w:noProof/>
        </w:rPr>
        <w:t>.</w:t>
      </w:r>
      <w:r w:rsidR="00B33B18" w:rsidRPr="006311C5">
        <w:t xml:space="preserve"> </w:t>
      </w:r>
    </w:p>
    <w:p w14:paraId="00F2D5D8" w14:textId="668DBF40" w:rsidR="007315E0" w:rsidRPr="006311C5" w:rsidRDefault="007315E0" w:rsidP="00223E31">
      <w:pPr>
        <w:rPr>
          <w:noProof/>
        </w:rPr>
      </w:pPr>
      <w:r w:rsidRPr="006311C5">
        <w:rPr>
          <w:noProof/>
        </w:rPr>
        <w:t>[14] Clemens, K.S., K. Faasse, W. Tan, B. Colagiuri, L. Colloca, et al., Social communication pathways to COVID-19 vaccine side-effect expectations and experience</w:t>
      </w:r>
      <w:r w:rsidRPr="006311C5">
        <w:rPr>
          <w:i/>
          <w:noProof/>
        </w:rPr>
        <w:t>.</w:t>
      </w:r>
      <w:r w:rsidRPr="006311C5">
        <w:rPr>
          <w:noProof/>
        </w:rPr>
        <w:t xml:space="preserve"> Journal of Psychosomatic Research, 2023. 164111081. </w:t>
      </w:r>
      <w:hyperlink r:id="rId27" w:history="1">
        <w:r w:rsidR="00B33B18" w:rsidRPr="006311C5">
          <w:rPr>
            <w:rStyle w:val="Hyperlink"/>
          </w:rPr>
          <w:t>https://doi.org/https://doi.org/10.1016/j.jpsychores.2022.111081</w:t>
        </w:r>
      </w:hyperlink>
      <w:r w:rsidRPr="006311C5">
        <w:rPr>
          <w:noProof/>
        </w:rPr>
        <w:t>.</w:t>
      </w:r>
      <w:r w:rsidR="00B33B18" w:rsidRPr="006311C5">
        <w:t xml:space="preserve"> </w:t>
      </w:r>
    </w:p>
    <w:p w14:paraId="3B21AFF1" w14:textId="5F5602E2" w:rsidR="007315E0" w:rsidRPr="006311C5" w:rsidRDefault="007315E0" w:rsidP="00223E31">
      <w:pPr>
        <w:rPr>
          <w:noProof/>
        </w:rPr>
      </w:pPr>
      <w:r w:rsidRPr="006311C5">
        <w:rPr>
          <w:noProof/>
        </w:rPr>
        <w:t>[15] MacKrill, K., Impact of media coverage on side effect reports from the COVID-19 vaccine</w:t>
      </w:r>
      <w:r w:rsidRPr="006311C5">
        <w:rPr>
          <w:i/>
          <w:noProof/>
        </w:rPr>
        <w:t>.</w:t>
      </w:r>
      <w:r w:rsidRPr="006311C5">
        <w:rPr>
          <w:noProof/>
        </w:rPr>
        <w:t xml:space="preserve"> Journal of Psychosomatic Research, 2023. 164111093. </w:t>
      </w:r>
      <w:hyperlink r:id="rId28" w:history="1">
        <w:r w:rsidR="00B33B18" w:rsidRPr="006311C5">
          <w:rPr>
            <w:rStyle w:val="Hyperlink"/>
          </w:rPr>
          <w:t>https://doi.org/https://doi.org/10.1016/j.jpsychores.2022.111093</w:t>
        </w:r>
      </w:hyperlink>
      <w:r w:rsidRPr="006311C5">
        <w:rPr>
          <w:noProof/>
        </w:rPr>
        <w:t>.</w:t>
      </w:r>
      <w:r w:rsidR="00B33B18" w:rsidRPr="006311C5">
        <w:t xml:space="preserve"> </w:t>
      </w:r>
    </w:p>
    <w:p w14:paraId="54770CF4" w14:textId="635FDD85" w:rsidR="007315E0" w:rsidRPr="006311C5" w:rsidRDefault="007315E0" w:rsidP="00223E31">
      <w:pPr>
        <w:rPr>
          <w:noProof/>
        </w:rPr>
      </w:pPr>
      <w:r w:rsidRPr="006311C5">
        <w:rPr>
          <w:noProof/>
        </w:rPr>
        <w:t>[16] Geers, A.L., K.S. Clemens, K. Faasse, B. Colagiuri, R. Webster, et al., Psychosocial Factors Predict COVID-19 Vaccine Side Effects</w:t>
      </w:r>
      <w:r w:rsidRPr="006311C5">
        <w:rPr>
          <w:i/>
          <w:noProof/>
        </w:rPr>
        <w:t>.</w:t>
      </w:r>
      <w:r w:rsidRPr="006311C5">
        <w:rPr>
          <w:noProof/>
        </w:rPr>
        <w:t xml:space="preserve"> Psychother Psychosom, 2022. 91(2), 136-138. </w:t>
      </w:r>
      <w:hyperlink r:id="rId29" w:history="1">
        <w:r w:rsidR="00B33B18" w:rsidRPr="006311C5">
          <w:rPr>
            <w:rStyle w:val="Hyperlink"/>
          </w:rPr>
          <w:t>https://doi.org/10.1159/000519853</w:t>
        </w:r>
      </w:hyperlink>
      <w:r w:rsidRPr="006311C5">
        <w:rPr>
          <w:noProof/>
        </w:rPr>
        <w:t>.</w:t>
      </w:r>
      <w:r w:rsidR="00B33B18" w:rsidRPr="006311C5">
        <w:t xml:space="preserve"> </w:t>
      </w:r>
    </w:p>
    <w:p w14:paraId="462E474E" w14:textId="46D6782E" w:rsidR="007315E0" w:rsidRPr="006311C5" w:rsidRDefault="007315E0" w:rsidP="00223E31">
      <w:pPr>
        <w:rPr>
          <w:noProof/>
        </w:rPr>
      </w:pPr>
      <w:r w:rsidRPr="006311C5">
        <w:rPr>
          <w:noProof/>
        </w:rPr>
        <w:t>[17] Smith, L.E., J. Sim, R. Amlot, M. Cutts, H. Dasch, et al., Side-effect expectations from COVID-19 vaccination: Findings from a nationally representative cross-sectional survey (CoVAccS - wave 2)</w:t>
      </w:r>
      <w:r w:rsidRPr="006311C5">
        <w:rPr>
          <w:i/>
          <w:noProof/>
        </w:rPr>
        <w:t>.</w:t>
      </w:r>
      <w:r w:rsidRPr="006311C5">
        <w:rPr>
          <w:noProof/>
        </w:rPr>
        <w:t xml:space="preserve"> J Psychosom Res, 2021. 152110679. </w:t>
      </w:r>
      <w:hyperlink r:id="rId30" w:history="1">
        <w:r w:rsidR="00B33B18" w:rsidRPr="006311C5">
          <w:rPr>
            <w:rStyle w:val="Hyperlink"/>
          </w:rPr>
          <w:t>https://doi.org/10.1016/j.jpsychores.2021.110679</w:t>
        </w:r>
      </w:hyperlink>
      <w:r w:rsidRPr="006311C5">
        <w:rPr>
          <w:noProof/>
        </w:rPr>
        <w:t>.</w:t>
      </w:r>
      <w:r w:rsidR="00B33B18" w:rsidRPr="006311C5">
        <w:t xml:space="preserve"> </w:t>
      </w:r>
    </w:p>
    <w:p w14:paraId="5190036C" w14:textId="5077A398" w:rsidR="007315E0" w:rsidRPr="006311C5" w:rsidRDefault="007315E0" w:rsidP="00223E31">
      <w:pPr>
        <w:rPr>
          <w:noProof/>
        </w:rPr>
      </w:pPr>
      <w:r w:rsidRPr="006311C5">
        <w:rPr>
          <w:noProof/>
        </w:rPr>
        <w:t>[18] Smith, L.E., J. Sim, M. Cutts, H. Dasch, R. Amlôt, et al., Psychosocial factors affecting COVID-19 vaccine uptake in the UK: a prospective cohort study (CoVAccS – wave 3)</w:t>
      </w:r>
      <w:r w:rsidRPr="006311C5">
        <w:rPr>
          <w:i/>
          <w:noProof/>
        </w:rPr>
        <w:t>.</w:t>
      </w:r>
      <w:r w:rsidRPr="006311C5">
        <w:rPr>
          <w:noProof/>
        </w:rPr>
        <w:t xml:space="preserve"> medRxiv</w:t>
      </w:r>
      <w:r w:rsidR="00E507F7" w:rsidRPr="006311C5">
        <w:t xml:space="preserve"> [pre-print]</w:t>
      </w:r>
      <w:r w:rsidRPr="006311C5">
        <w:rPr>
          <w:noProof/>
        </w:rPr>
        <w:t xml:space="preserve">. </w:t>
      </w:r>
      <w:hyperlink r:id="rId31" w:history="1">
        <w:r w:rsidR="00B33B18" w:rsidRPr="006311C5">
          <w:rPr>
            <w:rStyle w:val="Hyperlink"/>
          </w:rPr>
          <w:t>https://doi.org/10.1101/2022.03.25.22272954</w:t>
        </w:r>
      </w:hyperlink>
      <w:r w:rsidRPr="006311C5">
        <w:rPr>
          <w:noProof/>
        </w:rPr>
        <w:t>.</w:t>
      </w:r>
      <w:r w:rsidR="00B33B18" w:rsidRPr="006311C5">
        <w:t xml:space="preserve"> </w:t>
      </w:r>
    </w:p>
    <w:p w14:paraId="75E29EB6" w14:textId="72CB2392" w:rsidR="007315E0" w:rsidRPr="006311C5" w:rsidRDefault="007315E0" w:rsidP="00223E31">
      <w:pPr>
        <w:rPr>
          <w:noProof/>
        </w:rPr>
      </w:pPr>
      <w:r w:rsidRPr="006311C5">
        <w:rPr>
          <w:noProof/>
        </w:rPr>
        <w:t>[19] Sherman, S.M., L.E. Smith, J. Sim, R. Amlot, M. Cutts, et al., COVID-19 vaccination intention in the UK: results from the COVID-19 vaccination acceptability study (CoVAccS), a nationally representative cross-sectional survey</w:t>
      </w:r>
      <w:r w:rsidRPr="006311C5">
        <w:rPr>
          <w:i/>
          <w:noProof/>
        </w:rPr>
        <w:t>.</w:t>
      </w:r>
      <w:r w:rsidRPr="006311C5">
        <w:rPr>
          <w:noProof/>
        </w:rPr>
        <w:t xml:space="preserve"> Hum Vaccin Immunother, 2021. 17(6), 1612-1621. </w:t>
      </w:r>
      <w:hyperlink r:id="rId32" w:history="1">
        <w:r w:rsidR="00EB61C6" w:rsidRPr="006311C5">
          <w:rPr>
            <w:rStyle w:val="Hyperlink"/>
          </w:rPr>
          <w:t>https://doi.org/10.1080/21645515.2020.1846397</w:t>
        </w:r>
      </w:hyperlink>
      <w:r w:rsidRPr="006311C5">
        <w:rPr>
          <w:noProof/>
        </w:rPr>
        <w:t>.</w:t>
      </w:r>
      <w:r w:rsidR="00EB61C6" w:rsidRPr="006311C5">
        <w:t xml:space="preserve"> </w:t>
      </w:r>
    </w:p>
    <w:p w14:paraId="2FEB71B0" w14:textId="463038B1" w:rsidR="007315E0" w:rsidRPr="006311C5" w:rsidRDefault="007315E0" w:rsidP="00223E31">
      <w:pPr>
        <w:rPr>
          <w:noProof/>
        </w:rPr>
      </w:pPr>
      <w:r w:rsidRPr="006311C5">
        <w:rPr>
          <w:noProof/>
        </w:rPr>
        <w:t xml:space="preserve">[20] Open Science Framework. </w:t>
      </w:r>
      <w:r w:rsidRPr="006311C5">
        <w:rPr>
          <w:i/>
          <w:noProof/>
        </w:rPr>
        <w:t>COVID-19 vaccination acceptability in the UK January 2021 (CoVAccS - Wave 2)</w:t>
      </w:r>
      <w:r w:rsidRPr="006311C5">
        <w:rPr>
          <w:noProof/>
        </w:rPr>
        <w:t xml:space="preserve">. 2021 14 October 2021 25 July 2022]; Available from: </w:t>
      </w:r>
      <w:hyperlink r:id="rId33" w:history="1">
        <w:r w:rsidR="00EB61C6" w:rsidRPr="006311C5">
          <w:rPr>
            <w:rStyle w:val="Hyperlink"/>
          </w:rPr>
          <w:t>https://osf.io/ewch3/</w:t>
        </w:r>
      </w:hyperlink>
      <w:r w:rsidRPr="006311C5">
        <w:rPr>
          <w:noProof/>
        </w:rPr>
        <w:t>.</w:t>
      </w:r>
      <w:r w:rsidR="00EB61C6" w:rsidRPr="006311C5">
        <w:t xml:space="preserve"> </w:t>
      </w:r>
    </w:p>
    <w:p w14:paraId="7B2FDDE6" w14:textId="58C8EC37" w:rsidR="007315E0" w:rsidRPr="006311C5" w:rsidRDefault="007315E0" w:rsidP="00223E31">
      <w:pPr>
        <w:rPr>
          <w:noProof/>
        </w:rPr>
      </w:pPr>
      <w:r w:rsidRPr="006311C5">
        <w:rPr>
          <w:noProof/>
        </w:rPr>
        <w:t xml:space="preserve">[21] Open Science Framework. </w:t>
      </w:r>
      <w:r w:rsidRPr="006311C5">
        <w:rPr>
          <w:i/>
          <w:noProof/>
        </w:rPr>
        <w:t>COVID-19 vaccination - factors affecting uptake in the UK (CoVAccS wave 3)</w:t>
      </w:r>
      <w:r w:rsidRPr="006311C5">
        <w:rPr>
          <w:noProof/>
        </w:rPr>
        <w:t xml:space="preserve">. 2022 18 February 2022 1 March 2022]; Available from: </w:t>
      </w:r>
      <w:hyperlink r:id="rId34" w:history="1">
        <w:r w:rsidR="00EB61C6" w:rsidRPr="006311C5">
          <w:rPr>
            <w:rStyle w:val="Hyperlink"/>
          </w:rPr>
          <w:t>https://osf.io/tehg8/</w:t>
        </w:r>
      </w:hyperlink>
      <w:r w:rsidRPr="006311C5">
        <w:rPr>
          <w:noProof/>
        </w:rPr>
        <w:t>.</w:t>
      </w:r>
      <w:r w:rsidR="00EB61C6" w:rsidRPr="006311C5">
        <w:t xml:space="preserve"> </w:t>
      </w:r>
    </w:p>
    <w:p w14:paraId="5AFCE4DD" w14:textId="6ECDE6D1" w:rsidR="007315E0" w:rsidRPr="006311C5" w:rsidRDefault="007315E0" w:rsidP="00223E31">
      <w:pPr>
        <w:rPr>
          <w:noProof/>
        </w:rPr>
      </w:pPr>
      <w:r w:rsidRPr="006311C5">
        <w:rPr>
          <w:noProof/>
        </w:rPr>
        <w:t>[22] MacKrill, K., R. Webster, G.J. Rubin, M. Witthoft, C. Silvester, et al., When symptoms become side effects: Development of the side effect attribution scale (SEAS)</w:t>
      </w:r>
      <w:r w:rsidRPr="006311C5">
        <w:rPr>
          <w:i/>
          <w:noProof/>
        </w:rPr>
        <w:t>.</w:t>
      </w:r>
      <w:r w:rsidRPr="006311C5">
        <w:rPr>
          <w:noProof/>
        </w:rPr>
        <w:t xml:space="preserve"> J Psychosom Res, 2021. 141110340. </w:t>
      </w:r>
      <w:hyperlink r:id="rId35" w:history="1">
        <w:r w:rsidR="00EB61C6" w:rsidRPr="006311C5">
          <w:rPr>
            <w:rStyle w:val="Hyperlink"/>
          </w:rPr>
          <w:t>https://doi.org/10.1016/j.jpsychores.2020.110340</w:t>
        </w:r>
      </w:hyperlink>
      <w:r w:rsidRPr="006311C5">
        <w:rPr>
          <w:noProof/>
        </w:rPr>
        <w:t>.</w:t>
      </w:r>
      <w:r w:rsidR="00EB61C6" w:rsidRPr="006311C5">
        <w:t xml:space="preserve"> </w:t>
      </w:r>
    </w:p>
    <w:p w14:paraId="45416401" w14:textId="355DB04F" w:rsidR="007315E0" w:rsidRPr="006311C5" w:rsidRDefault="007315E0" w:rsidP="00223E31">
      <w:pPr>
        <w:rPr>
          <w:noProof/>
        </w:rPr>
      </w:pPr>
      <w:r w:rsidRPr="006311C5">
        <w:rPr>
          <w:noProof/>
        </w:rPr>
        <w:t>[23] Sherman, S.M., J. Sim, M. Cutts, H. Dasch, R. Amlot, et al., COVID-19 vaccination acceptability in the UK at the start of the vaccination programme: a nationally representative cross-sectional survey (CoVAccS - wave 2)</w:t>
      </w:r>
      <w:r w:rsidRPr="006311C5">
        <w:rPr>
          <w:i/>
          <w:noProof/>
        </w:rPr>
        <w:t>.</w:t>
      </w:r>
      <w:r w:rsidRPr="006311C5">
        <w:rPr>
          <w:noProof/>
        </w:rPr>
        <w:t xml:space="preserve"> Public Health, 2022. 2021-9. </w:t>
      </w:r>
      <w:hyperlink r:id="rId36" w:history="1">
        <w:r w:rsidR="00EB61C6" w:rsidRPr="006311C5">
          <w:rPr>
            <w:rStyle w:val="Hyperlink"/>
          </w:rPr>
          <w:t>https://doi.org/10.1016/j.puhe.2021.10.008</w:t>
        </w:r>
      </w:hyperlink>
      <w:r w:rsidRPr="006311C5">
        <w:rPr>
          <w:noProof/>
        </w:rPr>
        <w:t>.</w:t>
      </w:r>
      <w:r w:rsidR="00EB61C6" w:rsidRPr="006311C5">
        <w:t xml:space="preserve"> </w:t>
      </w:r>
    </w:p>
    <w:p w14:paraId="11F5E2BB" w14:textId="2F4D4A8C" w:rsidR="007315E0" w:rsidRPr="006311C5" w:rsidRDefault="007315E0" w:rsidP="00223E31">
      <w:pPr>
        <w:rPr>
          <w:noProof/>
        </w:rPr>
      </w:pPr>
      <w:r w:rsidRPr="006311C5">
        <w:rPr>
          <w:noProof/>
        </w:rPr>
        <w:t>[24] Peduzzi, P., J. Concato, E. Kemper, T.R. Holford, and A.R. Feinstein, A simulation study of the number of events per variable in logistic regression analysis</w:t>
      </w:r>
      <w:r w:rsidRPr="006311C5">
        <w:rPr>
          <w:i/>
          <w:noProof/>
        </w:rPr>
        <w:t>.</w:t>
      </w:r>
      <w:r w:rsidRPr="006311C5">
        <w:rPr>
          <w:noProof/>
        </w:rPr>
        <w:t xml:space="preserve"> J Clin Epidemiol, 1996. 49(12), 1373-9. </w:t>
      </w:r>
      <w:hyperlink r:id="rId37" w:history="1">
        <w:r w:rsidR="00EB61C6" w:rsidRPr="006311C5">
          <w:rPr>
            <w:rStyle w:val="Hyperlink"/>
          </w:rPr>
          <w:t>https://doi.org/10.1016/s0895-4356(96)00236-3</w:t>
        </w:r>
      </w:hyperlink>
      <w:r w:rsidRPr="006311C5">
        <w:rPr>
          <w:noProof/>
        </w:rPr>
        <w:t>.</w:t>
      </w:r>
      <w:r w:rsidR="00EB61C6" w:rsidRPr="006311C5">
        <w:t xml:space="preserve"> </w:t>
      </w:r>
    </w:p>
    <w:p w14:paraId="05095AE1" w14:textId="0DEE6509" w:rsidR="007315E0" w:rsidRPr="006311C5" w:rsidRDefault="007315E0" w:rsidP="00223E31">
      <w:pPr>
        <w:rPr>
          <w:noProof/>
        </w:rPr>
      </w:pPr>
      <w:r w:rsidRPr="006311C5">
        <w:rPr>
          <w:noProof/>
        </w:rPr>
        <w:t>[25] Folegatti, P.M., K.J. Ewer, P.K. Aley, B. Angus, S. Becker, et al., Safety and immunogenicity of the ChAdOx1 nCoV-19 vaccine against SARS-CoV-2: a preliminary report of a phase 1/2, single-blind, randomised controlled trial</w:t>
      </w:r>
      <w:r w:rsidRPr="006311C5">
        <w:rPr>
          <w:i/>
          <w:noProof/>
        </w:rPr>
        <w:t>.</w:t>
      </w:r>
      <w:r w:rsidRPr="006311C5">
        <w:rPr>
          <w:noProof/>
        </w:rPr>
        <w:t xml:space="preserve"> Lancet, 2020. 396(10249), 467-478. </w:t>
      </w:r>
      <w:hyperlink r:id="rId38" w:history="1">
        <w:r w:rsidR="00EB61C6" w:rsidRPr="006311C5">
          <w:rPr>
            <w:rStyle w:val="Hyperlink"/>
          </w:rPr>
          <w:t>https://doi.org/10.1016/S0140-6736(20)31604-4</w:t>
        </w:r>
      </w:hyperlink>
      <w:r w:rsidRPr="006311C5">
        <w:rPr>
          <w:noProof/>
        </w:rPr>
        <w:t>.</w:t>
      </w:r>
      <w:r w:rsidR="00EB61C6" w:rsidRPr="006311C5">
        <w:t xml:space="preserve"> </w:t>
      </w:r>
    </w:p>
    <w:p w14:paraId="210E1CBE" w14:textId="1B3A046A" w:rsidR="007315E0" w:rsidRPr="006311C5" w:rsidRDefault="007315E0" w:rsidP="00223E31">
      <w:pPr>
        <w:rPr>
          <w:noProof/>
        </w:rPr>
      </w:pPr>
      <w:r w:rsidRPr="006311C5">
        <w:rPr>
          <w:noProof/>
        </w:rPr>
        <w:lastRenderedPageBreak/>
        <w:t>[26] van Wijk, C.M. and A.M. Kolk, Sex differences in physical symptoms: the contribution of symptom perception theory</w:t>
      </w:r>
      <w:r w:rsidRPr="006311C5">
        <w:rPr>
          <w:i/>
          <w:noProof/>
        </w:rPr>
        <w:t>.</w:t>
      </w:r>
      <w:r w:rsidRPr="006311C5">
        <w:rPr>
          <w:noProof/>
        </w:rPr>
        <w:t xml:space="preserve"> Soc Sci Med, 1997. 45(2), 231-46. </w:t>
      </w:r>
      <w:hyperlink r:id="rId39" w:history="1">
        <w:r w:rsidR="00EB61C6" w:rsidRPr="006311C5">
          <w:rPr>
            <w:rStyle w:val="Hyperlink"/>
          </w:rPr>
          <w:t>https://doi.org/10.1016/s0277-9536(96)00340-1</w:t>
        </w:r>
      </w:hyperlink>
      <w:r w:rsidRPr="006311C5">
        <w:rPr>
          <w:noProof/>
        </w:rPr>
        <w:t>.</w:t>
      </w:r>
      <w:r w:rsidR="00EB61C6" w:rsidRPr="006311C5">
        <w:t xml:space="preserve"> </w:t>
      </w:r>
    </w:p>
    <w:p w14:paraId="5B9BB2CC" w14:textId="77777777" w:rsidR="007315E0" w:rsidRPr="006311C5" w:rsidRDefault="007315E0" w:rsidP="00223E31">
      <w:pPr>
        <w:rPr>
          <w:noProof/>
        </w:rPr>
      </w:pPr>
      <w:r w:rsidRPr="006311C5">
        <w:rPr>
          <w:noProof/>
        </w:rPr>
        <w:t>[27] Barsky, A.J., H.M. Peekna, and J.F. Borus, Somatic symptom reporting in women and men</w:t>
      </w:r>
      <w:r w:rsidRPr="006311C5">
        <w:rPr>
          <w:i/>
          <w:noProof/>
        </w:rPr>
        <w:t>.</w:t>
      </w:r>
      <w:r w:rsidRPr="006311C5">
        <w:rPr>
          <w:noProof/>
        </w:rPr>
        <w:t xml:space="preserve"> J Gen Intern Med, 2001. 16(4), 266-75. </w:t>
      </w:r>
    </w:p>
    <w:p w14:paraId="280C30EA" w14:textId="26E77146" w:rsidR="007315E0" w:rsidRPr="006311C5" w:rsidRDefault="007315E0" w:rsidP="00223E31">
      <w:pPr>
        <w:rPr>
          <w:noProof/>
        </w:rPr>
      </w:pPr>
      <w:r w:rsidRPr="006311C5">
        <w:rPr>
          <w:noProof/>
        </w:rPr>
        <w:t>[28] Smith, L.E., R. Amlot, J. Weinman, J. Yiend, and G.J. Rubin, A systematic review of factors affecting vaccine uptake in young children</w:t>
      </w:r>
      <w:r w:rsidRPr="006311C5">
        <w:rPr>
          <w:i/>
          <w:noProof/>
        </w:rPr>
        <w:t>.</w:t>
      </w:r>
      <w:r w:rsidRPr="006311C5">
        <w:rPr>
          <w:noProof/>
        </w:rPr>
        <w:t xml:space="preserve"> Vaccine, 2017. 35(45), 6059-6069. </w:t>
      </w:r>
      <w:hyperlink r:id="rId40" w:history="1">
        <w:r w:rsidR="00EB61C6" w:rsidRPr="006311C5">
          <w:rPr>
            <w:rStyle w:val="Hyperlink"/>
          </w:rPr>
          <w:t>https://doi.org/10.1016/j.vaccine.2017.09.046</w:t>
        </w:r>
      </w:hyperlink>
      <w:r w:rsidRPr="006311C5">
        <w:rPr>
          <w:noProof/>
        </w:rPr>
        <w:t>.</w:t>
      </w:r>
      <w:r w:rsidR="00EB61C6" w:rsidRPr="006311C5">
        <w:t xml:space="preserve"> </w:t>
      </w:r>
    </w:p>
    <w:p w14:paraId="368A76F6" w14:textId="118743AC" w:rsidR="007315E0" w:rsidRPr="006311C5" w:rsidRDefault="007315E0" w:rsidP="00223E31">
      <w:pPr>
        <w:rPr>
          <w:noProof/>
        </w:rPr>
      </w:pPr>
      <w:r w:rsidRPr="006311C5">
        <w:rPr>
          <w:noProof/>
        </w:rPr>
        <w:t>[29] Bish, A., L. Yardley, A. Nicoll, and S. Michie, Factors associated with uptake of vaccination against pandemic influenza: a systematic review</w:t>
      </w:r>
      <w:r w:rsidRPr="006311C5">
        <w:rPr>
          <w:i/>
          <w:noProof/>
        </w:rPr>
        <w:t>.</w:t>
      </w:r>
      <w:r w:rsidRPr="006311C5">
        <w:rPr>
          <w:noProof/>
        </w:rPr>
        <w:t xml:space="preserve"> Vaccine, 2011. 29(38), 6472-84. </w:t>
      </w:r>
      <w:hyperlink r:id="rId41" w:history="1">
        <w:r w:rsidR="00EB61C6" w:rsidRPr="006311C5">
          <w:rPr>
            <w:rStyle w:val="Hyperlink"/>
          </w:rPr>
          <w:t>https://doi.org/10.1016/j.vaccine.2011.06.107</w:t>
        </w:r>
      </w:hyperlink>
      <w:r w:rsidRPr="006311C5">
        <w:rPr>
          <w:noProof/>
        </w:rPr>
        <w:t>.</w:t>
      </w:r>
      <w:r w:rsidR="00EB61C6" w:rsidRPr="006311C5">
        <w:t xml:space="preserve"> </w:t>
      </w:r>
    </w:p>
    <w:p w14:paraId="2A7AA28C" w14:textId="5E609232" w:rsidR="007315E0" w:rsidRPr="006311C5" w:rsidRDefault="007315E0" w:rsidP="00223E31">
      <w:pPr>
        <w:rPr>
          <w:noProof/>
        </w:rPr>
      </w:pPr>
      <w:r w:rsidRPr="006311C5">
        <w:rPr>
          <w:noProof/>
        </w:rPr>
        <w:t>[30] Smith, L.E., R. Amlôt, J. Weinman, J. Yiend, and G.J. Rubin, Why do parents not re-vaccinate their child for influenza? A prospective cohort study</w:t>
      </w:r>
      <w:r w:rsidRPr="006311C5">
        <w:rPr>
          <w:i/>
          <w:noProof/>
        </w:rPr>
        <w:t>.</w:t>
      </w:r>
      <w:r w:rsidRPr="006311C5">
        <w:rPr>
          <w:noProof/>
        </w:rPr>
        <w:t xml:space="preserve"> Vaccine, 2020. 38(27), 4230-4235. </w:t>
      </w:r>
      <w:hyperlink r:id="rId42" w:history="1">
        <w:r w:rsidR="00EB61C6" w:rsidRPr="006311C5">
          <w:rPr>
            <w:rStyle w:val="Hyperlink"/>
          </w:rPr>
          <w:t>https://doi.org/https://doi.org/10.1016/j.vaccine.2020.04.029</w:t>
        </w:r>
      </w:hyperlink>
      <w:r w:rsidRPr="006311C5">
        <w:rPr>
          <w:noProof/>
        </w:rPr>
        <w:t>.</w:t>
      </w:r>
      <w:r w:rsidR="00EB61C6" w:rsidRPr="006311C5">
        <w:t xml:space="preserve"> </w:t>
      </w:r>
    </w:p>
    <w:p w14:paraId="75C2A8FE" w14:textId="3E3FE904" w:rsidR="007315E0" w:rsidRPr="006311C5" w:rsidRDefault="007315E0" w:rsidP="00223E31">
      <w:pPr>
        <w:rPr>
          <w:noProof/>
        </w:rPr>
      </w:pPr>
      <w:r w:rsidRPr="006311C5">
        <w:rPr>
          <w:noProof/>
        </w:rPr>
        <w:t>[31] Leibowitz, K.A., L.C. Howe, and A.J. Crum, Changing mindsets about side effects</w:t>
      </w:r>
      <w:r w:rsidRPr="006311C5">
        <w:rPr>
          <w:i/>
          <w:noProof/>
        </w:rPr>
        <w:t>.</w:t>
      </w:r>
      <w:r w:rsidRPr="006311C5">
        <w:rPr>
          <w:noProof/>
        </w:rPr>
        <w:t xml:space="preserve"> BMJ Open, 2021. 11(2), e040134. </w:t>
      </w:r>
      <w:hyperlink r:id="rId43" w:history="1">
        <w:r w:rsidR="00EB61C6" w:rsidRPr="006311C5">
          <w:rPr>
            <w:rStyle w:val="Hyperlink"/>
          </w:rPr>
          <w:t>https://doi.org/10.1136/bmjopen-2020-040134</w:t>
        </w:r>
      </w:hyperlink>
      <w:r w:rsidRPr="006311C5">
        <w:rPr>
          <w:noProof/>
        </w:rPr>
        <w:t>.</w:t>
      </w:r>
      <w:r w:rsidR="00EB61C6" w:rsidRPr="006311C5">
        <w:t xml:space="preserve"> </w:t>
      </w:r>
    </w:p>
    <w:p w14:paraId="51FF8E51" w14:textId="2C82CE96" w:rsidR="007315E0" w:rsidRPr="006311C5" w:rsidRDefault="007315E0" w:rsidP="00223E31">
      <w:pPr>
        <w:rPr>
          <w:noProof/>
        </w:rPr>
      </w:pPr>
      <w:r w:rsidRPr="006311C5">
        <w:rPr>
          <w:noProof/>
        </w:rPr>
        <w:t>[32] Rheker, J., A. Winkler, B.K. Doering, and W. Rief, Learning to experience side effects after antidepressant intake - Results from a randomized, controlled, double-blind study</w:t>
      </w:r>
      <w:r w:rsidRPr="006311C5">
        <w:rPr>
          <w:i/>
          <w:noProof/>
        </w:rPr>
        <w:t>.</w:t>
      </w:r>
      <w:r w:rsidRPr="006311C5">
        <w:rPr>
          <w:noProof/>
        </w:rPr>
        <w:t xml:space="preserve"> Psychopharmacology (Berl), 2017. 234(3), 329-338. </w:t>
      </w:r>
      <w:hyperlink r:id="rId44" w:history="1">
        <w:r w:rsidR="00EB61C6" w:rsidRPr="006311C5">
          <w:rPr>
            <w:rStyle w:val="Hyperlink"/>
          </w:rPr>
          <w:t>https://doi.org/10.1007/s00213-016-4466-8</w:t>
        </w:r>
      </w:hyperlink>
      <w:r w:rsidRPr="006311C5">
        <w:rPr>
          <w:noProof/>
        </w:rPr>
        <w:t>.</w:t>
      </w:r>
      <w:r w:rsidR="00EB61C6" w:rsidRPr="006311C5">
        <w:t xml:space="preserve"> </w:t>
      </w:r>
    </w:p>
    <w:p w14:paraId="2FBFF3DD" w14:textId="6B607A78" w:rsidR="007315E0" w:rsidRPr="006311C5" w:rsidRDefault="007315E0" w:rsidP="00223E31">
      <w:pPr>
        <w:rPr>
          <w:noProof/>
        </w:rPr>
      </w:pPr>
      <w:r w:rsidRPr="006311C5">
        <w:rPr>
          <w:noProof/>
        </w:rPr>
        <w:t>[33] Smith, L.E., R.K. Webster, and G.J. Rubin, A systematic review of factors associated with side-effect expectations from medical interventions</w:t>
      </w:r>
      <w:r w:rsidRPr="006311C5">
        <w:rPr>
          <w:i/>
          <w:noProof/>
        </w:rPr>
        <w:t>.</w:t>
      </w:r>
      <w:r w:rsidRPr="006311C5">
        <w:rPr>
          <w:noProof/>
        </w:rPr>
        <w:t xml:space="preserve"> Health Expect, 2020. 23(4), 731-758. </w:t>
      </w:r>
      <w:hyperlink r:id="rId45" w:history="1">
        <w:r w:rsidR="00EB61C6" w:rsidRPr="006311C5">
          <w:rPr>
            <w:rStyle w:val="Hyperlink"/>
          </w:rPr>
          <w:t>https://doi.org/10.1111/hex.13059</w:t>
        </w:r>
      </w:hyperlink>
      <w:r w:rsidRPr="006311C5">
        <w:rPr>
          <w:noProof/>
        </w:rPr>
        <w:t>.</w:t>
      </w:r>
      <w:r w:rsidR="00EB61C6" w:rsidRPr="006311C5">
        <w:t xml:space="preserve"> </w:t>
      </w:r>
    </w:p>
    <w:p w14:paraId="7363B4FC" w14:textId="358EC528" w:rsidR="007315E0" w:rsidRPr="006311C5" w:rsidRDefault="007315E0" w:rsidP="00223E31">
      <w:pPr>
        <w:rPr>
          <w:noProof/>
        </w:rPr>
      </w:pPr>
      <w:r w:rsidRPr="006311C5">
        <w:rPr>
          <w:noProof/>
        </w:rPr>
        <w:t xml:space="preserve">[34] European Medicines Agency. AstraZeneca’s COVID-19 vaccine: EMA finds possible link to very rare cases of unusual blood clots with low blood platelets. 2021 7 April 2021 1 October 2021]; Available from: </w:t>
      </w:r>
      <w:hyperlink r:id="rId46" w:history="1">
        <w:r w:rsidR="00EB61C6" w:rsidRPr="006311C5">
          <w:rPr>
            <w:rStyle w:val="Hyperlink"/>
          </w:rPr>
          <w:t>https://www.ema.europa.eu/en/news/astrazenecas-covid-19-vaccine-ema-finds-possible-link-very-rare-cases-unusual-blood-clots-low-blood</w:t>
        </w:r>
      </w:hyperlink>
      <w:r w:rsidRPr="006311C5">
        <w:rPr>
          <w:noProof/>
        </w:rPr>
        <w:t>.</w:t>
      </w:r>
      <w:r w:rsidR="00EB61C6" w:rsidRPr="006311C5">
        <w:t xml:space="preserve"> </w:t>
      </w:r>
    </w:p>
    <w:p w14:paraId="0437BF44" w14:textId="393F481D" w:rsidR="007315E0" w:rsidRPr="006311C5" w:rsidRDefault="007315E0" w:rsidP="00223E31">
      <w:pPr>
        <w:rPr>
          <w:noProof/>
        </w:rPr>
      </w:pPr>
      <w:r w:rsidRPr="006311C5">
        <w:rPr>
          <w:noProof/>
        </w:rPr>
        <w:t>[35] Prime Minister's Office, Prime Minister issues vaccine call to arms ahead of winter. 2021.</w:t>
      </w:r>
      <w:r w:rsidR="003E73EF" w:rsidRPr="006311C5">
        <w:t xml:space="preserve"> Available from: </w:t>
      </w:r>
      <w:hyperlink r:id="rId47" w:history="1">
        <w:r w:rsidR="003E73EF" w:rsidRPr="006311C5">
          <w:rPr>
            <w:rStyle w:val="Hyperlink"/>
          </w:rPr>
          <w:t>https://www.gov.uk/government/news/prime-minister-issues-vaccine-call-to-arms-ahead-of-winter</w:t>
        </w:r>
      </w:hyperlink>
      <w:r w:rsidR="003E73EF" w:rsidRPr="006311C5">
        <w:t xml:space="preserve">. </w:t>
      </w:r>
    </w:p>
    <w:p w14:paraId="36EA672A" w14:textId="3F265617" w:rsidR="007315E0" w:rsidRPr="006311C5" w:rsidRDefault="007315E0" w:rsidP="00223E31">
      <w:pPr>
        <w:rPr>
          <w:noProof/>
        </w:rPr>
      </w:pPr>
      <w:r w:rsidRPr="006311C5">
        <w:rPr>
          <w:noProof/>
        </w:rPr>
        <w:t xml:space="preserve">[36] Boris Johnson and @BorisJohnson. The vaccine is our best route out of this pandemic and we must all do our part by taking the [...] [Twitter]. 2021 30 March 2021; Available from: </w:t>
      </w:r>
      <w:hyperlink r:id="rId48" w:history="1">
        <w:r w:rsidR="003E73EF" w:rsidRPr="006311C5">
          <w:rPr>
            <w:rStyle w:val="Hyperlink"/>
          </w:rPr>
          <w:t>https://twitter.com/borisjohnson/status/1376796581970710529?lang=id</w:t>
        </w:r>
      </w:hyperlink>
      <w:r w:rsidRPr="006311C5">
        <w:rPr>
          <w:noProof/>
        </w:rPr>
        <w:t>.</w:t>
      </w:r>
      <w:r w:rsidR="003E73EF" w:rsidRPr="006311C5">
        <w:t xml:space="preserve"> </w:t>
      </w:r>
    </w:p>
    <w:p w14:paraId="426F0E4E" w14:textId="364D1000" w:rsidR="007315E0" w:rsidRPr="006311C5" w:rsidRDefault="007315E0" w:rsidP="00223E31">
      <w:pPr>
        <w:rPr>
          <w:noProof/>
        </w:rPr>
      </w:pPr>
      <w:r w:rsidRPr="006311C5">
        <w:rPr>
          <w:noProof/>
        </w:rPr>
        <w:t>[37] Feikin, D.R., A. Audi, B. Olack, G.M. Bigogo, C. Polyak, et al., Evaluation of the optimal recall period for disease symptoms in home-based morbidity surveillance in rural and urban Kenya</w:t>
      </w:r>
      <w:r w:rsidRPr="006311C5">
        <w:rPr>
          <w:i/>
          <w:noProof/>
        </w:rPr>
        <w:t>.</w:t>
      </w:r>
      <w:r w:rsidRPr="006311C5">
        <w:rPr>
          <w:noProof/>
        </w:rPr>
        <w:t xml:space="preserve"> Int J Epidemiol, 2010. 39(2), 450-8. </w:t>
      </w:r>
      <w:hyperlink r:id="rId49" w:history="1">
        <w:r w:rsidR="003E73EF" w:rsidRPr="006311C5">
          <w:rPr>
            <w:rStyle w:val="Hyperlink"/>
          </w:rPr>
          <w:t>https://doi.org/10.1093/ije/dyp374</w:t>
        </w:r>
      </w:hyperlink>
      <w:r w:rsidRPr="006311C5">
        <w:rPr>
          <w:noProof/>
        </w:rPr>
        <w:t>.</w:t>
      </w:r>
      <w:r w:rsidR="003E73EF" w:rsidRPr="006311C5">
        <w:t xml:space="preserve"> </w:t>
      </w:r>
    </w:p>
    <w:p w14:paraId="436A7008" w14:textId="456BE8AC" w:rsidR="001B3596" w:rsidRPr="006311C5" w:rsidRDefault="007315E0" w:rsidP="00223E31">
      <w:r w:rsidRPr="006311C5">
        <w:rPr>
          <w:noProof/>
        </w:rPr>
        <w:t xml:space="preserve">[38] Geers, A.L., K.S. Clemens, B. Colagiuri, E. Jason, L. Colloca, et al., Do Side Effects to the Primary COVID-19 Vaccine Reduce Intentions for a COVID-19 Vaccine Booster? Ann Behav Med, 2022. </w:t>
      </w:r>
      <w:hyperlink r:id="rId50" w:history="1">
        <w:r w:rsidR="003E73EF" w:rsidRPr="006311C5">
          <w:rPr>
            <w:rStyle w:val="Hyperlink"/>
          </w:rPr>
          <w:t>https://doi.org/10.1093/abm/kaac027</w:t>
        </w:r>
      </w:hyperlink>
      <w:r w:rsidRPr="006311C5">
        <w:rPr>
          <w:noProof/>
        </w:rPr>
        <w:t>.</w:t>
      </w:r>
      <w:r w:rsidR="003E73EF" w:rsidRPr="006311C5">
        <w:t xml:space="preserve"> </w:t>
      </w:r>
    </w:p>
    <w:p w14:paraId="39C4F6E7" w14:textId="77777777" w:rsidR="00742F07" w:rsidRPr="006311C5" w:rsidRDefault="00742F07" w:rsidP="001B3596">
      <w:pPr>
        <w:pStyle w:val="Heading1"/>
        <w:sectPr w:rsidR="00742F07" w:rsidRPr="006311C5">
          <w:pgSz w:w="11906" w:h="16838"/>
          <w:pgMar w:top="1440" w:right="1440" w:bottom="1440" w:left="1440" w:header="708" w:footer="708" w:gutter="0"/>
          <w:cols w:space="708"/>
          <w:docGrid w:linePitch="360"/>
        </w:sectPr>
      </w:pPr>
    </w:p>
    <w:p w14:paraId="6D7CC6CD" w14:textId="6508367C" w:rsidR="00BC5542" w:rsidRPr="006311C5" w:rsidRDefault="006C43FB" w:rsidP="001B3596">
      <w:pPr>
        <w:pStyle w:val="Heading1"/>
      </w:pPr>
      <w:r w:rsidRPr="006311C5">
        <w:lastRenderedPageBreak/>
        <w:t>Appendix A</w:t>
      </w:r>
    </w:p>
    <w:p w14:paraId="5367D192" w14:textId="5262B6E8" w:rsidR="00917B95" w:rsidRPr="006311C5" w:rsidRDefault="001B3596" w:rsidP="001B3596">
      <w:r w:rsidRPr="006311C5">
        <w:t>Table</w:t>
      </w:r>
      <w:r w:rsidR="00917B95" w:rsidRPr="006311C5">
        <w:t xml:space="preserve"> </w:t>
      </w:r>
      <w:r w:rsidR="006C43FB" w:rsidRPr="006311C5">
        <w:t>A.</w:t>
      </w:r>
      <w:r w:rsidR="00917B95" w:rsidRPr="006311C5">
        <w:t xml:space="preserve">1. </w:t>
      </w:r>
      <w:r w:rsidR="00917B95" w:rsidRPr="006311C5">
        <w:rPr>
          <w:szCs w:val="24"/>
        </w:rPr>
        <w:t xml:space="preserve">Results of the logistic regression models </w:t>
      </w:r>
      <w:r w:rsidR="00C94C2B" w:rsidRPr="006311C5">
        <w:rPr>
          <w:szCs w:val="24"/>
        </w:rPr>
        <w:t xml:space="preserve">for block one (personal and clinical characteristics only) </w:t>
      </w:r>
      <w:r w:rsidR="00917B95" w:rsidRPr="006311C5">
        <w:rPr>
          <w:szCs w:val="24"/>
        </w:rPr>
        <w:t>analysing associations with symptom reporting following the first dose of a COVID-19 vaccination. For continuous variables, the adjusted odds ratios (</w:t>
      </w:r>
      <w:proofErr w:type="spellStart"/>
      <w:r w:rsidR="00917B95" w:rsidRPr="006311C5">
        <w:rPr>
          <w:szCs w:val="24"/>
        </w:rPr>
        <w:t>aORs</w:t>
      </w:r>
      <w:proofErr w:type="spellEnd"/>
      <w:r w:rsidR="00917B95" w:rsidRPr="006311C5">
        <w:rPr>
          <w:szCs w:val="24"/>
        </w:rPr>
        <w:t>) represent the change in likelihood of side effects for a one-unit increase in the predictor variable, apart from age, where it an increase of one-unit represents an increase by decade.</w:t>
      </w:r>
    </w:p>
    <w:tbl>
      <w:tblPr>
        <w:tblStyle w:val="TableGrid2"/>
        <w:tblW w:w="0" w:type="auto"/>
        <w:tblLook w:val="04A0" w:firstRow="1" w:lastRow="0" w:firstColumn="1" w:lastColumn="0" w:noHBand="0" w:noVBand="1"/>
      </w:tblPr>
      <w:tblGrid>
        <w:gridCol w:w="2621"/>
        <w:gridCol w:w="2433"/>
        <w:gridCol w:w="1462"/>
        <w:gridCol w:w="2915"/>
        <w:gridCol w:w="806"/>
        <w:gridCol w:w="2915"/>
        <w:gridCol w:w="806"/>
      </w:tblGrid>
      <w:tr w:rsidR="00A8629F" w:rsidRPr="006311C5" w14:paraId="5C4C7B2A" w14:textId="7F3D159B" w:rsidTr="008B26E6">
        <w:tc>
          <w:tcPr>
            <w:tcW w:w="0" w:type="auto"/>
            <w:tcBorders>
              <w:top w:val="single" w:sz="12" w:space="0" w:color="auto"/>
              <w:left w:val="nil"/>
              <w:bottom w:val="nil"/>
              <w:right w:val="nil"/>
            </w:tcBorders>
          </w:tcPr>
          <w:p w14:paraId="41BAD528" w14:textId="77777777" w:rsidR="00742F07" w:rsidRPr="006311C5" w:rsidRDefault="00742F07" w:rsidP="00251E59">
            <w:pPr>
              <w:pStyle w:val="Tabletext"/>
              <w:rPr>
                <w:rFonts w:cstheme="minorHAnsi"/>
                <w:szCs w:val="18"/>
              </w:rPr>
            </w:pPr>
          </w:p>
        </w:tc>
        <w:tc>
          <w:tcPr>
            <w:tcW w:w="0" w:type="auto"/>
            <w:tcBorders>
              <w:top w:val="single" w:sz="12" w:space="0" w:color="auto"/>
              <w:left w:val="nil"/>
              <w:bottom w:val="nil"/>
              <w:right w:val="nil"/>
            </w:tcBorders>
            <w:shd w:val="clear" w:color="auto" w:fill="auto"/>
          </w:tcPr>
          <w:p w14:paraId="3790424A" w14:textId="77777777" w:rsidR="00742F07" w:rsidRPr="006311C5" w:rsidRDefault="00742F07" w:rsidP="00251E59">
            <w:pPr>
              <w:pStyle w:val="Tabletext"/>
              <w:rPr>
                <w:rFonts w:cstheme="minorHAnsi"/>
                <w:szCs w:val="18"/>
              </w:rPr>
            </w:pPr>
          </w:p>
        </w:tc>
        <w:tc>
          <w:tcPr>
            <w:tcW w:w="0" w:type="auto"/>
            <w:tcBorders>
              <w:top w:val="single" w:sz="12" w:space="0" w:color="auto"/>
              <w:left w:val="nil"/>
              <w:bottom w:val="nil"/>
              <w:right w:val="nil"/>
            </w:tcBorders>
            <w:shd w:val="clear" w:color="auto" w:fill="auto"/>
          </w:tcPr>
          <w:p w14:paraId="344BD3CB" w14:textId="77777777" w:rsidR="00742F07" w:rsidRPr="006311C5" w:rsidRDefault="00742F07" w:rsidP="00251E59">
            <w:pPr>
              <w:pStyle w:val="Tabletext"/>
              <w:rPr>
                <w:rFonts w:cstheme="minorHAnsi"/>
                <w:szCs w:val="18"/>
              </w:rPr>
            </w:pPr>
          </w:p>
        </w:tc>
        <w:tc>
          <w:tcPr>
            <w:tcW w:w="3721" w:type="dxa"/>
            <w:gridSpan w:val="2"/>
            <w:tcBorders>
              <w:top w:val="single" w:sz="12" w:space="0" w:color="auto"/>
              <w:left w:val="nil"/>
              <w:bottom w:val="nil"/>
              <w:right w:val="nil"/>
            </w:tcBorders>
            <w:shd w:val="clear" w:color="auto" w:fill="auto"/>
          </w:tcPr>
          <w:p w14:paraId="686F3CAE" w14:textId="6E92A41F" w:rsidR="00742F07" w:rsidRPr="006311C5" w:rsidRDefault="00742F07" w:rsidP="00251E59">
            <w:pPr>
              <w:pStyle w:val="Tabletext"/>
              <w:rPr>
                <w:rFonts w:cstheme="minorHAnsi"/>
                <w:i/>
                <w:iCs/>
                <w:szCs w:val="18"/>
              </w:rPr>
            </w:pPr>
            <w:r w:rsidRPr="006311C5">
              <w:rPr>
                <w:rFonts w:cstheme="minorHAnsi"/>
                <w:szCs w:val="18"/>
              </w:rPr>
              <w:t>Injection</w:t>
            </w:r>
            <w:r w:rsidR="00AB087F" w:rsidRPr="006311C5">
              <w:rPr>
                <w:rFonts w:cstheme="minorHAnsi"/>
                <w:szCs w:val="18"/>
              </w:rPr>
              <w:t>-</w:t>
            </w:r>
            <w:r w:rsidRPr="006311C5">
              <w:rPr>
                <w:rFonts w:cstheme="minorHAnsi"/>
                <w:szCs w:val="18"/>
              </w:rPr>
              <w:t xml:space="preserve">site symptoms, </w:t>
            </w:r>
            <w:r w:rsidRPr="006311C5">
              <w:rPr>
                <w:rFonts w:cstheme="minorHAnsi"/>
                <w:i/>
                <w:iCs/>
                <w:szCs w:val="18"/>
              </w:rPr>
              <w:t>n</w:t>
            </w:r>
            <w:r w:rsidRPr="006311C5">
              <w:rPr>
                <w:rFonts w:cstheme="minorHAnsi"/>
                <w:szCs w:val="18"/>
              </w:rPr>
              <w:t>=</w:t>
            </w:r>
            <w:r w:rsidR="00126E52" w:rsidRPr="006311C5">
              <w:rPr>
                <w:rFonts w:cstheme="minorHAnsi"/>
                <w:szCs w:val="18"/>
              </w:rPr>
              <w:t>900</w:t>
            </w:r>
          </w:p>
        </w:tc>
        <w:tc>
          <w:tcPr>
            <w:tcW w:w="3721" w:type="dxa"/>
            <w:gridSpan w:val="2"/>
            <w:tcBorders>
              <w:top w:val="single" w:sz="12" w:space="0" w:color="auto"/>
              <w:left w:val="nil"/>
              <w:bottom w:val="nil"/>
              <w:right w:val="nil"/>
            </w:tcBorders>
          </w:tcPr>
          <w:p w14:paraId="6572D404" w14:textId="7E5AB62A" w:rsidR="00742F07" w:rsidRPr="006311C5" w:rsidRDefault="00742F07" w:rsidP="00251E59">
            <w:pPr>
              <w:pStyle w:val="Tabletext"/>
              <w:rPr>
                <w:rFonts w:cstheme="minorHAnsi"/>
                <w:i/>
                <w:iCs/>
                <w:szCs w:val="18"/>
              </w:rPr>
            </w:pPr>
            <w:r w:rsidRPr="006311C5">
              <w:rPr>
                <w:rFonts w:cstheme="minorHAnsi"/>
                <w:szCs w:val="18"/>
              </w:rPr>
              <w:t>Non-injection</w:t>
            </w:r>
            <w:r w:rsidR="00AB087F" w:rsidRPr="006311C5">
              <w:rPr>
                <w:rFonts w:cstheme="minorHAnsi"/>
                <w:szCs w:val="18"/>
              </w:rPr>
              <w:t>-</w:t>
            </w:r>
            <w:r w:rsidRPr="006311C5">
              <w:rPr>
                <w:rFonts w:cstheme="minorHAnsi"/>
                <w:szCs w:val="18"/>
              </w:rPr>
              <w:t xml:space="preserve">site symptoms, </w:t>
            </w:r>
            <w:r w:rsidRPr="006311C5">
              <w:rPr>
                <w:rFonts w:cstheme="minorHAnsi"/>
                <w:i/>
                <w:iCs/>
                <w:szCs w:val="18"/>
              </w:rPr>
              <w:t>n</w:t>
            </w:r>
            <w:r w:rsidRPr="006311C5">
              <w:rPr>
                <w:rFonts w:cstheme="minorHAnsi"/>
                <w:szCs w:val="18"/>
              </w:rPr>
              <w:t>=</w:t>
            </w:r>
            <w:r w:rsidR="00126E52" w:rsidRPr="006311C5">
              <w:rPr>
                <w:rFonts w:cstheme="minorHAnsi"/>
                <w:szCs w:val="18"/>
              </w:rPr>
              <w:t>901</w:t>
            </w:r>
          </w:p>
        </w:tc>
      </w:tr>
      <w:tr w:rsidR="00A8629F" w:rsidRPr="006311C5" w14:paraId="15555D34" w14:textId="77777777" w:rsidTr="00251E59">
        <w:tc>
          <w:tcPr>
            <w:tcW w:w="0" w:type="auto"/>
            <w:tcBorders>
              <w:top w:val="nil"/>
              <w:left w:val="nil"/>
              <w:bottom w:val="single" w:sz="12" w:space="0" w:color="auto"/>
              <w:right w:val="nil"/>
            </w:tcBorders>
          </w:tcPr>
          <w:p w14:paraId="7D1DEFD1" w14:textId="77777777" w:rsidR="00742F07" w:rsidRPr="006311C5" w:rsidRDefault="00742F07" w:rsidP="00251E59">
            <w:pPr>
              <w:pStyle w:val="Tabletext"/>
              <w:rPr>
                <w:rFonts w:cstheme="minorHAnsi"/>
                <w:szCs w:val="18"/>
              </w:rPr>
            </w:pPr>
          </w:p>
        </w:tc>
        <w:tc>
          <w:tcPr>
            <w:tcW w:w="0" w:type="auto"/>
            <w:tcBorders>
              <w:top w:val="nil"/>
              <w:left w:val="nil"/>
              <w:bottom w:val="single" w:sz="12" w:space="0" w:color="auto"/>
              <w:right w:val="nil"/>
            </w:tcBorders>
            <w:shd w:val="clear" w:color="auto" w:fill="auto"/>
          </w:tcPr>
          <w:p w14:paraId="008624E8" w14:textId="77777777" w:rsidR="00742F07" w:rsidRPr="006311C5" w:rsidRDefault="00742F07" w:rsidP="00251E59">
            <w:pPr>
              <w:pStyle w:val="Tabletext"/>
              <w:rPr>
                <w:rFonts w:cstheme="minorHAnsi"/>
                <w:szCs w:val="18"/>
              </w:rPr>
            </w:pPr>
            <w:r w:rsidRPr="006311C5">
              <w:rPr>
                <w:rFonts w:cstheme="minorHAnsi"/>
                <w:szCs w:val="18"/>
              </w:rPr>
              <w:t>Predictor variable</w:t>
            </w:r>
          </w:p>
        </w:tc>
        <w:tc>
          <w:tcPr>
            <w:tcW w:w="0" w:type="auto"/>
            <w:tcBorders>
              <w:top w:val="nil"/>
              <w:left w:val="nil"/>
              <w:bottom w:val="single" w:sz="12" w:space="0" w:color="auto"/>
              <w:right w:val="nil"/>
            </w:tcBorders>
            <w:shd w:val="clear" w:color="auto" w:fill="auto"/>
          </w:tcPr>
          <w:p w14:paraId="3542950D" w14:textId="77777777" w:rsidR="00742F07" w:rsidRPr="006311C5" w:rsidRDefault="00742F07" w:rsidP="00251E59">
            <w:pPr>
              <w:pStyle w:val="Tabletext"/>
              <w:rPr>
                <w:rFonts w:cstheme="minorHAnsi"/>
                <w:szCs w:val="18"/>
              </w:rPr>
            </w:pPr>
            <w:r w:rsidRPr="006311C5">
              <w:rPr>
                <w:rFonts w:cstheme="minorHAnsi"/>
                <w:szCs w:val="18"/>
              </w:rPr>
              <w:t>Level</w:t>
            </w:r>
          </w:p>
        </w:tc>
        <w:tc>
          <w:tcPr>
            <w:tcW w:w="0" w:type="auto"/>
            <w:tcBorders>
              <w:top w:val="nil"/>
              <w:left w:val="nil"/>
              <w:bottom w:val="single" w:sz="12" w:space="0" w:color="auto"/>
              <w:right w:val="nil"/>
            </w:tcBorders>
          </w:tcPr>
          <w:p w14:paraId="413F9BB8" w14:textId="00B23B77" w:rsidR="00742F07" w:rsidRPr="006311C5" w:rsidRDefault="00742F07" w:rsidP="00251E59">
            <w:pPr>
              <w:pStyle w:val="Tabletext"/>
              <w:rPr>
                <w:rFonts w:cstheme="minorHAnsi"/>
                <w:szCs w:val="18"/>
              </w:rPr>
            </w:pPr>
            <w:r w:rsidRPr="006311C5">
              <w:rPr>
                <w:rFonts w:cstheme="minorHAnsi"/>
                <w:szCs w:val="18"/>
              </w:rPr>
              <w:t xml:space="preserve">Adjusted odds ratio (95% CI) for reporting symptoms </w:t>
            </w:r>
            <w:r w:rsidR="008B26E6" w:rsidRPr="006311C5">
              <w:rPr>
                <w:rFonts w:cstheme="minorHAnsi"/>
                <w:szCs w:val="18"/>
                <w:vertAlign w:val="superscript"/>
              </w:rPr>
              <w:t>a</w:t>
            </w:r>
          </w:p>
        </w:tc>
        <w:tc>
          <w:tcPr>
            <w:tcW w:w="0" w:type="auto"/>
            <w:tcBorders>
              <w:top w:val="nil"/>
              <w:left w:val="nil"/>
              <w:bottom w:val="single" w:sz="12" w:space="0" w:color="auto"/>
              <w:right w:val="nil"/>
            </w:tcBorders>
          </w:tcPr>
          <w:p w14:paraId="4045B5FD" w14:textId="77777777" w:rsidR="00742F07" w:rsidRPr="006311C5" w:rsidRDefault="00742F07" w:rsidP="00251E59">
            <w:pPr>
              <w:pStyle w:val="Tabletext"/>
              <w:rPr>
                <w:rFonts w:cstheme="minorHAnsi"/>
                <w:szCs w:val="18"/>
              </w:rPr>
            </w:pPr>
            <w:r w:rsidRPr="006311C5">
              <w:rPr>
                <w:rFonts w:cstheme="minorHAnsi"/>
                <w:i/>
                <w:iCs/>
                <w:szCs w:val="18"/>
              </w:rPr>
              <w:t>p</w:t>
            </w:r>
            <w:r w:rsidRPr="006311C5">
              <w:rPr>
                <w:rFonts w:cstheme="minorHAnsi"/>
                <w:szCs w:val="18"/>
              </w:rPr>
              <w:t xml:space="preserve"> value</w:t>
            </w:r>
          </w:p>
        </w:tc>
        <w:tc>
          <w:tcPr>
            <w:tcW w:w="0" w:type="auto"/>
            <w:tcBorders>
              <w:top w:val="nil"/>
              <w:left w:val="nil"/>
              <w:bottom w:val="single" w:sz="12" w:space="0" w:color="auto"/>
              <w:right w:val="nil"/>
            </w:tcBorders>
          </w:tcPr>
          <w:p w14:paraId="7CBFCE9B" w14:textId="76EF6521" w:rsidR="00742F07" w:rsidRPr="006311C5" w:rsidRDefault="00742F07" w:rsidP="00251E59">
            <w:pPr>
              <w:pStyle w:val="Tabletext"/>
              <w:rPr>
                <w:rFonts w:cstheme="minorHAnsi"/>
                <w:i/>
                <w:iCs/>
                <w:szCs w:val="18"/>
              </w:rPr>
            </w:pPr>
            <w:r w:rsidRPr="006311C5">
              <w:rPr>
                <w:rFonts w:cstheme="minorHAnsi"/>
                <w:szCs w:val="18"/>
              </w:rPr>
              <w:t xml:space="preserve">Adjusted odds ratio (95% CI) for reporting symptoms </w:t>
            </w:r>
            <w:r w:rsidR="008B26E6" w:rsidRPr="006311C5">
              <w:rPr>
                <w:rFonts w:cstheme="minorHAnsi"/>
                <w:szCs w:val="18"/>
                <w:vertAlign w:val="superscript"/>
              </w:rPr>
              <w:t>a</w:t>
            </w:r>
          </w:p>
        </w:tc>
        <w:tc>
          <w:tcPr>
            <w:tcW w:w="0" w:type="auto"/>
            <w:tcBorders>
              <w:top w:val="nil"/>
              <w:left w:val="nil"/>
              <w:bottom w:val="single" w:sz="12" w:space="0" w:color="auto"/>
              <w:right w:val="nil"/>
            </w:tcBorders>
          </w:tcPr>
          <w:p w14:paraId="65660186" w14:textId="77777777" w:rsidR="00742F07" w:rsidRPr="006311C5" w:rsidRDefault="00742F07" w:rsidP="00251E59">
            <w:pPr>
              <w:pStyle w:val="Tabletext"/>
              <w:rPr>
                <w:rFonts w:cstheme="minorHAnsi"/>
                <w:i/>
                <w:iCs/>
                <w:szCs w:val="18"/>
              </w:rPr>
            </w:pPr>
            <w:r w:rsidRPr="006311C5">
              <w:rPr>
                <w:rFonts w:cstheme="minorHAnsi"/>
                <w:i/>
                <w:iCs/>
                <w:szCs w:val="18"/>
              </w:rPr>
              <w:t>p</w:t>
            </w:r>
            <w:r w:rsidRPr="006311C5">
              <w:rPr>
                <w:rFonts w:cstheme="minorHAnsi"/>
                <w:szCs w:val="18"/>
              </w:rPr>
              <w:t xml:space="preserve"> value</w:t>
            </w:r>
          </w:p>
        </w:tc>
      </w:tr>
      <w:tr w:rsidR="00A8629F" w:rsidRPr="006311C5" w14:paraId="47C16739" w14:textId="77777777" w:rsidTr="00251E59">
        <w:tc>
          <w:tcPr>
            <w:tcW w:w="0" w:type="auto"/>
            <w:vMerge w:val="restart"/>
            <w:tcBorders>
              <w:left w:val="nil"/>
              <w:right w:val="nil"/>
            </w:tcBorders>
          </w:tcPr>
          <w:p w14:paraId="06E56079" w14:textId="77777777" w:rsidR="00B81294" w:rsidRPr="006311C5" w:rsidRDefault="00B81294" w:rsidP="00B81294">
            <w:pPr>
              <w:pStyle w:val="Tabletext"/>
              <w:rPr>
                <w:rFonts w:cstheme="minorHAnsi"/>
                <w:szCs w:val="18"/>
              </w:rPr>
            </w:pPr>
            <w:r w:rsidRPr="006311C5">
              <w:rPr>
                <w:rFonts w:cstheme="minorHAnsi"/>
                <w:szCs w:val="18"/>
              </w:rPr>
              <w:t>Block 1 – personal and clinical characteristics</w:t>
            </w:r>
          </w:p>
        </w:tc>
        <w:tc>
          <w:tcPr>
            <w:tcW w:w="0" w:type="auto"/>
            <w:tcBorders>
              <w:left w:val="nil"/>
              <w:right w:val="nil"/>
            </w:tcBorders>
          </w:tcPr>
          <w:p w14:paraId="28B2A77F" w14:textId="1A2BA03E" w:rsidR="00B81294" w:rsidRPr="006311C5" w:rsidRDefault="00B81294" w:rsidP="00B81294">
            <w:pPr>
              <w:pStyle w:val="Tabletext"/>
              <w:rPr>
                <w:rFonts w:cstheme="minorHAnsi"/>
                <w:szCs w:val="18"/>
              </w:rPr>
            </w:pPr>
            <w:r w:rsidRPr="006311C5">
              <w:rPr>
                <w:rFonts w:cstheme="minorHAnsi"/>
                <w:szCs w:val="18"/>
              </w:rPr>
              <w:t>Age</w:t>
            </w:r>
          </w:p>
        </w:tc>
        <w:tc>
          <w:tcPr>
            <w:tcW w:w="0" w:type="auto"/>
            <w:tcBorders>
              <w:left w:val="nil"/>
              <w:bottom w:val="single" w:sz="4" w:space="0" w:color="auto"/>
              <w:right w:val="nil"/>
            </w:tcBorders>
          </w:tcPr>
          <w:p w14:paraId="68D08D0C" w14:textId="005EE5D8" w:rsidR="00B81294" w:rsidRPr="006311C5" w:rsidRDefault="00C9437F" w:rsidP="00B81294">
            <w:pPr>
              <w:pStyle w:val="Tabletext"/>
              <w:rPr>
                <w:rFonts w:cstheme="minorHAnsi"/>
                <w:szCs w:val="18"/>
              </w:rPr>
            </w:pPr>
            <w:r w:rsidRPr="006311C5">
              <w:rPr>
                <w:rFonts w:cstheme="minorHAnsi"/>
                <w:szCs w:val="18"/>
              </w:rPr>
              <w:t>Decade</w:t>
            </w:r>
          </w:p>
        </w:tc>
        <w:tc>
          <w:tcPr>
            <w:tcW w:w="0" w:type="auto"/>
            <w:tcBorders>
              <w:top w:val="nil"/>
              <w:left w:val="nil"/>
              <w:bottom w:val="single" w:sz="4" w:space="0" w:color="auto"/>
              <w:right w:val="nil"/>
            </w:tcBorders>
            <w:shd w:val="clear" w:color="auto" w:fill="auto"/>
          </w:tcPr>
          <w:p w14:paraId="3DBD9CB0" w14:textId="05993A08" w:rsidR="00B81294" w:rsidRPr="006311C5" w:rsidRDefault="007B6604" w:rsidP="00B81294">
            <w:pPr>
              <w:pStyle w:val="Tabletext"/>
              <w:rPr>
                <w:rFonts w:cstheme="minorHAnsi"/>
                <w:szCs w:val="18"/>
              </w:rPr>
            </w:pPr>
            <w:r w:rsidRPr="006311C5">
              <w:rPr>
                <w:rFonts w:cstheme="minorHAnsi"/>
                <w:szCs w:val="18"/>
              </w:rPr>
              <w:t>0.7</w:t>
            </w:r>
            <w:r w:rsidR="005D0575" w:rsidRPr="006311C5">
              <w:rPr>
                <w:rFonts w:cstheme="minorHAnsi"/>
                <w:szCs w:val="18"/>
              </w:rPr>
              <w:t>7</w:t>
            </w:r>
            <w:r w:rsidRPr="006311C5">
              <w:rPr>
                <w:rFonts w:cstheme="minorHAnsi"/>
                <w:szCs w:val="18"/>
              </w:rPr>
              <w:t>8 (0.6</w:t>
            </w:r>
            <w:r w:rsidR="005D0575" w:rsidRPr="006311C5">
              <w:rPr>
                <w:rFonts w:cstheme="minorHAnsi"/>
                <w:szCs w:val="18"/>
              </w:rPr>
              <w:t>87</w:t>
            </w:r>
            <w:r w:rsidRPr="006311C5">
              <w:rPr>
                <w:rFonts w:cstheme="minorHAnsi"/>
                <w:szCs w:val="18"/>
              </w:rPr>
              <w:t xml:space="preserve"> to 0.88</w:t>
            </w:r>
            <w:r w:rsidR="005D0575" w:rsidRPr="006311C5">
              <w:rPr>
                <w:rFonts w:cstheme="minorHAnsi"/>
                <w:szCs w:val="18"/>
              </w:rPr>
              <w:t>1</w:t>
            </w:r>
            <w:r w:rsidRPr="006311C5">
              <w:rPr>
                <w:rFonts w:cstheme="minorHAnsi"/>
                <w:szCs w:val="18"/>
              </w:rPr>
              <w:t>)</w:t>
            </w:r>
          </w:p>
        </w:tc>
        <w:tc>
          <w:tcPr>
            <w:tcW w:w="0" w:type="auto"/>
            <w:tcBorders>
              <w:left w:val="nil"/>
              <w:bottom w:val="single" w:sz="4" w:space="0" w:color="auto"/>
              <w:right w:val="nil"/>
            </w:tcBorders>
          </w:tcPr>
          <w:p w14:paraId="2E30D42B" w14:textId="74B65E5B" w:rsidR="00B81294" w:rsidRPr="006311C5" w:rsidRDefault="00FF3015" w:rsidP="00B81294">
            <w:pPr>
              <w:pStyle w:val="Tabletext"/>
              <w:rPr>
                <w:rFonts w:cstheme="minorHAnsi"/>
                <w:szCs w:val="18"/>
              </w:rPr>
            </w:pPr>
            <w:r w:rsidRPr="006311C5">
              <w:rPr>
                <w:rFonts w:cstheme="minorHAnsi"/>
                <w:szCs w:val="18"/>
              </w:rPr>
              <w:t>&lt;0.001</w:t>
            </w:r>
            <w:r w:rsidR="00171AA3" w:rsidRPr="006311C5">
              <w:rPr>
                <w:rFonts w:cstheme="minorHAnsi"/>
                <w:szCs w:val="18"/>
              </w:rPr>
              <w:t>*</w:t>
            </w:r>
          </w:p>
        </w:tc>
        <w:tc>
          <w:tcPr>
            <w:tcW w:w="0" w:type="auto"/>
            <w:tcBorders>
              <w:left w:val="nil"/>
              <w:bottom w:val="single" w:sz="4" w:space="0" w:color="auto"/>
              <w:right w:val="nil"/>
            </w:tcBorders>
          </w:tcPr>
          <w:p w14:paraId="209C90D7" w14:textId="174377CC" w:rsidR="00B81294" w:rsidRPr="006311C5" w:rsidRDefault="00E32F4A" w:rsidP="00B81294">
            <w:pPr>
              <w:pStyle w:val="Tabletext"/>
              <w:rPr>
                <w:rFonts w:cstheme="minorHAnsi"/>
                <w:szCs w:val="18"/>
              </w:rPr>
            </w:pPr>
            <w:r w:rsidRPr="006311C5">
              <w:rPr>
                <w:rFonts w:cstheme="minorHAnsi"/>
                <w:szCs w:val="18"/>
              </w:rPr>
              <w:t>0.71</w:t>
            </w:r>
            <w:r w:rsidR="00315A44" w:rsidRPr="006311C5">
              <w:rPr>
                <w:rFonts w:cstheme="minorHAnsi"/>
                <w:szCs w:val="18"/>
              </w:rPr>
              <w:t>4</w:t>
            </w:r>
            <w:r w:rsidRPr="006311C5">
              <w:rPr>
                <w:rFonts w:cstheme="minorHAnsi"/>
                <w:szCs w:val="18"/>
              </w:rPr>
              <w:t xml:space="preserve"> (0.6</w:t>
            </w:r>
            <w:r w:rsidR="00315A44" w:rsidRPr="006311C5">
              <w:rPr>
                <w:rFonts w:cstheme="minorHAnsi"/>
                <w:szCs w:val="18"/>
              </w:rPr>
              <w:t>39</w:t>
            </w:r>
            <w:r w:rsidRPr="006311C5">
              <w:rPr>
                <w:rFonts w:cstheme="minorHAnsi"/>
                <w:szCs w:val="18"/>
              </w:rPr>
              <w:t xml:space="preserve"> to 0.</w:t>
            </w:r>
            <w:r w:rsidR="00315A44" w:rsidRPr="006311C5">
              <w:rPr>
                <w:rFonts w:cstheme="minorHAnsi"/>
                <w:szCs w:val="18"/>
              </w:rPr>
              <w:t>798</w:t>
            </w:r>
            <w:r w:rsidRPr="006311C5">
              <w:rPr>
                <w:rFonts w:cstheme="minorHAnsi"/>
                <w:szCs w:val="18"/>
              </w:rPr>
              <w:t>)</w:t>
            </w:r>
          </w:p>
        </w:tc>
        <w:tc>
          <w:tcPr>
            <w:tcW w:w="0" w:type="auto"/>
            <w:tcBorders>
              <w:left w:val="nil"/>
              <w:bottom w:val="single" w:sz="4" w:space="0" w:color="auto"/>
              <w:right w:val="nil"/>
            </w:tcBorders>
          </w:tcPr>
          <w:p w14:paraId="316D4373" w14:textId="643D7CAE" w:rsidR="00B81294" w:rsidRPr="006311C5" w:rsidRDefault="00126E52" w:rsidP="00B81294">
            <w:pPr>
              <w:pStyle w:val="Tabletext"/>
              <w:rPr>
                <w:rFonts w:cstheme="minorHAnsi"/>
                <w:szCs w:val="18"/>
              </w:rPr>
            </w:pPr>
            <w:r w:rsidRPr="006311C5">
              <w:rPr>
                <w:rFonts w:cstheme="minorHAnsi"/>
                <w:szCs w:val="18"/>
              </w:rPr>
              <w:t>&lt;0.001</w:t>
            </w:r>
            <w:r w:rsidR="00171AA3" w:rsidRPr="006311C5">
              <w:rPr>
                <w:rFonts w:cstheme="minorHAnsi"/>
                <w:szCs w:val="18"/>
              </w:rPr>
              <w:t>*</w:t>
            </w:r>
          </w:p>
        </w:tc>
      </w:tr>
      <w:tr w:rsidR="00A8629F" w:rsidRPr="006311C5" w14:paraId="54152538" w14:textId="77777777" w:rsidTr="00251E59">
        <w:tc>
          <w:tcPr>
            <w:tcW w:w="0" w:type="auto"/>
            <w:vMerge/>
            <w:tcBorders>
              <w:left w:val="nil"/>
              <w:right w:val="nil"/>
            </w:tcBorders>
          </w:tcPr>
          <w:p w14:paraId="61A1C461" w14:textId="77777777" w:rsidR="00B81294" w:rsidRPr="006311C5" w:rsidRDefault="00B81294" w:rsidP="00B81294">
            <w:pPr>
              <w:pStyle w:val="Tabletext"/>
              <w:rPr>
                <w:rFonts w:cstheme="minorHAnsi"/>
                <w:szCs w:val="18"/>
              </w:rPr>
            </w:pPr>
          </w:p>
        </w:tc>
        <w:tc>
          <w:tcPr>
            <w:tcW w:w="0" w:type="auto"/>
            <w:vMerge w:val="restart"/>
            <w:tcBorders>
              <w:left w:val="nil"/>
              <w:right w:val="nil"/>
            </w:tcBorders>
          </w:tcPr>
          <w:p w14:paraId="15F7B2CE" w14:textId="5564D085" w:rsidR="00B81294" w:rsidRPr="006311C5" w:rsidRDefault="00B81294" w:rsidP="00B81294">
            <w:pPr>
              <w:pStyle w:val="Tabletext"/>
              <w:rPr>
                <w:rFonts w:cstheme="minorHAnsi"/>
                <w:szCs w:val="18"/>
              </w:rPr>
            </w:pPr>
            <w:r w:rsidRPr="006311C5">
              <w:rPr>
                <w:rFonts w:cstheme="minorHAnsi"/>
                <w:szCs w:val="18"/>
              </w:rPr>
              <w:t>Gender</w:t>
            </w:r>
          </w:p>
        </w:tc>
        <w:tc>
          <w:tcPr>
            <w:tcW w:w="0" w:type="auto"/>
            <w:tcBorders>
              <w:top w:val="single" w:sz="4" w:space="0" w:color="auto"/>
              <w:left w:val="nil"/>
              <w:bottom w:val="nil"/>
              <w:right w:val="nil"/>
            </w:tcBorders>
          </w:tcPr>
          <w:p w14:paraId="5A933C16" w14:textId="77777777" w:rsidR="00B81294" w:rsidRPr="006311C5" w:rsidRDefault="00B81294" w:rsidP="00B81294">
            <w:pPr>
              <w:pStyle w:val="Tabletext"/>
              <w:rPr>
                <w:rFonts w:cstheme="minorHAnsi"/>
                <w:szCs w:val="18"/>
              </w:rPr>
            </w:pPr>
            <w:r w:rsidRPr="006311C5">
              <w:rPr>
                <w:rFonts w:cstheme="minorHAnsi"/>
                <w:szCs w:val="18"/>
              </w:rPr>
              <w:t xml:space="preserve">Female </w:t>
            </w:r>
          </w:p>
        </w:tc>
        <w:tc>
          <w:tcPr>
            <w:tcW w:w="0" w:type="auto"/>
            <w:tcBorders>
              <w:top w:val="single" w:sz="4" w:space="0" w:color="auto"/>
              <w:left w:val="nil"/>
              <w:bottom w:val="nil"/>
              <w:right w:val="nil"/>
            </w:tcBorders>
            <w:shd w:val="clear" w:color="auto" w:fill="auto"/>
          </w:tcPr>
          <w:p w14:paraId="0E36F88F" w14:textId="77777777" w:rsidR="00B81294" w:rsidRPr="006311C5" w:rsidRDefault="00B81294" w:rsidP="00B81294">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shd w:val="clear" w:color="auto" w:fill="auto"/>
          </w:tcPr>
          <w:p w14:paraId="6DEA35FA" w14:textId="77777777" w:rsidR="00B81294" w:rsidRPr="006311C5" w:rsidRDefault="00B81294" w:rsidP="00B81294">
            <w:pPr>
              <w:pStyle w:val="Tabletext"/>
              <w:rPr>
                <w:rFonts w:cstheme="minorHAnsi"/>
                <w:szCs w:val="18"/>
              </w:rPr>
            </w:pPr>
            <w:r w:rsidRPr="006311C5">
              <w:rPr>
                <w:rFonts w:cstheme="minorHAnsi"/>
                <w:szCs w:val="18"/>
              </w:rPr>
              <w:t>-</w:t>
            </w:r>
          </w:p>
        </w:tc>
        <w:tc>
          <w:tcPr>
            <w:tcW w:w="0" w:type="auto"/>
            <w:tcBorders>
              <w:top w:val="single" w:sz="4" w:space="0" w:color="auto"/>
              <w:left w:val="nil"/>
              <w:bottom w:val="nil"/>
              <w:right w:val="nil"/>
            </w:tcBorders>
          </w:tcPr>
          <w:p w14:paraId="51BE1967" w14:textId="77777777" w:rsidR="00B81294" w:rsidRPr="006311C5" w:rsidRDefault="00B81294" w:rsidP="00B81294">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tcPr>
          <w:p w14:paraId="04E158B7" w14:textId="77777777" w:rsidR="00B81294" w:rsidRPr="006311C5" w:rsidRDefault="00B81294" w:rsidP="00B81294">
            <w:pPr>
              <w:pStyle w:val="Tabletext"/>
              <w:rPr>
                <w:rFonts w:cstheme="minorHAnsi"/>
                <w:szCs w:val="18"/>
              </w:rPr>
            </w:pPr>
            <w:r w:rsidRPr="006311C5">
              <w:rPr>
                <w:rFonts w:cstheme="minorHAnsi"/>
                <w:szCs w:val="18"/>
              </w:rPr>
              <w:t>-</w:t>
            </w:r>
          </w:p>
        </w:tc>
      </w:tr>
      <w:tr w:rsidR="00A8629F" w:rsidRPr="006311C5" w14:paraId="5B48F1E1" w14:textId="77777777" w:rsidTr="00251E59">
        <w:tc>
          <w:tcPr>
            <w:tcW w:w="0" w:type="auto"/>
            <w:vMerge/>
            <w:tcBorders>
              <w:left w:val="nil"/>
              <w:right w:val="nil"/>
            </w:tcBorders>
          </w:tcPr>
          <w:p w14:paraId="4A41ACC9" w14:textId="77777777" w:rsidR="00374B69" w:rsidRPr="006311C5" w:rsidRDefault="00374B69" w:rsidP="00374B69">
            <w:pPr>
              <w:pStyle w:val="Tabletext"/>
              <w:rPr>
                <w:rFonts w:cstheme="minorHAnsi"/>
                <w:szCs w:val="18"/>
              </w:rPr>
            </w:pPr>
          </w:p>
        </w:tc>
        <w:tc>
          <w:tcPr>
            <w:tcW w:w="0" w:type="auto"/>
            <w:vMerge/>
            <w:tcBorders>
              <w:left w:val="nil"/>
              <w:right w:val="nil"/>
            </w:tcBorders>
          </w:tcPr>
          <w:p w14:paraId="548E73E2" w14:textId="77777777" w:rsidR="00374B69" w:rsidRPr="006311C5" w:rsidRDefault="00374B69" w:rsidP="00374B69">
            <w:pPr>
              <w:pStyle w:val="Tabletext"/>
              <w:rPr>
                <w:rFonts w:cstheme="minorHAnsi"/>
                <w:szCs w:val="18"/>
              </w:rPr>
            </w:pPr>
          </w:p>
        </w:tc>
        <w:tc>
          <w:tcPr>
            <w:tcW w:w="0" w:type="auto"/>
            <w:tcBorders>
              <w:top w:val="nil"/>
              <w:left w:val="nil"/>
              <w:bottom w:val="single" w:sz="4" w:space="0" w:color="auto"/>
              <w:right w:val="nil"/>
            </w:tcBorders>
          </w:tcPr>
          <w:p w14:paraId="78008F46" w14:textId="77777777" w:rsidR="00374B69" w:rsidRPr="006311C5" w:rsidRDefault="00374B69" w:rsidP="00374B69">
            <w:pPr>
              <w:pStyle w:val="Tabletext"/>
              <w:rPr>
                <w:rFonts w:cstheme="minorHAnsi"/>
                <w:szCs w:val="18"/>
              </w:rPr>
            </w:pPr>
            <w:r w:rsidRPr="006311C5">
              <w:rPr>
                <w:rFonts w:cstheme="minorHAnsi"/>
                <w:szCs w:val="18"/>
              </w:rPr>
              <w:t>Male</w:t>
            </w:r>
          </w:p>
        </w:tc>
        <w:tc>
          <w:tcPr>
            <w:tcW w:w="0" w:type="auto"/>
            <w:tcBorders>
              <w:top w:val="nil"/>
              <w:left w:val="nil"/>
              <w:bottom w:val="single" w:sz="4" w:space="0" w:color="auto"/>
              <w:right w:val="nil"/>
            </w:tcBorders>
            <w:shd w:val="clear" w:color="auto" w:fill="auto"/>
          </w:tcPr>
          <w:p w14:paraId="4CFB4A83" w14:textId="6284715C" w:rsidR="00374B69" w:rsidRPr="006311C5" w:rsidRDefault="00374B69" w:rsidP="00374B69">
            <w:pPr>
              <w:pStyle w:val="Tabletext"/>
              <w:rPr>
                <w:rFonts w:cstheme="minorHAnsi"/>
                <w:szCs w:val="18"/>
              </w:rPr>
            </w:pPr>
            <w:r w:rsidRPr="006311C5">
              <w:rPr>
                <w:rFonts w:cstheme="minorHAnsi"/>
                <w:szCs w:val="18"/>
              </w:rPr>
              <w:t>0.3</w:t>
            </w:r>
            <w:r w:rsidR="005D0575" w:rsidRPr="006311C5">
              <w:rPr>
                <w:rFonts w:cstheme="minorHAnsi"/>
                <w:szCs w:val="18"/>
              </w:rPr>
              <w:t>59</w:t>
            </w:r>
            <w:r w:rsidRPr="006311C5">
              <w:rPr>
                <w:rFonts w:cstheme="minorHAnsi"/>
                <w:szCs w:val="18"/>
              </w:rPr>
              <w:t xml:space="preserve"> (0.26</w:t>
            </w:r>
            <w:r w:rsidR="005D0575" w:rsidRPr="006311C5">
              <w:rPr>
                <w:rFonts w:cstheme="minorHAnsi"/>
                <w:szCs w:val="18"/>
              </w:rPr>
              <w:t>0</w:t>
            </w:r>
            <w:r w:rsidRPr="006311C5">
              <w:rPr>
                <w:rFonts w:cstheme="minorHAnsi"/>
                <w:szCs w:val="18"/>
              </w:rPr>
              <w:t xml:space="preserve"> to 0.</w:t>
            </w:r>
            <w:r w:rsidR="005D0575" w:rsidRPr="006311C5">
              <w:rPr>
                <w:rFonts w:cstheme="minorHAnsi"/>
                <w:szCs w:val="18"/>
              </w:rPr>
              <w:t>495</w:t>
            </w:r>
            <w:r w:rsidRPr="006311C5">
              <w:rPr>
                <w:rFonts w:cstheme="minorHAnsi"/>
                <w:szCs w:val="18"/>
              </w:rPr>
              <w:t>)</w:t>
            </w:r>
          </w:p>
        </w:tc>
        <w:tc>
          <w:tcPr>
            <w:tcW w:w="0" w:type="auto"/>
            <w:tcBorders>
              <w:top w:val="nil"/>
              <w:left w:val="nil"/>
              <w:bottom w:val="single" w:sz="4" w:space="0" w:color="auto"/>
              <w:right w:val="nil"/>
            </w:tcBorders>
            <w:shd w:val="clear" w:color="auto" w:fill="auto"/>
          </w:tcPr>
          <w:p w14:paraId="5F664EE4" w14:textId="134EC871" w:rsidR="00374B69" w:rsidRPr="006311C5" w:rsidRDefault="00374B69" w:rsidP="00374B69">
            <w:pPr>
              <w:pStyle w:val="Tabletext"/>
              <w:rPr>
                <w:rFonts w:cstheme="minorHAnsi"/>
                <w:szCs w:val="18"/>
              </w:rPr>
            </w:pPr>
            <w:r w:rsidRPr="006311C5">
              <w:rPr>
                <w:rFonts w:cstheme="minorHAnsi"/>
                <w:szCs w:val="18"/>
              </w:rPr>
              <w:t>&lt;0.001</w:t>
            </w:r>
            <w:r w:rsidR="00171AA3" w:rsidRPr="006311C5">
              <w:rPr>
                <w:rFonts w:cstheme="minorHAnsi"/>
                <w:szCs w:val="18"/>
              </w:rPr>
              <w:t>*</w:t>
            </w:r>
          </w:p>
        </w:tc>
        <w:tc>
          <w:tcPr>
            <w:tcW w:w="0" w:type="auto"/>
            <w:tcBorders>
              <w:top w:val="nil"/>
              <w:left w:val="nil"/>
              <w:bottom w:val="nil"/>
              <w:right w:val="nil"/>
            </w:tcBorders>
            <w:shd w:val="clear" w:color="auto" w:fill="auto"/>
          </w:tcPr>
          <w:p w14:paraId="5600377C" w14:textId="44FA888F" w:rsidR="00374B69" w:rsidRPr="006311C5" w:rsidRDefault="00374B69" w:rsidP="00374B69">
            <w:pPr>
              <w:pStyle w:val="Tabletext"/>
              <w:rPr>
                <w:rFonts w:cstheme="minorHAnsi"/>
                <w:szCs w:val="18"/>
              </w:rPr>
            </w:pPr>
            <w:r w:rsidRPr="006311C5">
              <w:rPr>
                <w:rFonts w:ascii="Calibri" w:hAnsi="Calibri" w:cs="Calibri"/>
                <w:color w:val="000000"/>
                <w:szCs w:val="18"/>
              </w:rPr>
              <w:t>0.66</w:t>
            </w:r>
            <w:r w:rsidR="00315A44" w:rsidRPr="006311C5">
              <w:rPr>
                <w:rFonts w:ascii="Calibri" w:hAnsi="Calibri" w:cs="Calibri"/>
                <w:color w:val="000000"/>
                <w:szCs w:val="18"/>
              </w:rPr>
              <w:t>5</w:t>
            </w:r>
            <w:r w:rsidRPr="006311C5">
              <w:rPr>
                <w:rFonts w:ascii="Calibri" w:hAnsi="Calibri" w:cs="Calibri"/>
                <w:color w:val="000000"/>
                <w:szCs w:val="18"/>
              </w:rPr>
              <w:t xml:space="preserve"> (0.</w:t>
            </w:r>
            <w:r w:rsidR="00315A44" w:rsidRPr="006311C5">
              <w:rPr>
                <w:rFonts w:ascii="Calibri" w:hAnsi="Calibri" w:cs="Calibri"/>
                <w:color w:val="000000"/>
                <w:szCs w:val="18"/>
              </w:rPr>
              <w:t>499</w:t>
            </w:r>
            <w:r w:rsidRPr="006311C5">
              <w:rPr>
                <w:rFonts w:ascii="Calibri" w:hAnsi="Calibri" w:cs="Calibri"/>
                <w:color w:val="000000"/>
                <w:szCs w:val="18"/>
              </w:rPr>
              <w:t xml:space="preserve"> to 0.8</w:t>
            </w:r>
            <w:r w:rsidR="00315A44" w:rsidRPr="006311C5">
              <w:rPr>
                <w:rFonts w:ascii="Calibri" w:hAnsi="Calibri" w:cs="Calibri"/>
                <w:color w:val="000000"/>
                <w:szCs w:val="18"/>
              </w:rPr>
              <w:t>85</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615D81C9" w14:textId="25E50FAE" w:rsidR="00374B69" w:rsidRPr="006311C5" w:rsidRDefault="00374B69" w:rsidP="00374B69">
            <w:pPr>
              <w:pStyle w:val="Tabletext"/>
              <w:rPr>
                <w:rFonts w:cstheme="minorHAnsi"/>
                <w:szCs w:val="18"/>
              </w:rPr>
            </w:pPr>
            <w:r w:rsidRPr="006311C5">
              <w:rPr>
                <w:rFonts w:ascii="Calibri" w:hAnsi="Calibri" w:cs="Calibri"/>
                <w:color w:val="000000"/>
                <w:szCs w:val="18"/>
              </w:rPr>
              <w:t>0.005</w:t>
            </w:r>
            <w:r w:rsidR="00171AA3" w:rsidRPr="006311C5">
              <w:rPr>
                <w:rFonts w:ascii="Calibri" w:hAnsi="Calibri" w:cs="Calibri"/>
                <w:color w:val="000000"/>
                <w:szCs w:val="18"/>
              </w:rPr>
              <w:t>*</w:t>
            </w:r>
          </w:p>
        </w:tc>
      </w:tr>
      <w:tr w:rsidR="00A8629F" w:rsidRPr="006311C5" w14:paraId="410CBDC3" w14:textId="77777777" w:rsidTr="00251E59">
        <w:tc>
          <w:tcPr>
            <w:tcW w:w="0" w:type="auto"/>
            <w:vMerge/>
            <w:tcBorders>
              <w:left w:val="nil"/>
              <w:right w:val="nil"/>
            </w:tcBorders>
          </w:tcPr>
          <w:p w14:paraId="18743A3B" w14:textId="77777777" w:rsidR="00374B69" w:rsidRPr="006311C5" w:rsidRDefault="00374B69" w:rsidP="00374B69">
            <w:pPr>
              <w:pStyle w:val="Tabletext"/>
              <w:rPr>
                <w:rFonts w:cstheme="minorHAnsi"/>
                <w:szCs w:val="18"/>
              </w:rPr>
            </w:pPr>
          </w:p>
        </w:tc>
        <w:tc>
          <w:tcPr>
            <w:tcW w:w="0" w:type="auto"/>
            <w:vMerge w:val="restart"/>
            <w:tcBorders>
              <w:left w:val="nil"/>
              <w:right w:val="nil"/>
            </w:tcBorders>
          </w:tcPr>
          <w:p w14:paraId="3DEA95B7" w14:textId="77777777" w:rsidR="00374B69" w:rsidRPr="006311C5" w:rsidRDefault="00374B69" w:rsidP="00374B69">
            <w:pPr>
              <w:pStyle w:val="Tabletext"/>
              <w:rPr>
                <w:rFonts w:cstheme="minorHAnsi"/>
                <w:szCs w:val="18"/>
              </w:rPr>
            </w:pPr>
            <w:r w:rsidRPr="006311C5">
              <w:rPr>
                <w:rFonts w:cstheme="minorHAnsi"/>
                <w:szCs w:val="18"/>
              </w:rPr>
              <w:t>Ethnicity</w:t>
            </w:r>
          </w:p>
        </w:tc>
        <w:tc>
          <w:tcPr>
            <w:tcW w:w="0" w:type="auto"/>
            <w:tcBorders>
              <w:top w:val="single" w:sz="4" w:space="0" w:color="auto"/>
              <w:left w:val="nil"/>
              <w:bottom w:val="nil"/>
              <w:right w:val="nil"/>
            </w:tcBorders>
          </w:tcPr>
          <w:p w14:paraId="6B7E74BB" w14:textId="77777777" w:rsidR="00374B69" w:rsidRPr="006311C5" w:rsidRDefault="00374B69" w:rsidP="00374B69">
            <w:pPr>
              <w:pStyle w:val="Tabletext"/>
              <w:rPr>
                <w:rFonts w:cstheme="minorHAnsi"/>
                <w:szCs w:val="18"/>
              </w:rPr>
            </w:pPr>
            <w:r w:rsidRPr="006311C5">
              <w:rPr>
                <w:rFonts w:cstheme="minorHAnsi"/>
                <w:szCs w:val="18"/>
              </w:rPr>
              <w:t>White</w:t>
            </w:r>
          </w:p>
        </w:tc>
        <w:tc>
          <w:tcPr>
            <w:tcW w:w="0" w:type="auto"/>
            <w:tcBorders>
              <w:top w:val="single" w:sz="4" w:space="0" w:color="auto"/>
              <w:left w:val="nil"/>
              <w:bottom w:val="nil"/>
              <w:right w:val="nil"/>
            </w:tcBorders>
            <w:shd w:val="clear" w:color="auto" w:fill="auto"/>
          </w:tcPr>
          <w:p w14:paraId="7F524470" w14:textId="77777777" w:rsidR="00374B69" w:rsidRPr="006311C5" w:rsidRDefault="00374B69" w:rsidP="00374B6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shd w:val="clear" w:color="auto" w:fill="auto"/>
          </w:tcPr>
          <w:p w14:paraId="12188775" w14:textId="77777777" w:rsidR="00374B69" w:rsidRPr="006311C5" w:rsidRDefault="00374B69" w:rsidP="00374B69">
            <w:pPr>
              <w:pStyle w:val="Tabletext"/>
              <w:rPr>
                <w:rFonts w:cstheme="minorHAnsi"/>
                <w:szCs w:val="18"/>
              </w:rPr>
            </w:pPr>
            <w:r w:rsidRPr="006311C5">
              <w:rPr>
                <w:rFonts w:cstheme="minorHAnsi"/>
                <w:szCs w:val="18"/>
              </w:rPr>
              <w:t>-</w:t>
            </w:r>
          </w:p>
        </w:tc>
        <w:tc>
          <w:tcPr>
            <w:tcW w:w="0" w:type="auto"/>
            <w:tcBorders>
              <w:top w:val="single" w:sz="4" w:space="0" w:color="auto"/>
              <w:left w:val="nil"/>
              <w:bottom w:val="nil"/>
              <w:right w:val="nil"/>
            </w:tcBorders>
          </w:tcPr>
          <w:p w14:paraId="432DF8A5" w14:textId="77777777" w:rsidR="00374B69" w:rsidRPr="006311C5" w:rsidRDefault="00374B69" w:rsidP="00374B6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tcPr>
          <w:p w14:paraId="55A89FF1" w14:textId="77777777" w:rsidR="00374B69" w:rsidRPr="006311C5" w:rsidRDefault="00374B69" w:rsidP="00374B69">
            <w:pPr>
              <w:pStyle w:val="Tabletext"/>
              <w:rPr>
                <w:rFonts w:cstheme="minorHAnsi"/>
                <w:szCs w:val="18"/>
              </w:rPr>
            </w:pPr>
            <w:r w:rsidRPr="006311C5">
              <w:rPr>
                <w:rFonts w:cstheme="minorHAnsi"/>
                <w:szCs w:val="18"/>
              </w:rPr>
              <w:t>-</w:t>
            </w:r>
          </w:p>
        </w:tc>
      </w:tr>
      <w:tr w:rsidR="00A8629F" w:rsidRPr="006311C5" w14:paraId="5AADA327" w14:textId="77777777" w:rsidTr="00251E59">
        <w:tc>
          <w:tcPr>
            <w:tcW w:w="0" w:type="auto"/>
            <w:vMerge/>
            <w:tcBorders>
              <w:left w:val="nil"/>
              <w:right w:val="nil"/>
            </w:tcBorders>
          </w:tcPr>
          <w:p w14:paraId="20D8BA2F" w14:textId="77777777" w:rsidR="00374B69" w:rsidRPr="006311C5" w:rsidRDefault="00374B69" w:rsidP="00374B69">
            <w:pPr>
              <w:pStyle w:val="Tabletext"/>
              <w:rPr>
                <w:rFonts w:cstheme="minorHAnsi"/>
                <w:szCs w:val="18"/>
              </w:rPr>
            </w:pPr>
          </w:p>
        </w:tc>
        <w:tc>
          <w:tcPr>
            <w:tcW w:w="0" w:type="auto"/>
            <w:vMerge/>
            <w:tcBorders>
              <w:left w:val="nil"/>
              <w:right w:val="nil"/>
            </w:tcBorders>
          </w:tcPr>
          <w:p w14:paraId="356B5678" w14:textId="77777777" w:rsidR="00374B69" w:rsidRPr="006311C5" w:rsidRDefault="00374B69" w:rsidP="00374B69">
            <w:pPr>
              <w:pStyle w:val="Tabletext"/>
              <w:rPr>
                <w:rFonts w:cstheme="minorHAnsi"/>
                <w:szCs w:val="18"/>
              </w:rPr>
            </w:pPr>
          </w:p>
        </w:tc>
        <w:tc>
          <w:tcPr>
            <w:tcW w:w="0" w:type="auto"/>
            <w:tcBorders>
              <w:top w:val="nil"/>
              <w:left w:val="nil"/>
              <w:bottom w:val="single" w:sz="4" w:space="0" w:color="auto"/>
              <w:right w:val="nil"/>
            </w:tcBorders>
          </w:tcPr>
          <w:p w14:paraId="71E118AD" w14:textId="27F6423B" w:rsidR="00374B69" w:rsidRPr="006311C5" w:rsidRDefault="00A8629F" w:rsidP="00374B69">
            <w:pPr>
              <w:pStyle w:val="Tabletext"/>
              <w:rPr>
                <w:rFonts w:cstheme="minorHAnsi"/>
                <w:szCs w:val="18"/>
              </w:rPr>
            </w:pPr>
            <w:r w:rsidRPr="006311C5">
              <w:rPr>
                <w:rFonts w:cstheme="minorHAnsi"/>
                <w:szCs w:val="18"/>
              </w:rPr>
              <w:t>Other ethnic groups</w:t>
            </w:r>
          </w:p>
        </w:tc>
        <w:tc>
          <w:tcPr>
            <w:tcW w:w="0" w:type="auto"/>
            <w:tcBorders>
              <w:top w:val="nil"/>
              <w:left w:val="nil"/>
              <w:bottom w:val="nil"/>
              <w:right w:val="nil"/>
            </w:tcBorders>
            <w:shd w:val="clear" w:color="auto" w:fill="auto"/>
          </w:tcPr>
          <w:p w14:paraId="061C42F7" w14:textId="51837971" w:rsidR="00374B69" w:rsidRPr="006311C5" w:rsidRDefault="00374B69" w:rsidP="00374B69">
            <w:pPr>
              <w:pStyle w:val="Tabletext"/>
              <w:rPr>
                <w:rFonts w:cstheme="minorHAnsi"/>
                <w:szCs w:val="18"/>
              </w:rPr>
            </w:pPr>
            <w:r w:rsidRPr="006311C5">
              <w:rPr>
                <w:rFonts w:ascii="Calibri" w:hAnsi="Calibri" w:cs="Calibri"/>
                <w:color w:val="000000"/>
                <w:szCs w:val="18"/>
              </w:rPr>
              <w:t>0.94</w:t>
            </w:r>
            <w:r w:rsidR="005D0575" w:rsidRPr="006311C5">
              <w:rPr>
                <w:rFonts w:ascii="Calibri" w:hAnsi="Calibri" w:cs="Calibri"/>
                <w:color w:val="000000"/>
                <w:szCs w:val="18"/>
              </w:rPr>
              <w:t>4</w:t>
            </w:r>
            <w:r w:rsidRPr="006311C5">
              <w:rPr>
                <w:rFonts w:ascii="Calibri" w:hAnsi="Calibri" w:cs="Calibri"/>
                <w:color w:val="000000"/>
                <w:szCs w:val="18"/>
              </w:rPr>
              <w:t xml:space="preserve"> (0.56</w:t>
            </w:r>
            <w:r w:rsidR="005D0575" w:rsidRPr="006311C5">
              <w:rPr>
                <w:rFonts w:ascii="Calibri" w:hAnsi="Calibri" w:cs="Calibri"/>
                <w:color w:val="000000"/>
                <w:szCs w:val="18"/>
              </w:rPr>
              <w:t>3</w:t>
            </w:r>
            <w:r w:rsidRPr="006311C5">
              <w:rPr>
                <w:rFonts w:ascii="Calibri" w:hAnsi="Calibri" w:cs="Calibri"/>
                <w:color w:val="000000"/>
                <w:szCs w:val="18"/>
              </w:rPr>
              <w:t xml:space="preserve"> to 1.58</w:t>
            </w:r>
            <w:r w:rsidR="005D0575" w:rsidRPr="006311C5">
              <w:rPr>
                <w:rFonts w:ascii="Calibri" w:hAnsi="Calibri" w:cs="Calibri"/>
                <w:color w:val="000000"/>
                <w:szCs w:val="18"/>
              </w:rPr>
              <w:t>3</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0541B927" w14:textId="476512AA" w:rsidR="00374B69" w:rsidRPr="006311C5" w:rsidRDefault="00374B69" w:rsidP="00374B69">
            <w:pPr>
              <w:pStyle w:val="Tabletext"/>
              <w:rPr>
                <w:rFonts w:cstheme="minorHAnsi"/>
                <w:szCs w:val="18"/>
              </w:rPr>
            </w:pPr>
            <w:r w:rsidRPr="006311C5">
              <w:rPr>
                <w:rFonts w:ascii="Calibri" w:hAnsi="Calibri" w:cs="Calibri"/>
                <w:color w:val="000000"/>
                <w:szCs w:val="18"/>
              </w:rPr>
              <w:t>0.8</w:t>
            </w:r>
            <w:r w:rsidR="005D0575" w:rsidRPr="006311C5">
              <w:rPr>
                <w:rFonts w:ascii="Calibri" w:hAnsi="Calibri" w:cs="Calibri"/>
                <w:color w:val="000000"/>
                <w:szCs w:val="18"/>
              </w:rPr>
              <w:t>27</w:t>
            </w:r>
          </w:p>
        </w:tc>
        <w:tc>
          <w:tcPr>
            <w:tcW w:w="0" w:type="auto"/>
            <w:tcBorders>
              <w:top w:val="nil"/>
              <w:left w:val="nil"/>
              <w:bottom w:val="nil"/>
              <w:right w:val="nil"/>
            </w:tcBorders>
            <w:shd w:val="clear" w:color="auto" w:fill="auto"/>
          </w:tcPr>
          <w:p w14:paraId="2B2F4F21" w14:textId="2EB315B5" w:rsidR="00374B69" w:rsidRPr="006311C5" w:rsidRDefault="00374B69" w:rsidP="00374B69">
            <w:pPr>
              <w:pStyle w:val="Tabletext"/>
              <w:rPr>
                <w:rFonts w:cstheme="minorHAnsi"/>
                <w:szCs w:val="18"/>
              </w:rPr>
            </w:pPr>
            <w:r w:rsidRPr="006311C5">
              <w:rPr>
                <w:rFonts w:ascii="Calibri" w:hAnsi="Calibri" w:cs="Calibri"/>
                <w:color w:val="000000"/>
                <w:szCs w:val="18"/>
              </w:rPr>
              <w:t>1.1</w:t>
            </w:r>
            <w:r w:rsidR="00315A44" w:rsidRPr="006311C5">
              <w:rPr>
                <w:rFonts w:ascii="Calibri" w:hAnsi="Calibri" w:cs="Calibri"/>
                <w:color w:val="000000"/>
                <w:szCs w:val="18"/>
              </w:rPr>
              <w:t>29</w:t>
            </w:r>
            <w:r w:rsidRPr="006311C5">
              <w:rPr>
                <w:rFonts w:ascii="Calibri" w:hAnsi="Calibri" w:cs="Calibri"/>
                <w:color w:val="000000"/>
                <w:szCs w:val="18"/>
              </w:rPr>
              <w:t xml:space="preserve"> (0.7</w:t>
            </w:r>
            <w:r w:rsidR="00171AA3" w:rsidRPr="006311C5">
              <w:rPr>
                <w:rFonts w:ascii="Calibri" w:hAnsi="Calibri" w:cs="Calibri"/>
                <w:color w:val="000000"/>
                <w:szCs w:val="18"/>
              </w:rPr>
              <w:t>0</w:t>
            </w:r>
            <w:r w:rsidR="00315A44" w:rsidRPr="006311C5">
              <w:rPr>
                <w:rFonts w:ascii="Calibri" w:hAnsi="Calibri" w:cs="Calibri"/>
                <w:color w:val="000000"/>
                <w:szCs w:val="18"/>
              </w:rPr>
              <w:t xml:space="preserve">2 </w:t>
            </w:r>
            <w:r w:rsidRPr="006311C5">
              <w:rPr>
                <w:rFonts w:ascii="Calibri" w:hAnsi="Calibri" w:cs="Calibri"/>
                <w:color w:val="000000"/>
                <w:szCs w:val="18"/>
              </w:rPr>
              <w:t>to 1.8</w:t>
            </w:r>
            <w:r w:rsidR="00315A44" w:rsidRPr="006311C5">
              <w:rPr>
                <w:rFonts w:ascii="Calibri" w:hAnsi="Calibri" w:cs="Calibri"/>
                <w:color w:val="000000"/>
                <w:szCs w:val="18"/>
              </w:rPr>
              <w:t>16</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50FB7B15" w14:textId="6D610DFF" w:rsidR="00374B69" w:rsidRPr="006311C5" w:rsidRDefault="00374B69" w:rsidP="00374B69">
            <w:pPr>
              <w:pStyle w:val="Tabletext"/>
              <w:rPr>
                <w:rFonts w:cstheme="minorHAnsi"/>
                <w:szCs w:val="18"/>
              </w:rPr>
            </w:pPr>
            <w:r w:rsidRPr="006311C5">
              <w:rPr>
                <w:rFonts w:ascii="Calibri" w:hAnsi="Calibri" w:cs="Calibri"/>
                <w:color w:val="000000"/>
                <w:szCs w:val="18"/>
              </w:rPr>
              <w:t>0.6</w:t>
            </w:r>
            <w:r w:rsidR="00315A44" w:rsidRPr="006311C5">
              <w:rPr>
                <w:rFonts w:ascii="Calibri" w:hAnsi="Calibri" w:cs="Calibri"/>
                <w:color w:val="000000"/>
                <w:szCs w:val="18"/>
              </w:rPr>
              <w:t>17</w:t>
            </w:r>
          </w:p>
        </w:tc>
      </w:tr>
      <w:tr w:rsidR="00A8629F" w:rsidRPr="006311C5" w14:paraId="7AC8D02C" w14:textId="77777777" w:rsidTr="00251E59">
        <w:tc>
          <w:tcPr>
            <w:tcW w:w="0" w:type="auto"/>
            <w:vMerge/>
            <w:tcBorders>
              <w:left w:val="nil"/>
              <w:right w:val="nil"/>
            </w:tcBorders>
          </w:tcPr>
          <w:p w14:paraId="5258F6CB" w14:textId="77777777" w:rsidR="00374B69" w:rsidRPr="006311C5" w:rsidRDefault="00374B69" w:rsidP="00374B69">
            <w:pPr>
              <w:pStyle w:val="Tabletext"/>
              <w:rPr>
                <w:rFonts w:cstheme="minorHAnsi"/>
                <w:szCs w:val="18"/>
              </w:rPr>
            </w:pPr>
          </w:p>
        </w:tc>
        <w:tc>
          <w:tcPr>
            <w:tcW w:w="0" w:type="auto"/>
            <w:vMerge w:val="restart"/>
            <w:tcBorders>
              <w:left w:val="nil"/>
              <w:right w:val="nil"/>
            </w:tcBorders>
          </w:tcPr>
          <w:p w14:paraId="3A00AB9A" w14:textId="4073F9BF" w:rsidR="00374B69" w:rsidRPr="006311C5" w:rsidRDefault="00374B69" w:rsidP="00374B69">
            <w:pPr>
              <w:pStyle w:val="Tabletext"/>
              <w:rPr>
                <w:rFonts w:cstheme="minorHAnsi"/>
                <w:szCs w:val="18"/>
              </w:rPr>
            </w:pPr>
            <w:r w:rsidRPr="006311C5">
              <w:rPr>
                <w:rFonts w:cstheme="minorHAnsi"/>
                <w:szCs w:val="18"/>
              </w:rPr>
              <w:t>At risk for COVID-19</w:t>
            </w:r>
          </w:p>
        </w:tc>
        <w:tc>
          <w:tcPr>
            <w:tcW w:w="0" w:type="auto"/>
            <w:tcBorders>
              <w:left w:val="nil"/>
              <w:bottom w:val="nil"/>
              <w:right w:val="nil"/>
            </w:tcBorders>
          </w:tcPr>
          <w:p w14:paraId="46C41553" w14:textId="3C40EB3B" w:rsidR="00374B69" w:rsidRPr="006311C5" w:rsidRDefault="00374B69" w:rsidP="00374B69">
            <w:pPr>
              <w:pStyle w:val="Tabletext"/>
              <w:rPr>
                <w:rFonts w:cstheme="minorHAnsi"/>
                <w:szCs w:val="18"/>
              </w:rPr>
            </w:pPr>
            <w:r w:rsidRPr="006311C5">
              <w:rPr>
                <w:rFonts w:cstheme="minorHAnsi"/>
                <w:szCs w:val="18"/>
              </w:rPr>
              <w:t>No</w:t>
            </w:r>
          </w:p>
        </w:tc>
        <w:tc>
          <w:tcPr>
            <w:tcW w:w="0" w:type="auto"/>
            <w:tcBorders>
              <w:top w:val="single" w:sz="4" w:space="0" w:color="auto"/>
              <w:left w:val="nil"/>
              <w:bottom w:val="nil"/>
              <w:right w:val="nil"/>
            </w:tcBorders>
            <w:shd w:val="clear" w:color="auto" w:fill="auto"/>
          </w:tcPr>
          <w:p w14:paraId="4FA53AB7" w14:textId="6F060341" w:rsidR="00374B69" w:rsidRPr="006311C5" w:rsidRDefault="00374B69" w:rsidP="00374B6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shd w:val="clear" w:color="auto" w:fill="auto"/>
          </w:tcPr>
          <w:p w14:paraId="10CA65BC" w14:textId="2A4414EB" w:rsidR="00374B69" w:rsidRPr="006311C5" w:rsidRDefault="00374B69" w:rsidP="00374B69">
            <w:pPr>
              <w:pStyle w:val="Tabletext"/>
              <w:rPr>
                <w:rFonts w:cstheme="minorHAnsi"/>
                <w:szCs w:val="18"/>
              </w:rPr>
            </w:pPr>
            <w:r w:rsidRPr="006311C5">
              <w:rPr>
                <w:rFonts w:cstheme="minorHAnsi"/>
                <w:szCs w:val="18"/>
              </w:rPr>
              <w:t>-</w:t>
            </w:r>
          </w:p>
        </w:tc>
        <w:tc>
          <w:tcPr>
            <w:tcW w:w="0" w:type="auto"/>
            <w:tcBorders>
              <w:top w:val="single" w:sz="4" w:space="0" w:color="auto"/>
              <w:left w:val="nil"/>
              <w:bottom w:val="nil"/>
              <w:right w:val="nil"/>
            </w:tcBorders>
          </w:tcPr>
          <w:p w14:paraId="31131980" w14:textId="4B70AA9F" w:rsidR="00374B69" w:rsidRPr="006311C5" w:rsidRDefault="00374B69" w:rsidP="00374B6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tcPr>
          <w:p w14:paraId="44C5FEB2" w14:textId="3C4E7B4A" w:rsidR="00374B69" w:rsidRPr="006311C5" w:rsidRDefault="00374B69" w:rsidP="00374B69">
            <w:pPr>
              <w:pStyle w:val="Tabletext"/>
              <w:rPr>
                <w:rFonts w:cstheme="minorHAnsi"/>
                <w:szCs w:val="18"/>
              </w:rPr>
            </w:pPr>
            <w:r w:rsidRPr="006311C5">
              <w:rPr>
                <w:rFonts w:cstheme="minorHAnsi"/>
                <w:szCs w:val="18"/>
              </w:rPr>
              <w:t>-</w:t>
            </w:r>
          </w:p>
        </w:tc>
      </w:tr>
      <w:tr w:rsidR="00A8629F" w:rsidRPr="006311C5" w14:paraId="17492184" w14:textId="77777777" w:rsidTr="00251E59">
        <w:tc>
          <w:tcPr>
            <w:tcW w:w="0" w:type="auto"/>
            <w:vMerge/>
            <w:tcBorders>
              <w:left w:val="nil"/>
              <w:right w:val="nil"/>
            </w:tcBorders>
          </w:tcPr>
          <w:p w14:paraId="04E71C34" w14:textId="77777777" w:rsidR="00374B69" w:rsidRPr="006311C5" w:rsidRDefault="00374B69" w:rsidP="00374B69">
            <w:pPr>
              <w:pStyle w:val="Tabletext"/>
              <w:rPr>
                <w:rFonts w:cstheme="minorHAnsi"/>
                <w:szCs w:val="18"/>
              </w:rPr>
            </w:pPr>
          </w:p>
        </w:tc>
        <w:tc>
          <w:tcPr>
            <w:tcW w:w="0" w:type="auto"/>
            <w:vMerge/>
            <w:tcBorders>
              <w:left w:val="nil"/>
              <w:right w:val="nil"/>
            </w:tcBorders>
          </w:tcPr>
          <w:p w14:paraId="31319FE1" w14:textId="77777777" w:rsidR="00374B69" w:rsidRPr="006311C5" w:rsidRDefault="00374B69" w:rsidP="00374B69">
            <w:pPr>
              <w:pStyle w:val="Tabletext"/>
              <w:rPr>
                <w:rFonts w:cstheme="minorHAnsi"/>
                <w:szCs w:val="18"/>
              </w:rPr>
            </w:pPr>
          </w:p>
        </w:tc>
        <w:tc>
          <w:tcPr>
            <w:tcW w:w="0" w:type="auto"/>
            <w:tcBorders>
              <w:top w:val="nil"/>
              <w:left w:val="nil"/>
              <w:bottom w:val="single" w:sz="4" w:space="0" w:color="auto"/>
              <w:right w:val="nil"/>
            </w:tcBorders>
          </w:tcPr>
          <w:p w14:paraId="57CF3BED" w14:textId="29DCA472" w:rsidR="00374B69" w:rsidRPr="006311C5" w:rsidRDefault="00374B69" w:rsidP="00374B69">
            <w:pPr>
              <w:pStyle w:val="Tabletext"/>
              <w:rPr>
                <w:rFonts w:cstheme="minorHAnsi"/>
                <w:szCs w:val="18"/>
              </w:rPr>
            </w:pPr>
            <w:r w:rsidRPr="006311C5">
              <w:rPr>
                <w:rFonts w:cstheme="minorHAnsi"/>
                <w:szCs w:val="18"/>
              </w:rPr>
              <w:t>Yes</w:t>
            </w:r>
          </w:p>
        </w:tc>
        <w:tc>
          <w:tcPr>
            <w:tcW w:w="0" w:type="auto"/>
            <w:tcBorders>
              <w:top w:val="nil"/>
              <w:left w:val="nil"/>
              <w:bottom w:val="nil"/>
              <w:right w:val="nil"/>
            </w:tcBorders>
            <w:shd w:val="clear" w:color="auto" w:fill="auto"/>
          </w:tcPr>
          <w:p w14:paraId="70366FC7" w14:textId="79E57D45" w:rsidR="00374B69" w:rsidRPr="006311C5" w:rsidRDefault="00374B69" w:rsidP="00374B69">
            <w:pPr>
              <w:pStyle w:val="Tabletext"/>
              <w:rPr>
                <w:rFonts w:cstheme="minorHAnsi"/>
                <w:szCs w:val="18"/>
              </w:rPr>
            </w:pPr>
            <w:r w:rsidRPr="006311C5">
              <w:rPr>
                <w:rFonts w:ascii="Calibri" w:hAnsi="Calibri" w:cs="Calibri"/>
                <w:color w:val="000000"/>
                <w:szCs w:val="18"/>
              </w:rPr>
              <w:t>0.96</w:t>
            </w:r>
            <w:r w:rsidR="005D0575" w:rsidRPr="006311C5">
              <w:rPr>
                <w:rFonts w:ascii="Calibri" w:hAnsi="Calibri" w:cs="Calibri"/>
                <w:color w:val="000000"/>
                <w:szCs w:val="18"/>
              </w:rPr>
              <w:t>3</w:t>
            </w:r>
            <w:r w:rsidRPr="006311C5">
              <w:rPr>
                <w:rFonts w:ascii="Calibri" w:hAnsi="Calibri" w:cs="Calibri"/>
                <w:color w:val="000000"/>
                <w:szCs w:val="18"/>
              </w:rPr>
              <w:t xml:space="preserve"> (0.6</w:t>
            </w:r>
            <w:r w:rsidR="005D0575" w:rsidRPr="006311C5">
              <w:rPr>
                <w:rFonts w:ascii="Calibri" w:hAnsi="Calibri" w:cs="Calibri"/>
                <w:color w:val="000000"/>
                <w:szCs w:val="18"/>
              </w:rPr>
              <w:t>46</w:t>
            </w:r>
            <w:r w:rsidRPr="006311C5">
              <w:rPr>
                <w:rFonts w:ascii="Calibri" w:hAnsi="Calibri" w:cs="Calibri"/>
                <w:color w:val="000000"/>
                <w:szCs w:val="18"/>
              </w:rPr>
              <w:t xml:space="preserve"> to 1.4</w:t>
            </w:r>
            <w:r w:rsidR="005D0575" w:rsidRPr="006311C5">
              <w:rPr>
                <w:rFonts w:ascii="Calibri" w:hAnsi="Calibri" w:cs="Calibri"/>
                <w:color w:val="000000"/>
                <w:szCs w:val="18"/>
              </w:rPr>
              <w:t>35</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736B1F20" w14:textId="65007B18" w:rsidR="00374B69" w:rsidRPr="006311C5" w:rsidRDefault="00374B69" w:rsidP="00374B69">
            <w:pPr>
              <w:pStyle w:val="Tabletext"/>
              <w:rPr>
                <w:rFonts w:cstheme="minorHAnsi"/>
                <w:szCs w:val="18"/>
              </w:rPr>
            </w:pPr>
            <w:r w:rsidRPr="006311C5">
              <w:rPr>
                <w:rFonts w:ascii="Calibri" w:hAnsi="Calibri" w:cs="Calibri"/>
                <w:color w:val="000000"/>
                <w:szCs w:val="18"/>
              </w:rPr>
              <w:t>0.85</w:t>
            </w:r>
            <w:r w:rsidR="005D0575" w:rsidRPr="006311C5">
              <w:rPr>
                <w:rFonts w:ascii="Calibri" w:hAnsi="Calibri" w:cs="Calibri"/>
                <w:color w:val="000000"/>
                <w:szCs w:val="18"/>
              </w:rPr>
              <w:t>2</w:t>
            </w:r>
          </w:p>
        </w:tc>
        <w:tc>
          <w:tcPr>
            <w:tcW w:w="0" w:type="auto"/>
            <w:tcBorders>
              <w:top w:val="nil"/>
              <w:left w:val="nil"/>
              <w:bottom w:val="nil"/>
              <w:right w:val="nil"/>
            </w:tcBorders>
            <w:shd w:val="clear" w:color="auto" w:fill="auto"/>
          </w:tcPr>
          <w:p w14:paraId="6C764192" w14:textId="66297909" w:rsidR="00374B69" w:rsidRPr="006311C5" w:rsidRDefault="00374B69" w:rsidP="00374B69">
            <w:pPr>
              <w:pStyle w:val="Tabletext"/>
              <w:rPr>
                <w:rFonts w:cstheme="minorHAnsi"/>
                <w:szCs w:val="18"/>
              </w:rPr>
            </w:pPr>
            <w:r w:rsidRPr="006311C5">
              <w:rPr>
                <w:rFonts w:ascii="Calibri" w:hAnsi="Calibri" w:cs="Calibri"/>
                <w:color w:val="000000"/>
                <w:szCs w:val="18"/>
              </w:rPr>
              <w:t>0.85</w:t>
            </w:r>
            <w:r w:rsidR="00315A44" w:rsidRPr="006311C5">
              <w:rPr>
                <w:rFonts w:ascii="Calibri" w:hAnsi="Calibri" w:cs="Calibri"/>
                <w:color w:val="000000"/>
                <w:szCs w:val="18"/>
              </w:rPr>
              <w:t>3</w:t>
            </w:r>
            <w:r w:rsidRPr="006311C5">
              <w:rPr>
                <w:rFonts w:ascii="Calibri" w:hAnsi="Calibri" w:cs="Calibri"/>
                <w:color w:val="000000"/>
                <w:szCs w:val="18"/>
              </w:rPr>
              <w:t xml:space="preserve"> (0.59</w:t>
            </w:r>
            <w:r w:rsidR="00315A44" w:rsidRPr="006311C5">
              <w:rPr>
                <w:rFonts w:ascii="Calibri" w:hAnsi="Calibri" w:cs="Calibri"/>
                <w:color w:val="000000"/>
                <w:szCs w:val="18"/>
              </w:rPr>
              <w:t>1</w:t>
            </w:r>
            <w:r w:rsidRPr="006311C5">
              <w:rPr>
                <w:rFonts w:ascii="Calibri" w:hAnsi="Calibri" w:cs="Calibri"/>
                <w:color w:val="000000"/>
                <w:szCs w:val="18"/>
              </w:rPr>
              <w:t xml:space="preserve"> to 1.23</w:t>
            </w:r>
            <w:r w:rsidR="00315A44" w:rsidRPr="006311C5">
              <w:rPr>
                <w:rFonts w:ascii="Calibri" w:hAnsi="Calibri" w:cs="Calibri"/>
                <w:color w:val="000000"/>
                <w:szCs w:val="18"/>
              </w:rPr>
              <w:t>2</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0FBE6C30" w14:textId="3F887DB5" w:rsidR="00374B69" w:rsidRPr="006311C5" w:rsidRDefault="00374B69" w:rsidP="00374B69">
            <w:pPr>
              <w:pStyle w:val="Tabletext"/>
              <w:rPr>
                <w:rFonts w:cstheme="minorHAnsi"/>
                <w:szCs w:val="18"/>
              </w:rPr>
            </w:pPr>
            <w:r w:rsidRPr="006311C5">
              <w:rPr>
                <w:rFonts w:ascii="Calibri" w:hAnsi="Calibri" w:cs="Calibri"/>
                <w:color w:val="000000"/>
                <w:szCs w:val="18"/>
              </w:rPr>
              <w:t>0.</w:t>
            </w:r>
            <w:r w:rsidR="00315A44" w:rsidRPr="006311C5">
              <w:rPr>
                <w:rFonts w:ascii="Calibri" w:hAnsi="Calibri" w:cs="Calibri"/>
                <w:color w:val="000000"/>
                <w:szCs w:val="18"/>
              </w:rPr>
              <w:t>398</w:t>
            </w:r>
          </w:p>
        </w:tc>
      </w:tr>
      <w:tr w:rsidR="00A8629F" w:rsidRPr="006311C5" w14:paraId="259523C0" w14:textId="77777777" w:rsidTr="00251E59">
        <w:tc>
          <w:tcPr>
            <w:tcW w:w="0" w:type="auto"/>
            <w:vMerge/>
            <w:tcBorders>
              <w:left w:val="nil"/>
              <w:right w:val="nil"/>
            </w:tcBorders>
          </w:tcPr>
          <w:p w14:paraId="6B9781A5" w14:textId="77777777" w:rsidR="00374B69" w:rsidRPr="006311C5" w:rsidRDefault="00374B69" w:rsidP="00374B69">
            <w:pPr>
              <w:pStyle w:val="Tabletext"/>
              <w:rPr>
                <w:rFonts w:cstheme="minorHAnsi"/>
                <w:szCs w:val="18"/>
              </w:rPr>
            </w:pPr>
          </w:p>
        </w:tc>
        <w:tc>
          <w:tcPr>
            <w:tcW w:w="0" w:type="auto"/>
            <w:vMerge w:val="restart"/>
            <w:tcBorders>
              <w:left w:val="nil"/>
              <w:right w:val="nil"/>
            </w:tcBorders>
          </w:tcPr>
          <w:p w14:paraId="2E5575BA" w14:textId="78C562DD" w:rsidR="00374B69" w:rsidRPr="006311C5" w:rsidRDefault="00374B69" w:rsidP="00374B69">
            <w:pPr>
              <w:pStyle w:val="Tabletext"/>
              <w:rPr>
                <w:rFonts w:cstheme="minorHAnsi"/>
                <w:szCs w:val="18"/>
              </w:rPr>
            </w:pPr>
            <w:r w:rsidRPr="006311C5">
              <w:rPr>
                <w:rFonts w:cstheme="minorHAnsi"/>
                <w:szCs w:val="18"/>
              </w:rPr>
              <w:t>Think previously or currently had COVID-19</w:t>
            </w:r>
          </w:p>
        </w:tc>
        <w:tc>
          <w:tcPr>
            <w:tcW w:w="0" w:type="auto"/>
            <w:tcBorders>
              <w:left w:val="nil"/>
              <w:bottom w:val="nil"/>
              <w:right w:val="nil"/>
            </w:tcBorders>
          </w:tcPr>
          <w:p w14:paraId="1F9231DF" w14:textId="476E9EA3" w:rsidR="00374B69" w:rsidRPr="006311C5" w:rsidRDefault="00374B69" w:rsidP="00374B69">
            <w:pPr>
              <w:pStyle w:val="Tabletext"/>
              <w:rPr>
                <w:rFonts w:cstheme="minorHAnsi"/>
                <w:szCs w:val="18"/>
              </w:rPr>
            </w:pPr>
            <w:r w:rsidRPr="006311C5">
              <w:rPr>
                <w:rFonts w:cstheme="minorHAnsi"/>
                <w:szCs w:val="18"/>
              </w:rPr>
              <w:t>No</w:t>
            </w:r>
          </w:p>
        </w:tc>
        <w:tc>
          <w:tcPr>
            <w:tcW w:w="0" w:type="auto"/>
            <w:tcBorders>
              <w:top w:val="single" w:sz="4" w:space="0" w:color="auto"/>
              <w:left w:val="nil"/>
              <w:bottom w:val="nil"/>
              <w:right w:val="nil"/>
            </w:tcBorders>
            <w:shd w:val="clear" w:color="auto" w:fill="auto"/>
          </w:tcPr>
          <w:p w14:paraId="4A39B089" w14:textId="4E3A99AB" w:rsidR="00374B69" w:rsidRPr="006311C5" w:rsidRDefault="00374B69" w:rsidP="00374B6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shd w:val="clear" w:color="auto" w:fill="auto"/>
          </w:tcPr>
          <w:p w14:paraId="2236555B" w14:textId="39261568" w:rsidR="00374B69" w:rsidRPr="006311C5" w:rsidRDefault="00374B69" w:rsidP="00374B69">
            <w:pPr>
              <w:pStyle w:val="Tabletext"/>
              <w:rPr>
                <w:rFonts w:cstheme="minorHAnsi"/>
                <w:szCs w:val="18"/>
              </w:rPr>
            </w:pPr>
            <w:r w:rsidRPr="006311C5">
              <w:rPr>
                <w:rFonts w:cstheme="minorHAnsi"/>
                <w:szCs w:val="18"/>
              </w:rPr>
              <w:t>-</w:t>
            </w:r>
          </w:p>
        </w:tc>
        <w:tc>
          <w:tcPr>
            <w:tcW w:w="0" w:type="auto"/>
            <w:tcBorders>
              <w:top w:val="single" w:sz="4" w:space="0" w:color="auto"/>
              <w:left w:val="nil"/>
              <w:bottom w:val="nil"/>
              <w:right w:val="nil"/>
            </w:tcBorders>
          </w:tcPr>
          <w:p w14:paraId="297A5DC9" w14:textId="5CA3A7D7" w:rsidR="00374B69" w:rsidRPr="006311C5" w:rsidRDefault="00374B69" w:rsidP="00374B6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tcPr>
          <w:p w14:paraId="566CC382" w14:textId="0D6AD620" w:rsidR="00374B69" w:rsidRPr="006311C5" w:rsidRDefault="00374B69" w:rsidP="00374B69">
            <w:pPr>
              <w:pStyle w:val="Tabletext"/>
              <w:rPr>
                <w:rFonts w:cstheme="minorHAnsi"/>
                <w:szCs w:val="18"/>
              </w:rPr>
            </w:pPr>
            <w:r w:rsidRPr="006311C5">
              <w:rPr>
                <w:rFonts w:cstheme="minorHAnsi"/>
                <w:szCs w:val="18"/>
              </w:rPr>
              <w:t>-</w:t>
            </w:r>
          </w:p>
        </w:tc>
      </w:tr>
      <w:tr w:rsidR="00A8629F" w:rsidRPr="006311C5" w14:paraId="01291F43" w14:textId="77777777" w:rsidTr="00315A44">
        <w:tc>
          <w:tcPr>
            <w:tcW w:w="0" w:type="auto"/>
            <w:vMerge/>
            <w:tcBorders>
              <w:left w:val="nil"/>
              <w:right w:val="nil"/>
            </w:tcBorders>
          </w:tcPr>
          <w:p w14:paraId="65894833" w14:textId="77777777" w:rsidR="00374B69" w:rsidRPr="006311C5" w:rsidRDefault="00374B69" w:rsidP="00374B69">
            <w:pPr>
              <w:pStyle w:val="Tabletext"/>
              <w:rPr>
                <w:rFonts w:cstheme="minorHAnsi"/>
                <w:szCs w:val="18"/>
              </w:rPr>
            </w:pPr>
          </w:p>
        </w:tc>
        <w:tc>
          <w:tcPr>
            <w:tcW w:w="0" w:type="auto"/>
            <w:vMerge/>
            <w:tcBorders>
              <w:left w:val="nil"/>
              <w:bottom w:val="single" w:sz="4" w:space="0" w:color="auto"/>
              <w:right w:val="nil"/>
            </w:tcBorders>
          </w:tcPr>
          <w:p w14:paraId="5EA3C95B" w14:textId="77777777" w:rsidR="00374B69" w:rsidRPr="006311C5" w:rsidRDefault="00374B69" w:rsidP="00374B69">
            <w:pPr>
              <w:pStyle w:val="Tabletext"/>
              <w:rPr>
                <w:rFonts w:cstheme="minorHAnsi"/>
                <w:szCs w:val="18"/>
              </w:rPr>
            </w:pPr>
          </w:p>
        </w:tc>
        <w:tc>
          <w:tcPr>
            <w:tcW w:w="0" w:type="auto"/>
            <w:tcBorders>
              <w:top w:val="nil"/>
              <w:left w:val="nil"/>
              <w:bottom w:val="single" w:sz="4" w:space="0" w:color="auto"/>
              <w:right w:val="nil"/>
            </w:tcBorders>
          </w:tcPr>
          <w:p w14:paraId="4C70996D" w14:textId="79C8B1D9" w:rsidR="00374B69" w:rsidRPr="006311C5" w:rsidRDefault="00374B69" w:rsidP="00374B69">
            <w:pPr>
              <w:pStyle w:val="Tabletext"/>
              <w:rPr>
                <w:rFonts w:cstheme="minorHAnsi"/>
                <w:szCs w:val="18"/>
              </w:rPr>
            </w:pPr>
            <w:r w:rsidRPr="006311C5">
              <w:rPr>
                <w:rFonts w:cstheme="minorHAnsi"/>
                <w:szCs w:val="18"/>
              </w:rPr>
              <w:t>Yes</w:t>
            </w:r>
          </w:p>
        </w:tc>
        <w:tc>
          <w:tcPr>
            <w:tcW w:w="0" w:type="auto"/>
            <w:tcBorders>
              <w:top w:val="nil"/>
              <w:left w:val="nil"/>
              <w:bottom w:val="single" w:sz="4" w:space="0" w:color="auto"/>
              <w:right w:val="nil"/>
            </w:tcBorders>
            <w:shd w:val="clear" w:color="auto" w:fill="auto"/>
          </w:tcPr>
          <w:p w14:paraId="1E07D4C3" w14:textId="4D5DB738" w:rsidR="00374B69" w:rsidRPr="006311C5" w:rsidRDefault="00374B69" w:rsidP="00374B69">
            <w:pPr>
              <w:pStyle w:val="Tabletext"/>
              <w:rPr>
                <w:rFonts w:cstheme="minorHAnsi"/>
                <w:szCs w:val="18"/>
              </w:rPr>
            </w:pPr>
            <w:r w:rsidRPr="006311C5">
              <w:rPr>
                <w:rFonts w:ascii="Calibri" w:hAnsi="Calibri" w:cs="Calibri"/>
                <w:color w:val="000000"/>
                <w:szCs w:val="18"/>
              </w:rPr>
              <w:t>0.88</w:t>
            </w:r>
            <w:r w:rsidR="005D0575" w:rsidRPr="006311C5">
              <w:rPr>
                <w:rFonts w:ascii="Calibri" w:hAnsi="Calibri" w:cs="Calibri"/>
                <w:color w:val="000000"/>
                <w:szCs w:val="18"/>
              </w:rPr>
              <w:t>1</w:t>
            </w:r>
            <w:r w:rsidRPr="006311C5">
              <w:rPr>
                <w:rFonts w:ascii="Calibri" w:hAnsi="Calibri" w:cs="Calibri"/>
                <w:color w:val="000000"/>
                <w:szCs w:val="18"/>
              </w:rPr>
              <w:t xml:space="preserve"> (0.5</w:t>
            </w:r>
            <w:r w:rsidR="005D0575" w:rsidRPr="006311C5">
              <w:rPr>
                <w:rFonts w:ascii="Calibri" w:hAnsi="Calibri" w:cs="Calibri"/>
                <w:color w:val="000000"/>
                <w:szCs w:val="18"/>
              </w:rPr>
              <w:t>48</w:t>
            </w:r>
            <w:r w:rsidRPr="006311C5">
              <w:rPr>
                <w:rFonts w:ascii="Calibri" w:hAnsi="Calibri" w:cs="Calibri"/>
                <w:color w:val="000000"/>
                <w:szCs w:val="18"/>
              </w:rPr>
              <w:t xml:space="preserve"> to 1.4</w:t>
            </w:r>
            <w:r w:rsidR="005D0575" w:rsidRPr="006311C5">
              <w:rPr>
                <w:rFonts w:ascii="Calibri" w:hAnsi="Calibri" w:cs="Calibri"/>
                <w:color w:val="000000"/>
                <w:szCs w:val="18"/>
              </w:rPr>
              <w:t>18</w:t>
            </w:r>
            <w:r w:rsidRPr="006311C5">
              <w:rPr>
                <w:rFonts w:ascii="Calibri" w:hAnsi="Calibri" w:cs="Calibri"/>
                <w:color w:val="000000"/>
                <w:szCs w:val="18"/>
              </w:rPr>
              <w:t>)</w:t>
            </w:r>
          </w:p>
        </w:tc>
        <w:tc>
          <w:tcPr>
            <w:tcW w:w="0" w:type="auto"/>
            <w:tcBorders>
              <w:top w:val="nil"/>
              <w:left w:val="nil"/>
              <w:bottom w:val="single" w:sz="4" w:space="0" w:color="auto"/>
              <w:right w:val="nil"/>
            </w:tcBorders>
            <w:shd w:val="clear" w:color="auto" w:fill="auto"/>
          </w:tcPr>
          <w:p w14:paraId="2D7A0F56" w14:textId="1D9693CE" w:rsidR="00374B69" w:rsidRPr="006311C5" w:rsidRDefault="00374B69" w:rsidP="00374B69">
            <w:pPr>
              <w:pStyle w:val="Tabletext"/>
              <w:rPr>
                <w:rFonts w:cstheme="minorHAnsi"/>
                <w:szCs w:val="18"/>
              </w:rPr>
            </w:pPr>
            <w:r w:rsidRPr="006311C5">
              <w:rPr>
                <w:rFonts w:ascii="Calibri" w:hAnsi="Calibri" w:cs="Calibri"/>
                <w:color w:val="000000"/>
                <w:szCs w:val="18"/>
              </w:rPr>
              <w:t>0.60</w:t>
            </w:r>
            <w:r w:rsidR="005D0575" w:rsidRPr="006311C5">
              <w:rPr>
                <w:rFonts w:ascii="Calibri" w:hAnsi="Calibri" w:cs="Calibri"/>
                <w:color w:val="000000"/>
                <w:szCs w:val="18"/>
              </w:rPr>
              <w:t>3</w:t>
            </w:r>
          </w:p>
        </w:tc>
        <w:tc>
          <w:tcPr>
            <w:tcW w:w="0" w:type="auto"/>
            <w:tcBorders>
              <w:top w:val="nil"/>
              <w:left w:val="nil"/>
              <w:bottom w:val="single" w:sz="4" w:space="0" w:color="auto"/>
              <w:right w:val="nil"/>
            </w:tcBorders>
            <w:shd w:val="clear" w:color="auto" w:fill="auto"/>
          </w:tcPr>
          <w:p w14:paraId="317AE921" w14:textId="2C27FB8C" w:rsidR="00374B69" w:rsidRPr="006311C5" w:rsidRDefault="00374B69" w:rsidP="00374B69">
            <w:pPr>
              <w:pStyle w:val="Tabletext"/>
              <w:rPr>
                <w:rFonts w:cstheme="minorHAnsi"/>
                <w:szCs w:val="18"/>
              </w:rPr>
            </w:pPr>
            <w:r w:rsidRPr="006311C5">
              <w:rPr>
                <w:rFonts w:ascii="Calibri" w:hAnsi="Calibri" w:cs="Calibri"/>
                <w:color w:val="000000"/>
                <w:szCs w:val="18"/>
              </w:rPr>
              <w:t>1.24</w:t>
            </w:r>
            <w:r w:rsidR="00315A44" w:rsidRPr="006311C5">
              <w:rPr>
                <w:rFonts w:ascii="Calibri" w:hAnsi="Calibri" w:cs="Calibri"/>
                <w:color w:val="000000"/>
                <w:szCs w:val="18"/>
              </w:rPr>
              <w:t>2</w:t>
            </w:r>
            <w:r w:rsidRPr="006311C5">
              <w:rPr>
                <w:rFonts w:ascii="Calibri" w:hAnsi="Calibri" w:cs="Calibri"/>
                <w:color w:val="000000"/>
                <w:szCs w:val="18"/>
              </w:rPr>
              <w:t xml:space="preserve"> (0.8</w:t>
            </w:r>
            <w:r w:rsidR="00315A44" w:rsidRPr="006311C5">
              <w:rPr>
                <w:rFonts w:ascii="Calibri" w:hAnsi="Calibri" w:cs="Calibri"/>
                <w:color w:val="000000"/>
                <w:szCs w:val="18"/>
              </w:rPr>
              <w:t>07</w:t>
            </w:r>
            <w:r w:rsidRPr="006311C5">
              <w:rPr>
                <w:rFonts w:ascii="Calibri" w:hAnsi="Calibri" w:cs="Calibri"/>
                <w:color w:val="000000"/>
                <w:szCs w:val="18"/>
              </w:rPr>
              <w:t xml:space="preserve"> to 1.91</w:t>
            </w:r>
            <w:r w:rsidR="00315A44" w:rsidRPr="006311C5">
              <w:rPr>
                <w:rFonts w:ascii="Calibri" w:hAnsi="Calibri" w:cs="Calibri"/>
                <w:color w:val="000000"/>
                <w:szCs w:val="18"/>
              </w:rPr>
              <w:t>1</w:t>
            </w:r>
            <w:r w:rsidRPr="006311C5">
              <w:rPr>
                <w:rFonts w:ascii="Calibri" w:hAnsi="Calibri" w:cs="Calibri"/>
                <w:color w:val="000000"/>
                <w:szCs w:val="18"/>
              </w:rPr>
              <w:t>)</w:t>
            </w:r>
          </w:p>
        </w:tc>
        <w:tc>
          <w:tcPr>
            <w:tcW w:w="0" w:type="auto"/>
            <w:tcBorders>
              <w:top w:val="nil"/>
              <w:left w:val="nil"/>
              <w:bottom w:val="single" w:sz="4" w:space="0" w:color="auto"/>
              <w:right w:val="nil"/>
            </w:tcBorders>
            <w:shd w:val="clear" w:color="auto" w:fill="auto"/>
          </w:tcPr>
          <w:p w14:paraId="534E6297" w14:textId="7F02C899" w:rsidR="00374B69" w:rsidRPr="006311C5" w:rsidRDefault="00374B69" w:rsidP="00374B69">
            <w:pPr>
              <w:pStyle w:val="Tabletext"/>
              <w:rPr>
                <w:rFonts w:cstheme="minorHAnsi"/>
                <w:szCs w:val="18"/>
              </w:rPr>
            </w:pPr>
            <w:r w:rsidRPr="006311C5">
              <w:rPr>
                <w:rFonts w:ascii="Calibri" w:hAnsi="Calibri" w:cs="Calibri"/>
                <w:color w:val="000000"/>
                <w:szCs w:val="18"/>
              </w:rPr>
              <w:t>0.3</w:t>
            </w:r>
            <w:r w:rsidR="00315A44" w:rsidRPr="006311C5">
              <w:rPr>
                <w:rFonts w:ascii="Calibri" w:hAnsi="Calibri" w:cs="Calibri"/>
                <w:color w:val="000000"/>
                <w:szCs w:val="18"/>
              </w:rPr>
              <w:t>25</w:t>
            </w:r>
          </w:p>
        </w:tc>
      </w:tr>
      <w:tr w:rsidR="00A8629F" w:rsidRPr="006311C5" w14:paraId="6B2D2DDC" w14:textId="77777777" w:rsidTr="00315A44">
        <w:tc>
          <w:tcPr>
            <w:tcW w:w="0" w:type="auto"/>
            <w:vMerge/>
            <w:tcBorders>
              <w:left w:val="nil"/>
              <w:right w:val="nil"/>
            </w:tcBorders>
          </w:tcPr>
          <w:p w14:paraId="7C21A952" w14:textId="77777777" w:rsidR="00315A44" w:rsidRPr="006311C5" w:rsidRDefault="00315A44" w:rsidP="00374B69">
            <w:pPr>
              <w:pStyle w:val="Tabletext"/>
              <w:rPr>
                <w:rFonts w:cstheme="minorHAnsi"/>
                <w:szCs w:val="18"/>
              </w:rPr>
            </w:pPr>
          </w:p>
        </w:tc>
        <w:tc>
          <w:tcPr>
            <w:tcW w:w="0" w:type="auto"/>
            <w:tcBorders>
              <w:left w:val="nil"/>
              <w:bottom w:val="nil"/>
              <w:right w:val="nil"/>
            </w:tcBorders>
          </w:tcPr>
          <w:p w14:paraId="32699E82" w14:textId="05CE98C0" w:rsidR="00315A44" w:rsidRPr="006311C5" w:rsidRDefault="00315A44" w:rsidP="00374B69">
            <w:pPr>
              <w:pStyle w:val="Tabletext"/>
              <w:rPr>
                <w:rFonts w:cstheme="minorHAnsi"/>
                <w:szCs w:val="18"/>
              </w:rPr>
            </w:pPr>
            <w:r w:rsidRPr="006311C5">
              <w:rPr>
                <w:rFonts w:cstheme="minorHAnsi"/>
                <w:szCs w:val="18"/>
              </w:rPr>
              <w:t>Vaccine brand</w:t>
            </w:r>
          </w:p>
        </w:tc>
        <w:tc>
          <w:tcPr>
            <w:tcW w:w="0" w:type="auto"/>
            <w:tcBorders>
              <w:top w:val="single" w:sz="4" w:space="0" w:color="auto"/>
              <w:left w:val="nil"/>
              <w:bottom w:val="nil"/>
              <w:right w:val="nil"/>
            </w:tcBorders>
          </w:tcPr>
          <w:p w14:paraId="18F2B479" w14:textId="77777777" w:rsidR="00315A44" w:rsidRPr="006311C5" w:rsidRDefault="00315A44" w:rsidP="00374B69">
            <w:pPr>
              <w:pStyle w:val="Tabletext"/>
              <w:rPr>
                <w:rFonts w:cstheme="minorHAnsi"/>
                <w:szCs w:val="18"/>
              </w:rPr>
            </w:pPr>
          </w:p>
        </w:tc>
        <w:tc>
          <w:tcPr>
            <w:tcW w:w="0" w:type="auto"/>
            <w:tcBorders>
              <w:top w:val="single" w:sz="4" w:space="0" w:color="auto"/>
              <w:left w:val="nil"/>
              <w:bottom w:val="nil"/>
              <w:right w:val="nil"/>
            </w:tcBorders>
            <w:shd w:val="clear" w:color="auto" w:fill="auto"/>
          </w:tcPr>
          <w:p w14:paraId="3202583B" w14:textId="77777777" w:rsidR="00315A44" w:rsidRPr="006311C5" w:rsidRDefault="00315A44" w:rsidP="00374B69">
            <w:pPr>
              <w:pStyle w:val="Tabletext"/>
              <w:rPr>
                <w:rFonts w:cstheme="minorHAnsi"/>
                <w:szCs w:val="18"/>
              </w:rPr>
            </w:pPr>
          </w:p>
        </w:tc>
        <w:tc>
          <w:tcPr>
            <w:tcW w:w="0" w:type="auto"/>
            <w:tcBorders>
              <w:top w:val="single" w:sz="4" w:space="0" w:color="auto"/>
              <w:left w:val="nil"/>
              <w:bottom w:val="nil"/>
              <w:right w:val="nil"/>
            </w:tcBorders>
            <w:shd w:val="clear" w:color="auto" w:fill="auto"/>
          </w:tcPr>
          <w:p w14:paraId="1EFF93D8" w14:textId="79E810FE" w:rsidR="00315A44" w:rsidRPr="006311C5" w:rsidRDefault="00315A44" w:rsidP="00374B69">
            <w:pPr>
              <w:pStyle w:val="Tabletext"/>
              <w:rPr>
                <w:rFonts w:cstheme="minorHAnsi"/>
                <w:szCs w:val="18"/>
              </w:rPr>
            </w:pPr>
            <w:r w:rsidRPr="006311C5">
              <w:rPr>
                <w:rFonts w:cstheme="minorHAnsi"/>
                <w:szCs w:val="18"/>
              </w:rPr>
              <w:t>0.001*</w:t>
            </w:r>
          </w:p>
        </w:tc>
        <w:tc>
          <w:tcPr>
            <w:tcW w:w="0" w:type="auto"/>
            <w:tcBorders>
              <w:top w:val="single" w:sz="4" w:space="0" w:color="auto"/>
              <w:left w:val="nil"/>
              <w:bottom w:val="nil"/>
              <w:right w:val="nil"/>
            </w:tcBorders>
            <w:shd w:val="clear" w:color="auto" w:fill="auto"/>
          </w:tcPr>
          <w:p w14:paraId="4DD79917" w14:textId="77777777" w:rsidR="00315A44" w:rsidRPr="006311C5" w:rsidRDefault="00315A44" w:rsidP="00374B69">
            <w:pPr>
              <w:pStyle w:val="Tabletext"/>
              <w:rPr>
                <w:rFonts w:cstheme="minorHAnsi"/>
                <w:szCs w:val="18"/>
              </w:rPr>
            </w:pPr>
          </w:p>
        </w:tc>
        <w:tc>
          <w:tcPr>
            <w:tcW w:w="0" w:type="auto"/>
            <w:tcBorders>
              <w:top w:val="single" w:sz="4" w:space="0" w:color="auto"/>
              <w:left w:val="nil"/>
              <w:bottom w:val="nil"/>
              <w:right w:val="nil"/>
            </w:tcBorders>
            <w:shd w:val="clear" w:color="auto" w:fill="auto"/>
          </w:tcPr>
          <w:p w14:paraId="6318D61A" w14:textId="38DFF710" w:rsidR="00315A44" w:rsidRPr="006311C5" w:rsidRDefault="00315A44" w:rsidP="00374B69">
            <w:pPr>
              <w:pStyle w:val="Tabletext"/>
              <w:rPr>
                <w:rFonts w:cstheme="minorHAnsi"/>
                <w:szCs w:val="18"/>
              </w:rPr>
            </w:pPr>
            <w:r w:rsidRPr="006311C5">
              <w:rPr>
                <w:rFonts w:cstheme="minorHAnsi"/>
                <w:szCs w:val="18"/>
              </w:rPr>
              <w:t>&lt;0.001*</w:t>
            </w:r>
          </w:p>
        </w:tc>
      </w:tr>
      <w:tr w:rsidR="00A8629F" w:rsidRPr="006311C5" w14:paraId="11F5DE21" w14:textId="77777777" w:rsidTr="00315A44">
        <w:tc>
          <w:tcPr>
            <w:tcW w:w="0" w:type="auto"/>
            <w:vMerge/>
            <w:tcBorders>
              <w:left w:val="nil"/>
              <w:right w:val="nil"/>
            </w:tcBorders>
          </w:tcPr>
          <w:p w14:paraId="69F2E379" w14:textId="77777777" w:rsidR="00374B69" w:rsidRPr="006311C5" w:rsidRDefault="00374B69" w:rsidP="00374B69">
            <w:pPr>
              <w:pStyle w:val="Tabletext"/>
              <w:rPr>
                <w:rFonts w:cstheme="minorHAnsi"/>
                <w:szCs w:val="18"/>
              </w:rPr>
            </w:pPr>
          </w:p>
        </w:tc>
        <w:tc>
          <w:tcPr>
            <w:tcW w:w="0" w:type="auto"/>
            <w:vMerge w:val="restart"/>
            <w:tcBorders>
              <w:top w:val="nil"/>
              <w:left w:val="nil"/>
              <w:right w:val="nil"/>
            </w:tcBorders>
          </w:tcPr>
          <w:p w14:paraId="260D7A71" w14:textId="2A9543AB" w:rsidR="00374B69" w:rsidRPr="006311C5" w:rsidRDefault="00374B69" w:rsidP="00374B69">
            <w:pPr>
              <w:pStyle w:val="Tabletext"/>
              <w:rPr>
                <w:rFonts w:cstheme="minorHAnsi"/>
                <w:szCs w:val="18"/>
              </w:rPr>
            </w:pPr>
          </w:p>
        </w:tc>
        <w:tc>
          <w:tcPr>
            <w:tcW w:w="0" w:type="auto"/>
            <w:tcBorders>
              <w:top w:val="nil"/>
              <w:left w:val="nil"/>
              <w:bottom w:val="nil"/>
              <w:right w:val="nil"/>
            </w:tcBorders>
          </w:tcPr>
          <w:p w14:paraId="6E1F0096" w14:textId="15F01BA9" w:rsidR="00374B69" w:rsidRPr="006311C5" w:rsidRDefault="00374B69" w:rsidP="00374B69">
            <w:pPr>
              <w:pStyle w:val="Tabletext"/>
              <w:rPr>
                <w:rFonts w:cstheme="minorHAnsi"/>
                <w:szCs w:val="18"/>
              </w:rPr>
            </w:pPr>
            <w:r w:rsidRPr="006311C5">
              <w:rPr>
                <w:rFonts w:cstheme="minorHAnsi"/>
                <w:szCs w:val="18"/>
              </w:rPr>
              <w:t>Pfizer-BioNTech</w:t>
            </w:r>
          </w:p>
        </w:tc>
        <w:tc>
          <w:tcPr>
            <w:tcW w:w="0" w:type="auto"/>
            <w:tcBorders>
              <w:top w:val="nil"/>
              <w:left w:val="nil"/>
              <w:bottom w:val="nil"/>
              <w:right w:val="nil"/>
            </w:tcBorders>
            <w:shd w:val="clear" w:color="auto" w:fill="auto"/>
          </w:tcPr>
          <w:p w14:paraId="36667BE5" w14:textId="6F29248B" w:rsidR="00374B69" w:rsidRPr="006311C5" w:rsidRDefault="00374B69" w:rsidP="00374B69">
            <w:pPr>
              <w:pStyle w:val="Tabletext"/>
              <w:rPr>
                <w:rFonts w:ascii="Calibri" w:hAnsi="Calibri" w:cs="Calibri"/>
                <w:color w:val="000000"/>
                <w:szCs w:val="18"/>
              </w:rPr>
            </w:pPr>
            <w:r w:rsidRPr="006311C5">
              <w:rPr>
                <w:rFonts w:cstheme="minorHAnsi"/>
                <w:szCs w:val="18"/>
              </w:rPr>
              <w:t>Reference</w:t>
            </w:r>
          </w:p>
        </w:tc>
        <w:tc>
          <w:tcPr>
            <w:tcW w:w="0" w:type="auto"/>
            <w:tcBorders>
              <w:top w:val="nil"/>
              <w:left w:val="nil"/>
              <w:bottom w:val="nil"/>
              <w:right w:val="nil"/>
            </w:tcBorders>
            <w:shd w:val="clear" w:color="auto" w:fill="auto"/>
          </w:tcPr>
          <w:p w14:paraId="14ABCE58" w14:textId="7ABD09EA" w:rsidR="00374B69" w:rsidRPr="006311C5" w:rsidRDefault="00374B69" w:rsidP="00374B69">
            <w:pPr>
              <w:pStyle w:val="Tabletext"/>
              <w:rPr>
                <w:rFonts w:ascii="Calibri" w:hAnsi="Calibri" w:cs="Calibri"/>
                <w:color w:val="000000"/>
                <w:szCs w:val="18"/>
              </w:rPr>
            </w:pPr>
          </w:p>
        </w:tc>
        <w:tc>
          <w:tcPr>
            <w:tcW w:w="0" w:type="auto"/>
            <w:tcBorders>
              <w:top w:val="nil"/>
              <w:left w:val="nil"/>
              <w:bottom w:val="nil"/>
              <w:right w:val="nil"/>
            </w:tcBorders>
            <w:shd w:val="clear" w:color="auto" w:fill="auto"/>
          </w:tcPr>
          <w:p w14:paraId="1E17CAC1" w14:textId="7BD40EEA" w:rsidR="00374B69" w:rsidRPr="006311C5" w:rsidRDefault="00374B69" w:rsidP="00374B69">
            <w:pPr>
              <w:pStyle w:val="Tabletext"/>
              <w:rPr>
                <w:rFonts w:ascii="Calibri" w:hAnsi="Calibri" w:cs="Calibri"/>
                <w:color w:val="000000"/>
                <w:szCs w:val="18"/>
              </w:rPr>
            </w:pPr>
            <w:r w:rsidRPr="006311C5">
              <w:rPr>
                <w:rFonts w:cstheme="minorHAnsi"/>
                <w:szCs w:val="18"/>
              </w:rPr>
              <w:t>Reference</w:t>
            </w:r>
          </w:p>
        </w:tc>
        <w:tc>
          <w:tcPr>
            <w:tcW w:w="0" w:type="auto"/>
            <w:tcBorders>
              <w:top w:val="nil"/>
              <w:left w:val="nil"/>
              <w:bottom w:val="nil"/>
              <w:right w:val="nil"/>
            </w:tcBorders>
            <w:shd w:val="clear" w:color="auto" w:fill="auto"/>
          </w:tcPr>
          <w:p w14:paraId="11CA1E37" w14:textId="41DAEEC6" w:rsidR="00374B69" w:rsidRPr="006311C5" w:rsidRDefault="00374B69" w:rsidP="00374B69">
            <w:pPr>
              <w:pStyle w:val="Tabletext"/>
              <w:rPr>
                <w:rFonts w:ascii="Calibri" w:hAnsi="Calibri" w:cs="Calibri"/>
                <w:color w:val="000000"/>
                <w:szCs w:val="18"/>
              </w:rPr>
            </w:pPr>
          </w:p>
        </w:tc>
      </w:tr>
      <w:tr w:rsidR="00A8629F" w:rsidRPr="006311C5" w14:paraId="326AE104" w14:textId="77777777" w:rsidTr="00E74925">
        <w:tc>
          <w:tcPr>
            <w:tcW w:w="0" w:type="auto"/>
            <w:vMerge/>
            <w:tcBorders>
              <w:left w:val="nil"/>
              <w:right w:val="nil"/>
            </w:tcBorders>
          </w:tcPr>
          <w:p w14:paraId="205749AB" w14:textId="77777777" w:rsidR="00126E52" w:rsidRPr="006311C5" w:rsidRDefault="00126E52" w:rsidP="00126E52">
            <w:pPr>
              <w:pStyle w:val="Tabletext"/>
              <w:rPr>
                <w:rFonts w:cstheme="minorHAnsi"/>
                <w:szCs w:val="18"/>
              </w:rPr>
            </w:pPr>
          </w:p>
        </w:tc>
        <w:tc>
          <w:tcPr>
            <w:tcW w:w="0" w:type="auto"/>
            <w:vMerge/>
            <w:tcBorders>
              <w:left w:val="nil"/>
              <w:right w:val="nil"/>
            </w:tcBorders>
          </w:tcPr>
          <w:p w14:paraId="4FB1E901" w14:textId="77777777" w:rsidR="00126E52" w:rsidRPr="006311C5" w:rsidRDefault="00126E52" w:rsidP="00126E52">
            <w:pPr>
              <w:pStyle w:val="Tabletext"/>
              <w:rPr>
                <w:rFonts w:cstheme="minorHAnsi"/>
                <w:szCs w:val="18"/>
              </w:rPr>
            </w:pPr>
          </w:p>
        </w:tc>
        <w:tc>
          <w:tcPr>
            <w:tcW w:w="0" w:type="auto"/>
            <w:tcBorders>
              <w:top w:val="nil"/>
              <w:left w:val="nil"/>
              <w:bottom w:val="nil"/>
              <w:right w:val="nil"/>
            </w:tcBorders>
          </w:tcPr>
          <w:p w14:paraId="7744BAEE" w14:textId="3761E229" w:rsidR="00126E52" w:rsidRPr="006311C5" w:rsidRDefault="00126E52" w:rsidP="00126E52">
            <w:pPr>
              <w:pStyle w:val="Tabletext"/>
              <w:rPr>
                <w:rFonts w:cstheme="minorHAnsi"/>
                <w:szCs w:val="18"/>
              </w:rPr>
            </w:pPr>
            <w:r w:rsidRPr="006311C5">
              <w:rPr>
                <w:rFonts w:cstheme="minorHAnsi"/>
                <w:szCs w:val="18"/>
              </w:rPr>
              <w:t>AstraZeneca</w:t>
            </w:r>
          </w:p>
        </w:tc>
        <w:tc>
          <w:tcPr>
            <w:tcW w:w="0" w:type="auto"/>
            <w:tcBorders>
              <w:top w:val="nil"/>
              <w:left w:val="nil"/>
              <w:bottom w:val="nil"/>
              <w:right w:val="nil"/>
            </w:tcBorders>
            <w:shd w:val="clear" w:color="auto" w:fill="auto"/>
          </w:tcPr>
          <w:p w14:paraId="22C4280F" w14:textId="2EE55654" w:rsidR="00126E52" w:rsidRPr="006311C5" w:rsidRDefault="00126E52" w:rsidP="00126E52">
            <w:pPr>
              <w:pStyle w:val="Tabletext"/>
              <w:rPr>
                <w:rFonts w:ascii="Calibri" w:hAnsi="Calibri" w:cs="Calibri"/>
                <w:color w:val="000000"/>
                <w:szCs w:val="18"/>
              </w:rPr>
            </w:pPr>
            <w:r w:rsidRPr="006311C5">
              <w:rPr>
                <w:rFonts w:ascii="Calibri" w:hAnsi="Calibri" w:cs="Calibri"/>
                <w:color w:val="000000"/>
                <w:szCs w:val="18"/>
              </w:rPr>
              <w:t>0.53</w:t>
            </w:r>
            <w:r w:rsidR="005D0575" w:rsidRPr="006311C5">
              <w:rPr>
                <w:rFonts w:ascii="Calibri" w:hAnsi="Calibri" w:cs="Calibri"/>
                <w:color w:val="000000"/>
                <w:szCs w:val="18"/>
              </w:rPr>
              <w:t>0</w:t>
            </w:r>
            <w:r w:rsidRPr="006311C5">
              <w:rPr>
                <w:rFonts w:ascii="Calibri" w:hAnsi="Calibri" w:cs="Calibri"/>
                <w:color w:val="000000"/>
                <w:szCs w:val="18"/>
              </w:rPr>
              <w:t xml:space="preserve"> (0.37</w:t>
            </w:r>
            <w:r w:rsidR="005D0575" w:rsidRPr="006311C5">
              <w:rPr>
                <w:rFonts w:ascii="Calibri" w:hAnsi="Calibri" w:cs="Calibri"/>
                <w:color w:val="000000"/>
                <w:szCs w:val="18"/>
              </w:rPr>
              <w:t>4</w:t>
            </w:r>
            <w:r w:rsidRPr="006311C5">
              <w:rPr>
                <w:rFonts w:ascii="Calibri" w:hAnsi="Calibri" w:cs="Calibri"/>
                <w:color w:val="000000"/>
                <w:szCs w:val="18"/>
              </w:rPr>
              <w:t xml:space="preserve"> to 0.75</w:t>
            </w:r>
            <w:r w:rsidR="005D0575" w:rsidRPr="006311C5">
              <w:rPr>
                <w:rFonts w:ascii="Calibri" w:hAnsi="Calibri" w:cs="Calibri"/>
                <w:color w:val="000000"/>
                <w:szCs w:val="18"/>
              </w:rPr>
              <w:t>2</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5A419AFE" w14:textId="5903B89C" w:rsidR="00126E52" w:rsidRPr="006311C5" w:rsidRDefault="00126E52" w:rsidP="00126E52">
            <w:pPr>
              <w:pStyle w:val="Tabletext"/>
              <w:rPr>
                <w:rFonts w:ascii="Calibri" w:hAnsi="Calibri" w:cs="Calibri"/>
                <w:color w:val="000000"/>
                <w:szCs w:val="18"/>
              </w:rPr>
            </w:pPr>
          </w:p>
        </w:tc>
        <w:tc>
          <w:tcPr>
            <w:tcW w:w="0" w:type="auto"/>
            <w:tcBorders>
              <w:top w:val="nil"/>
              <w:left w:val="nil"/>
              <w:bottom w:val="nil"/>
              <w:right w:val="nil"/>
            </w:tcBorders>
            <w:shd w:val="clear" w:color="auto" w:fill="auto"/>
          </w:tcPr>
          <w:p w14:paraId="21E3F06C" w14:textId="43EF7827" w:rsidR="00126E52" w:rsidRPr="006311C5" w:rsidRDefault="00126E52" w:rsidP="00126E52">
            <w:pPr>
              <w:pStyle w:val="Tabletext"/>
              <w:rPr>
                <w:rFonts w:ascii="Calibri" w:hAnsi="Calibri" w:cs="Calibri"/>
                <w:color w:val="000000"/>
                <w:szCs w:val="18"/>
              </w:rPr>
            </w:pPr>
            <w:r w:rsidRPr="006311C5">
              <w:rPr>
                <w:rFonts w:ascii="Calibri" w:hAnsi="Calibri" w:cs="Calibri"/>
                <w:color w:val="000000"/>
                <w:szCs w:val="18"/>
              </w:rPr>
              <w:t>2.07</w:t>
            </w:r>
            <w:r w:rsidR="00315A44" w:rsidRPr="006311C5">
              <w:rPr>
                <w:rFonts w:ascii="Calibri" w:hAnsi="Calibri" w:cs="Calibri"/>
                <w:color w:val="000000"/>
                <w:szCs w:val="18"/>
              </w:rPr>
              <w:t>3</w:t>
            </w:r>
            <w:r w:rsidRPr="006311C5">
              <w:rPr>
                <w:rFonts w:ascii="Calibri" w:hAnsi="Calibri" w:cs="Calibri"/>
                <w:color w:val="000000"/>
                <w:szCs w:val="18"/>
              </w:rPr>
              <w:t xml:space="preserve"> (1.51</w:t>
            </w:r>
            <w:r w:rsidR="00315A44" w:rsidRPr="006311C5">
              <w:rPr>
                <w:rFonts w:ascii="Calibri" w:hAnsi="Calibri" w:cs="Calibri"/>
                <w:color w:val="000000"/>
                <w:szCs w:val="18"/>
              </w:rPr>
              <w:t>4</w:t>
            </w:r>
            <w:r w:rsidRPr="006311C5">
              <w:rPr>
                <w:rFonts w:ascii="Calibri" w:hAnsi="Calibri" w:cs="Calibri"/>
                <w:color w:val="000000"/>
                <w:szCs w:val="18"/>
              </w:rPr>
              <w:t xml:space="preserve"> to 2.8</w:t>
            </w:r>
            <w:r w:rsidR="00315A44" w:rsidRPr="006311C5">
              <w:rPr>
                <w:rFonts w:ascii="Calibri" w:hAnsi="Calibri" w:cs="Calibri"/>
                <w:color w:val="000000"/>
                <w:szCs w:val="18"/>
              </w:rPr>
              <w:t>37</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408B1329" w14:textId="4C77C848" w:rsidR="00126E52" w:rsidRPr="006311C5" w:rsidRDefault="00126E52" w:rsidP="00126E52">
            <w:pPr>
              <w:pStyle w:val="Tabletext"/>
              <w:rPr>
                <w:rFonts w:ascii="Calibri" w:hAnsi="Calibri" w:cs="Calibri"/>
                <w:color w:val="000000"/>
                <w:szCs w:val="18"/>
              </w:rPr>
            </w:pPr>
          </w:p>
        </w:tc>
      </w:tr>
      <w:tr w:rsidR="00A8629F" w:rsidRPr="006311C5" w14:paraId="116BA703" w14:textId="77777777" w:rsidTr="00126E52">
        <w:tc>
          <w:tcPr>
            <w:tcW w:w="0" w:type="auto"/>
            <w:vMerge/>
            <w:tcBorders>
              <w:left w:val="nil"/>
              <w:bottom w:val="single" w:sz="12" w:space="0" w:color="auto"/>
              <w:right w:val="nil"/>
            </w:tcBorders>
          </w:tcPr>
          <w:p w14:paraId="7838FBFB" w14:textId="77777777" w:rsidR="00126E52" w:rsidRPr="006311C5" w:rsidRDefault="00126E52" w:rsidP="00126E52">
            <w:pPr>
              <w:pStyle w:val="Tabletext"/>
              <w:rPr>
                <w:rFonts w:cstheme="minorHAnsi"/>
                <w:szCs w:val="18"/>
              </w:rPr>
            </w:pPr>
          </w:p>
        </w:tc>
        <w:tc>
          <w:tcPr>
            <w:tcW w:w="0" w:type="auto"/>
            <w:vMerge/>
            <w:tcBorders>
              <w:left w:val="nil"/>
              <w:bottom w:val="single" w:sz="12" w:space="0" w:color="auto"/>
              <w:right w:val="nil"/>
            </w:tcBorders>
          </w:tcPr>
          <w:p w14:paraId="3D27C797" w14:textId="77777777" w:rsidR="00126E52" w:rsidRPr="006311C5" w:rsidRDefault="00126E52" w:rsidP="00126E52">
            <w:pPr>
              <w:pStyle w:val="Tabletext"/>
              <w:rPr>
                <w:rFonts w:cstheme="minorHAnsi"/>
                <w:szCs w:val="18"/>
              </w:rPr>
            </w:pPr>
          </w:p>
        </w:tc>
        <w:tc>
          <w:tcPr>
            <w:tcW w:w="0" w:type="auto"/>
            <w:tcBorders>
              <w:top w:val="nil"/>
              <w:left w:val="nil"/>
              <w:bottom w:val="single" w:sz="12" w:space="0" w:color="auto"/>
              <w:right w:val="nil"/>
            </w:tcBorders>
          </w:tcPr>
          <w:p w14:paraId="3A20CBFD" w14:textId="412E0879" w:rsidR="00126E52" w:rsidRPr="006311C5" w:rsidRDefault="00126E52" w:rsidP="00126E52">
            <w:pPr>
              <w:pStyle w:val="Tabletext"/>
              <w:rPr>
                <w:rFonts w:cstheme="minorHAnsi"/>
                <w:szCs w:val="18"/>
              </w:rPr>
            </w:pPr>
            <w:r w:rsidRPr="006311C5">
              <w:rPr>
                <w:rFonts w:cstheme="minorHAnsi"/>
                <w:szCs w:val="18"/>
              </w:rPr>
              <w:t>Moderna</w:t>
            </w:r>
          </w:p>
        </w:tc>
        <w:tc>
          <w:tcPr>
            <w:tcW w:w="0" w:type="auto"/>
            <w:tcBorders>
              <w:top w:val="nil"/>
              <w:left w:val="nil"/>
              <w:bottom w:val="single" w:sz="12" w:space="0" w:color="auto"/>
              <w:right w:val="nil"/>
            </w:tcBorders>
            <w:shd w:val="clear" w:color="auto" w:fill="auto"/>
          </w:tcPr>
          <w:p w14:paraId="173E847A" w14:textId="014FF285" w:rsidR="00126E52" w:rsidRPr="006311C5" w:rsidRDefault="00126E52" w:rsidP="00126E52">
            <w:pPr>
              <w:pStyle w:val="Tabletext"/>
              <w:rPr>
                <w:rFonts w:ascii="Calibri" w:hAnsi="Calibri" w:cs="Calibri"/>
                <w:color w:val="000000"/>
                <w:szCs w:val="18"/>
              </w:rPr>
            </w:pPr>
            <w:r w:rsidRPr="006311C5">
              <w:rPr>
                <w:rFonts w:ascii="Calibri" w:hAnsi="Calibri" w:cs="Calibri"/>
                <w:color w:val="000000"/>
                <w:szCs w:val="18"/>
              </w:rPr>
              <w:t>2.0</w:t>
            </w:r>
            <w:r w:rsidR="005D0575" w:rsidRPr="006311C5">
              <w:rPr>
                <w:rFonts w:ascii="Calibri" w:hAnsi="Calibri" w:cs="Calibri"/>
                <w:color w:val="000000"/>
                <w:szCs w:val="18"/>
              </w:rPr>
              <w:t>59</w:t>
            </w:r>
            <w:r w:rsidRPr="006311C5">
              <w:rPr>
                <w:rFonts w:ascii="Calibri" w:hAnsi="Calibri" w:cs="Calibri"/>
                <w:color w:val="000000"/>
                <w:szCs w:val="18"/>
              </w:rPr>
              <w:t xml:space="preserve"> (0.46</w:t>
            </w:r>
            <w:r w:rsidR="005D0575" w:rsidRPr="006311C5">
              <w:rPr>
                <w:rFonts w:ascii="Calibri" w:hAnsi="Calibri" w:cs="Calibri"/>
                <w:color w:val="000000"/>
                <w:szCs w:val="18"/>
              </w:rPr>
              <w:t>2</w:t>
            </w:r>
            <w:r w:rsidRPr="006311C5">
              <w:rPr>
                <w:rFonts w:ascii="Calibri" w:hAnsi="Calibri" w:cs="Calibri"/>
                <w:color w:val="000000"/>
                <w:szCs w:val="18"/>
              </w:rPr>
              <w:t xml:space="preserve"> to 9.1</w:t>
            </w:r>
            <w:r w:rsidR="005D0575" w:rsidRPr="006311C5">
              <w:rPr>
                <w:rFonts w:ascii="Calibri" w:hAnsi="Calibri" w:cs="Calibri"/>
                <w:color w:val="000000"/>
                <w:szCs w:val="18"/>
              </w:rPr>
              <w:t>76</w:t>
            </w:r>
            <w:r w:rsidRPr="006311C5">
              <w:rPr>
                <w:rFonts w:ascii="Calibri" w:hAnsi="Calibri" w:cs="Calibri"/>
                <w:color w:val="000000"/>
                <w:szCs w:val="18"/>
              </w:rPr>
              <w:t>)</w:t>
            </w:r>
          </w:p>
        </w:tc>
        <w:tc>
          <w:tcPr>
            <w:tcW w:w="0" w:type="auto"/>
            <w:tcBorders>
              <w:top w:val="nil"/>
              <w:left w:val="nil"/>
              <w:bottom w:val="single" w:sz="12" w:space="0" w:color="auto"/>
              <w:right w:val="nil"/>
            </w:tcBorders>
            <w:shd w:val="clear" w:color="auto" w:fill="auto"/>
          </w:tcPr>
          <w:p w14:paraId="546CEE72" w14:textId="279F9DE6" w:rsidR="00126E52" w:rsidRPr="006311C5" w:rsidRDefault="00126E52" w:rsidP="00126E52">
            <w:pPr>
              <w:pStyle w:val="Tabletext"/>
              <w:rPr>
                <w:rFonts w:ascii="Calibri" w:hAnsi="Calibri" w:cs="Calibri"/>
                <w:color w:val="000000"/>
                <w:szCs w:val="18"/>
              </w:rPr>
            </w:pPr>
          </w:p>
        </w:tc>
        <w:tc>
          <w:tcPr>
            <w:tcW w:w="0" w:type="auto"/>
            <w:tcBorders>
              <w:top w:val="nil"/>
              <w:left w:val="nil"/>
              <w:bottom w:val="single" w:sz="12" w:space="0" w:color="auto"/>
              <w:right w:val="nil"/>
            </w:tcBorders>
            <w:shd w:val="clear" w:color="auto" w:fill="auto"/>
          </w:tcPr>
          <w:p w14:paraId="7204791B" w14:textId="64D8C075" w:rsidR="00126E52" w:rsidRPr="006311C5" w:rsidRDefault="00126E52" w:rsidP="00126E52">
            <w:pPr>
              <w:pStyle w:val="Tabletext"/>
              <w:rPr>
                <w:rFonts w:ascii="Calibri" w:hAnsi="Calibri" w:cs="Calibri"/>
                <w:color w:val="000000"/>
                <w:szCs w:val="18"/>
              </w:rPr>
            </w:pPr>
            <w:r w:rsidRPr="006311C5">
              <w:rPr>
                <w:rFonts w:ascii="Calibri" w:hAnsi="Calibri" w:cs="Calibri"/>
                <w:color w:val="000000"/>
                <w:szCs w:val="18"/>
              </w:rPr>
              <w:t>1.13 (0.45 to 2.85)</w:t>
            </w:r>
          </w:p>
        </w:tc>
        <w:tc>
          <w:tcPr>
            <w:tcW w:w="0" w:type="auto"/>
            <w:tcBorders>
              <w:top w:val="nil"/>
              <w:left w:val="nil"/>
              <w:bottom w:val="single" w:sz="12" w:space="0" w:color="auto"/>
              <w:right w:val="nil"/>
            </w:tcBorders>
            <w:shd w:val="clear" w:color="auto" w:fill="auto"/>
          </w:tcPr>
          <w:p w14:paraId="30A6FE04" w14:textId="63351993" w:rsidR="00126E52" w:rsidRPr="006311C5" w:rsidRDefault="00126E52" w:rsidP="00126E52">
            <w:pPr>
              <w:pStyle w:val="Tabletext"/>
              <w:rPr>
                <w:rFonts w:ascii="Calibri" w:hAnsi="Calibri" w:cs="Calibri"/>
                <w:color w:val="000000"/>
                <w:szCs w:val="18"/>
              </w:rPr>
            </w:pPr>
          </w:p>
        </w:tc>
      </w:tr>
    </w:tbl>
    <w:p w14:paraId="729B054F" w14:textId="071D2B8A" w:rsidR="00742F07" w:rsidRPr="006311C5" w:rsidRDefault="008B26E6" w:rsidP="00B509C6">
      <w:pPr>
        <w:spacing w:after="0" w:line="240" w:lineRule="auto"/>
        <w:rPr>
          <w:rFonts w:ascii="Calibri" w:hAnsi="Calibri" w:cs="Calibri"/>
          <w:sz w:val="18"/>
          <w:szCs w:val="18"/>
        </w:rPr>
      </w:pPr>
      <w:proofErr w:type="spellStart"/>
      <w:r w:rsidRPr="006311C5">
        <w:rPr>
          <w:rFonts w:cstheme="minorHAnsi"/>
          <w:szCs w:val="18"/>
          <w:vertAlign w:val="superscript"/>
        </w:rPr>
        <w:t>a</w:t>
      </w:r>
      <w:proofErr w:type="spellEnd"/>
      <w:r w:rsidRPr="006311C5">
        <w:rPr>
          <w:rFonts w:ascii="Calibri" w:hAnsi="Calibri" w:cs="Calibri"/>
          <w:sz w:val="18"/>
          <w:szCs w:val="18"/>
        </w:rPr>
        <w:t xml:space="preserve"> </w:t>
      </w:r>
      <w:r w:rsidR="00742F07" w:rsidRPr="006311C5">
        <w:rPr>
          <w:rFonts w:ascii="Calibri" w:hAnsi="Calibri" w:cs="Calibri"/>
          <w:sz w:val="18"/>
          <w:szCs w:val="18"/>
        </w:rPr>
        <w:t xml:space="preserve">Adjusting </w:t>
      </w:r>
      <w:r w:rsidR="00C94C2B" w:rsidRPr="006311C5">
        <w:rPr>
          <w:rFonts w:ascii="Calibri" w:hAnsi="Calibri" w:cs="Calibri"/>
          <w:sz w:val="18"/>
          <w:szCs w:val="18"/>
        </w:rPr>
        <w:t xml:space="preserve">for age, gender, ethnicity, </w:t>
      </w:r>
      <w:r w:rsidR="00664954" w:rsidRPr="006311C5">
        <w:rPr>
          <w:rFonts w:ascii="Calibri" w:hAnsi="Calibri" w:cs="Calibri"/>
          <w:sz w:val="18"/>
          <w:szCs w:val="18"/>
        </w:rPr>
        <w:t>being at risk for COVID-19</w:t>
      </w:r>
      <w:r w:rsidR="00F9657F" w:rsidRPr="006311C5">
        <w:rPr>
          <w:rFonts w:ascii="Calibri" w:hAnsi="Calibri" w:cs="Calibri"/>
          <w:sz w:val="18"/>
          <w:szCs w:val="18"/>
        </w:rPr>
        <w:t>, think or had COVID-19 previously or currently, and vaccine brand</w:t>
      </w:r>
      <w:r w:rsidR="00664954" w:rsidRPr="006311C5">
        <w:rPr>
          <w:rFonts w:ascii="Calibri" w:hAnsi="Calibri" w:cs="Calibri"/>
          <w:sz w:val="18"/>
          <w:szCs w:val="18"/>
        </w:rPr>
        <w:t xml:space="preserve">. </w:t>
      </w:r>
    </w:p>
    <w:p w14:paraId="253838E4" w14:textId="65802024" w:rsidR="006D2C3C" w:rsidRPr="006311C5" w:rsidRDefault="00C8625B" w:rsidP="006D2C3C">
      <w:pPr>
        <w:spacing w:after="0" w:line="240" w:lineRule="auto"/>
        <w:rPr>
          <w:sz w:val="18"/>
          <w:szCs w:val="18"/>
        </w:rPr>
      </w:pPr>
      <w:r w:rsidRPr="006311C5">
        <w:rPr>
          <w:sz w:val="18"/>
          <w:szCs w:val="18"/>
        </w:rPr>
        <w:t xml:space="preserve">* </w:t>
      </w:r>
      <w:r w:rsidRPr="006311C5">
        <w:rPr>
          <w:i/>
          <w:iCs/>
          <w:sz w:val="18"/>
          <w:szCs w:val="18"/>
        </w:rPr>
        <w:t>p</w:t>
      </w:r>
      <w:r w:rsidRPr="006311C5">
        <w:rPr>
          <w:sz w:val="18"/>
          <w:szCs w:val="18"/>
        </w:rPr>
        <w:t xml:space="preserve"> ≤.05</w:t>
      </w:r>
      <w:r w:rsidR="006D2C3C" w:rsidRPr="006311C5">
        <w:br w:type="page"/>
      </w:r>
    </w:p>
    <w:p w14:paraId="0FD6D2F7" w14:textId="657A50E6" w:rsidR="00742F07" w:rsidRPr="006311C5" w:rsidRDefault="00C94C2B" w:rsidP="001B3596">
      <w:r w:rsidRPr="006311C5">
        <w:lastRenderedPageBreak/>
        <w:t xml:space="preserve">Table </w:t>
      </w:r>
      <w:r w:rsidR="006C43FB" w:rsidRPr="006311C5">
        <w:t>A.</w:t>
      </w:r>
      <w:r w:rsidRPr="006311C5">
        <w:t xml:space="preserve">2. </w:t>
      </w:r>
      <w:r w:rsidRPr="006311C5">
        <w:rPr>
          <w:szCs w:val="24"/>
        </w:rPr>
        <w:t>Results of the logistic regression models for block one (personal and clinical characteristics only) analysing associations with symptom reporting following the second dose of a COVID-19 vaccination. For continuous variables, the adjusted odds ratios (</w:t>
      </w:r>
      <w:proofErr w:type="spellStart"/>
      <w:r w:rsidRPr="006311C5">
        <w:rPr>
          <w:szCs w:val="24"/>
        </w:rPr>
        <w:t>aORs</w:t>
      </w:r>
      <w:proofErr w:type="spellEnd"/>
      <w:r w:rsidRPr="006311C5">
        <w:rPr>
          <w:szCs w:val="24"/>
        </w:rPr>
        <w:t>) represent the change in likelihood of side effects for a one-unit increase in the predictor variable, apart from age, where it an increase of one-unit represents an increase by decade.</w:t>
      </w:r>
    </w:p>
    <w:tbl>
      <w:tblPr>
        <w:tblStyle w:val="TableGrid2"/>
        <w:tblW w:w="0" w:type="auto"/>
        <w:tblLook w:val="04A0" w:firstRow="1" w:lastRow="0" w:firstColumn="1" w:lastColumn="0" w:noHBand="0" w:noVBand="1"/>
      </w:tblPr>
      <w:tblGrid>
        <w:gridCol w:w="2577"/>
        <w:gridCol w:w="2384"/>
        <w:gridCol w:w="1681"/>
        <w:gridCol w:w="2852"/>
        <w:gridCol w:w="806"/>
        <w:gridCol w:w="2852"/>
        <w:gridCol w:w="806"/>
      </w:tblGrid>
      <w:tr w:rsidR="003E5A9E" w:rsidRPr="006311C5" w14:paraId="13849E44" w14:textId="06ADB22E" w:rsidTr="008B26E6">
        <w:tc>
          <w:tcPr>
            <w:tcW w:w="0" w:type="auto"/>
            <w:tcBorders>
              <w:top w:val="single" w:sz="12" w:space="0" w:color="auto"/>
              <w:left w:val="nil"/>
              <w:bottom w:val="nil"/>
              <w:right w:val="nil"/>
            </w:tcBorders>
          </w:tcPr>
          <w:p w14:paraId="5DF4D6B8" w14:textId="77777777" w:rsidR="00742F07" w:rsidRPr="006311C5" w:rsidRDefault="00742F07" w:rsidP="00251E59">
            <w:pPr>
              <w:pStyle w:val="Tabletext"/>
              <w:rPr>
                <w:rFonts w:cstheme="minorHAnsi"/>
                <w:szCs w:val="18"/>
              </w:rPr>
            </w:pPr>
          </w:p>
        </w:tc>
        <w:tc>
          <w:tcPr>
            <w:tcW w:w="0" w:type="auto"/>
            <w:tcBorders>
              <w:top w:val="single" w:sz="12" w:space="0" w:color="auto"/>
              <w:left w:val="nil"/>
              <w:bottom w:val="nil"/>
              <w:right w:val="nil"/>
            </w:tcBorders>
            <w:shd w:val="clear" w:color="auto" w:fill="auto"/>
          </w:tcPr>
          <w:p w14:paraId="14DE4775" w14:textId="77777777" w:rsidR="00742F07" w:rsidRPr="006311C5" w:rsidRDefault="00742F07" w:rsidP="00251E59">
            <w:pPr>
              <w:pStyle w:val="Tabletext"/>
              <w:rPr>
                <w:rFonts w:cstheme="minorHAnsi"/>
                <w:szCs w:val="18"/>
              </w:rPr>
            </w:pPr>
          </w:p>
        </w:tc>
        <w:tc>
          <w:tcPr>
            <w:tcW w:w="0" w:type="auto"/>
            <w:tcBorders>
              <w:top w:val="single" w:sz="12" w:space="0" w:color="auto"/>
              <w:left w:val="nil"/>
              <w:bottom w:val="nil"/>
              <w:right w:val="nil"/>
            </w:tcBorders>
            <w:shd w:val="clear" w:color="auto" w:fill="auto"/>
          </w:tcPr>
          <w:p w14:paraId="2E681B96" w14:textId="77777777" w:rsidR="00742F07" w:rsidRPr="006311C5" w:rsidRDefault="00742F07" w:rsidP="00251E59">
            <w:pPr>
              <w:pStyle w:val="Tabletext"/>
              <w:rPr>
                <w:rFonts w:cstheme="minorHAnsi"/>
                <w:szCs w:val="18"/>
              </w:rPr>
            </w:pPr>
          </w:p>
        </w:tc>
        <w:tc>
          <w:tcPr>
            <w:tcW w:w="3666" w:type="dxa"/>
            <w:gridSpan w:val="2"/>
            <w:tcBorders>
              <w:top w:val="single" w:sz="12" w:space="0" w:color="auto"/>
              <w:left w:val="nil"/>
              <w:bottom w:val="nil"/>
              <w:right w:val="nil"/>
            </w:tcBorders>
            <w:shd w:val="clear" w:color="auto" w:fill="auto"/>
          </w:tcPr>
          <w:p w14:paraId="7016183A" w14:textId="441659FE" w:rsidR="00742F07" w:rsidRPr="006311C5" w:rsidRDefault="00742F07" w:rsidP="00251E59">
            <w:pPr>
              <w:pStyle w:val="Tabletext"/>
              <w:rPr>
                <w:rFonts w:cstheme="minorHAnsi"/>
                <w:i/>
                <w:iCs/>
                <w:szCs w:val="18"/>
              </w:rPr>
            </w:pPr>
            <w:r w:rsidRPr="006311C5">
              <w:rPr>
                <w:rFonts w:cstheme="minorHAnsi"/>
                <w:szCs w:val="18"/>
              </w:rPr>
              <w:t>Injection</w:t>
            </w:r>
            <w:r w:rsidR="00AB087F" w:rsidRPr="006311C5">
              <w:rPr>
                <w:rFonts w:cstheme="minorHAnsi"/>
                <w:szCs w:val="18"/>
              </w:rPr>
              <w:t>-</w:t>
            </w:r>
            <w:r w:rsidRPr="006311C5">
              <w:rPr>
                <w:rFonts w:cstheme="minorHAnsi"/>
                <w:szCs w:val="18"/>
              </w:rPr>
              <w:t xml:space="preserve">site symptoms, </w:t>
            </w:r>
            <w:r w:rsidRPr="006311C5">
              <w:rPr>
                <w:rFonts w:cstheme="minorHAnsi"/>
                <w:i/>
                <w:iCs/>
                <w:szCs w:val="18"/>
              </w:rPr>
              <w:t>n</w:t>
            </w:r>
            <w:r w:rsidRPr="006311C5">
              <w:rPr>
                <w:rFonts w:cstheme="minorHAnsi"/>
                <w:szCs w:val="18"/>
              </w:rPr>
              <w:t>=</w:t>
            </w:r>
            <w:r w:rsidR="00C506D7" w:rsidRPr="006311C5">
              <w:rPr>
                <w:rFonts w:cstheme="minorHAnsi"/>
                <w:szCs w:val="18"/>
              </w:rPr>
              <w:t>882</w:t>
            </w:r>
          </w:p>
        </w:tc>
        <w:tc>
          <w:tcPr>
            <w:tcW w:w="3666" w:type="dxa"/>
            <w:gridSpan w:val="2"/>
            <w:tcBorders>
              <w:top w:val="single" w:sz="12" w:space="0" w:color="auto"/>
              <w:left w:val="nil"/>
              <w:bottom w:val="nil"/>
              <w:right w:val="nil"/>
            </w:tcBorders>
          </w:tcPr>
          <w:p w14:paraId="50993DFD" w14:textId="68CEFEB8" w:rsidR="00742F07" w:rsidRPr="006311C5" w:rsidRDefault="00742F07" w:rsidP="00251E59">
            <w:pPr>
              <w:pStyle w:val="Tabletext"/>
              <w:rPr>
                <w:rFonts w:cstheme="minorHAnsi"/>
                <w:i/>
                <w:iCs/>
                <w:szCs w:val="18"/>
              </w:rPr>
            </w:pPr>
            <w:r w:rsidRPr="006311C5">
              <w:rPr>
                <w:rFonts w:cstheme="minorHAnsi"/>
                <w:szCs w:val="18"/>
              </w:rPr>
              <w:t>Non-injection</w:t>
            </w:r>
            <w:r w:rsidR="00AB087F" w:rsidRPr="006311C5">
              <w:rPr>
                <w:rFonts w:cstheme="minorHAnsi"/>
                <w:szCs w:val="18"/>
              </w:rPr>
              <w:t>-</w:t>
            </w:r>
            <w:r w:rsidRPr="006311C5">
              <w:rPr>
                <w:rFonts w:cstheme="minorHAnsi"/>
                <w:szCs w:val="18"/>
              </w:rPr>
              <w:t xml:space="preserve">site symptoms, </w:t>
            </w:r>
            <w:r w:rsidRPr="006311C5">
              <w:rPr>
                <w:rFonts w:cstheme="minorHAnsi"/>
                <w:i/>
                <w:iCs/>
                <w:szCs w:val="18"/>
              </w:rPr>
              <w:t>n</w:t>
            </w:r>
            <w:r w:rsidRPr="006311C5">
              <w:rPr>
                <w:rFonts w:cstheme="minorHAnsi"/>
                <w:szCs w:val="18"/>
              </w:rPr>
              <w:t>=</w:t>
            </w:r>
            <w:r w:rsidR="00C506D7" w:rsidRPr="006311C5">
              <w:rPr>
                <w:rFonts w:cstheme="minorHAnsi"/>
                <w:szCs w:val="18"/>
              </w:rPr>
              <w:t>883</w:t>
            </w:r>
          </w:p>
        </w:tc>
      </w:tr>
      <w:tr w:rsidR="003E5A9E" w:rsidRPr="006311C5" w14:paraId="60340C22" w14:textId="77777777" w:rsidTr="00251E59">
        <w:tc>
          <w:tcPr>
            <w:tcW w:w="0" w:type="auto"/>
            <w:tcBorders>
              <w:top w:val="nil"/>
              <w:left w:val="nil"/>
              <w:bottom w:val="single" w:sz="12" w:space="0" w:color="auto"/>
              <w:right w:val="nil"/>
            </w:tcBorders>
          </w:tcPr>
          <w:p w14:paraId="61B85916" w14:textId="77777777" w:rsidR="00742F07" w:rsidRPr="006311C5" w:rsidRDefault="00742F07" w:rsidP="00251E59">
            <w:pPr>
              <w:pStyle w:val="Tabletext"/>
              <w:rPr>
                <w:rFonts w:cstheme="minorHAnsi"/>
                <w:szCs w:val="18"/>
              </w:rPr>
            </w:pPr>
          </w:p>
        </w:tc>
        <w:tc>
          <w:tcPr>
            <w:tcW w:w="0" w:type="auto"/>
            <w:tcBorders>
              <w:top w:val="nil"/>
              <w:left w:val="nil"/>
              <w:bottom w:val="single" w:sz="12" w:space="0" w:color="auto"/>
              <w:right w:val="nil"/>
            </w:tcBorders>
            <w:shd w:val="clear" w:color="auto" w:fill="auto"/>
          </w:tcPr>
          <w:p w14:paraId="783E9EA5" w14:textId="77777777" w:rsidR="00742F07" w:rsidRPr="006311C5" w:rsidRDefault="00742F07" w:rsidP="00251E59">
            <w:pPr>
              <w:pStyle w:val="Tabletext"/>
              <w:rPr>
                <w:rFonts w:cstheme="minorHAnsi"/>
                <w:szCs w:val="18"/>
              </w:rPr>
            </w:pPr>
            <w:r w:rsidRPr="006311C5">
              <w:rPr>
                <w:rFonts w:cstheme="minorHAnsi"/>
                <w:szCs w:val="18"/>
              </w:rPr>
              <w:t>Predictor variable</w:t>
            </w:r>
          </w:p>
        </w:tc>
        <w:tc>
          <w:tcPr>
            <w:tcW w:w="0" w:type="auto"/>
            <w:tcBorders>
              <w:top w:val="nil"/>
              <w:left w:val="nil"/>
              <w:bottom w:val="single" w:sz="12" w:space="0" w:color="auto"/>
              <w:right w:val="nil"/>
            </w:tcBorders>
            <w:shd w:val="clear" w:color="auto" w:fill="auto"/>
          </w:tcPr>
          <w:p w14:paraId="1559113C" w14:textId="77777777" w:rsidR="00742F07" w:rsidRPr="006311C5" w:rsidRDefault="00742F07" w:rsidP="00251E59">
            <w:pPr>
              <w:pStyle w:val="Tabletext"/>
              <w:rPr>
                <w:rFonts w:cstheme="minorHAnsi"/>
                <w:szCs w:val="18"/>
              </w:rPr>
            </w:pPr>
            <w:r w:rsidRPr="006311C5">
              <w:rPr>
                <w:rFonts w:cstheme="minorHAnsi"/>
                <w:szCs w:val="18"/>
              </w:rPr>
              <w:t>Level</w:t>
            </w:r>
          </w:p>
        </w:tc>
        <w:tc>
          <w:tcPr>
            <w:tcW w:w="0" w:type="auto"/>
            <w:tcBorders>
              <w:top w:val="nil"/>
              <w:left w:val="nil"/>
              <w:bottom w:val="single" w:sz="12" w:space="0" w:color="auto"/>
              <w:right w:val="nil"/>
            </w:tcBorders>
          </w:tcPr>
          <w:p w14:paraId="0C346BFA" w14:textId="2C022422" w:rsidR="00742F07" w:rsidRPr="006311C5" w:rsidRDefault="00742F07" w:rsidP="00251E59">
            <w:pPr>
              <w:pStyle w:val="Tabletext"/>
              <w:rPr>
                <w:rFonts w:cstheme="minorHAnsi"/>
                <w:szCs w:val="18"/>
              </w:rPr>
            </w:pPr>
            <w:r w:rsidRPr="006311C5">
              <w:rPr>
                <w:rFonts w:cstheme="minorHAnsi"/>
                <w:szCs w:val="18"/>
              </w:rPr>
              <w:t xml:space="preserve">Adjusted odds ratio (95% CI) for reporting symptoms </w:t>
            </w:r>
            <w:r w:rsidR="008B26E6" w:rsidRPr="006311C5">
              <w:rPr>
                <w:rFonts w:cstheme="minorHAnsi"/>
                <w:szCs w:val="18"/>
                <w:vertAlign w:val="superscript"/>
              </w:rPr>
              <w:t>a</w:t>
            </w:r>
          </w:p>
        </w:tc>
        <w:tc>
          <w:tcPr>
            <w:tcW w:w="0" w:type="auto"/>
            <w:tcBorders>
              <w:top w:val="nil"/>
              <w:left w:val="nil"/>
              <w:bottom w:val="single" w:sz="12" w:space="0" w:color="auto"/>
              <w:right w:val="nil"/>
            </w:tcBorders>
          </w:tcPr>
          <w:p w14:paraId="521F0579" w14:textId="77777777" w:rsidR="00742F07" w:rsidRPr="006311C5" w:rsidRDefault="00742F07" w:rsidP="00251E59">
            <w:pPr>
              <w:pStyle w:val="Tabletext"/>
              <w:rPr>
                <w:rFonts w:cstheme="minorHAnsi"/>
                <w:szCs w:val="18"/>
              </w:rPr>
            </w:pPr>
            <w:r w:rsidRPr="006311C5">
              <w:rPr>
                <w:rFonts w:cstheme="minorHAnsi"/>
                <w:i/>
                <w:iCs/>
                <w:szCs w:val="18"/>
              </w:rPr>
              <w:t>p</w:t>
            </w:r>
            <w:r w:rsidRPr="006311C5">
              <w:rPr>
                <w:rFonts w:cstheme="minorHAnsi"/>
                <w:szCs w:val="18"/>
              </w:rPr>
              <w:t xml:space="preserve"> value</w:t>
            </w:r>
          </w:p>
        </w:tc>
        <w:tc>
          <w:tcPr>
            <w:tcW w:w="0" w:type="auto"/>
            <w:tcBorders>
              <w:top w:val="nil"/>
              <w:left w:val="nil"/>
              <w:bottom w:val="single" w:sz="12" w:space="0" w:color="auto"/>
              <w:right w:val="nil"/>
            </w:tcBorders>
          </w:tcPr>
          <w:p w14:paraId="417BCFBE" w14:textId="16BC2F03" w:rsidR="00742F07" w:rsidRPr="006311C5" w:rsidRDefault="00742F07" w:rsidP="00251E59">
            <w:pPr>
              <w:pStyle w:val="Tabletext"/>
              <w:rPr>
                <w:rFonts w:cstheme="minorHAnsi"/>
                <w:i/>
                <w:iCs/>
                <w:szCs w:val="18"/>
              </w:rPr>
            </w:pPr>
            <w:r w:rsidRPr="006311C5">
              <w:rPr>
                <w:rFonts w:cstheme="minorHAnsi"/>
                <w:szCs w:val="18"/>
              </w:rPr>
              <w:t xml:space="preserve">Adjusted odds ratio (95% CI) for reporting symptoms </w:t>
            </w:r>
            <w:r w:rsidR="008B26E6" w:rsidRPr="006311C5">
              <w:rPr>
                <w:rFonts w:cstheme="minorHAnsi"/>
                <w:szCs w:val="18"/>
                <w:vertAlign w:val="superscript"/>
              </w:rPr>
              <w:t>a</w:t>
            </w:r>
          </w:p>
        </w:tc>
        <w:tc>
          <w:tcPr>
            <w:tcW w:w="0" w:type="auto"/>
            <w:tcBorders>
              <w:top w:val="nil"/>
              <w:left w:val="nil"/>
              <w:bottom w:val="single" w:sz="12" w:space="0" w:color="auto"/>
              <w:right w:val="nil"/>
            </w:tcBorders>
          </w:tcPr>
          <w:p w14:paraId="45DD91ED" w14:textId="77777777" w:rsidR="00742F07" w:rsidRPr="006311C5" w:rsidRDefault="00742F07" w:rsidP="00251E59">
            <w:pPr>
              <w:pStyle w:val="Tabletext"/>
              <w:rPr>
                <w:rFonts w:cstheme="minorHAnsi"/>
                <w:i/>
                <w:iCs/>
                <w:szCs w:val="18"/>
              </w:rPr>
            </w:pPr>
            <w:r w:rsidRPr="006311C5">
              <w:rPr>
                <w:rFonts w:cstheme="minorHAnsi"/>
                <w:i/>
                <w:iCs/>
                <w:szCs w:val="18"/>
              </w:rPr>
              <w:t>p</w:t>
            </w:r>
            <w:r w:rsidRPr="006311C5">
              <w:rPr>
                <w:rFonts w:cstheme="minorHAnsi"/>
                <w:szCs w:val="18"/>
              </w:rPr>
              <w:t xml:space="preserve"> value</w:t>
            </w:r>
          </w:p>
        </w:tc>
      </w:tr>
      <w:tr w:rsidR="003E5A9E" w:rsidRPr="006311C5" w14:paraId="50CD3710" w14:textId="77777777" w:rsidTr="00251E59">
        <w:tc>
          <w:tcPr>
            <w:tcW w:w="0" w:type="auto"/>
            <w:vMerge w:val="restart"/>
            <w:tcBorders>
              <w:left w:val="nil"/>
              <w:right w:val="nil"/>
            </w:tcBorders>
          </w:tcPr>
          <w:p w14:paraId="47C268CA" w14:textId="77777777" w:rsidR="00BB2117" w:rsidRPr="006311C5" w:rsidRDefault="00BB2117" w:rsidP="00BB2117">
            <w:pPr>
              <w:pStyle w:val="Tabletext"/>
              <w:rPr>
                <w:rFonts w:cstheme="minorHAnsi"/>
                <w:szCs w:val="18"/>
              </w:rPr>
            </w:pPr>
            <w:r w:rsidRPr="006311C5">
              <w:rPr>
                <w:rFonts w:cstheme="minorHAnsi"/>
                <w:szCs w:val="18"/>
              </w:rPr>
              <w:t>Block 1 – personal and clinical characteristics</w:t>
            </w:r>
          </w:p>
        </w:tc>
        <w:tc>
          <w:tcPr>
            <w:tcW w:w="0" w:type="auto"/>
            <w:tcBorders>
              <w:left w:val="nil"/>
              <w:right w:val="nil"/>
            </w:tcBorders>
          </w:tcPr>
          <w:p w14:paraId="083AF191" w14:textId="2EB72031" w:rsidR="00BB2117" w:rsidRPr="006311C5" w:rsidRDefault="00BB2117" w:rsidP="00BB2117">
            <w:pPr>
              <w:pStyle w:val="Tabletext"/>
              <w:rPr>
                <w:rFonts w:cstheme="minorHAnsi"/>
                <w:szCs w:val="18"/>
              </w:rPr>
            </w:pPr>
            <w:r w:rsidRPr="006311C5">
              <w:rPr>
                <w:rFonts w:cstheme="minorHAnsi"/>
                <w:szCs w:val="18"/>
              </w:rPr>
              <w:t xml:space="preserve">Age </w:t>
            </w:r>
          </w:p>
        </w:tc>
        <w:tc>
          <w:tcPr>
            <w:tcW w:w="0" w:type="auto"/>
            <w:tcBorders>
              <w:left w:val="nil"/>
              <w:bottom w:val="single" w:sz="4" w:space="0" w:color="auto"/>
              <w:right w:val="nil"/>
            </w:tcBorders>
          </w:tcPr>
          <w:p w14:paraId="5851F588" w14:textId="0908E799" w:rsidR="00BB2117" w:rsidRPr="006311C5" w:rsidRDefault="00C9437F" w:rsidP="00BB2117">
            <w:pPr>
              <w:pStyle w:val="Tabletext"/>
              <w:rPr>
                <w:rFonts w:cstheme="minorHAnsi"/>
                <w:szCs w:val="18"/>
              </w:rPr>
            </w:pPr>
            <w:r w:rsidRPr="006311C5">
              <w:rPr>
                <w:rFonts w:cstheme="minorHAnsi"/>
                <w:szCs w:val="18"/>
              </w:rPr>
              <w:t>Decade</w:t>
            </w:r>
          </w:p>
        </w:tc>
        <w:tc>
          <w:tcPr>
            <w:tcW w:w="0" w:type="auto"/>
            <w:tcBorders>
              <w:top w:val="nil"/>
              <w:left w:val="nil"/>
              <w:bottom w:val="nil"/>
              <w:right w:val="nil"/>
            </w:tcBorders>
            <w:shd w:val="clear" w:color="auto" w:fill="auto"/>
          </w:tcPr>
          <w:p w14:paraId="79C71C27" w14:textId="400F4DB9" w:rsidR="00BB2117" w:rsidRPr="006311C5" w:rsidRDefault="00BB2117" w:rsidP="00BB2117">
            <w:pPr>
              <w:pStyle w:val="Tabletext"/>
              <w:rPr>
                <w:rFonts w:cstheme="minorHAnsi"/>
                <w:szCs w:val="18"/>
              </w:rPr>
            </w:pPr>
            <w:r w:rsidRPr="006311C5">
              <w:rPr>
                <w:rFonts w:ascii="Calibri" w:hAnsi="Calibri" w:cs="Calibri"/>
                <w:color w:val="000000"/>
                <w:szCs w:val="18"/>
              </w:rPr>
              <w:t>0.84</w:t>
            </w:r>
            <w:r w:rsidR="00315A44" w:rsidRPr="006311C5">
              <w:rPr>
                <w:rFonts w:ascii="Calibri" w:hAnsi="Calibri" w:cs="Calibri"/>
                <w:color w:val="000000"/>
                <w:szCs w:val="18"/>
              </w:rPr>
              <w:t>4</w:t>
            </w:r>
            <w:r w:rsidRPr="006311C5">
              <w:rPr>
                <w:rFonts w:ascii="Calibri" w:hAnsi="Calibri" w:cs="Calibri"/>
                <w:color w:val="000000"/>
                <w:szCs w:val="18"/>
              </w:rPr>
              <w:t xml:space="preserve"> (0.76</w:t>
            </w:r>
            <w:r w:rsidR="00315A44" w:rsidRPr="006311C5">
              <w:rPr>
                <w:rFonts w:ascii="Calibri" w:hAnsi="Calibri" w:cs="Calibri"/>
                <w:color w:val="000000"/>
                <w:szCs w:val="18"/>
              </w:rPr>
              <w:t>0</w:t>
            </w:r>
            <w:r w:rsidRPr="006311C5">
              <w:rPr>
                <w:rFonts w:ascii="Calibri" w:hAnsi="Calibri" w:cs="Calibri"/>
                <w:color w:val="000000"/>
                <w:szCs w:val="18"/>
              </w:rPr>
              <w:t xml:space="preserve"> to 0.9</w:t>
            </w:r>
            <w:r w:rsidR="00315A44" w:rsidRPr="006311C5">
              <w:rPr>
                <w:rFonts w:ascii="Calibri" w:hAnsi="Calibri" w:cs="Calibri"/>
                <w:color w:val="000000"/>
                <w:szCs w:val="18"/>
              </w:rPr>
              <w:t>37</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668FF1DC" w14:textId="7AFC3C5D" w:rsidR="00BB2117" w:rsidRPr="006311C5" w:rsidRDefault="00BB2117" w:rsidP="00BB2117">
            <w:pPr>
              <w:pStyle w:val="Tabletext"/>
              <w:rPr>
                <w:rFonts w:cstheme="minorHAnsi"/>
                <w:szCs w:val="18"/>
              </w:rPr>
            </w:pPr>
            <w:r w:rsidRPr="006311C5">
              <w:rPr>
                <w:rFonts w:ascii="Calibri" w:hAnsi="Calibri" w:cs="Calibri"/>
                <w:color w:val="000000"/>
                <w:szCs w:val="18"/>
              </w:rPr>
              <w:t>0.001</w:t>
            </w:r>
            <w:r w:rsidR="00171AA3"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3A13275F" w14:textId="1F4406B7" w:rsidR="00BB2117" w:rsidRPr="006311C5" w:rsidRDefault="00EA3FB9" w:rsidP="00BB2117">
            <w:pPr>
              <w:pStyle w:val="Tabletext"/>
              <w:rPr>
                <w:rFonts w:cstheme="minorHAnsi"/>
                <w:szCs w:val="18"/>
              </w:rPr>
            </w:pPr>
            <w:r w:rsidRPr="006311C5">
              <w:rPr>
                <w:rFonts w:cstheme="minorHAnsi"/>
                <w:szCs w:val="18"/>
              </w:rPr>
              <w:t>0.81</w:t>
            </w:r>
            <w:r w:rsidR="00212ACF" w:rsidRPr="006311C5">
              <w:rPr>
                <w:rFonts w:cstheme="minorHAnsi"/>
                <w:szCs w:val="18"/>
              </w:rPr>
              <w:t>3</w:t>
            </w:r>
            <w:r w:rsidRPr="006311C5">
              <w:rPr>
                <w:rFonts w:cstheme="minorHAnsi"/>
                <w:szCs w:val="18"/>
              </w:rPr>
              <w:t xml:space="preserve"> (0.73</w:t>
            </w:r>
            <w:r w:rsidR="00212ACF" w:rsidRPr="006311C5">
              <w:rPr>
                <w:rFonts w:cstheme="minorHAnsi"/>
                <w:szCs w:val="18"/>
              </w:rPr>
              <w:t>3</w:t>
            </w:r>
            <w:r w:rsidRPr="006311C5">
              <w:rPr>
                <w:rFonts w:cstheme="minorHAnsi"/>
                <w:szCs w:val="18"/>
              </w:rPr>
              <w:t xml:space="preserve"> to 0.90</w:t>
            </w:r>
            <w:r w:rsidR="00212ACF" w:rsidRPr="006311C5">
              <w:rPr>
                <w:rFonts w:cstheme="minorHAnsi"/>
                <w:szCs w:val="18"/>
              </w:rPr>
              <w:t>3</w:t>
            </w:r>
            <w:r w:rsidRPr="006311C5">
              <w:rPr>
                <w:rFonts w:cstheme="minorHAnsi"/>
                <w:szCs w:val="18"/>
              </w:rPr>
              <w:t>)</w:t>
            </w:r>
          </w:p>
        </w:tc>
        <w:tc>
          <w:tcPr>
            <w:tcW w:w="0" w:type="auto"/>
            <w:tcBorders>
              <w:top w:val="nil"/>
              <w:left w:val="nil"/>
              <w:bottom w:val="nil"/>
              <w:right w:val="nil"/>
            </w:tcBorders>
            <w:shd w:val="clear" w:color="auto" w:fill="auto"/>
          </w:tcPr>
          <w:p w14:paraId="0BDA4D1E" w14:textId="0F5419E4" w:rsidR="00BB2117" w:rsidRPr="006311C5" w:rsidRDefault="00913AE2" w:rsidP="00BB2117">
            <w:pPr>
              <w:pStyle w:val="Tabletext"/>
              <w:rPr>
                <w:rFonts w:cstheme="minorHAnsi"/>
                <w:szCs w:val="18"/>
              </w:rPr>
            </w:pPr>
            <w:r w:rsidRPr="006311C5">
              <w:rPr>
                <w:rFonts w:cstheme="minorHAnsi"/>
                <w:szCs w:val="18"/>
              </w:rPr>
              <w:t>&lt;0.001</w:t>
            </w:r>
            <w:r w:rsidR="00171AA3" w:rsidRPr="006311C5">
              <w:rPr>
                <w:rFonts w:cstheme="minorHAnsi"/>
                <w:szCs w:val="18"/>
              </w:rPr>
              <w:t>*</w:t>
            </w:r>
          </w:p>
        </w:tc>
      </w:tr>
      <w:tr w:rsidR="003E5A9E" w:rsidRPr="006311C5" w14:paraId="3651D1F4" w14:textId="77777777" w:rsidTr="00251E59">
        <w:tc>
          <w:tcPr>
            <w:tcW w:w="0" w:type="auto"/>
            <w:vMerge/>
            <w:tcBorders>
              <w:left w:val="nil"/>
              <w:right w:val="nil"/>
            </w:tcBorders>
          </w:tcPr>
          <w:p w14:paraId="6BC63F5F" w14:textId="77777777" w:rsidR="00BB2117" w:rsidRPr="006311C5" w:rsidRDefault="00BB2117" w:rsidP="00BB2117">
            <w:pPr>
              <w:pStyle w:val="Tabletext"/>
              <w:rPr>
                <w:rFonts w:cstheme="minorHAnsi"/>
                <w:szCs w:val="18"/>
              </w:rPr>
            </w:pPr>
          </w:p>
        </w:tc>
        <w:tc>
          <w:tcPr>
            <w:tcW w:w="0" w:type="auto"/>
            <w:vMerge w:val="restart"/>
            <w:tcBorders>
              <w:left w:val="nil"/>
              <w:right w:val="nil"/>
            </w:tcBorders>
          </w:tcPr>
          <w:p w14:paraId="2F7A0232" w14:textId="7FE6AB3B" w:rsidR="00BB2117" w:rsidRPr="006311C5" w:rsidRDefault="00BB2117" w:rsidP="00BB2117">
            <w:pPr>
              <w:pStyle w:val="Tabletext"/>
              <w:rPr>
                <w:rFonts w:cstheme="minorHAnsi"/>
                <w:szCs w:val="18"/>
              </w:rPr>
            </w:pPr>
            <w:r w:rsidRPr="006311C5">
              <w:rPr>
                <w:rFonts w:cstheme="minorHAnsi"/>
                <w:szCs w:val="18"/>
              </w:rPr>
              <w:t>Gender</w:t>
            </w:r>
          </w:p>
        </w:tc>
        <w:tc>
          <w:tcPr>
            <w:tcW w:w="0" w:type="auto"/>
            <w:tcBorders>
              <w:top w:val="single" w:sz="4" w:space="0" w:color="auto"/>
              <w:left w:val="nil"/>
              <w:bottom w:val="nil"/>
              <w:right w:val="nil"/>
            </w:tcBorders>
          </w:tcPr>
          <w:p w14:paraId="76B2F42E" w14:textId="77777777" w:rsidR="00BB2117" w:rsidRPr="006311C5" w:rsidRDefault="00BB2117" w:rsidP="00BB2117">
            <w:pPr>
              <w:pStyle w:val="Tabletext"/>
              <w:rPr>
                <w:rFonts w:cstheme="minorHAnsi"/>
                <w:szCs w:val="18"/>
              </w:rPr>
            </w:pPr>
            <w:r w:rsidRPr="006311C5">
              <w:rPr>
                <w:rFonts w:cstheme="minorHAnsi"/>
                <w:szCs w:val="18"/>
              </w:rPr>
              <w:t xml:space="preserve">Female </w:t>
            </w:r>
          </w:p>
        </w:tc>
        <w:tc>
          <w:tcPr>
            <w:tcW w:w="0" w:type="auto"/>
            <w:tcBorders>
              <w:top w:val="single" w:sz="4" w:space="0" w:color="auto"/>
              <w:left w:val="nil"/>
              <w:bottom w:val="nil"/>
              <w:right w:val="nil"/>
            </w:tcBorders>
            <w:shd w:val="clear" w:color="auto" w:fill="auto"/>
          </w:tcPr>
          <w:p w14:paraId="4FEBACEB" w14:textId="77777777" w:rsidR="00BB2117" w:rsidRPr="006311C5" w:rsidRDefault="00BB2117" w:rsidP="00BB2117">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shd w:val="clear" w:color="auto" w:fill="auto"/>
          </w:tcPr>
          <w:p w14:paraId="1F5593A8" w14:textId="77777777" w:rsidR="00BB2117" w:rsidRPr="006311C5" w:rsidRDefault="00BB2117" w:rsidP="00BB2117">
            <w:pPr>
              <w:pStyle w:val="Tabletext"/>
              <w:rPr>
                <w:rFonts w:cstheme="minorHAnsi"/>
                <w:szCs w:val="18"/>
              </w:rPr>
            </w:pPr>
            <w:r w:rsidRPr="006311C5">
              <w:rPr>
                <w:rFonts w:cstheme="minorHAnsi"/>
                <w:szCs w:val="18"/>
              </w:rPr>
              <w:t>-</w:t>
            </w:r>
          </w:p>
        </w:tc>
        <w:tc>
          <w:tcPr>
            <w:tcW w:w="0" w:type="auto"/>
            <w:tcBorders>
              <w:top w:val="single" w:sz="4" w:space="0" w:color="auto"/>
              <w:left w:val="nil"/>
              <w:bottom w:val="nil"/>
              <w:right w:val="nil"/>
            </w:tcBorders>
          </w:tcPr>
          <w:p w14:paraId="50501F18" w14:textId="77777777" w:rsidR="00BB2117" w:rsidRPr="006311C5" w:rsidRDefault="00BB2117" w:rsidP="00BB2117">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tcPr>
          <w:p w14:paraId="2CC5AB85" w14:textId="77777777" w:rsidR="00BB2117" w:rsidRPr="006311C5" w:rsidRDefault="00BB2117" w:rsidP="00BB2117">
            <w:pPr>
              <w:pStyle w:val="Tabletext"/>
              <w:rPr>
                <w:rFonts w:cstheme="minorHAnsi"/>
                <w:szCs w:val="18"/>
              </w:rPr>
            </w:pPr>
            <w:r w:rsidRPr="006311C5">
              <w:rPr>
                <w:rFonts w:cstheme="minorHAnsi"/>
                <w:szCs w:val="18"/>
              </w:rPr>
              <w:t>-</w:t>
            </w:r>
          </w:p>
        </w:tc>
      </w:tr>
      <w:tr w:rsidR="003E5A9E" w:rsidRPr="006311C5" w14:paraId="3C9CF931" w14:textId="77777777" w:rsidTr="00251E59">
        <w:tc>
          <w:tcPr>
            <w:tcW w:w="0" w:type="auto"/>
            <w:vMerge/>
            <w:tcBorders>
              <w:left w:val="nil"/>
              <w:right w:val="nil"/>
            </w:tcBorders>
          </w:tcPr>
          <w:p w14:paraId="7BF03FCD" w14:textId="77777777" w:rsidR="00EA3FB9" w:rsidRPr="006311C5" w:rsidRDefault="00EA3FB9" w:rsidP="00EA3FB9">
            <w:pPr>
              <w:pStyle w:val="Tabletext"/>
              <w:rPr>
                <w:rFonts w:cstheme="minorHAnsi"/>
                <w:szCs w:val="18"/>
              </w:rPr>
            </w:pPr>
          </w:p>
        </w:tc>
        <w:tc>
          <w:tcPr>
            <w:tcW w:w="0" w:type="auto"/>
            <w:vMerge/>
            <w:tcBorders>
              <w:left w:val="nil"/>
              <w:right w:val="nil"/>
            </w:tcBorders>
          </w:tcPr>
          <w:p w14:paraId="4ACC8439" w14:textId="77777777" w:rsidR="00EA3FB9" w:rsidRPr="006311C5" w:rsidRDefault="00EA3FB9" w:rsidP="00EA3FB9">
            <w:pPr>
              <w:pStyle w:val="Tabletext"/>
              <w:rPr>
                <w:rFonts w:cstheme="minorHAnsi"/>
                <w:szCs w:val="18"/>
              </w:rPr>
            </w:pPr>
          </w:p>
        </w:tc>
        <w:tc>
          <w:tcPr>
            <w:tcW w:w="0" w:type="auto"/>
            <w:tcBorders>
              <w:top w:val="nil"/>
              <w:left w:val="nil"/>
              <w:bottom w:val="single" w:sz="4" w:space="0" w:color="auto"/>
              <w:right w:val="nil"/>
            </w:tcBorders>
          </w:tcPr>
          <w:p w14:paraId="22F95627" w14:textId="77777777" w:rsidR="00EA3FB9" w:rsidRPr="006311C5" w:rsidRDefault="00EA3FB9" w:rsidP="00EA3FB9">
            <w:pPr>
              <w:pStyle w:val="Tabletext"/>
              <w:rPr>
                <w:rFonts w:cstheme="minorHAnsi"/>
                <w:szCs w:val="18"/>
              </w:rPr>
            </w:pPr>
            <w:r w:rsidRPr="006311C5">
              <w:rPr>
                <w:rFonts w:cstheme="minorHAnsi"/>
                <w:szCs w:val="18"/>
              </w:rPr>
              <w:t>Male</w:t>
            </w:r>
          </w:p>
        </w:tc>
        <w:tc>
          <w:tcPr>
            <w:tcW w:w="0" w:type="auto"/>
            <w:tcBorders>
              <w:top w:val="nil"/>
              <w:left w:val="nil"/>
              <w:bottom w:val="single" w:sz="4" w:space="0" w:color="auto"/>
              <w:right w:val="nil"/>
            </w:tcBorders>
            <w:shd w:val="clear" w:color="auto" w:fill="auto"/>
          </w:tcPr>
          <w:p w14:paraId="74134FD8" w14:textId="4AF33E8F" w:rsidR="00EA3FB9" w:rsidRPr="006311C5" w:rsidRDefault="00EA3FB9" w:rsidP="00EA3FB9">
            <w:pPr>
              <w:pStyle w:val="Tabletext"/>
              <w:rPr>
                <w:rFonts w:cstheme="minorHAnsi"/>
                <w:szCs w:val="18"/>
              </w:rPr>
            </w:pPr>
            <w:r w:rsidRPr="006311C5">
              <w:rPr>
                <w:rFonts w:cstheme="minorHAnsi"/>
                <w:szCs w:val="18"/>
              </w:rPr>
              <w:t>0.5</w:t>
            </w:r>
            <w:r w:rsidR="00212ACF" w:rsidRPr="006311C5">
              <w:rPr>
                <w:rFonts w:cstheme="minorHAnsi"/>
                <w:szCs w:val="18"/>
              </w:rPr>
              <w:t>79</w:t>
            </w:r>
            <w:r w:rsidRPr="006311C5">
              <w:rPr>
                <w:rFonts w:cstheme="minorHAnsi"/>
                <w:szCs w:val="18"/>
              </w:rPr>
              <w:t xml:space="preserve"> (0.4</w:t>
            </w:r>
            <w:r w:rsidR="00212ACF" w:rsidRPr="006311C5">
              <w:rPr>
                <w:rFonts w:cstheme="minorHAnsi"/>
                <w:szCs w:val="18"/>
              </w:rPr>
              <w:t>39</w:t>
            </w:r>
            <w:r w:rsidRPr="006311C5">
              <w:rPr>
                <w:rFonts w:cstheme="minorHAnsi"/>
                <w:szCs w:val="18"/>
              </w:rPr>
              <w:t xml:space="preserve"> to 0.76</w:t>
            </w:r>
            <w:r w:rsidR="00212ACF" w:rsidRPr="006311C5">
              <w:rPr>
                <w:rFonts w:cstheme="minorHAnsi"/>
                <w:szCs w:val="18"/>
              </w:rPr>
              <w:t>4</w:t>
            </w:r>
            <w:r w:rsidRPr="006311C5">
              <w:rPr>
                <w:rFonts w:cstheme="minorHAnsi"/>
                <w:szCs w:val="18"/>
              </w:rPr>
              <w:t>)</w:t>
            </w:r>
          </w:p>
        </w:tc>
        <w:tc>
          <w:tcPr>
            <w:tcW w:w="0" w:type="auto"/>
            <w:tcBorders>
              <w:top w:val="nil"/>
              <w:left w:val="nil"/>
              <w:bottom w:val="single" w:sz="4" w:space="0" w:color="auto"/>
              <w:right w:val="nil"/>
            </w:tcBorders>
            <w:shd w:val="clear" w:color="auto" w:fill="auto"/>
          </w:tcPr>
          <w:p w14:paraId="23EB0130" w14:textId="39A4B4CC" w:rsidR="00EA3FB9" w:rsidRPr="006311C5" w:rsidRDefault="00EA3FB9" w:rsidP="00EA3FB9">
            <w:pPr>
              <w:pStyle w:val="Tabletext"/>
              <w:rPr>
                <w:rFonts w:cstheme="minorHAnsi"/>
                <w:szCs w:val="18"/>
              </w:rPr>
            </w:pPr>
            <w:r w:rsidRPr="006311C5">
              <w:rPr>
                <w:rFonts w:cstheme="minorHAnsi"/>
                <w:szCs w:val="18"/>
              </w:rPr>
              <w:t>&lt;0.001</w:t>
            </w:r>
            <w:r w:rsidR="00171AA3" w:rsidRPr="006311C5">
              <w:rPr>
                <w:rFonts w:cstheme="minorHAnsi"/>
                <w:szCs w:val="18"/>
              </w:rPr>
              <w:t>*</w:t>
            </w:r>
          </w:p>
        </w:tc>
        <w:tc>
          <w:tcPr>
            <w:tcW w:w="0" w:type="auto"/>
            <w:tcBorders>
              <w:top w:val="nil"/>
              <w:left w:val="nil"/>
              <w:bottom w:val="nil"/>
              <w:right w:val="nil"/>
            </w:tcBorders>
            <w:shd w:val="clear" w:color="auto" w:fill="auto"/>
          </w:tcPr>
          <w:p w14:paraId="6908713D" w14:textId="4F10EBE9" w:rsidR="00EA3FB9" w:rsidRPr="006311C5" w:rsidRDefault="00EA3FB9" w:rsidP="00EA3FB9">
            <w:pPr>
              <w:pStyle w:val="Tabletext"/>
              <w:rPr>
                <w:rFonts w:cstheme="minorHAnsi"/>
                <w:szCs w:val="18"/>
              </w:rPr>
            </w:pPr>
            <w:r w:rsidRPr="006311C5">
              <w:rPr>
                <w:rFonts w:ascii="Calibri" w:hAnsi="Calibri" w:cs="Calibri"/>
                <w:color w:val="000000"/>
                <w:szCs w:val="18"/>
              </w:rPr>
              <w:t>0.6</w:t>
            </w:r>
            <w:r w:rsidR="00212ACF" w:rsidRPr="006311C5">
              <w:rPr>
                <w:rFonts w:ascii="Calibri" w:hAnsi="Calibri" w:cs="Calibri"/>
                <w:color w:val="000000"/>
                <w:szCs w:val="18"/>
              </w:rPr>
              <w:t>66</w:t>
            </w:r>
            <w:r w:rsidRPr="006311C5">
              <w:rPr>
                <w:rFonts w:ascii="Calibri" w:hAnsi="Calibri" w:cs="Calibri"/>
                <w:color w:val="000000"/>
                <w:szCs w:val="18"/>
              </w:rPr>
              <w:t xml:space="preserve"> (0.50</w:t>
            </w:r>
            <w:r w:rsidR="00212ACF" w:rsidRPr="006311C5">
              <w:rPr>
                <w:rFonts w:ascii="Calibri" w:hAnsi="Calibri" w:cs="Calibri"/>
                <w:color w:val="000000"/>
                <w:szCs w:val="18"/>
              </w:rPr>
              <w:t>4</w:t>
            </w:r>
            <w:r w:rsidRPr="006311C5">
              <w:rPr>
                <w:rFonts w:ascii="Calibri" w:hAnsi="Calibri" w:cs="Calibri"/>
                <w:color w:val="000000"/>
                <w:szCs w:val="18"/>
              </w:rPr>
              <w:t xml:space="preserve"> to 0.88</w:t>
            </w:r>
            <w:r w:rsidR="00212ACF" w:rsidRPr="006311C5">
              <w:rPr>
                <w:rFonts w:ascii="Calibri" w:hAnsi="Calibri" w:cs="Calibri"/>
                <w:color w:val="000000"/>
                <w:szCs w:val="18"/>
              </w:rPr>
              <w:t>0</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03ED2B26" w14:textId="2871E61E" w:rsidR="00EA3FB9" w:rsidRPr="006311C5" w:rsidRDefault="00EA3FB9" w:rsidP="00EA3FB9">
            <w:pPr>
              <w:pStyle w:val="Tabletext"/>
              <w:rPr>
                <w:rFonts w:cstheme="minorHAnsi"/>
                <w:szCs w:val="18"/>
              </w:rPr>
            </w:pPr>
            <w:r w:rsidRPr="006311C5">
              <w:rPr>
                <w:rFonts w:ascii="Calibri" w:hAnsi="Calibri" w:cs="Calibri"/>
                <w:color w:val="000000"/>
                <w:szCs w:val="18"/>
              </w:rPr>
              <w:t>0.004</w:t>
            </w:r>
            <w:r w:rsidR="00171AA3" w:rsidRPr="006311C5">
              <w:rPr>
                <w:rFonts w:ascii="Calibri" w:hAnsi="Calibri" w:cs="Calibri"/>
                <w:color w:val="000000"/>
                <w:szCs w:val="18"/>
              </w:rPr>
              <w:t>*</w:t>
            </w:r>
          </w:p>
        </w:tc>
      </w:tr>
      <w:tr w:rsidR="003E5A9E" w:rsidRPr="006311C5" w14:paraId="76983ADF" w14:textId="77777777" w:rsidTr="00251E59">
        <w:tc>
          <w:tcPr>
            <w:tcW w:w="0" w:type="auto"/>
            <w:vMerge/>
            <w:tcBorders>
              <w:left w:val="nil"/>
              <w:right w:val="nil"/>
            </w:tcBorders>
          </w:tcPr>
          <w:p w14:paraId="6D10A2F7" w14:textId="77777777" w:rsidR="00EA3FB9" w:rsidRPr="006311C5" w:rsidRDefault="00EA3FB9" w:rsidP="00EA3FB9">
            <w:pPr>
              <w:pStyle w:val="Tabletext"/>
              <w:rPr>
                <w:rFonts w:cstheme="minorHAnsi"/>
                <w:szCs w:val="18"/>
              </w:rPr>
            </w:pPr>
          </w:p>
        </w:tc>
        <w:tc>
          <w:tcPr>
            <w:tcW w:w="0" w:type="auto"/>
            <w:vMerge w:val="restart"/>
            <w:tcBorders>
              <w:left w:val="nil"/>
              <w:right w:val="nil"/>
            </w:tcBorders>
          </w:tcPr>
          <w:p w14:paraId="3248D997" w14:textId="77777777" w:rsidR="00EA3FB9" w:rsidRPr="006311C5" w:rsidRDefault="00EA3FB9" w:rsidP="00EA3FB9">
            <w:pPr>
              <w:pStyle w:val="Tabletext"/>
              <w:rPr>
                <w:rFonts w:cstheme="minorHAnsi"/>
                <w:szCs w:val="18"/>
              </w:rPr>
            </w:pPr>
            <w:r w:rsidRPr="006311C5">
              <w:rPr>
                <w:rFonts w:cstheme="minorHAnsi"/>
                <w:szCs w:val="18"/>
              </w:rPr>
              <w:t>Ethnicity</w:t>
            </w:r>
          </w:p>
        </w:tc>
        <w:tc>
          <w:tcPr>
            <w:tcW w:w="0" w:type="auto"/>
            <w:tcBorders>
              <w:top w:val="single" w:sz="4" w:space="0" w:color="auto"/>
              <w:left w:val="nil"/>
              <w:bottom w:val="nil"/>
              <w:right w:val="nil"/>
            </w:tcBorders>
          </w:tcPr>
          <w:p w14:paraId="2FD03313" w14:textId="77777777" w:rsidR="00EA3FB9" w:rsidRPr="006311C5" w:rsidRDefault="00EA3FB9" w:rsidP="00EA3FB9">
            <w:pPr>
              <w:pStyle w:val="Tabletext"/>
              <w:rPr>
                <w:rFonts w:cstheme="minorHAnsi"/>
                <w:szCs w:val="18"/>
              </w:rPr>
            </w:pPr>
            <w:r w:rsidRPr="006311C5">
              <w:rPr>
                <w:rFonts w:cstheme="minorHAnsi"/>
                <w:szCs w:val="18"/>
              </w:rPr>
              <w:t>White</w:t>
            </w:r>
          </w:p>
        </w:tc>
        <w:tc>
          <w:tcPr>
            <w:tcW w:w="0" w:type="auto"/>
            <w:tcBorders>
              <w:top w:val="single" w:sz="4" w:space="0" w:color="auto"/>
              <w:left w:val="nil"/>
              <w:bottom w:val="nil"/>
              <w:right w:val="nil"/>
            </w:tcBorders>
            <w:shd w:val="clear" w:color="auto" w:fill="auto"/>
          </w:tcPr>
          <w:p w14:paraId="1F582C9F" w14:textId="77777777" w:rsidR="00EA3FB9" w:rsidRPr="006311C5" w:rsidRDefault="00EA3FB9" w:rsidP="00EA3FB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shd w:val="clear" w:color="auto" w:fill="auto"/>
          </w:tcPr>
          <w:p w14:paraId="14B49E11" w14:textId="77777777" w:rsidR="00EA3FB9" w:rsidRPr="006311C5" w:rsidRDefault="00EA3FB9" w:rsidP="00EA3FB9">
            <w:pPr>
              <w:pStyle w:val="Tabletext"/>
              <w:rPr>
                <w:rFonts w:cstheme="minorHAnsi"/>
                <w:szCs w:val="18"/>
              </w:rPr>
            </w:pPr>
            <w:r w:rsidRPr="006311C5">
              <w:rPr>
                <w:rFonts w:cstheme="minorHAnsi"/>
                <w:szCs w:val="18"/>
              </w:rPr>
              <w:t>-</w:t>
            </w:r>
          </w:p>
        </w:tc>
        <w:tc>
          <w:tcPr>
            <w:tcW w:w="0" w:type="auto"/>
            <w:tcBorders>
              <w:top w:val="single" w:sz="4" w:space="0" w:color="auto"/>
              <w:left w:val="nil"/>
              <w:bottom w:val="nil"/>
              <w:right w:val="nil"/>
            </w:tcBorders>
          </w:tcPr>
          <w:p w14:paraId="683A9C74" w14:textId="77777777" w:rsidR="00EA3FB9" w:rsidRPr="006311C5" w:rsidRDefault="00EA3FB9" w:rsidP="00EA3FB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tcPr>
          <w:p w14:paraId="2B910C79" w14:textId="77777777" w:rsidR="00EA3FB9" w:rsidRPr="006311C5" w:rsidRDefault="00EA3FB9" w:rsidP="00EA3FB9">
            <w:pPr>
              <w:pStyle w:val="Tabletext"/>
              <w:rPr>
                <w:rFonts w:cstheme="minorHAnsi"/>
                <w:szCs w:val="18"/>
              </w:rPr>
            </w:pPr>
            <w:r w:rsidRPr="006311C5">
              <w:rPr>
                <w:rFonts w:cstheme="minorHAnsi"/>
                <w:szCs w:val="18"/>
              </w:rPr>
              <w:t>-</w:t>
            </w:r>
          </w:p>
        </w:tc>
      </w:tr>
      <w:tr w:rsidR="003E5A9E" w:rsidRPr="006311C5" w14:paraId="3F581598" w14:textId="77777777" w:rsidTr="00251E59">
        <w:tc>
          <w:tcPr>
            <w:tcW w:w="0" w:type="auto"/>
            <w:vMerge/>
            <w:tcBorders>
              <w:left w:val="nil"/>
              <w:right w:val="nil"/>
            </w:tcBorders>
          </w:tcPr>
          <w:p w14:paraId="491770B3" w14:textId="77777777" w:rsidR="00EA3FB9" w:rsidRPr="006311C5" w:rsidRDefault="00EA3FB9" w:rsidP="00EA3FB9">
            <w:pPr>
              <w:pStyle w:val="Tabletext"/>
              <w:rPr>
                <w:rFonts w:cstheme="minorHAnsi"/>
                <w:szCs w:val="18"/>
              </w:rPr>
            </w:pPr>
          </w:p>
        </w:tc>
        <w:tc>
          <w:tcPr>
            <w:tcW w:w="0" w:type="auto"/>
            <w:vMerge/>
            <w:tcBorders>
              <w:left w:val="nil"/>
              <w:right w:val="nil"/>
            </w:tcBorders>
          </w:tcPr>
          <w:p w14:paraId="234B6E40" w14:textId="77777777" w:rsidR="00EA3FB9" w:rsidRPr="006311C5" w:rsidRDefault="00EA3FB9" w:rsidP="00EA3FB9">
            <w:pPr>
              <w:pStyle w:val="Tabletext"/>
              <w:rPr>
                <w:rFonts w:cstheme="minorHAnsi"/>
                <w:szCs w:val="18"/>
              </w:rPr>
            </w:pPr>
          </w:p>
        </w:tc>
        <w:tc>
          <w:tcPr>
            <w:tcW w:w="0" w:type="auto"/>
            <w:tcBorders>
              <w:top w:val="nil"/>
              <w:left w:val="nil"/>
              <w:bottom w:val="single" w:sz="4" w:space="0" w:color="auto"/>
              <w:right w:val="nil"/>
            </w:tcBorders>
          </w:tcPr>
          <w:p w14:paraId="1FD16452" w14:textId="77777777" w:rsidR="00EA3FB9" w:rsidRPr="006311C5" w:rsidRDefault="00EA3FB9" w:rsidP="00EA3FB9">
            <w:pPr>
              <w:pStyle w:val="Tabletext"/>
              <w:rPr>
                <w:rFonts w:cstheme="minorHAnsi"/>
                <w:szCs w:val="18"/>
              </w:rPr>
            </w:pPr>
            <w:r w:rsidRPr="006311C5">
              <w:rPr>
                <w:rFonts w:cstheme="minorHAnsi"/>
                <w:szCs w:val="18"/>
              </w:rPr>
              <w:t>Black and minority ethnic</w:t>
            </w:r>
          </w:p>
        </w:tc>
        <w:tc>
          <w:tcPr>
            <w:tcW w:w="0" w:type="auto"/>
            <w:tcBorders>
              <w:top w:val="nil"/>
              <w:left w:val="nil"/>
              <w:bottom w:val="nil"/>
              <w:right w:val="nil"/>
            </w:tcBorders>
            <w:shd w:val="clear" w:color="auto" w:fill="auto"/>
          </w:tcPr>
          <w:p w14:paraId="1FBB9F8D" w14:textId="24679435" w:rsidR="00EA3FB9" w:rsidRPr="006311C5" w:rsidRDefault="00EA3FB9" w:rsidP="00EA3FB9">
            <w:pPr>
              <w:pStyle w:val="Tabletext"/>
              <w:rPr>
                <w:rFonts w:cstheme="minorHAnsi"/>
                <w:szCs w:val="18"/>
              </w:rPr>
            </w:pPr>
            <w:r w:rsidRPr="006311C5">
              <w:rPr>
                <w:rFonts w:ascii="Calibri" w:hAnsi="Calibri" w:cs="Calibri"/>
                <w:color w:val="000000"/>
                <w:szCs w:val="18"/>
              </w:rPr>
              <w:t>1.2</w:t>
            </w:r>
            <w:r w:rsidR="00212ACF" w:rsidRPr="006311C5">
              <w:rPr>
                <w:rFonts w:ascii="Calibri" w:hAnsi="Calibri" w:cs="Calibri"/>
                <w:color w:val="000000"/>
                <w:szCs w:val="18"/>
              </w:rPr>
              <w:t>19</w:t>
            </w:r>
            <w:r w:rsidRPr="006311C5">
              <w:rPr>
                <w:rFonts w:ascii="Calibri" w:hAnsi="Calibri" w:cs="Calibri"/>
                <w:color w:val="000000"/>
                <w:szCs w:val="18"/>
              </w:rPr>
              <w:t xml:space="preserve"> (0.78</w:t>
            </w:r>
            <w:r w:rsidR="00212ACF" w:rsidRPr="006311C5">
              <w:rPr>
                <w:rFonts w:ascii="Calibri" w:hAnsi="Calibri" w:cs="Calibri"/>
                <w:color w:val="000000"/>
                <w:szCs w:val="18"/>
              </w:rPr>
              <w:t>2</w:t>
            </w:r>
            <w:r w:rsidRPr="006311C5">
              <w:rPr>
                <w:rFonts w:ascii="Calibri" w:hAnsi="Calibri" w:cs="Calibri"/>
                <w:color w:val="000000"/>
                <w:szCs w:val="18"/>
              </w:rPr>
              <w:t xml:space="preserve"> to 1.90</w:t>
            </w:r>
            <w:r w:rsidR="00212ACF" w:rsidRPr="006311C5">
              <w:rPr>
                <w:rFonts w:ascii="Calibri" w:hAnsi="Calibri" w:cs="Calibri"/>
                <w:color w:val="000000"/>
                <w:szCs w:val="18"/>
              </w:rPr>
              <w:t>0</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7BE498D2" w14:textId="3A2F13B9" w:rsidR="00EA3FB9" w:rsidRPr="006311C5" w:rsidRDefault="00EA3FB9" w:rsidP="00EA3FB9">
            <w:pPr>
              <w:pStyle w:val="Tabletext"/>
              <w:rPr>
                <w:rFonts w:cstheme="minorHAnsi"/>
                <w:szCs w:val="18"/>
              </w:rPr>
            </w:pPr>
            <w:r w:rsidRPr="006311C5">
              <w:rPr>
                <w:rFonts w:ascii="Calibri" w:hAnsi="Calibri" w:cs="Calibri"/>
                <w:color w:val="000000"/>
                <w:szCs w:val="18"/>
              </w:rPr>
              <w:t>0.38</w:t>
            </w:r>
            <w:r w:rsidR="00212ACF" w:rsidRPr="006311C5">
              <w:rPr>
                <w:rFonts w:ascii="Calibri" w:hAnsi="Calibri" w:cs="Calibri"/>
                <w:color w:val="000000"/>
                <w:szCs w:val="18"/>
              </w:rPr>
              <w:t>2</w:t>
            </w:r>
          </w:p>
        </w:tc>
        <w:tc>
          <w:tcPr>
            <w:tcW w:w="0" w:type="auto"/>
            <w:tcBorders>
              <w:top w:val="nil"/>
              <w:left w:val="nil"/>
              <w:bottom w:val="nil"/>
              <w:right w:val="nil"/>
            </w:tcBorders>
            <w:shd w:val="clear" w:color="auto" w:fill="auto"/>
          </w:tcPr>
          <w:p w14:paraId="762C9D01" w14:textId="56627077" w:rsidR="00EA3FB9" w:rsidRPr="006311C5" w:rsidRDefault="00EA3FB9" w:rsidP="00EA3FB9">
            <w:pPr>
              <w:pStyle w:val="Tabletext"/>
              <w:rPr>
                <w:rFonts w:cstheme="minorHAnsi"/>
                <w:szCs w:val="18"/>
              </w:rPr>
            </w:pPr>
            <w:r w:rsidRPr="006311C5">
              <w:rPr>
                <w:rFonts w:ascii="Calibri" w:hAnsi="Calibri" w:cs="Calibri"/>
                <w:color w:val="000000"/>
                <w:szCs w:val="18"/>
              </w:rPr>
              <w:t>1.2</w:t>
            </w:r>
            <w:r w:rsidR="00212ACF" w:rsidRPr="006311C5">
              <w:rPr>
                <w:rFonts w:ascii="Calibri" w:hAnsi="Calibri" w:cs="Calibri"/>
                <w:color w:val="000000"/>
                <w:szCs w:val="18"/>
              </w:rPr>
              <w:t>76</w:t>
            </w:r>
            <w:r w:rsidRPr="006311C5">
              <w:rPr>
                <w:rFonts w:ascii="Calibri" w:hAnsi="Calibri" w:cs="Calibri"/>
                <w:color w:val="000000"/>
                <w:szCs w:val="18"/>
              </w:rPr>
              <w:t xml:space="preserve"> (0.8</w:t>
            </w:r>
            <w:r w:rsidR="00212ACF" w:rsidRPr="006311C5">
              <w:rPr>
                <w:rFonts w:ascii="Calibri" w:hAnsi="Calibri" w:cs="Calibri"/>
                <w:color w:val="000000"/>
                <w:szCs w:val="18"/>
              </w:rPr>
              <w:t>26</w:t>
            </w:r>
            <w:r w:rsidRPr="006311C5">
              <w:rPr>
                <w:rFonts w:ascii="Calibri" w:hAnsi="Calibri" w:cs="Calibri"/>
                <w:color w:val="000000"/>
                <w:szCs w:val="18"/>
              </w:rPr>
              <w:t xml:space="preserve"> to 1.9</w:t>
            </w:r>
            <w:r w:rsidR="00212ACF" w:rsidRPr="006311C5">
              <w:rPr>
                <w:rFonts w:ascii="Calibri" w:hAnsi="Calibri" w:cs="Calibri"/>
                <w:color w:val="000000"/>
                <w:szCs w:val="18"/>
              </w:rPr>
              <w:t>69</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28903543" w14:textId="42632FFC" w:rsidR="00EA3FB9" w:rsidRPr="006311C5" w:rsidRDefault="00EA3FB9" w:rsidP="00EA3FB9">
            <w:pPr>
              <w:pStyle w:val="Tabletext"/>
              <w:rPr>
                <w:rFonts w:cstheme="minorHAnsi"/>
                <w:szCs w:val="18"/>
              </w:rPr>
            </w:pPr>
            <w:r w:rsidRPr="006311C5">
              <w:rPr>
                <w:rFonts w:ascii="Calibri" w:hAnsi="Calibri" w:cs="Calibri"/>
                <w:color w:val="000000"/>
                <w:szCs w:val="18"/>
              </w:rPr>
              <w:t>0.27</w:t>
            </w:r>
            <w:r w:rsidR="00212ACF" w:rsidRPr="006311C5">
              <w:rPr>
                <w:rFonts w:ascii="Calibri" w:hAnsi="Calibri" w:cs="Calibri"/>
                <w:color w:val="000000"/>
                <w:szCs w:val="18"/>
              </w:rPr>
              <w:t>2</w:t>
            </w:r>
          </w:p>
        </w:tc>
      </w:tr>
      <w:tr w:rsidR="003E5A9E" w:rsidRPr="006311C5" w14:paraId="64216F84" w14:textId="77777777" w:rsidTr="00251E59">
        <w:tc>
          <w:tcPr>
            <w:tcW w:w="0" w:type="auto"/>
            <w:vMerge/>
            <w:tcBorders>
              <w:left w:val="nil"/>
              <w:right w:val="nil"/>
            </w:tcBorders>
          </w:tcPr>
          <w:p w14:paraId="31414249" w14:textId="77777777" w:rsidR="00EA3FB9" w:rsidRPr="006311C5" w:rsidRDefault="00EA3FB9" w:rsidP="00EA3FB9">
            <w:pPr>
              <w:pStyle w:val="Tabletext"/>
              <w:rPr>
                <w:rFonts w:cstheme="minorHAnsi"/>
                <w:szCs w:val="18"/>
              </w:rPr>
            </w:pPr>
          </w:p>
        </w:tc>
        <w:tc>
          <w:tcPr>
            <w:tcW w:w="0" w:type="auto"/>
            <w:vMerge w:val="restart"/>
            <w:tcBorders>
              <w:left w:val="nil"/>
              <w:right w:val="nil"/>
            </w:tcBorders>
          </w:tcPr>
          <w:p w14:paraId="2F98AABC" w14:textId="0509AE7A" w:rsidR="00EA3FB9" w:rsidRPr="006311C5" w:rsidRDefault="00EA3FB9" w:rsidP="00EA3FB9">
            <w:pPr>
              <w:pStyle w:val="Tabletext"/>
              <w:rPr>
                <w:rFonts w:cstheme="minorHAnsi"/>
                <w:szCs w:val="18"/>
              </w:rPr>
            </w:pPr>
            <w:r w:rsidRPr="006311C5">
              <w:rPr>
                <w:rFonts w:cstheme="minorHAnsi"/>
                <w:szCs w:val="18"/>
              </w:rPr>
              <w:t>At risk for COVID-19</w:t>
            </w:r>
          </w:p>
        </w:tc>
        <w:tc>
          <w:tcPr>
            <w:tcW w:w="0" w:type="auto"/>
            <w:tcBorders>
              <w:left w:val="nil"/>
              <w:bottom w:val="nil"/>
              <w:right w:val="nil"/>
            </w:tcBorders>
          </w:tcPr>
          <w:p w14:paraId="0EDABB54" w14:textId="5F772881" w:rsidR="00EA3FB9" w:rsidRPr="006311C5" w:rsidRDefault="00EA3FB9" w:rsidP="00EA3FB9">
            <w:pPr>
              <w:pStyle w:val="Tabletext"/>
              <w:rPr>
                <w:rFonts w:cstheme="minorHAnsi"/>
                <w:szCs w:val="18"/>
              </w:rPr>
            </w:pPr>
            <w:r w:rsidRPr="006311C5">
              <w:rPr>
                <w:rFonts w:cstheme="minorHAnsi"/>
                <w:szCs w:val="18"/>
              </w:rPr>
              <w:t>No</w:t>
            </w:r>
          </w:p>
        </w:tc>
        <w:tc>
          <w:tcPr>
            <w:tcW w:w="0" w:type="auto"/>
            <w:tcBorders>
              <w:top w:val="single" w:sz="4" w:space="0" w:color="auto"/>
              <w:left w:val="nil"/>
              <w:bottom w:val="nil"/>
              <w:right w:val="nil"/>
            </w:tcBorders>
            <w:shd w:val="clear" w:color="auto" w:fill="auto"/>
          </w:tcPr>
          <w:p w14:paraId="71ADE9C2" w14:textId="7959C0D0" w:rsidR="00EA3FB9" w:rsidRPr="006311C5" w:rsidRDefault="00EA3FB9" w:rsidP="00EA3FB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shd w:val="clear" w:color="auto" w:fill="auto"/>
          </w:tcPr>
          <w:p w14:paraId="37EDABEA" w14:textId="0346F79C" w:rsidR="00EA3FB9" w:rsidRPr="006311C5" w:rsidRDefault="00EA3FB9" w:rsidP="00EA3FB9">
            <w:pPr>
              <w:pStyle w:val="Tabletext"/>
              <w:rPr>
                <w:rFonts w:cstheme="minorHAnsi"/>
                <w:szCs w:val="18"/>
              </w:rPr>
            </w:pPr>
            <w:r w:rsidRPr="006311C5">
              <w:rPr>
                <w:rFonts w:cstheme="minorHAnsi"/>
                <w:szCs w:val="18"/>
              </w:rPr>
              <w:t>-</w:t>
            </w:r>
          </w:p>
        </w:tc>
        <w:tc>
          <w:tcPr>
            <w:tcW w:w="0" w:type="auto"/>
            <w:tcBorders>
              <w:top w:val="single" w:sz="4" w:space="0" w:color="auto"/>
              <w:left w:val="nil"/>
              <w:bottom w:val="nil"/>
              <w:right w:val="nil"/>
            </w:tcBorders>
          </w:tcPr>
          <w:p w14:paraId="087B65F3" w14:textId="5495BB84" w:rsidR="00EA3FB9" w:rsidRPr="006311C5" w:rsidRDefault="00EA3FB9" w:rsidP="00EA3FB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tcPr>
          <w:p w14:paraId="0102D13B" w14:textId="0F47985E" w:rsidR="00EA3FB9" w:rsidRPr="006311C5" w:rsidRDefault="00EA3FB9" w:rsidP="00EA3FB9">
            <w:pPr>
              <w:pStyle w:val="Tabletext"/>
              <w:rPr>
                <w:rFonts w:cstheme="minorHAnsi"/>
                <w:szCs w:val="18"/>
              </w:rPr>
            </w:pPr>
            <w:r w:rsidRPr="006311C5">
              <w:rPr>
                <w:rFonts w:cstheme="minorHAnsi"/>
                <w:szCs w:val="18"/>
              </w:rPr>
              <w:t>-</w:t>
            </w:r>
          </w:p>
        </w:tc>
      </w:tr>
      <w:tr w:rsidR="003E5A9E" w:rsidRPr="006311C5" w14:paraId="35E06462" w14:textId="77777777" w:rsidTr="00251E59">
        <w:tc>
          <w:tcPr>
            <w:tcW w:w="0" w:type="auto"/>
            <w:vMerge/>
            <w:tcBorders>
              <w:left w:val="nil"/>
              <w:right w:val="nil"/>
            </w:tcBorders>
          </w:tcPr>
          <w:p w14:paraId="71C005CD" w14:textId="77777777" w:rsidR="00EA3FB9" w:rsidRPr="006311C5" w:rsidRDefault="00EA3FB9" w:rsidP="00EA3FB9">
            <w:pPr>
              <w:pStyle w:val="Tabletext"/>
              <w:rPr>
                <w:rFonts w:cstheme="minorHAnsi"/>
                <w:szCs w:val="18"/>
              </w:rPr>
            </w:pPr>
          </w:p>
        </w:tc>
        <w:tc>
          <w:tcPr>
            <w:tcW w:w="0" w:type="auto"/>
            <w:vMerge/>
            <w:tcBorders>
              <w:left w:val="nil"/>
              <w:right w:val="nil"/>
            </w:tcBorders>
          </w:tcPr>
          <w:p w14:paraId="6EAB6F86" w14:textId="77777777" w:rsidR="00EA3FB9" w:rsidRPr="006311C5" w:rsidRDefault="00EA3FB9" w:rsidP="00EA3FB9">
            <w:pPr>
              <w:pStyle w:val="Tabletext"/>
              <w:rPr>
                <w:rFonts w:cstheme="minorHAnsi"/>
                <w:szCs w:val="18"/>
              </w:rPr>
            </w:pPr>
          </w:p>
        </w:tc>
        <w:tc>
          <w:tcPr>
            <w:tcW w:w="0" w:type="auto"/>
            <w:tcBorders>
              <w:top w:val="nil"/>
              <w:left w:val="nil"/>
              <w:bottom w:val="single" w:sz="4" w:space="0" w:color="auto"/>
              <w:right w:val="nil"/>
            </w:tcBorders>
          </w:tcPr>
          <w:p w14:paraId="41E250CE" w14:textId="48ACF75C" w:rsidR="00EA3FB9" w:rsidRPr="006311C5" w:rsidRDefault="00EA3FB9" w:rsidP="00EA3FB9">
            <w:pPr>
              <w:pStyle w:val="Tabletext"/>
              <w:rPr>
                <w:rFonts w:cstheme="minorHAnsi"/>
                <w:szCs w:val="18"/>
              </w:rPr>
            </w:pPr>
            <w:r w:rsidRPr="006311C5">
              <w:rPr>
                <w:rFonts w:cstheme="minorHAnsi"/>
                <w:szCs w:val="18"/>
              </w:rPr>
              <w:t>Yes</w:t>
            </w:r>
          </w:p>
        </w:tc>
        <w:tc>
          <w:tcPr>
            <w:tcW w:w="0" w:type="auto"/>
            <w:tcBorders>
              <w:top w:val="nil"/>
              <w:left w:val="nil"/>
              <w:bottom w:val="nil"/>
              <w:right w:val="nil"/>
            </w:tcBorders>
            <w:shd w:val="clear" w:color="auto" w:fill="auto"/>
          </w:tcPr>
          <w:p w14:paraId="2E7DBE74" w14:textId="4FB2BECF" w:rsidR="00EA3FB9" w:rsidRPr="006311C5" w:rsidRDefault="00EA3FB9" w:rsidP="00EA3FB9">
            <w:pPr>
              <w:pStyle w:val="Tabletext"/>
              <w:rPr>
                <w:rFonts w:cstheme="minorHAnsi"/>
                <w:szCs w:val="18"/>
              </w:rPr>
            </w:pPr>
            <w:r w:rsidRPr="006311C5">
              <w:rPr>
                <w:rFonts w:ascii="Calibri" w:hAnsi="Calibri" w:cs="Calibri"/>
                <w:color w:val="000000"/>
                <w:szCs w:val="18"/>
              </w:rPr>
              <w:t>1.1</w:t>
            </w:r>
            <w:r w:rsidR="00212ACF" w:rsidRPr="006311C5">
              <w:rPr>
                <w:rFonts w:ascii="Calibri" w:hAnsi="Calibri" w:cs="Calibri"/>
                <w:color w:val="000000"/>
                <w:szCs w:val="18"/>
              </w:rPr>
              <w:t>38</w:t>
            </w:r>
            <w:r w:rsidRPr="006311C5">
              <w:rPr>
                <w:rFonts w:ascii="Calibri" w:hAnsi="Calibri" w:cs="Calibri"/>
                <w:color w:val="000000"/>
                <w:szCs w:val="18"/>
              </w:rPr>
              <w:t xml:space="preserve"> (0.79</w:t>
            </w:r>
            <w:r w:rsidR="00212ACF" w:rsidRPr="006311C5">
              <w:rPr>
                <w:rFonts w:ascii="Calibri" w:hAnsi="Calibri" w:cs="Calibri"/>
                <w:color w:val="000000"/>
                <w:szCs w:val="18"/>
              </w:rPr>
              <w:t>5</w:t>
            </w:r>
            <w:r w:rsidRPr="006311C5">
              <w:rPr>
                <w:rFonts w:ascii="Calibri" w:hAnsi="Calibri" w:cs="Calibri"/>
                <w:color w:val="000000"/>
                <w:szCs w:val="18"/>
              </w:rPr>
              <w:t xml:space="preserve"> to 1.6</w:t>
            </w:r>
            <w:r w:rsidR="00212ACF" w:rsidRPr="006311C5">
              <w:rPr>
                <w:rFonts w:ascii="Calibri" w:hAnsi="Calibri" w:cs="Calibri"/>
                <w:color w:val="000000"/>
                <w:szCs w:val="18"/>
              </w:rPr>
              <w:t>28</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29003ED6" w14:textId="35D362DD" w:rsidR="00EA3FB9" w:rsidRPr="006311C5" w:rsidRDefault="00EA3FB9" w:rsidP="00EA3FB9">
            <w:pPr>
              <w:pStyle w:val="Tabletext"/>
              <w:rPr>
                <w:rFonts w:cstheme="minorHAnsi"/>
                <w:szCs w:val="18"/>
              </w:rPr>
            </w:pPr>
            <w:r w:rsidRPr="006311C5">
              <w:rPr>
                <w:rFonts w:ascii="Calibri" w:hAnsi="Calibri" w:cs="Calibri"/>
                <w:color w:val="000000"/>
                <w:szCs w:val="18"/>
              </w:rPr>
              <w:t>0.48</w:t>
            </w:r>
            <w:r w:rsidR="00212ACF" w:rsidRPr="006311C5">
              <w:rPr>
                <w:rFonts w:ascii="Calibri" w:hAnsi="Calibri" w:cs="Calibri"/>
                <w:color w:val="000000"/>
                <w:szCs w:val="18"/>
              </w:rPr>
              <w:t>1</w:t>
            </w:r>
          </w:p>
        </w:tc>
        <w:tc>
          <w:tcPr>
            <w:tcW w:w="0" w:type="auto"/>
            <w:tcBorders>
              <w:top w:val="nil"/>
              <w:left w:val="nil"/>
              <w:bottom w:val="nil"/>
              <w:right w:val="nil"/>
            </w:tcBorders>
            <w:shd w:val="clear" w:color="auto" w:fill="auto"/>
          </w:tcPr>
          <w:p w14:paraId="721674FC" w14:textId="72E1DA1C" w:rsidR="00EA3FB9" w:rsidRPr="006311C5" w:rsidRDefault="00EA3FB9" w:rsidP="00EA3FB9">
            <w:pPr>
              <w:pStyle w:val="Tabletext"/>
              <w:rPr>
                <w:rFonts w:cstheme="minorHAnsi"/>
                <w:szCs w:val="18"/>
              </w:rPr>
            </w:pPr>
            <w:r w:rsidRPr="006311C5">
              <w:rPr>
                <w:rFonts w:ascii="Calibri" w:hAnsi="Calibri" w:cs="Calibri"/>
                <w:color w:val="000000"/>
                <w:szCs w:val="18"/>
              </w:rPr>
              <w:t>1.</w:t>
            </w:r>
            <w:r w:rsidR="00212ACF" w:rsidRPr="006311C5">
              <w:rPr>
                <w:rFonts w:ascii="Calibri" w:hAnsi="Calibri" w:cs="Calibri"/>
                <w:color w:val="000000"/>
                <w:szCs w:val="18"/>
              </w:rPr>
              <w:t>395</w:t>
            </w:r>
            <w:r w:rsidRPr="006311C5">
              <w:rPr>
                <w:rFonts w:ascii="Calibri" w:hAnsi="Calibri" w:cs="Calibri"/>
                <w:color w:val="000000"/>
                <w:szCs w:val="18"/>
              </w:rPr>
              <w:t xml:space="preserve"> (0.97</w:t>
            </w:r>
            <w:r w:rsidR="00212ACF" w:rsidRPr="006311C5">
              <w:rPr>
                <w:rFonts w:ascii="Calibri" w:hAnsi="Calibri" w:cs="Calibri"/>
                <w:color w:val="000000"/>
                <w:szCs w:val="18"/>
              </w:rPr>
              <w:t>4</w:t>
            </w:r>
            <w:r w:rsidRPr="006311C5">
              <w:rPr>
                <w:rFonts w:ascii="Calibri" w:hAnsi="Calibri" w:cs="Calibri"/>
                <w:color w:val="000000"/>
                <w:szCs w:val="18"/>
              </w:rPr>
              <w:t xml:space="preserve"> to </w:t>
            </w:r>
            <w:r w:rsidR="00212ACF" w:rsidRPr="006311C5">
              <w:rPr>
                <w:rFonts w:ascii="Calibri" w:hAnsi="Calibri" w:cs="Calibri"/>
                <w:color w:val="000000"/>
                <w:szCs w:val="18"/>
              </w:rPr>
              <w:t>1.998</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6292D41E" w14:textId="0E1D6D9F" w:rsidR="00EA3FB9" w:rsidRPr="006311C5" w:rsidRDefault="00EA3FB9" w:rsidP="00EA3FB9">
            <w:pPr>
              <w:pStyle w:val="Tabletext"/>
              <w:rPr>
                <w:rFonts w:cstheme="minorHAnsi"/>
                <w:szCs w:val="18"/>
              </w:rPr>
            </w:pPr>
            <w:r w:rsidRPr="006311C5">
              <w:rPr>
                <w:rFonts w:ascii="Calibri" w:hAnsi="Calibri" w:cs="Calibri"/>
                <w:color w:val="000000"/>
                <w:szCs w:val="18"/>
              </w:rPr>
              <w:t>0.0</w:t>
            </w:r>
            <w:r w:rsidR="00212ACF" w:rsidRPr="006311C5">
              <w:rPr>
                <w:rFonts w:ascii="Calibri" w:hAnsi="Calibri" w:cs="Calibri"/>
                <w:color w:val="000000"/>
                <w:szCs w:val="18"/>
              </w:rPr>
              <w:t>69</w:t>
            </w:r>
          </w:p>
        </w:tc>
      </w:tr>
      <w:tr w:rsidR="003E5A9E" w:rsidRPr="006311C5" w14:paraId="3309B5CD" w14:textId="77777777" w:rsidTr="00251E59">
        <w:tc>
          <w:tcPr>
            <w:tcW w:w="0" w:type="auto"/>
            <w:vMerge/>
            <w:tcBorders>
              <w:left w:val="nil"/>
              <w:right w:val="nil"/>
            </w:tcBorders>
          </w:tcPr>
          <w:p w14:paraId="7C77C323" w14:textId="77777777" w:rsidR="00EA3FB9" w:rsidRPr="006311C5" w:rsidRDefault="00EA3FB9" w:rsidP="00EA3FB9">
            <w:pPr>
              <w:pStyle w:val="Tabletext"/>
              <w:rPr>
                <w:rFonts w:cstheme="minorHAnsi"/>
                <w:szCs w:val="18"/>
              </w:rPr>
            </w:pPr>
          </w:p>
        </w:tc>
        <w:tc>
          <w:tcPr>
            <w:tcW w:w="0" w:type="auto"/>
            <w:vMerge w:val="restart"/>
            <w:tcBorders>
              <w:left w:val="nil"/>
              <w:right w:val="nil"/>
            </w:tcBorders>
          </w:tcPr>
          <w:p w14:paraId="1986171E" w14:textId="7E0B00BF" w:rsidR="00EA3FB9" w:rsidRPr="006311C5" w:rsidRDefault="00EA3FB9" w:rsidP="00EA3FB9">
            <w:pPr>
              <w:pStyle w:val="Tabletext"/>
              <w:rPr>
                <w:rFonts w:cstheme="minorHAnsi"/>
                <w:szCs w:val="18"/>
              </w:rPr>
            </w:pPr>
            <w:r w:rsidRPr="006311C5">
              <w:rPr>
                <w:rFonts w:cstheme="minorHAnsi"/>
                <w:szCs w:val="18"/>
              </w:rPr>
              <w:t>Think previously or currently had COVID-19</w:t>
            </w:r>
          </w:p>
        </w:tc>
        <w:tc>
          <w:tcPr>
            <w:tcW w:w="0" w:type="auto"/>
            <w:tcBorders>
              <w:left w:val="nil"/>
              <w:bottom w:val="nil"/>
              <w:right w:val="nil"/>
            </w:tcBorders>
          </w:tcPr>
          <w:p w14:paraId="4831A80C" w14:textId="07288EF5" w:rsidR="00EA3FB9" w:rsidRPr="006311C5" w:rsidRDefault="00EA3FB9" w:rsidP="00EA3FB9">
            <w:pPr>
              <w:pStyle w:val="Tabletext"/>
              <w:rPr>
                <w:rFonts w:cstheme="minorHAnsi"/>
                <w:szCs w:val="18"/>
              </w:rPr>
            </w:pPr>
            <w:r w:rsidRPr="006311C5">
              <w:rPr>
                <w:rFonts w:cstheme="minorHAnsi"/>
                <w:szCs w:val="18"/>
              </w:rPr>
              <w:t>No</w:t>
            </w:r>
          </w:p>
        </w:tc>
        <w:tc>
          <w:tcPr>
            <w:tcW w:w="0" w:type="auto"/>
            <w:tcBorders>
              <w:top w:val="single" w:sz="4" w:space="0" w:color="auto"/>
              <w:left w:val="nil"/>
              <w:bottom w:val="nil"/>
              <w:right w:val="nil"/>
            </w:tcBorders>
            <w:shd w:val="clear" w:color="auto" w:fill="auto"/>
          </w:tcPr>
          <w:p w14:paraId="11D786AA" w14:textId="11A2794B" w:rsidR="00EA3FB9" w:rsidRPr="006311C5" w:rsidRDefault="00EA3FB9" w:rsidP="00EA3FB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shd w:val="clear" w:color="auto" w:fill="auto"/>
          </w:tcPr>
          <w:p w14:paraId="1455D970" w14:textId="2113E80C" w:rsidR="00EA3FB9" w:rsidRPr="006311C5" w:rsidRDefault="00EA3FB9" w:rsidP="00EA3FB9">
            <w:pPr>
              <w:pStyle w:val="Tabletext"/>
              <w:rPr>
                <w:rFonts w:cstheme="minorHAnsi"/>
                <w:szCs w:val="18"/>
              </w:rPr>
            </w:pPr>
            <w:r w:rsidRPr="006311C5">
              <w:rPr>
                <w:rFonts w:cstheme="minorHAnsi"/>
                <w:szCs w:val="18"/>
              </w:rPr>
              <w:t>-</w:t>
            </w:r>
          </w:p>
        </w:tc>
        <w:tc>
          <w:tcPr>
            <w:tcW w:w="0" w:type="auto"/>
            <w:tcBorders>
              <w:top w:val="single" w:sz="4" w:space="0" w:color="auto"/>
              <w:left w:val="nil"/>
              <w:bottom w:val="nil"/>
              <w:right w:val="nil"/>
            </w:tcBorders>
          </w:tcPr>
          <w:p w14:paraId="026DDEE9" w14:textId="51CDEB47" w:rsidR="00EA3FB9" w:rsidRPr="006311C5" w:rsidRDefault="00EA3FB9" w:rsidP="00EA3FB9">
            <w:pPr>
              <w:pStyle w:val="Tabletext"/>
              <w:rPr>
                <w:rFonts w:cstheme="minorHAnsi"/>
                <w:szCs w:val="18"/>
              </w:rPr>
            </w:pPr>
            <w:r w:rsidRPr="006311C5">
              <w:rPr>
                <w:rFonts w:cstheme="minorHAnsi"/>
                <w:szCs w:val="18"/>
              </w:rPr>
              <w:t>Reference</w:t>
            </w:r>
          </w:p>
        </w:tc>
        <w:tc>
          <w:tcPr>
            <w:tcW w:w="0" w:type="auto"/>
            <w:tcBorders>
              <w:top w:val="single" w:sz="4" w:space="0" w:color="auto"/>
              <w:left w:val="nil"/>
              <w:bottom w:val="nil"/>
              <w:right w:val="nil"/>
            </w:tcBorders>
          </w:tcPr>
          <w:p w14:paraId="4C0D3DD3" w14:textId="63C7EE77" w:rsidR="00EA3FB9" w:rsidRPr="006311C5" w:rsidRDefault="00EA3FB9" w:rsidP="00EA3FB9">
            <w:pPr>
              <w:pStyle w:val="Tabletext"/>
              <w:rPr>
                <w:rFonts w:cstheme="minorHAnsi"/>
                <w:szCs w:val="18"/>
              </w:rPr>
            </w:pPr>
            <w:r w:rsidRPr="006311C5">
              <w:rPr>
                <w:rFonts w:cstheme="minorHAnsi"/>
                <w:szCs w:val="18"/>
              </w:rPr>
              <w:t>-</w:t>
            </w:r>
          </w:p>
        </w:tc>
      </w:tr>
      <w:tr w:rsidR="003E5A9E" w:rsidRPr="006311C5" w14:paraId="140127FC" w14:textId="77777777" w:rsidTr="00212ACF">
        <w:tc>
          <w:tcPr>
            <w:tcW w:w="0" w:type="auto"/>
            <w:vMerge/>
            <w:tcBorders>
              <w:left w:val="nil"/>
              <w:bottom w:val="single" w:sz="4" w:space="0" w:color="auto"/>
              <w:right w:val="nil"/>
            </w:tcBorders>
          </w:tcPr>
          <w:p w14:paraId="16904467" w14:textId="77777777" w:rsidR="00171AA3" w:rsidRPr="006311C5" w:rsidRDefault="00171AA3" w:rsidP="00171AA3">
            <w:pPr>
              <w:pStyle w:val="Tabletext"/>
              <w:rPr>
                <w:rFonts w:cstheme="minorHAnsi"/>
                <w:szCs w:val="18"/>
              </w:rPr>
            </w:pPr>
          </w:p>
        </w:tc>
        <w:tc>
          <w:tcPr>
            <w:tcW w:w="0" w:type="auto"/>
            <w:vMerge/>
            <w:tcBorders>
              <w:left w:val="nil"/>
              <w:bottom w:val="single" w:sz="4" w:space="0" w:color="auto"/>
              <w:right w:val="nil"/>
            </w:tcBorders>
          </w:tcPr>
          <w:p w14:paraId="379CEF79" w14:textId="77777777" w:rsidR="00171AA3" w:rsidRPr="006311C5" w:rsidRDefault="00171AA3" w:rsidP="00171AA3">
            <w:pPr>
              <w:pStyle w:val="Tabletext"/>
              <w:rPr>
                <w:rFonts w:cstheme="minorHAnsi"/>
                <w:szCs w:val="18"/>
              </w:rPr>
            </w:pPr>
          </w:p>
        </w:tc>
        <w:tc>
          <w:tcPr>
            <w:tcW w:w="0" w:type="auto"/>
            <w:tcBorders>
              <w:top w:val="nil"/>
              <w:left w:val="nil"/>
              <w:bottom w:val="single" w:sz="4" w:space="0" w:color="auto"/>
              <w:right w:val="nil"/>
            </w:tcBorders>
          </w:tcPr>
          <w:p w14:paraId="1A9BB672" w14:textId="3A011250" w:rsidR="00171AA3" w:rsidRPr="006311C5" w:rsidRDefault="00171AA3" w:rsidP="00171AA3">
            <w:pPr>
              <w:pStyle w:val="Tabletext"/>
              <w:rPr>
                <w:rFonts w:cstheme="minorHAnsi"/>
                <w:szCs w:val="18"/>
              </w:rPr>
            </w:pPr>
            <w:r w:rsidRPr="006311C5">
              <w:rPr>
                <w:rFonts w:cstheme="minorHAnsi"/>
                <w:szCs w:val="18"/>
              </w:rPr>
              <w:t>Yes</w:t>
            </w:r>
          </w:p>
        </w:tc>
        <w:tc>
          <w:tcPr>
            <w:tcW w:w="0" w:type="auto"/>
            <w:tcBorders>
              <w:top w:val="nil"/>
              <w:left w:val="nil"/>
              <w:bottom w:val="single" w:sz="4" w:space="0" w:color="auto"/>
              <w:right w:val="nil"/>
            </w:tcBorders>
            <w:shd w:val="clear" w:color="auto" w:fill="auto"/>
          </w:tcPr>
          <w:p w14:paraId="6709D3AF" w14:textId="2D123D3F" w:rsidR="00171AA3" w:rsidRPr="006311C5" w:rsidRDefault="00171AA3" w:rsidP="00171AA3">
            <w:pPr>
              <w:pStyle w:val="Tabletext"/>
              <w:rPr>
                <w:rFonts w:cstheme="minorHAnsi"/>
                <w:szCs w:val="18"/>
              </w:rPr>
            </w:pPr>
            <w:r w:rsidRPr="006311C5">
              <w:rPr>
                <w:rFonts w:ascii="Calibri" w:hAnsi="Calibri" w:cs="Calibri"/>
                <w:color w:val="000000"/>
                <w:szCs w:val="18"/>
              </w:rPr>
              <w:t>1.15</w:t>
            </w:r>
            <w:r w:rsidR="00212ACF" w:rsidRPr="006311C5">
              <w:rPr>
                <w:rFonts w:ascii="Calibri" w:hAnsi="Calibri" w:cs="Calibri"/>
                <w:color w:val="000000"/>
                <w:szCs w:val="18"/>
              </w:rPr>
              <w:t>3</w:t>
            </w:r>
            <w:r w:rsidRPr="006311C5">
              <w:rPr>
                <w:rFonts w:ascii="Calibri" w:hAnsi="Calibri" w:cs="Calibri"/>
                <w:color w:val="000000"/>
                <w:szCs w:val="18"/>
              </w:rPr>
              <w:t xml:space="preserve"> (0.7</w:t>
            </w:r>
            <w:r w:rsidR="00212ACF" w:rsidRPr="006311C5">
              <w:rPr>
                <w:rFonts w:ascii="Calibri" w:hAnsi="Calibri" w:cs="Calibri"/>
                <w:color w:val="000000"/>
                <w:szCs w:val="18"/>
              </w:rPr>
              <w:t>69</w:t>
            </w:r>
            <w:r w:rsidRPr="006311C5">
              <w:rPr>
                <w:rFonts w:ascii="Calibri" w:hAnsi="Calibri" w:cs="Calibri"/>
                <w:color w:val="000000"/>
                <w:szCs w:val="18"/>
              </w:rPr>
              <w:t xml:space="preserve"> to 1.7</w:t>
            </w:r>
            <w:r w:rsidR="00212ACF" w:rsidRPr="006311C5">
              <w:rPr>
                <w:rFonts w:ascii="Calibri" w:hAnsi="Calibri" w:cs="Calibri"/>
                <w:color w:val="000000"/>
                <w:szCs w:val="18"/>
              </w:rPr>
              <w:t>27</w:t>
            </w:r>
            <w:r w:rsidRPr="006311C5">
              <w:rPr>
                <w:rFonts w:ascii="Calibri" w:hAnsi="Calibri" w:cs="Calibri"/>
                <w:color w:val="000000"/>
                <w:szCs w:val="18"/>
              </w:rPr>
              <w:t>)</w:t>
            </w:r>
          </w:p>
        </w:tc>
        <w:tc>
          <w:tcPr>
            <w:tcW w:w="0" w:type="auto"/>
            <w:tcBorders>
              <w:top w:val="nil"/>
              <w:left w:val="nil"/>
              <w:bottom w:val="single" w:sz="4" w:space="0" w:color="auto"/>
              <w:right w:val="nil"/>
            </w:tcBorders>
            <w:shd w:val="clear" w:color="auto" w:fill="auto"/>
          </w:tcPr>
          <w:p w14:paraId="7F0ACC51" w14:textId="4634D2F1" w:rsidR="00171AA3" w:rsidRPr="006311C5" w:rsidRDefault="00171AA3" w:rsidP="00171AA3">
            <w:pPr>
              <w:pStyle w:val="Tabletext"/>
              <w:rPr>
                <w:rFonts w:cstheme="minorHAnsi"/>
                <w:szCs w:val="18"/>
              </w:rPr>
            </w:pPr>
            <w:r w:rsidRPr="006311C5">
              <w:rPr>
                <w:rFonts w:ascii="Calibri" w:hAnsi="Calibri" w:cs="Calibri"/>
                <w:color w:val="000000"/>
                <w:szCs w:val="18"/>
              </w:rPr>
              <w:t>0.49</w:t>
            </w:r>
            <w:r w:rsidR="00212ACF" w:rsidRPr="006311C5">
              <w:rPr>
                <w:rFonts w:ascii="Calibri" w:hAnsi="Calibri" w:cs="Calibri"/>
                <w:color w:val="000000"/>
                <w:szCs w:val="18"/>
              </w:rPr>
              <w:t>2</w:t>
            </w:r>
          </w:p>
        </w:tc>
        <w:tc>
          <w:tcPr>
            <w:tcW w:w="0" w:type="auto"/>
            <w:tcBorders>
              <w:top w:val="nil"/>
              <w:left w:val="nil"/>
              <w:bottom w:val="single" w:sz="4" w:space="0" w:color="auto"/>
              <w:right w:val="nil"/>
            </w:tcBorders>
            <w:shd w:val="clear" w:color="auto" w:fill="auto"/>
          </w:tcPr>
          <w:p w14:paraId="64A57000" w14:textId="1A5F72F1" w:rsidR="00171AA3" w:rsidRPr="006311C5" w:rsidRDefault="00171AA3" w:rsidP="00171AA3">
            <w:pPr>
              <w:pStyle w:val="Tabletext"/>
              <w:rPr>
                <w:rFonts w:cstheme="minorHAnsi"/>
                <w:szCs w:val="18"/>
              </w:rPr>
            </w:pPr>
            <w:r w:rsidRPr="006311C5">
              <w:rPr>
                <w:rFonts w:ascii="Calibri" w:hAnsi="Calibri" w:cs="Calibri"/>
                <w:color w:val="000000"/>
                <w:szCs w:val="18"/>
              </w:rPr>
              <w:t>1.4</w:t>
            </w:r>
            <w:r w:rsidR="00212ACF" w:rsidRPr="006311C5">
              <w:rPr>
                <w:rFonts w:ascii="Calibri" w:hAnsi="Calibri" w:cs="Calibri"/>
                <w:color w:val="000000"/>
                <w:szCs w:val="18"/>
              </w:rPr>
              <w:t>29</w:t>
            </w:r>
            <w:r w:rsidRPr="006311C5">
              <w:rPr>
                <w:rFonts w:ascii="Calibri" w:hAnsi="Calibri" w:cs="Calibri"/>
                <w:color w:val="000000"/>
                <w:szCs w:val="18"/>
              </w:rPr>
              <w:t xml:space="preserve"> (0.96</w:t>
            </w:r>
            <w:r w:rsidR="003E5A9E" w:rsidRPr="006311C5">
              <w:rPr>
                <w:rFonts w:ascii="Calibri" w:hAnsi="Calibri" w:cs="Calibri"/>
                <w:color w:val="000000"/>
                <w:szCs w:val="18"/>
              </w:rPr>
              <w:t>2</w:t>
            </w:r>
            <w:r w:rsidRPr="006311C5">
              <w:rPr>
                <w:rFonts w:ascii="Calibri" w:hAnsi="Calibri" w:cs="Calibri"/>
                <w:color w:val="000000"/>
                <w:szCs w:val="18"/>
              </w:rPr>
              <w:t xml:space="preserve"> to 2.12</w:t>
            </w:r>
            <w:r w:rsidR="003E5A9E" w:rsidRPr="006311C5">
              <w:rPr>
                <w:rFonts w:ascii="Calibri" w:hAnsi="Calibri" w:cs="Calibri"/>
                <w:color w:val="000000"/>
                <w:szCs w:val="18"/>
              </w:rPr>
              <w:t>1</w:t>
            </w:r>
            <w:r w:rsidRPr="006311C5">
              <w:rPr>
                <w:rFonts w:ascii="Calibri" w:hAnsi="Calibri" w:cs="Calibri"/>
                <w:color w:val="000000"/>
                <w:szCs w:val="18"/>
              </w:rPr>
              <w:t>)</w:t>
            </w:r>
          </w:p>
        </w:tc>
        <w:tc>
          <w:tcPr>
            <w:tcW w:w="0" w:type="auto"/>
            <w:tcBorders>
              <w:top w:val="nil"/>
              <w:left w:val="nil"/>
              <w:bottom w:val="single" w:sz="4" w:space="0" w:color="auto"/>
              <w:right w:val="nil"/>
            </w:tcBorders>
            <w:shd w:val="clear" w:color="auto" w:fill="auto"/>
          </w:tcPr>
          <w:p w14:paraId="39C6A051" w14:textId="286555D6" w:rsidR="00171AA3" w:rsidRPr="006311C5" w:rsidRDefault="00171AA3" w:rsidP="00171AA3">
            <w:pPr>
              <w:pStyle w:val="Tabletext"/>
              <w:rPr>
                <w:rFonts w:cstheme="minorHAnsi"/>
                <w:szCs w:val="18"/>
              </w:rPr>
            </w:pPr>
            <w:r w:rsidRPr="006311C5">
              <w:rPr>
                <w:rFonts w:ascii="Calibri" w:hAnsi="Calibri" w:cs="Calibri"/>
                <w:color w:val="000000"/>
                <w:szCs w:val="18"/>
              </w:rPr>
              <w:t>0.08</w:t>
            </w:r>
          </w:p>
        </w:tc>
      </w:tr>
      <w:tr w:rsidR="003E5A9E" w:rsidRPr="006311C5" w14:paraId="637E2E93" w14:textId="77777777" w:rsidTr="00212ACF">
        <w:tc>
          <w:tcPr>
            <w:tcW w:w="0" w:type="auto"/>
            <w:vMerge/>
            <w:tcBorders>
              <w:left w:val="nil"/>
              <w:bottom w:val="nil"/>
              <w:right w:val="nil"/>
            </w:tcBorders>
          </w:tcPr>
          <w:p w14:paraId="215E90D9" w14:textId="77777777" w:rsidR="00212ACF" w:rsidRPr="006311C5" w:rsidRDefault="00212ACF" w:rsidP="00171AA3">
            <w:pPr>
              <w:pStyle w:val="Tabletext"/>
              <w:rPr>
                <w:rFonts w:cstheme="minorHAnsi"/>
                <w:szCs w:val="18"/>
              </w:rPr>
            </w:pPr>
          </w:p>
        </w:tc>
        <w:tc>
          <w:tcPr>
            <w:tcW w:w="0" w:type="auto"/>
            <w:tcBorders>
              <w:left w:val="nil"/>
              <w:bottom w:val="nil"/>
              <w:right w:val="nil"/>
            </w:tcBorders>
          </w:tcPr>
          <w:p w14:paraId="43E79B0A" w14:textId="17D86784" w:rsidR="00212ACF" w:rsidRPr="006311C5" w:rsidRDefault="00212ACF" w:rsidP="00171AA3">
            <w:pPr>
              <w:pStyle w:val="Tabletext"/>
              <w:rPr>
                <w:rFonts w:cstheme="minorHAnsi"/>
                <w:szCs w:val="18"/>
              </w:rPr>
            </w:pPr>
            <w:r w:rsidRPr="006311C5">
              <w:rPr>
                <w:rFonts w:cstheme="minorHAnsi"/>
                <w:szCs w:val="18"/>
              </w:rPr>
              <w:t>Vaccine brand</w:t>
            </w:r>
          </w:p>
        </w:tc>
        <w:tc>
          <w:tcPr>
            <w:tcW w:w="0" w:type="auto"/>
            <w:tcBorders>
              <w:top w:val="single" w:sz="4" w:space="0" w:color="auto"/>
              <w:left w:val="nil"/>
              <w:bottom w:val="nil"/>
              <w:right w:val="nil"/>
            </w:tcBorders>
          </w:tcPr>
          <w:p w14:paraId="2733B00B" w14:textId="77777777" w:rsidR="00212ACF" w:rsidRPr="006311C5" w:rsidRDefault="00212ACF" w:rsidP="00171AA3">
            <w:pPr>
              <w:pStyle w:val="Tabletext"/>
              <w:rPr>
                <w:rFonts w:cstheme="minorHAnsi"/>
                <w:szCs w:val="18"/>
              </w:rPr>
            </w:pPr>
          </w:p>
        </w:tc>
        <w:tc>
          <w:tcPr>
            <w:tcW w:w="0" w:type="auto"/>
            <w:tcBorders>
              <w:top w:val="single" w:sz="4" w:space="0" w:color="auto"/>
              <w:left w:val="nil"/>
              <w:bottom w:val="nil"/>
              <w:right w:val="nil"/>
            </w:tcBorders>
            <w:shd w:val="clear" w:color="auto" w:fill="auto"/>
          </w:tcPr>
          <w:p w14:paraId="04F54E92" w14:textId="77777777" w:rsidR="00212ACF" w:rsidRPr="006311C5" w:rsidRDefault="00212ACF" w:rsidP="00171AA3">
            <w:pPr>
              <w:pStyle w:val="Tabletext"/>
              <w:rPr>
                <w:rFonts w:cstheme="minorHAnsi"/>
                <w:szCs w:val="18"/>
              </w:rPr>
            </w:pPr>
          </w:p>
        </w:tc>
        <w:tc>
          <w:tcPr>
            <w:tcW w:w="0" w:type="auto"/>
            <w:tcBorders>
              <w:top w:val="single" w:sz="4" w:space="0" w:color="auto"/>
              <w:left w:val="nil"/>
              <w:bottom w:val="nil"/>
              <w:right w:val="nil"/>
            </w:tcBorders>
            <w:shd w:val="clear" w:color="auto" w:fill="auto"/>
          </w:tcPr>
          <w:p w14:paraId="51D3EFD5" w14:textId="190F90E4" w:rsidR="00212ACF" w:rsidRPr="006311C5" w:rsidRDefault="00212ACF" w:rsidP="00171AA3">
            <w:pPr>
              <w:pStyle w:val="Tabletext"/>
              <w:rPr>
                <w:rFonts w:cstheme="minorHAnsi"/>
                <w:szCs w:val="18"/>
              </w:rPr>
            </w:pPr>
            <w:r w:rsidRPr="006311C5">
              <w:rPr>
                <w:rFonts w:cstheme="minorHAnsi"/>
                <w:szCs w:val="18"/>
              </w:rPr>
              <w:t>&lt;0.001*</w:t>
            </w:r>
          </w:p>
        </w:tc>
        <w:tc>
          <w:tcPr>
            <w:tcW w:w="0" w:type="auto"/>
            <w:tcBorders>
              <w:top w:val="single" w:sz="4" w:space="0" w:color="auto"/>
              <w:left w:val="nil"/>
              <w:bottom w:val="nil"/>
              <w:right w:val="nil"/>
            </w:tcBorders>
            <w:shd w:val="clear" w:color="auto" w:fill="auto"/>
          </w:tcPr>
          <w:p w14:paraId="4AA4B271" w14:textId="77777777" w:rsidR="00212ACF" w:rsidRPr="006311C5" w:rsidRDefault="00212ACF" w:rsidP="00171AA3">
            <w:pPr>
              <w:pStyle w:val="Tabletext"/>
              <w:rPr>
                <w:rFonts w:cstheme="minorHAnsi"/>
                <w:szCs w:val="18"/>
              </w:rPr>
            </w:pPr>
          </w:p>
        </w:tc>
        <w:tc>
          <w:tcPr>
            <w:tcW w:w="0" w:type="auto"/>
            <w:tcBorders>
              <w:top w:val="single" w:sz="4" w:space="0" w:color="auto"/>
              <w:left w:val="nil"/>
              <w:bottom w:val="nil"/>
              <w:right w:val="nil"/>
            </w:tcBorders>
            <w:shd w:val="clear" w:color="auto" w:fill="auto"/>
          </w:tcPr>
          <w:p w14:paraId="2B5E80C1" w14:textId="3A261FE1" w:rsidR="00212ACF" w:rsidRPr="006311C5" w:rsidRDefault="003E5A9E" w:rsidP="00171AA3">
            <w:pPr>
              <w:pStyle w:val="Tabletext"/>
              <w:rPr>
                <w:rFonts w:cstheme="minorHAnsi"/>
                <w:szCs w:val="18"/>
              </w:rPr>
            </w:pPr>
            <w:r w:rsidRPr="006311C5">
              <w:rPr>
                <w:rFonts w:cstheme="minorHAnsi"/>
                <w:szCs w:val="18"/>
              </w:rPr>
              <w:t>0.002*</w:t>
            </w:r>
          </w:p>
        </w:tc>
      </w:tr>
      <w:tr w:rsidR="003E5A9E" w:rsidRPr="006311C5" w14:paraId="5C86A7C4" w14:textId="77777777" w:rsidTr="00212ACF">
        <w:tc>
          <w:tcPr>
            <w:tcW w:w="0" w:type="auto"/>
            <w:vMerge/>
            <w:tcBorders>
              <w:top w:val="nil"/>
              <w:left w:val="nil"/>
              <w:right w:val="nil"/>
            </w:tcBorders>
          </w:tcPr>
          <w:p w14:paraId="1DDDFB78" w14:textId="77777777" w:rsidR="00171AA3" w:rsidRPr="006311C5" w:rsidRDefault="00171AA3" w:rsidP="00171AA3">
            <w:pPr>
              <w:pStyle w:val="Tabletext"/>
              <w:rPr>
                <w:rFonts w:cstheme="minorHAnsi"/>
                <w:szCs w:val="18"/>
              </w:rPr>
            </w:pPr>
          </w:p>
        </w:tc>
        <w:tc>
          <w:tcPr>
            <w:tcW w:w="0" w:type="auto"/>
            <w:vMerge w:val="restart"/>
            <w:tcBorders>
              <w:top w:val="nil"/>
              <w:left w:val="nil"/>
              <w:right w:val="nil"/>
            </w:tcBorders>
          </w:tcPr>
          <w:p w14:paraId="6804DC1F" w14:textId="5AC942E5" w:rsidR="00171AA3" w:rsidRPr="006311C5" w:rsidRDefault="00171AA3" w:rsidP="00171AA3">
            <w:pPr>
              <w:pStyle w:val="Tabletext"/>
              <w:rPr>
                <w:rFonts w:cstheme="minorHAnsi"/>
                <w:szCs w:val="18"/>
              </w:rPr>
            </w:pPr>
          </w:p>
        </w:tc>
        <w:tc>
          <w:tcPr>
            <w:tcW w:w="0" w:type="auto"/>
            <w:tcBorders>
              <w:top w:val="nil"/>
              <w:left w:val="nil"/>
              <w:bottom w:val="nil"/>
              <w:right w:val="nil"/>
            </w:tcBorders>
          </w:tcPr>
          <w:p w14:paraId="1D7D6D93" w14:textId="3F831FF7" w:rsidR="00171AA3" w:rsidRPr="006311C5" w:rsidRDefault="00171AA3" w:rsidP="00171AA3">
            <w:pPr>
              <w:pStyle w:val="Tabletext"/>
              <w:rPr>
                <w:rFonts w:cstheme="minorHAnsi"/>
                <w:szCs w:val="18"/>
              </w:rPr>
            </w:pPr>
            <w:r w:rsidRPr="006311C5">
              <w:rPr>
                <w:rFonts w:cstheme="minorHAnsi"/>
                <w:szCs w:val="18"/>
              </w:rPr>
              <w:t>Pfizer-BioNTech</w:t>
            </w:r>
          </w:p>
        </w:tc>
        <w:tc>
          <w:tcPr>
            <w:tcW w:w="0" w:type="auto"/>
            <w:tcBorders>
              <w:top w:val="nil"/>
              <w:left w:val="nil"/>
              <w:bottom w:val="nil"/>
              <w:right w:val="nil"/>
            </w:tcBorders>
            <w:shd w:val="clear" w:color="auto" w:fill="auto"/>
          </w:tcPr>
          <w:p w14:paraId="6FE171D9" w14:textId="388CB160" w:rsidR="00171AA3" w:rsidRPr="006311C5" w:rsidRDefault="00171AA3" w:rsidP="00171AA3">
            <w:pPr>
              <w:pStyle w:val="Tabletext"/>
              <w:rPr>
                <w:rFonts w:cstheme="minorHAnsi"/>
                <w:szCs w:val="18"/>
              </w:rPr>
            </w:pPr>
            <w:r w:rsidRPr="006311C5">
              <w:rPr>
                <w:rFonts w:cstheme="minorHAnsi"/>
                <w:szCs w:val="18"/>
              </w:rPr>
              <w:t>Reference</w:t>
            </w:r>
          </w:p>
        </w:tc>
        <w:tc>
          <w:tcPr>
            <w:tcW w:w="0" w:type="auto"/>
            <w:tcBorders>
              <w:top w:val="nil"/>
              <w:left w:val="nil"/>
              <w:bottom w:val="nil"/>
              <w:right w:val="nil"/>
            </w:tcBorders>
            <w:shd w:val="clear" w:color="auto" w:fill="auto"/>
          </w:tcPr>
          <w:p w14:paraId="36D97CAE" w14:textId="76181FA2" w:rsidR="00171AA3" w:rsidRPr="006311C5" w:rsidRDefault="00171AA3" w:rsidP="00171AA3">
            <w:pPr>
              <w:pStyle w:val="Tabletext"/>
              <w:rPr>
                <w:rFonts w:cstheme="minorHAnsi"/>
                <w:szCs w:val="18"/>
              </w:rPr>
            </w:pPr>
          </w:p>
        </w:tc>
        <w:tc>
          <w:tcPr>
            <w:tcW w:w="0" w:type="auto"/>
            <w:tcBorders>
              <w:top w:val="nil"/>
              <w:left w:val="nil"/>
              <w:bottom w:val="nil"/>
              <w:right w:val="nil"/>
            </w:tcBorders>
            <w:shd w:val="clear" w:color="auto" w:fill="auto"/>
          </w:tcPr>
          <w:p w14:paraId="5090F9F3" w14:textId="52EB0538" w:rsidR="00171AA3" w:rsidRPr="006311C5" w:rsidRDefault="00171AA3" w:rsidP="00171AA3">
            <w:pPr>
              <w:pStyle w:val="Tabletext"/>
              <w:rPr>
                <w:rFonts w:cstheme="minorHAnsi"/>
                <w:szCs w:val="18"/>
              </w:rPr>
            </w:pPr>
            <w:r w:rsidRPr="006311C5">
              <w:rPr>
                <w:rFonts w:cstheme="minorHAnsi"/>
                <w:szCs w:val="18"/>
              </w:rPr>
              <w:t>Reference</w:t>
            </w:r>
          </w:p>
        </w:tc>
        <w:tc>
          <w:tcPr>
            <w:tcW w:w="0" w:type="auto"/>
            <w:tcBorders>
              <w:top w:val="nil"/>
              <w:left w:val="nil"/>
              <w:bottom w:val="nil"/>
              <w:right w:val="nil"/>
            </w:tcBorders>
            <w:shd w:val="clear" w:color="auto" w:fill="auto"/>
          </w:tcPr>
          <w:p w14:paraId="64D1B7D7" w14:textId="16827EE4" w:rsidR="00171AA3" w:rsidRPr="006311C5" w:rsidRDefault="00171AA3" w:rsidP="00171AA3">
            <w:pPr>
              <w:pStyle w:val="Tabletext"/>
              <w:rPr>
                <w:rFonts w:cstheme="minorHAnsi"/>
                <w:szCs w:val="18"/>
              </w:rPr>
            </w:pPr>
          </w:p>
        </w:tc>
      </w:tr>
      <w:tr w:rsidR="003E5A9E" w:rsidRPr="006311C5" w14:paraId="05A0F43F" w14:textId="77777777" w:rsidTr="00E74925">
        <w:tc>
          <w:tcPr>
            <w:tcW w:w="0" w:type="auto"/>
            <w:vMerge/>
            <w:tcBorders>
              <w:left w:val="nil"/>
              <w:right w:val="nil"/>
            </w:tcBorders>
          </w:tcPr>
          <w:p w14:paraId="34DF034A" w14:textId="77777777" w:rsidR="00171AA3" w:rsidRPr="006311C5" w:rsidRDefault="00171AA3" w:rsidP="00171AA3">
            <w:pPr>
              <w:pStyle w:val="Tabletext"/>
              <w:rPr>
                <w:rFonts w:cstheme="minorHAnsi"/>
                <w:szCs w:val="18"/>
              </w:rPr>
            </w:pPr>
          </w:p>
        </w:tc>
        <w:tc>
          <w:tcPr>
            <w:tcW w:w="0" w:type="auto"/>
            <w:vMerge/>
            <w:tcBorders>
              <w:left w:val="nil"/>
              <w:right w:val="nil"/>
            </w:tcBorders>
          </w:tcPr>
          <w:p w14:paraId="6A8DF5BD" w14:textId="77777777" w:rsidR="00171AA3" w:rsidRPr="006311C5" w:rsidRDefault="00171AA3" w:rsidP="00171AA3">
            <w:pPr>
              <w:pStyle w:val="Tabletext"/>
              <w:rPr>
                <w:rFonts w:cstheme="minorHAnsi"/>
                <w:szCs w:val="18"/>
              </w:rPr>
            </w:pPr>
          </w:p>
        </w:tc>
        <w:tc>
          <w:tcPr>
            <w:tcW w:w="0" w:type="auto"/>
            <w:tcBorders>
              <w:top w:val="nil"/>
              <w:left w:val="nil"/>
              <w:bottom w:val="nil"/>
              <w:right w:val="nil"/>
            </w:tcBorders>
          </w:tcPr>
          <w:p w14:paraId="631934EA" w14:textId="246E2FA2" w:rsidR="00171AA3" w:rsidRPr="006311C5" w:rsidRDefault="00171AA3" w:rsidP="00171AA3">
            <w:pPr>
              <w:pStyle w:val="Tabletext"/>
              <w:rPr>
                <w:rFonts w:cstheme="minorHAnsi"/>
                <w:szCs w:val="18"/>
              </w:rPr>
            </w:pPr>
            <w:r w:rsidRPr="006311C5">
              <w:rPr>
                <w:rFonts w:cstheme="minorHAnsi"/>
                <w:szCs w:val="18"/>
              </w:rPr>
              <w:t>AstraZeneca</w:t>
            </w:r>
          </w:p>
        </w:tc>
        <w:tc>
          <w:tcPr>
            <w:tcW w:w="0" w:type="auto"/>
            <w:tcBorders>
              <w:top w:val="nil"/>
              <w:left w:val="nil"/>
              <w:bottom w:val="nil"/>
              <w:right w:val="nil"/>
            </w:tcBorders>
            <w:shd w:val="clear" w:color="auto" w:fill="auto"/>
          </w:tcPr>
          <w:p w14:paraId="590FEC5E" w14:textId="274AC02E" w:rsidR="00171AA3" w:rsidRPr="006311C5" w:rsidRDefault="00171AA3" w:rsidP="00171AA3">
            <w:pPr>
              <w:pStyle w:val="Tabletext"/>
              <w:rPr>
                <w:rFonts w:cstheme="minorHAnsi"/>
                <w:szCs w:val="18"/>
              </w:rPr>
            </w:pPr>
            <w:r w:rsidRPr="006311C5">
              <w:rPr>
                <w:rFonts w:ascii="Calibri" w:hAnsi="Calibri" w:cs="Calibri"/>
                <w:color w:val="000000"/>
                <w:szCs w:val="18"/>
              </w:rPr>
              <w:t>0.53</w:t>
            </w:r>
            <w:r w:rsidR="00212ACF" w:rsidRPr="006311C5">
              <w:rPr>
                <w:rFonts w:ascii="Calibri" w:hAnsi="Calibri" w:cs="Calibri"/>
                <w:color w:val="000000"/>
                <w:szCs w:val="18"/>
              </w:rPr>
              <w:t>4</w:t>
            </w:r>
            <w:r w:rsidRPr="006311C5">
              <w:rPr>
                <w:rFonts w:ascii="Calibri" w:hAnsi="Calibri" w:cs="Calibri"/>
                <w:color w:val="000000"/>
                <w:szCs w:val="18"/>
              </w:rPr>
              <w:t xml:space="preserve"> (0.</w:t>
            </w:r>
            <w:r w:rsidR="00212ACF" w:rsidRPr="006311C5">
              <w:rPr>
                <w:rFonts w:ascii="Calibri" w:hAnsi="Calibri" w:cs="Calibri"/>
                <w:color w:val="000000"/>
                <w:szCs w:val="18"/>
              </w:rPr>
              <w:t xml:space="preserve">396 </w:t>
            </w:r>
            <w:r w:rsidRPr="006311C5">
              <w:rPr>
                <w:rFonts w:ascii="Calibri" w:hAnsi="Calibri" w:cs="Calibri"/>
                <w:color w:val="000000"/>
                <w:szCs w:val="18"/>
              </w:rPr>
              <w:t>to 0.72</w:t>
            </w:r>
            <w:r w:rsidR="00212ACF" w:rsidRPr="006311C5">
              <w:rPr>
                <w:rFonts w:ascii="Calibri" w:hAnsi="Calibri" w:cs="Calibri"/>
                <w:color w:val="000000"/>
                <w:szCs w:val="18"/>
              </w:rPr>
              <w:t>7</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52EBB98C" w14:textId="5A2BD891" w:rsidR="00171AA3" w:rsidRPr="006311C5" w:rsidRDefault="00171AA3" w:rsidP="00171AA3">
            <w:pPr>
              <w:pStyle w:val="Tabletext"/>
              <w:rPr>
                <w:rFonts w:cstheme="minorHAnsi"/>
                <w:szCs w:val="18"/>
              </w:rPr>
            </w:pPr>
          </w:p>
        </w:tc>
        <w:tc>
          <w:tcPr>
            <w:tcW w:w="0" w:type="auto"/>
            <w:tcBorders>
              <w:top w:val="nil"/>
              <w:left w:val="nil"/>
              <w:bottom w:val="nil"/>
              <w:right w:val="nil"/>
            </w:tcBorders>
            <w:shd w:val="clear" w:color="auto" w:fill="auto"/>
          </w:tcPr>
          <w:p w14:paraId="383A232D" w14:textId="77FEFBA4" w:rsidR="00171AA3" w:rsidRPr="006311C5" w:rsidRDefault="00171AA3" w:rsidP="00171AA3">
            <w:pPr>
              <w:pStyle w:val="Tabletext"/>
              <w:rPr>
                <w:rFonts w:cstheme="minorHAnsi"/>
                <w:szCs w:val="18"/>
              </w:rPr>
            </w:pPr>
            <w:r w:rsidRPr="006311C5">
              <w:rPr>
                <w:rFonts w:ascii="Calibri" w:hAnsi="Calibri" w:cs="Calibri"/>
                <w:color w:val="000000"/>
                <w:szCs w:val="18"/>
              </w:rPr>
              <w:t>0.7</w:t>
            </w:r>
            <w:r w:rsidR="003E5A9E" w:rsidRPr="006311C5">
              <w:rPr>
                <w:rFonts w:ascii="Calibri" w:hAnsi="Calibri" w:cs="Calibri"/>
                <w:color w:val="000000"/>
                <w:szCs w:val="18"/>
              </w:rPr>
              <w:t>59</w:t>
            </w:r>
            <w:r w:rsidRPr="006311C5">
              <w:rPr>
                <w:rFonts w:ascii="Calibri" w:hAnsi="Calibri" w:cs="Calibri"/>
                <w:color w:val="000000"/>
                <w:szCs w:val="18"/>
              </w:rPr>
              <w:t xml:space="preserve"> (0.56</w:t>
            </w:r>
            <w:r w:rsidR="003E5A9E" w:rsidRPr="006311C5">
              <w:rPr>
                <w:rFonts w:ascii="Calibri" w:hAnsi="Calibri" w:cs="Calibri"/>
                <w:color w:val="000000"/>
                <w:szCs w:val="18"/>
              </w:rPr>
              <w:t>3</w:t>
            </w:r>
            <w:r w:rsidRPr="006311C5">
              <w:rPr>
                <w:rFonts w:ascii="Calibri" w:hAnsi="Calibri" w:cs="Calibri"/>
                <w:color w:val="000000"/>
                <w:szCs w:val="18"/>
              </w:rPr>
              <w:t xml:space="preserve"> to 1.02</w:t>
            </w:r>
            <w:r w:rsidR="003E5A9E" w:rsidRPr="006311C5">
              <w:rPr>
                <w:rFonts w:ascii="Calibri" w:hAnsi="Calibri" w:cs="Calibri"/>
                <w:color w:val="000000"/>
                <w:szCs w:val="18"/>
              </w:rPr>
              <w:t>5</w:t>
            </w:r>
            <w:r w:rsidRPr="006311C5">
              <w:rPr>
                <w:rFonts w:ascii="Calibri" w:hAnsi="Calibri" w:cs="Calibri"/>
                <w:color w:val="000000"/>
                <w:szCs w:val="18"/>
              </w:rPr>
              <w:t>)</w:t>
            </w:r>
          </w:p>
        </w:tc>
        <w:tc>
          <w:tcPr>
            <w:tcW w:w="0" w:type="auto"/>
            <w:tcBorders>
              <w:top w:val="nil"/>
              <w:left w:val="nil"/>
              <w:bottom w:val="nil"/>
              <w:right w:val="nil"/>
            </w:tcBorders>
            <w:shd w:val="clear" w:color="auto" w:fill="auto"/>
          </w:tcPr>
          <w:p w14:paraId="29643DBB" w14:textId="0C08C6FB" w:rsidR="00171AA3" w:rsidRPr="006311C5" w:rsidRDefault="00171AA3" w:rsidP="00171AA3">
            <w:pPr>
              <w:pStyle w:val="Tabletext"/>
              <w:rPr>
                <w:rFonts w:cstheme="minorHAnsi"/>
                <w:szCs w:val="18"/>
              </w:rPr>
            </w:pPr>
          </w:p>
        </w:tc>
      </w:tr>
      <w:tr w:rsidR="003E5A9E" w:rsidRPr="006311C5" w14:paraId="10656B9C" w14:textId="77777777" w:rsidTr="002E5DEE">
        <w:tc>
          <w:tcPr>
            <w:tcW w:w="0" w:type="auto"/>
            <w:vMerge/>
            <w:tcBorders>
              <w:left w:val="nil"/>
              <w:bottom w:val="single" w:sz="12" w:space="0" w:color="auto"/>
              <w:right w:val="nil"/>
            </w:tcBorders>
          </w:tcPr>
          <w:p w14:paraId="64E91D96" w14:textId="77777777" w:rsidR="00171AA3" w:rsidRPr="006311C5" w:rsidRDefault="00171AA3" w:rsidP="00171AA3">
            <w:pPr>
              <w:pStyle w:val="Tabletext"/>
              <w:rPr>
                <w:rFonts w:cstheme="minorHAnsi"/>
                <w:szCs w:val="18"/>
              </w:rPr>
            </w:pPr>
          </w:p>
        </w:tc>
        <w:tc>
          <w:tcPr>
            <w:tcW w:w="0" w:type="auto"/>
            <w:vMerge/>
            <w:tcBorders>
              <w:left w:val="nil"/>
              <w:bottom w:val="single" w:sz="12" w:space="0" w:color="auto"/>
              <w:right w:val="nil"/>
            </w:tcBorders>
          </w:tcPr>
          <w:p w14:paraId="5E20F78E" w14:textId="77777777" w:rsidR="00171AA3" w:rsidRPr="006311C5" w:rsidRDefault="00171AA3" w:rsidP="00171AA3">
            <w:pPr>
              <w:pStyle w:val="Tabletext"/>
              <w:rPr>
                <w:rFonts w:cstheme="minorHAnsi"/>
                <w:szCs w:val="18"/>
              </w:rPr>
            </w:pPr>
          </w:p>
        </w:tc>
        <w:tc>
          <w:tcPr>
            <w:tcW w:w="0" w:type="auto"/>
            <w:tcBorders>
              <w:top w:val="nil"/>
              <w:left w:val="nil"/>
              <w:bottom w:val="single" w:sz="12" w:space="0" w:color="auto"/>
              <w:right w:val="nil"/>
            </w:tcBorders>
          </w:tcPr>
          <w:p w14:paraId="31C5EA4A" w14:textId="322618B8" w:rsidR="00171AA3" w:rsidRPr="006311C5" w:rsidRDefault="00171AA3" w:rsidP="00171AA3">
            <w:pPr>
              <w:pStyle w:val="Tabletext"/>
              <w:rPr>
                <w:rFonts w:cstheme="minorHAnsi"/>
                <w:szCs w:val="18"/>
              </w:rPr>
            </w:pPr>
            <w:r w:rsidRPr="006311C5">
              <w:rPr>
                <w:rFonts w:cstheme="minorHAnsi"/>
                <w:szCs w:val="18"/>
              </w:rPr>
              <w:t>Moderna</w:t>
            </w:r>
          </w:p>
        </w:tc>
        <w:tc>
          <w:tcPr>
            <w:tcW w:w="0" w:type="auto"/>
            <w:tcBorders>
              <w:top w:val="nil"/>
              <w:left w:val="nil"/>
              <w:bottom w:val="single" w:sz="12" w:space="0" w:color="auto"/>
              <w:right w:val="nil"/>
            </w:tcBorders>
            <w:shd w:val="clear" w:color="auto" w:fill="auto"/>
          </w:tcPr>
          <w:p w14:paraId="10B9DB59" w14:textId="5D49539B" w:rsidR="00171AA3" w:rsidRPr="006311C5" w:rsidRDefault="00171AA3" w:rsidP="00171AA3">
            <w:pPr>
              <w:pStyle w:val="Tabletext"/>
              <w:rPr>
                <w:rFonts w:cstheme="minorHAnsi"/>
                <w:szCs w:val="18"/>
              </w:rPr>
            </w:pPr>
            <w:r w:rsidRPr="006311C5">
              <w:rPr>
                <w:rFonts w:ascii="Calibri" w:hAnsi="Calibri" w:cs="Calibri"/>
                <w:color w:val="000000"/>
                <w:szCs w:val="18"/>
              </w:rPr>
              <w:t>2.47</w:t>
            </w:r>
            <w:r w:rsidR="00212ACF" w:rsidRPr="006311C5">
              <w:rPr>
                <w:rFonts w:ascii="Calibri" w:hAnsi="Calibri" w:cs="Calibri"/>
                <w:color w:val="000000"/>
                <w:szCs w:val="18"/>
              </w:rPr>
              <w:t>1</w:t>
            </w:r>
            <w:r w:rsidRPr="006311C5">
              <w:rPr>
                <w:rFonts w:ascii="Calibri" w:hAnsi="Calibri" w:cs="Calibri"/>
                <w:color w:val="000000"/>
                <w:szCs w:val="18"/>
              </w:rPr>
              <w:t xml:space="preserve"> (0.8</w:t>
            </w:r>
            <w:r w:rsidR="00212ACF" w:rsidRPr="006311C5">
              <w:rPr>
                <w:rFonts w:ascii="Calibri" w:hAnsi="Calibri" w:cs="Calibri"/>
                <w:color w:val="000000"/>
                <w:szCs w:val="18"/>
              </w:rPr>
              <w:t>09</w:t>
            </w:r>
            <w:r w:rsidRPr="006311C5">
              <w:rPr>
                <w:rFonts w:ascii="Calibri" w:hAnsi="Calibri" w:cs="Calibri"/>
                <w:color w:val="000000"/>
                <w:szCs w:val="18"/>
              </w:rPr>
              <w:t xml:space="preserve"> to 7.5</w:t>
            </w:r>
            <w:r w:rsidR="00212ACF" w:rsidRPr="006311C5">
              <w:rPr>
                <w:rFonts w:ascii="Calibri" w:hAnsi="Calibri" w:cs="Calibri"/>
                <w:color w:val="000000"/>
                <w:szCs w:val="18"/>
              </w:rPr>
              <w:t>4</w:t>
            </w:r>
            <w:r w:rsidRPr="006311C5">
              <w:rPr>
                <w:rFonts w:ascii="Calibri" w:hAnsi="Calibri" w:cs="Calibri"/>
                <w:color w:val="000000"/>
                <w:szCs w:val="18"/>
              </w:rPr>
              <w:t>5)</w:t>
            </w:r>
          </w:p>
        </w:tc>
        <w:tc>
          <w:tcPr>
            <w:tcW w:w="0" w:type="auto"/>
            <w:tcBorders>
              <w:top w:val="nil"/>
              <w:left w:val="nil"/>
              <w:bottom w:val="single" w:sz="12" w:space="0" w:color="auto"/>
              <w:right w:val="nil"/>
            </w:tcBorders>
            <w:shd w:val="clear" w:color="auto" w:fill="auto"/>
          </w:tcPr>
          <w:p w14:paraId="45209D3B" w14:textId="61193F91" w:rsidR="00171AA3" w:rsidRPr="006311C5" w:rsidRDefault="00171AA3" w:rsidP="00171AA3">
            <w:pPr>
              <w:pStyle w:val="Tabletext"/>
              <w:rPr>
                <w:rFonts w:cstheme="minorHAnsi"/>
                <w:szCs w:val="18"/>
              </w:rPr>
            </w:pPr>
          </w:p>
        </w:tc>
        <w:tc>
          <w:tcPr>
            <w:tcW w:w="0" w:type="auto"/>
            <w:tcBorders>
              <w:top w:val="nil"/>
              <w:left w:val="nil"/>
              <w:bottom w:val="single" w:sz="12" w:space="0" w:color="auto"/>
              <w:right w:val="nil"/>
            </w:tcBorders>
            <w:shd w:val="clear" w:color="auto" w:fill="auto"/>
          </w:tcPr>
          <w:p w14:paraId="0F3CA73E" w14:textId="266D0414" w:rsidR="00171AA3" w:rsidRPr="006311C5" w:rsidRDefault="00171AA3" w:rsidP="00171AA3">
            <w:pPr>
              <w:pStyle w:val="Tabletext"/>
              <w:rPr>
                <w:rFonts w:cstheme="minorHAnsi"/>
                <w:szCs w:val="18"/>
              </w:rPr>
            </w:pPr>
            <w:r w:rsidRPr="006311C5">
              <w:rPr>
                <w:rFonts w:ascii="Calibri" w:hAnsi="Calibri" w:cs="Calibri"/>
                <w:color w:val="000000"/>
                <w:szCs w:val="18"/>
              </w:rPr>
              <w:t>6.04</w:t>
            </w:r>
            <w:r w:rsidR="003E5A9E" w:rsidRPr="006311C5">
              <w:rPr>
                <w:rFonts w:ascii="Calibri" w:hAnsi="Calibri" w:cs="Calibri"/>
                <w:color w:val="000000"/>
                <w:szCs w:val="18"/>
              </w:rPr>
              <w:t>4</w:t>
            </w:r>
            <w:r w:rsidRPr="006311C5">
              <w:rPr>
                <w:rFonts w:ascii="Calibri" w:hAnsi="Calibri" w:cs="Calibri"/>
                <w:color w:val="000000"/>
                <w:szCs w:val="18"/>
              </w:rPr>
              <w:t xml:space="preserve"> (1.7</w:t>
            </w:r>
            <w:r w:rsidR="003E5A9E" w:rsidRPr="006311C5">
              <w:rPr>
                <w:rFonts w:ascii="Calibri" w:hAnsi="Calibri" w:cs="Calibri"/>
                <w:color w:val="000000"/>
                <w:szCs w:val="18"/>
              </w:rPr>
              <w:t>39</w:t>
            </w:r>
            <w:r w:rsidRPr="006311C5">
              <w:rPr>
                <w:rFonts w:ascii="Calibri" w:hAnsi="Calibri" w:cs="Calibri"/>
                <w:color w:val="000000"/>
                <w:szCs w:val="18"/>
              </w:rPr>
              <w:t xml:space="preserve"> to 21.0</w:t>
            </w:r>
            <w:r w:rsidR="003E5A9E" w:rsidRPr="006311C5">
              <w:rPr>
                <w:rFonts w:ascii="Calibri" w:hAnsi="Calibri" w:cs="Calibri"/>
                <w:color w:val="000000"/>
                <w:szCs w:val="18"/>
              </w:rPr>
              <w:t>06</w:t>
            </w:r>
            <w:r w:rsidRPr="006311C5">
              <w:rPr>
                <w:rFonts w:ascii="Calibri" w:hAnsi="Calibri" w:cs="Calibri"/>
                <w:color w:val="000000"/>
                <w:szCs w:val="18"/>
              </w:rPr>
              <w:t>)</w:t>
            </w:r>
          </w:p>
        </w:tc>
        <w:tc>
          <w:tcPr>
            <w:tcW w:w="0" w:type="auto"/>
            <w:tcBorders>
              <w:top w:val="nil"/>
              <w:left w:val="nil"/>
              <w:bottom w:val="single" w:sz="12" w:space="0" w:color="auto"/>
              <w:right w:val="nil"/>
            </w:tcBorders>
            <w:shd w:val="clear" w:color="auto" w:fill="auto"/>
          </w:tcPr>
          <w:p w14:paraId="24E8C1F4" w14:textId="3F422CF6" w:rsidR="00171AA3" w:rsidRPr="006311C5" w:rsidRDefault="00171AA3" w:rsidP="00171AA3">
            <w:pPr>
              <w:pStyle w:val="Tabletext"/>
              <w:rPr>
                <w:rFonts w:cstheme="minorHAnsi"/>
                <w:szCs w:val="18"/>
              </w:rPr>
            </w:pPr>
          </w:p>
        </w:tc>
      </w:tr>
    </w:tbl>
    <w:p w14:paraId="526C0786" w14:textId="42CDDD43" w:rsidR="00F9657F" w:rsidRPr="006311C5" w:rsidRDefault="008B26E6" w:rsidP="00B509C6">
      <w:pPr>
        <w:spacing w:after="0" w:line="240" w:lineRule="auto"/>
        <w:rPr>
          <w:rFonts w:ascii="Calibri" w:hAnsi="Calibri" w:cs="Calibri"/>
          <w:sz w:val="18"/>
          <w:szCs w:val="18"/>
        </w:rPr>
      </w:pPr>
      <w:proofErr w:type="spellStart"/>
      <w:r w:rsidRPr="006311C5">
        <w:rPr>
          <w:rFonts w:cstheme="minorHAnsi"/>
          <w:szCs w:val="18"/>
          <w:vertAlign w:val="superscript"/>
        </w:rPr>
        <w:t>a</w:t>
      </w:r>
      <w:proofErr w:type="spellEnd"/>
      <w:r w:rsidRPr="006311C5">
        <w:rPr>
          <w:rFonts w:ascii="Calibri" w:hAnsi="Calibri" w:cs="Calibri"/>
          <w:sz w:val="18"/>
          <w:szCs w:val="18"/>
        </w:rPr>
        <w:t xml:space="preserve"> </w:t>
      </w:r>
      <w:r w:rsidR="00F9657F" w:rsidRPr="006311C5">
        <w:rPr>
          <w:rFonts w:ascii="Calibri" w:hAnsi="Calibri" w:cs="Calibri"/>
          <w:sz w:val="18"/>
          <w:szCs w:val="18"/>
        </w:rPr>
        <w:t xml:space="preserve">Adjusting for age, gender, ethnicity, being at risk for COVID-19, think or had COVID-19 previously or currently, and vaccine brand. </w:t>
      </w:r>
    </w:p>
    <w:p w14:paraId="20BDE542" w14:textId="7141B8DD" w:rsidR="00C8625B" w:rsidRPr="00B509C6" w:rsidRDefault="00C8625B" w:rsidP="00B509C6">
      <w:pPr>
        <w:spacing w:after="0" w:line="240" w:lineRule="auto"/>
        <w:rPr>
          <w:sz w:val="18"/>
          <w:szCs w:val="18"/>
        </w:rPr>
      </w:pPr>
      <w:r w:rsidRPr="006311C5">
        <w:rPr>
          <w:sz w:val="18"/>
          <w:szCs w:val="18"/>
        </w:rPr>
        <w:t xml:space="preserve">* </w:t>
      </w:r>
      <w:r w:rsidRPr="006311C5">
        <w:rPr>
          <w:i/>
          <w:iCs/>
          <w:sz w:val="18"/>
          <w:szCs w:val="18"/>
        </w:rPr>
        <w:t>p</w:t>
      </w:r>
      <w:r w:rsidRPr="006311C5">
        <w:rPr>
          <w:sz w:val="18"/>
          <w:szCs w:val="18"/>
        </w:rPr>
        <w:t xml:space="preserve"> ≤.05</w:t>
      </w:r>
    </w:p>
    <w:p w14:paraId="015DF72A" w14:textId="77777777" w:rsidR="00B509C6" w:rsidRDefault="00B509C6" w:rsidP="00C8625B">
      <w:pPr>
        <w:spacing w:afterLines="40" w:after="96" w:line="240" w:lineRule="auto"/>
      </w:pPr>
    </w:p>
    <w:sectPr w:rsidR="00B509C6" w:rsidSect="00742F0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C756" w14:textId="77777777" w:rsidR="0002141C" w:rsidRDefault="0002141C" w:rsidP="00491B70">
      <w:pPr>
        <w:spacing w:after="0" w:line="240" w:lineRule="auto"/>
      </w:pPr>
      <w:r>
        <w:separator/>
      </w:r>
    </w:p>
  </w:endnote>
  <w:endnote w:type="continuationSeparator" w:id="0">
    <w:p w14:paraId="7384FE48" w14:textId="77777777" w:rsidR="0002141C" w:rsidRDefault="0002141C" w:rsidP="0049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1209"/>
      <w:docPartObj>
        <w:docPartGallery w:val="Page Numbers (Bottom of Page)"/>
        <w:docPartUnique/>
      </w:docPartObj>
    </w:sdtPr>
    <w:sdtEndPr>
      <w:rPr>
        <w:noProof/>
      </w:rPr>
    </w:sdtEndPr>
    <w:sdtContent>
      <w:p w14:paraId="4D5A9867" w14:textId="672D9FFE" w:rsidR="00491B70" w:rsidRDefault="00491B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F61D6E" w14:textId="77777777" w:rsidR="00491B70" w:rsidRDefault="00491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946D" w14:textId="77777777" w:rsidR="0002141C" w:rsidRDefault="0002141C" w:rsidP="00491B70">
      <w:pPr>
        <w:spacing w:after="0" w:line="240" w:lineRule="auto"/>
      </w:pPr>
      <w:r>
        <w:separator/>
      </w:r>
    </w:p>
  </w:footnote>
  <w:footnote w:type="continuationSeparator" w:id="0">
    <w:p w14:paraId="6F210380" w14:textId="77777777" w:rsidR="0002141C" w:rsidRDefault="0002141C" w:rsidP="00491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726"/>
    <w:multiLevelType w:val="hybridMultilevel"/>
    <w:tmpl w:val="E7F68E18"/>
    <w:lvl w:ilvl="0" w:tplc="48126CE4">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A277D11"/>
    <w:multiLevelType w:val="hybridMultilevel"/>
    <w:tmpl w:val="AF9E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A14A44"/>
    <w:multiLevelType w:val="hybridMultilevel"/>
    <w:tmpl w:val="BAD2C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10D5F"/>
    <w:multiLevelType w:val="hybridMultilevel"/>
    <w:tmpl w:val="437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00FA2"/>
    <w:multiLevelType w:val="hybridMultilevel"/>
    <w:tmpl w:val="88FA5C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D3F1F"/>
    <w:multiLevelType w:val="hybridMultilevel"/>
    <w:tmpl w:val="D16CD8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3269AB"/>
    <w:multiLevelType w:val="hybridMultilevel"/>
    <w:tmpl w:val="D16CD8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88297D"/>
    <w:multiLevelType w:val="hybridMultilevel"/>
    <w:tmpl w:val="3EDE335A"/>
    <w:lvl w:ilvl="0" w:tplc="382EC69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3F40AC"/>
    <w:multiLevelType w:val="hybridMultilevel"/>
    <w:tmpl w:val="E474D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4336200">
    <w:abstractNumId w:val="5"/>
  </w:num>
  <w:num w:numId="2" w16cid:durableId="327366807">
    <w:abstractNumId w:val="10"/>
  </w:num>
  <w:num w:numId="3" w16cid:durableId="1365788718">
    <w:abstractNumId w:val="3"/>
  </w:num>
  <w:num w:numId="4" w16cid:durableId="1076974335">
    <w:abstractNumId w:val="9"/>
  </w:num>
  <w:num w:numId="5" w16cid:durableId="897519822">
    <w:abstractNumId w:val="6"/>
  </w:num>
  <w:num w:numId="6" w16cid:durableId="2027901957">
    <w:abstractNumId w:val="8"/>
  </w:num>
  <w:num w:numId="7" w16cid:durableId="1442997736">
    <w:abstractNumId w:val="7"/>
  </w:num>
  <w:num w:numId="8" w16cid:durableId="1099301457">
    <w:abstractNumId w:val="1"/>
  </w:num>
  <w:num w:numId="9" w16cid:durableId="1753313744">
    <w:abstractNumId w:val="0"/>
  </w:num>
  <w:num w:numId="10" w16cid:durableId="1353143248">
    <w:abstractNumId w:val="2"/>
  </w:num>
  <w:num w:numId="11" w16cid:durableId="149070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ae5v2eqrdfeme0rvkv0ranftr2eaf2pd2v&quot;&gt;My EndNote Library - Feb 2022&lt;record-ids&gt;&lt;item&gt;1&lt;/item&gt;&lt;item&gt;2&lt;/item&gt;&lt;item&gt;3&lt;/item&gt;&lt;item&gt;33&lt;/item&gt;&lt;item&gt;59&lt;/item&gt;&lt;item&gt;68&lt;/item&gt;&lt;item&gt;92&lt;/item&gt;&lt;item&gt;94&lt;/item&gt;&lt;item&gt;190&lt;/item&gt;&lt;item&gt;195&lt;/item&gt;&lt;item&gt;198&lt;/item&gt;&lt;item&gt;200&lt;/item&gt;&lt;item&gt;208&lt;/item&gt;&lt;item&gt;209&lt;/item&gt;&lt;item&gt;210&lt;/item&gt;&lt;item&gt;211&lt;/item&gt;&lt;item&gt;212&lt;/item&gt;&lt;item&gt;213&lt;/item&gt;&lt;item&gt;215&lt;/item&gt;&lt;item&gt;216&lt;/item&gt;&lt;item&gt;218&lt;/item&gt;&lt;item&gt;221&lt;/item&gt;&lt;item&gt;223&lt;/item&gt;&lt;item&gt;226&lt;/item&gt;&lt;item&gt;227&lt;/item&gt;&lt;item&gt;230&lt;/item&gt;&lt;item&gt;231&lt;/item&gt;&lt;item&gt;429&lt;/item&gt;&lt;item&gt;430&lt;/item&gt;&lt;item&gt;432&lt;/item&gt;&lt;item&gt;433&lt;/item&gt;&lt;item&gt;436&lt;/item&gt;&lt;item&gt;437&lt;/item&gt;&lt;item&gt;438&lt;/item&gt;&lt;/record-ids&gt;&lt;/item&gt;&lt;/Libraries&gt;"/>
  </w:docVars>
  <w:rsids>
    <w:rsidRoot w:val="00BC5542"/>
    <w:rsid w:val="0000006F"/>
    <w:rsid w:val="00000201"/>
    <w:rsid w:val="00000C52"/>
    <w:rsid w:val="000019E1"/>
    <w:rsid w:val="0000426C"/>
    <w:rsid w:val="00005DC8"/>
    <w:rsid w:val="00006026"/>
    <w:rsid w:val="00006294"/>
    <w:rsid w:val="000065E3"/>
    <w:rsid w:val="000102CE"/>
    <w:rsid w:val="00011579"/>
    <w:rsid w:val="00013029"/>
    <w:rsid w:val="00016A72"/>
    <w:rsid w:val="00017E6B"/>
    <w:rsid w:val="0002141C"/>
    <w:rsid w:val="00027092"/>
    <w:rsid w:val="00031F34"/>
    <w:rsid w:val="00032355"/>
    <w:rsid w:val="00032540"/>
    <w:rsid w:val="000330E6"/>
    <w:rsid w:val="0003409C"/>
    <w:rsid w:val="00034E06"/>
    <w:rsid w:val="0003653D"/>
    <w:rsid w:val="000369CB"/>
    <w:rsid w:val="00037889"/>
    <w:rsid w:val="000414D5"/>
    <w:rsid w:val="00041621"/>
    <w:rsid w:val="000431F7"/>
    <w:rsid w:val="00043E5C"/>
    <w:rsid w:val="0004404A"/>
    <w:rsid w:val="000444A7"/>
    <w:rsid w:val="00044819"/>
    <w:rsid w:val="00046ABB"/>
    <w:rsid w:val="00047A19"/>
    <w:rsid w:val="00051B0C"/>
    <w:rsid w:val="00053DBC"/>
    <w:rsid w:val="00054A45"/>
    <w:rsid w:val="00054B12"/>
    <w:rsid w:val="00057017"/>
    <w:rsid w:val="00063802"/>
    <w:rsid w:val="000638CA"/>
    <w:rsid w:val="000640C7"/>
    <w:rsid w:val="00066C6A"/>
    <w:rsid w:val="00067E08"/>
    <w:rsid w:val="00070CFD"/>
    <w:rsid w:val="000717C8"/>
    <w:rsid w:val="000736FA"/>
    <w:rsid w:val="00074E64"/>
    <w:rsid w:val="00075627"/>
    <w:rsid w:val="000772BA"/>
    <w:rsid w:val="000824FD"/>
    <w:rsid w:val="00083357"/>
    <w:rsid w:val="00084007"/>
    <w:rsid w:val="00084436"/>
    <w:rsid w:val="00084E94"/>
    <w:rsid w:val="000919E0"/>
    <w:rsid w:val="00091EB1"/>
    <w:rsid w:val="00091FCC"/>
    <w:rsid w:val="00093E92"/>
    <w:rsid w:val="00095894"/>
    <w:rsid w:val="000A03E1"/>
    <w:rsid w:val="000A054A"/>
    <w:rsid w:val="000A076E"/>
    <w:rsid w:val="000A09E1"/>
    <w:rsid w:val="000A3ADE"/>
    <w:rsid w:val="000A40AD"/>
    <w:rsid w:val="000A48AC"/>
    <w:rsid w:val="000A4B7F"/>
    <w:rsid w:val="000B3566"/>
    <w:rsid w:val="000B4871"/>
    <w:rsid w:val="000B51B0"/>
    <w:rsid w:val="000B54A1"/>
    <w:rsid w:val="000B5AFA"/>
    <w:rsid w:val="000B68DF"/>
    <w:rsid w:val="000B79D8"/>
    <w:rsid w:val="000C0832"/>
    <w:rsid w:val="000C173B"/>
    <w:rsid w:val="000C2102"/>
    <w:rsid w:val="000C2FDF"/>
    <w:rsid w:val="000C5220"/>
    <w:rsid w:val="000C6FAB"/>
    <w:rsid w:val="000D07A7"/>
    <w:rsid w:val="000D08B1"/>
    <w:rsid w:val="000D0CB2"/>
    <w:rsid w:val="000D12D3"/>
    <w:rsid w:val="000D145E"/>
    <w:rsid w:val="000D28C0"/>
    <w:rsid w:val="000D4874"/>
    <w:rsid w:val="000D553D"/>
    <w:rsid w:val="000D638B"/>
    <w:rsid w:val="000D669D"/>
    <w:rsid w:val="000D730B"/>
    <w:rsid w:val="000D78DA"/>
    <w:rsid w:val="000E2AC3"/>
    <w:rsid w:val="000E350B"/>
    <w:rsid w:val="000E7C33"/>
    <w:rsid w:val="000F0E37"/>
    <w:rsid w:val="000F1394"/>
    <w:rsid w:val="000F546A"/>
    <w:rsid w:val="000F5A43"/>
    <w:rsid w:val="000F61ED"/>
    <w:rsid w:val="000F7136"/>
    <w:rsid w:val="0010193A"/>
    <w:rsid w:val="00101D8A"/>
    <w:rsid w:val="00105BCB"/>
    <w:rsid w:val="00105F99"/>
    <w:rsid w:val="00107BB3"/>
    <w:rsid w:val="00115847"/>
    <w:rsid w:val="001163AC"/>
    <w:rsid w:val="00117720"/>
    <w:rsid w:val="00123C1B"/>
    <w:rsid w:val="00124B1D"/>
    <w:rsid w:val="001255AF"/>
    <w:rsid w:val="00126E52"/>
    <w:rsid w:val="001272E7"/>
    <w:rsid w:val="00127685"/>
    <w:rsid w:val="001277B5"/>
    <w:rsid w:val="00127B30"/>
    <w:rsid w:val="00131501"/>
    <w:rsid w:val="001319F2"/>
    <w:rsid w:val="00131A5E"/>
    <w:rsid w:val="0013224C"/>
    <w:rsid w:val="0013228B"/>
    <w:rsid w:val="00134F1D"/>
    <w:rsid w:val="00135CC1"/>
    <w:rsid w:val="00136418"/>
    <w:rsid w:val="00137329"/>
    <w:rsid w:val="00140728"/>
    <w:rsid w:val="00142129"/>
    <w:rsid w:val="00142C05"/>
    <w:rsid w:val="00143A6E"/>
    <w:rsid w:val="00145117"/>
    <w:rsid w:val="00145A21"/>
    <w:rsid w:val="001471F8"/>
    <w:rsid w:val="001501A7"/>
    <w:rsid w:val="00150504"/>
    <w:rsid w:val="00152776"/>
    <w:rsid w:val="00153F86"/>
    <w:rsid w:val="00154097"/>
    <w:rsid w:val="00154C9B"/>
    <w:rsid w:val="00156084"/>
    <w:rsid w:val="00157393"/>
    <w:rsid w:val="00157AEA"/>
    <w:rsid w:val="001602EC"/>
    <w:rsid w:val="0016098B"/>
    <w:rsid w:val="001639C2"/>
    <w:rsid w:val="00164DB4"/>
    <w:rsid w:val="00165C6B"/>
    <w:rsid w:val="00165D2A"/>
    <w:rsid w:val="001712C9"/>
    <w:rsid w:val="00171AA3"/>
    <w:rsid w:val="00174ED8"/>
    <w:rsid w:val="00176DDC"/>
    <w:rsid w:val="001811CA"/>
    <w:rsid w:val="00181D57"/>
    <w:rsid w:val="001824F1"/>
    <w:rsid w:val="00183498"/>
    <w:rsid w:val="00183799"/>
    <w:rsid w:val="001838DA"/>
    <w:rsid w:val="00184788"/>
    <w:rsid w:val="001854BD"/>
    <w:rsid w:val="00190984"/>
    <w:rsid w:val="001910DD"/>
    <w:rsid w:val="00191F63"/>
    <w:rsid w:val="00194A50"/>
    <w:rsid w:val="001956FB"/>
    <w:rsid w:val="001957A0"/>
    <w:rsid w:val="00196999"/>
    <w:rsid w:val="00196AD2"/>
    <w:rsid w:val="00196E9D"/>
    <w:rsid w:val="001975A5"/>
    <w:rsid w:val="001A1926"/>
    <w:rsid w:val="001A79ED"/>
    <w:rsid w:val="001B02B7"/>
    <w:rsid w:val="001B12C0"/>
    <w:rsid w:val="001B25EB"/>
    <w:rsid w:val="001B2D64"/>
    <w:rsid w:val="001B342E"/>
    <w:rsid w:val="001B3596"/>
    <w:rsid w:val="001B40AB"/>
    <w:rsid w:val="001B564C"/>
    <w:rsid w:val="001C153C"/>
    <w:rsid w:val="001C15C7"/>
    <w:rsid w:val="001C3025"/>
    <w:rsid w:val="001C3F93"/>
    <w:rsid w:val="001C413A"/>
    <w:rsid w:val="001C709B"/>
    <w:rsid w:val="001D033B"/>
    <w:rsid w:val="001D072B"/>
    <w:rsid w:val="001D1CAA"/>
    <w:rsid w:val="001D3E5D"/>
    <w:rsid w:val="001E233F"/>
    <w:rsid w:val="001E3DFD"/>
    <w:rsid w:val="001E7502"/>
    <w:rsid w:val="001F2F09"/>
    <w:rsid w:val="001F4073"/>
    <w:rsid w:val="001F40DD"/>
    <w:rsid w:val="001F4582"/>
    <w:rsid w:val="001F599E"/>
    <w:rsid w:val="002009CE"/>
    <w:rsid w:val="002017E1"/>
    <w:rsid w:val="00202088"/>
    <w:rsid w:val="00207488"/>
    <w:rsid w:val="0021042B"/>
    <w:rsid w:val="00210A94"/>
    <w:rsid w:val="00210E60"/>
    <w:rsid w:val="00211C71"/>
    <w:rsid w:val="00211DAE"/>
    <w:rsid w:val="00212ACF"/>
    <w:rsid w:val="002135CA"/>
    <w:rsid w:val="00213850"/>
    <w:rsid w:val="0022051F"/>
    <w:rsid w:val="0022113F"/>
    <w:rsid w:val="0022199D"/>
    <w:rsid w:val="00222260"/>
    <w:rsid w:val="00223870"/>
    <w:rsid w:val="00223E31"/>
    <w:rsid w:val="00224355"/>
    <w:rsid w:val="00224A6B"/>
    <w:rsid w:val="00225BFC"/>
    <w:rsid w:val="00225F30"/>
    <w:rsid w:val="00227AB6"/>
    <w:rsid w:val="00227C42"/>
    <w:rsid w:val="002308E4"/>
    <w:rsid w:val="00230D76"/>
    <w:rsid w:val="00231081"/>
    <w:rsid w:val="00231896"/>
    <w:rsid w:val="00232994"/>
    <w:rsid w:val="00232EFD"/>
    <w:rsid w:val="0023393C"/>
    <w:rsid w:val="00235CC0"/>
    <w:rsid w:val="00236B57"/>
    <w:rsid w:val="00236FFD"/>
    <w:rsid w:val="00240070"/>
    <w:rsid w:val="002425CD"/>
    <w:rsid w:val="00244FCE"/>
    <w:rsid w:val="00245727"/>
    <w:rsid w:val="0024596B"/>
    <w:rsid w:val="0025048B"/>
    <w:rsid w:val="00251280"/>
    <w:rsid w:val="00251E59"/>
    <w:rsid w:val="00252375"/>
    <w:rsid w:val="00253220"/>
    <w:rsid w:val="002535F0"/>
    <w:rsid w:val="0025620C"/>
    <w:rsid w:val="00257A77"/>
    <w:rsid w:val="00257CA9"/>
    <w:rsid w:val="00261233"/>
    <w:rsid w:val="0026232F"/>
    <w:rsid w:val="00263007"/>
    <w:rsid w:val="00264352"/>
    <w:rsid w:val="0026464D"/>
    <w:rsid w:val="00264BF1"/>
    <w:rsid w:val="0026531D"/>
    <w:rsid w:val="0027068C"/>
    <w:rsid w:val="0027239B"/>
    <w:rsid w:val="00275ABD"/>
    <w:rsid w:val="00276C77"/>
    <w:rsid w:val="00280041"/>
    <w:rsid w:val="002859E2"/>
    <w:rsid w:val="00286321"/>
    <w:rsid w:val="00286A54"/>
    <w:rsid w:val="002870E6"/>
    <w:rsid w:val="00287A50"/>
    <w:rsid w:val="00287C7B"/>
    <w:rsid w:val="00290092"/>
    <w:rsid w:val="0029045F"/>
    <w:rsid w:val="002906C9"/>
    <w:rsid w:val="0029127D"/>
    <w:rsid w:val="00292A13"/>
    <w:rsid w:val="002934AE"/>
    <w:rsid w:val="00293AB8"/>
    <w:rsid w:val="0029424F"/>
    <w:rsid w:val="002949E7"/>
    <w:rsid w:val="002959F7"/>
    <w:rsid w:val="00296B4E"/>
    <w:rsid w:val="0029739D"/>
    <w:rsid w:val="002976CE"/>
    <w:rsid w:val="002A62FB"/>
    <w:rsid w:val="002A6606"/>
    <w:rsid w:val="002B15F3"/>
    <w:rsid w:val="002C0A8B"/>
    <w:rsid w:val="002C0CA5"/>
    <w:rsid w:val="002C276D"/>
    <w:rsid w:val="002C4729"/>
    <w:rsid w:val="002D090F"/>
    <w:rsid w:val="002D185A"/>
    <w:rsid w:val="002D1CD2"/>
    <w:rsid w:val="002D3DA4"/>
    <w:rsid w:val="002D4947"/>
    <w:rsid w:val="002D618B"/>
    <w:rsid w:val="002D6828"/>
    <w:rsid w:val="002D698E"/>
    <w:rsid w:val="002E1FD8"/>
    <w:rsid w:val="002E3593"/>
    <w:rsid w:val="002E533F"/>
    <w:rsid w:val="002E5DEE"/>
    <w:rsid w:val="002F0AB6"/>
    <w:rsid w:val="002F2A31"/>
    <w:rsid w:val="002F2DE7"/>
    <w:rsid w:val="002F4749"/>
    <w:rsid w:val="002F5C2E"/>
    <w:rsid w:val="00300C76"/>
    <w:rsid w:val="003026E2"/>
    <w:rsid w:val="00303616"/>
    <w:rsid w:val="00303859"/>
    <w:rsid w:val="00303D74"/>
    <w:rsid w:val="00304E64"/>
    <w:rsid w:val="00305E81"/>
    <w:rsid w:val="00312F49"/>
    <w:rsid w:val="0031363A"/>
    <w:rsid w:val="00314ADF"/>
    <w:rsid w:val="003150AA"/>
    <w:rsid w:val="00315A44"/>
    <w:rsid w:val="003162B8"/>
    <w:rsid w:val="00316E4F"/>
    <w:rsid w:val="00317550"/>
    <w:rsid w:val="00321929"/>
    <w:rsid w:val="00327671"/>
    <w:rsid w:val="00327F08"/>
    <w:rsid w:val="00333BB9"/>
    <w:rsid w:val="003359CA"/>
    <w:rsid w:val="00335A5D"/>
    <w:rsid w:val="00336EFB"/>
    <w:rsid w:val="00340956"/>
    <w:rsid w:val="00340B9E"/>
    <w:rsid w:val="00341004"/>
    <w:rsid w:val="00341727"/>
    <w:rsid w:val="003430CD"/>
    <w:rsid w:val="00343E38"/>
    <w:rsid w:val="0034416D"/>
    <w:rsid w:val="00346C0C"/>
    <w:rsid w:val="00347412"/>
    <w:rsid w:val="00347488"/>
    <w:rsid w:val="00347BD0"/>
    <w:rsid w:val="00350314"/>
    <w:rsid w:val="00351C46"/>
    <w:rsid w:val="00353FF2"/>
    <w:rsid w:val="00354A31"/>
    <w:rsid w:val="00354FE4"/>
    <w:rsid w:val="00357468"/>
    <w:rsid w:val="003600ED"/>
    <w:rsid w:val="00360930"/>
    <w:rsid w:val="00361CD6"/>
    <w:rsid w:val="003628B6"/>
    <w:rsid w:val="00362E72"/>
    <w:rsid w:val="0036394A"/>
    <w:rsid w:val="00363E7C"/>
    <w:rsid w:val="003652E9"/>
    <w:rsid w:val="0036547D"/>
    <w:rsid w:val="00370439"/>
    <w:rsid w:val="00370B8D"/>
    <w:rsid w:val="00371308"/>
    <w:rsid w:val="00372AF0"/>
    <w:rsid w:val="00373501"/>
    <w:rsid w:val="00374B69"/>
    <w:rsid w:val="00375B63"/>
    <w:rsid w:val="0037610B"/>
    <w:rsid w:val="003767FE"/>
    <w:rsid w:val="0038112D"/>
    <w:rsid w:val="003824DC"/>
    <w:rsid w:val="00383D20"/>
    <w:rsid w:val="00384A06"/>
    <w:rsid w:val="00386BDB"/>
    <w:rsid w:val="003873D3"/>
    <w:rsid w:val="00390FA8"/>
    <w:rsid w:val="00392D08"/>
    <w:rsid w:val="00396998"/>
    <w:rsid w:val="00396C22"/>
    <w:rsid w:val="003970C6"/>
    <w:rsid w:val="003A10D1"/>
    <w:rsid w:val="003A1A5F"/>
    <w:rsid w:val="003A23CA"/>
    <w:rsid w:val="003A290C"/>
    <w:rsid w:val="003A4CF4"/>
    <w:rsid w:val="003A5B79"/>
    <w:rsid w:val="003B1280"/>
    <w:rsid w:val="003B1C3B"/>
    <w:rsid w:val="003B1C97"/>
    <w:rsid w:val="003B2AC1"/>
    <w:rsid w:val="003B424E"/>
    <w:rsid w:val="003B64FE"/>
    <w:rsid w:val="003B7015"/>
    <w:rsid w:val="003C014A"/>
    <w:rsid w:val="003C0E3E"/>
    <w:rsid w:val="003C12F0"/>
    <w:rsid w:val="003D0D19"/>
    <w:rsid w:val="003D12D9"/>
    <w:rsid w:val="003D1F69"/>
    <w:rsid w:val="003D23BC"/>
    <w:rsid w:val="003D25B1"/>
    <w:rsid w:val="003D3119"/>
    <w:rsid w:val="003D35B7"/>
    <w:rsid w:val="003D3F5B"/>
    <w:rsid w:val="003D7738"/>
    <w:rsid w:val="003D7E11"/>
    <w:rsid w:val="003E0E71"/>
    <w:rsid w:val="003E5A9E"/>
    <w:rsid w:val="003E67CB"/>
    <w:rsid w:val="003E73EF"/>
    <w:rsid w:val="003F0314"/>
    <w:rsid w:val="003F1786"/>
    <w:rsid w:val="003F2393"/>
    <w:rsid w:val="003F3015"/>
    <w:rsid w:val="003F4D51"/>
    <w:rsid w:val="003F77E7"/>
    <w:rsid w:val="0040040D"/>
    <w:rsid w:val="00402390"/>
    <w:rsid w:val="00403C0F"/>
    <w:rsid w:val="00403F20"/>
    <w:rsid w:val="0040492C"/>
    <w:rsid w:val="00406BD0"/>
    <w:rsid w:val="0040741E"/>
    <w:rsid w:val="0041052E"/>
    <w:rsid w:val="00410F9E"/>
    <w:rsid w:val="00411449"/>
    <w:rsid w:val="00411607"/>
    <w:rsid w:val="00415AF5"/>
    <w:rsid w:val="00420A09"/>
    <w:rsid w:val="00420C49"/>
    <w:rsid w:val="00424853"/>
    <w:rsid w:val="004255D4"/>
    <w:rsid w:val="004316B2"/>
    <w:rsid w:val="0043220B"/>
    <w:rsid w:val="0043286F"/>
    <w:rsid w:val="00441AB8"/>
    <w:rsid w:val="00442982"/>
    <w:rsid w:val="00442D7C"/>
    <w:rsid w:val="004440C1"/>
    <w:rsid w:val="00445EAF"/>
    <w:rsid w:val="004463C3"/>
    <w:rsid w:val="0044743E"/>
    <w:rsid w:val="004503DB"/>
    <w:rsid w:val="00450590"/>
    <w:rsid w:val="00450F73"/>
    <w:rsid w:val="0045282B"/>
    <w:rsid w:val="00452D15"/>
    <w:rsid w:val="00456E09"/>
    <w:rsid w:val="004614C4"/>
    <w:rsid w:val="004636F5"/>
    <w:rsid w:val="00465667"/>
    <w:rsid w:val="00466A42"/>
    <w:rsid w:val="00467177"/>
    <w:rsid w:val="004709E3"/>
    <w:rsid w:val="0047192D"/>
    <w:rsid w:val="00472C38"/>
    <w:rsid w:val="00473BAE"/>
    <w:rsid w:val="004761F9"/>
    <w:rsid w:val="00476ED7"/>
    <w:rsid w:val="00477CC8"/>
    <w:rsid w:val="00482044"/>
    <w:rsid w:val="00485F32"/>
    <w:rsid w:val="00485FC4"/>
    <w:rsid w:val="00486C96"/>
    <w:rsid w:val="00490792"/>
    <w:rsid w:val="00491B70"/>
    <w:rsid w:val="00492C7C"/>
    <w:rsid w:val="004932C8"/>
    <w:rsid w:val="00496FF7"/>
    <w:rsid w:val="00497DA5"/>
    <w:rsid w:val="004A070E"/>
    <w:rsid w:val="004A14A9"/>
    <w:rsid w:val="004A66F7"/>
    <w:rsid w:val="004A6BED"/>
    <w:rsid w:val="004B385B"/>
    <w:rsid w:val="004B4B49"/>
    <w:rsid w:val="004B5CE2"/>
    <w:rsid w:val="004C0259"/>
    <w:rsid w:val="004C16B4"/>
    <w:rsid w:val="004C1C60"/>
    <w:rsid w:val="004C2DD4"/>
    <w:rsid w:val="004C3B9B"/>
    <w:rsid w:val="004C42CB"/>
    <w:rsid w:val="004C4C19"/>
    <w:rsid w:val="004C4D7B"/>
    <w:rsid w:val="004C73E7"/>
    <w:rsid w:val="004C7C98"/>
    <w:rsid w:val="004D0DA2"/>
    <w:rsid w:val="004D20CA"/>
    <w:rsid w:val="004D3FD5"/>
    <w:rsid w:val="004D4A7D"/>
    <w:rsid w:val="004D5193"/>
    <w:rsid w:val="004D6767"/>
    <w:rsid w:val="004D7615"/>
    <w:rsid w:val="004E3678"/>
    <w:rsid w:val="004E3C85"/>
    <w:rsid w:val="004E4078"/>
    <w:rsid w:val="004E4510"/>
    <w:rsid w:val="004E5AAA"/>
    <w:rsid w:val="004F0D21"/>
    <w:rsid w:val="004F2281"/>
    <w:rsid w:val="004F47EC"/>
    <w:rsid w:val="004F5D2D"/>
    <w:rsid w:val="004F611D"/>
    <w:rsid w:val="004F71BF"/>
    <w:rsid w:val="005051D2"/>
    <w:rsid w:val="0050645F"/>
    <w:rsid w:val="00506C63"/>
    <w:rsid w:val="00506D66"/>
    <w:rsid w:val="005102CA"/>
    <w:rsid w:val="0051032D"/>
    <w:rsid w:val="00511786"/>
    <w:rsid w:val="005168A3"/>
    <w:rsid w:val="00516FAD"/>
    <w:rsid w:val="00520952"/>
    <w:rsid w:val="005211E2"/>
    <w:rsid w:val="00522449"/>
    <w:rsid w:val="005227BF"/>
    <w:rsid w:val="00522B07"/>
    <w:rsid w:val="005265FC"/>
    <w:rsid w:val="0052726B"/>
    <w:rsid w:val="00527539"/>
    <w:rsid w:val="00527B17"/>
    <w:rsid w:val="00527C5C"/>
    <w:rsid w:val="005302E0"/>
    <w:rsid w:val="0053333A"/>
    <w:rsid w:val="005337EC"/>
    <w:rsid w:val="00534B00"/>
    <w:rsid w:val="005352B3"/>
    <w:rsid w:val="00536369"/>
    <w:rsid w:val="00540B47"/>
    <w:rsid w:val="00541D6D"/>
    <w:rsid w:val="00542F8B"/>
    <w:rsid w:val="005435BC"/>
    <w:rsid w:val="005444E2"/>
    <w:rsid w:val="00544D22"/>
    <w:rsid w:val="00544E5B"/>
    <w:rsid w:val="00547EEA"/>
    <w:rsid w:val="00550303"/>
    <w:rsid w:val="00551F21"/>
    <w:rsid w:val="00553139"/>
    <w:rsid w:val="00553599"/>
    <w:rsid w:val="00555132"/>
    <w:rsid w:val="005574D7"/>
    <w:rsid w:val="0056084A"/>
    <w:rsid w:val="00561F1F"/>
    <w:rsid w:val="00566526"/>
    <w:rsid w:val="0057271A"/>
    <w:rsid w:val="00572729"/>
    <w:rsid w:val="00572994"/>
    <w:rsid w:val="005756D4"/>
    <w:rsid w:val="0058059A"/>
    <w:rsid w:val="00580F68"/>
    <w:rsid w:val="0058141B"/>
    <w:rsid w:val="005837DF"/>
    <w:rsid w:val="0058498D"/>
    <w:rsid w:val="00586123"/>
    <w:rsid w:val="00591530"/>
    <w:rsid w:val="00592101"/>
    <w:rsid w:val="005927E8"/>
    <w:rsid w:val="00592ED6"/>
    <w:rsid w:val="00593044"/>
    <w:rsid w:val="00593774"/>
    <w:rsid w:val="00594170"/>
    <w:rsid w:val="00595ADF"/>
    <w:rsid w:val="00596436"/>
    <w:rsid w:val="00597799"/>
    <w:rsid w:val="005A19B7"/>
    <w:rsid w:val="005A6ED9"/>
    <w:rsid w:val="005A70F6"/>
    <w:rsid w:val="005A7C3F"/>
    <w:rsid w:val="005B0199"/>
    <w:rsid w:val="005B0518"/>
    <w:rsid w:val="005B066C"/>
    <w:rsid w:val="005B4AA7"/>
    <w:rsid w:val="005B50BA"/>
    <w:rsid w:val="005B599F"/>
    <w:rsid w:val="005B5FB7"/>
    <w:rsid w:val="005C252A"/>
    <w:rsid w:val="005C283F"/>
    <w:rsid w:val="005C314A"/>
    <w:rsid w:val="005C4DDD"/>
    <w:rsid w:val="005C5C93"/>
    <w:rsid w:val="005C6916"/>
    <w:rsid w:val="005C7035"/>
    <w:rsid w:val="005D0575"/>
    <w:rsid w:val="005D29D7"/>
    <w:rsid w:val="005D77ED"/>
    <w:rsid w:val="005E0321"/>
    <w:rsid w:val="005E1A69"/>
    <w:rsid w:val="005E2466"/>
    <w:rsid w:val="005E2C2D"/>
    <w:rsid w:val="005E3A39"/>
    <w:rsid w:val="005E48D4"/>
    <w:rsid w:val="005E4A80"/>
    <w:rsid w:val="005E4D8A"/>
    <w:rsid w:val="005F1242"/>
    <w:rsid w:val="005F24C7"/>
    <w:rsid w:val="005F28EA"/>
    <w:rsid w:val="005F3962"/>
    <w:rsid w:val="005F5048"/>
    <w:rsid w:val="005F7AC1"/>
    <w:rsid w:val="005F7EE3"/>
    <w:rsid w:val="005F7F3A"/>
    <w:rsid w:val="006006E7"/>
    <w:rsid w:val="00601B19"/>
    <w:rsid w:val="006044BE"/>
    <w:rsid w:val="00604986"/>
    <w:rsid w:val="006055AB"/>
    <w:rsid w:val="0060583E"/>
    <w:rsid w:val="00605DC2"/>
    <w:rsid w:val="00606852"/>
    <w:rsid w:val="00606C32"/>
    <w:rsid w:val="00606F42"/>
    <w:rsid w:val="00607F96"/>
    <w:rsid w:val="00610769"/>
    <w:rsid w:val="006110A1"/>
    <w:rsid w:val="00613D41"/>
    <w:rsid w:val="006143B7"/>
    <w:rsid w:val="006148BD"/>
    <w:rsid w:val="00614BCD"/>
    <w:rsid w:val="0061749D"/>
    <w:rsid w:val="0061CA4D"/>
    <w:rsid w:val="00620A23"/>
    <w:rsid w:val="00624212"/>
    <w:rsid w:val="006250AF"/>
    <w:rsid w:val="00625ACC"/>
    <w:rsid w:val="00626218"/>
    <w:rsid w:val="006272F0"/>
    <w:rsid w:val="0062759A"/>
    <w:rsid w:val="00627FB8"/>
    <w:rsid w:val="006305A1"/>
    <w:rsid w:val="006311C5"/>
    <w:rsid w:val="00632168"/>
    <w:rsid w:val="00632B9D"/>
    <w:rsid w:val="00632E61"/>
    <w:rsid w:val="00636FDC"/>
    <w:rsid w:val="00637370"/>
    <w:rsid w:val="00640E45"/>
    <w:rsid w:val="00644495"/>
    <w:rsid w:val="00647894"/>
    <w:rsid w:val="0065304C"/>
    <w:rsid w:val="006572D5"/>
    <w:rsid w:val="00661194"/>
    <w:rsid w:val="00663012"/>
    <w:rsid w:val="006633C7"/>
    <w:rsid w:val="0066418F"/>
    <w:rsid w:val="00664954"/>
    <w:rsid w:val="00665C77"/>
    <w:rsid w:val="0066720E"/>
    <w:rsid w:val="00671C49"/>
    <w:rsid w:val="00672065"/>
    <w:rsid w:val="00674A48"/>
    <w:rsid w:val="006757E8"/>
    <w:rsid w:val="006761E5"/>
    <w:rsid w:val="006774FB"/>
    <w:rsid w:val="00680C30"/>
    <w:rsid w:val="0068436B"/>
    <w:rsid w:val="0068437A"/>
    <w:rsid w:val="0068451B"/>
    <w:rsid w:val="006848FA"/>
    <w:rsid w:val="006864AB"/>
    <w:rsid w:val="00691E0E"/>
    <w:rsid w:val="0069496D"/>
    <w:rsid w:val="00694E28"/>
    <w:rsid w:val="006A0704"/>
    <w:rsid w:val="006A6286"/>
    <w:rsid w:val="006A7093"/>
    <w:rsid w:val="006A7A26"/>
    <w:rsid w:val="006A7BDF"/>
    <w:rsid w:val="006B10B6"/>
    <w:rsid w:val="006C11DD"/>
    <w:rsid w:val="006C43FB"/>
    <w:rsid w:val="006D29A4"/>
    <w:rsid w:val="006D2C3C"/>
    <w:rsid w:val="006D4ED5"/>
    <w:rsid w:val="006D5B89"/>
    <w:rsid w:val="006D75B5"/>
    <w:rsid w:val="006E3C8A"/>
    <w:rsid w:val="006E51FE"/>
    <w:rsid w:val="006E7E49"/>
    <w:rsid w:val="006F1D28"/>
    <w:rsid w:val="006F237D"/>
    <w:rsid w:val="006F5702"/>
    <w:rsid w:val="006F59B4"/>
    <w:rsid w:val="006F70D5"/>
    <w:rsid w:val="006F7673"/>
    <w:rsid w:val="00700830"/>
    <w:rsid w:val="00700C54"/>
    <w:rsid w:val="00702A7F"/>
    <w:rsid w:val="007035E8"/>
    <w:rsid w:val="00703668"/>
    <w:rsid w:val="0071041F"/>
    <w:rsid w:val="00710865"/>
    <w:rsid w:val="00711667"/>
    <w:rsid w:val="00711F02"/>
    <w:rsid w:val="0071269D"/>
    <w:rsid w:val="00714327"/>
    <w:rsid w:val="00714DC8"/>
    <w:rsid w:val="0071515C"/>
    <w:rsid w:val="00717FDD"/>
    <w:rsid w:val="0072109D"/>
    <w:rsid w:val="00722B42"/>
    <w:rsid w:val="00722B9C"/>
    <w:rsid w:val="00723E57"/>
    <w:rsid w:val="0072505F"/>
    <w:rsid w:val="0073090D"/>
    <w:rsid w:val="00730A2B"/>
    <w:rsid w:val="0073158A"/>
    <w:rsid w:val="007315E0"/>
    <w:rsid w:val="00735153"/>
    <w:rsid w:val="00735AF9"/>
    <w:rsid w:val="00736622"/>
    <w:rsid w:val="00736986"/>
    <w:rsid w:val="00737D38"/>
    <w:rsid w:val="007428B1"/>
    <w:rsid w:val="00742F07"/>
    <w:rsid w:val="007456B4"/>
    <w:rsid w:val="00745BEC"/>
    <w:rsid w:val="00747B32"/>
    <w:rsid w:val="0075142F"/>
    <w:rsid w:val="00754533"/>
    <w:rsid w:val="00754930"/>
    <w:rsid w:val="00760009"/>
    <w:rsid w:val="00762233"/>
    <w:rsid w:val="007629D5"/>
    <w:rsid w:val="0076372C"/>
    <w:rsid w:val="007641DB"/>
    <w:rsid w:val="007648FE"/>
    <w:rsid w:val="00764B9E"/>
    <w:rsid w:val="00764E72"/>
    <w:rsid w:val="00765517"/>
    <w:rsid w:val="007665F4"/>
    <w:rsid w:val="00766749"/>
    <w:rsid w:val="00771AB7"/>
    <w:rsid w:val="0077378A"/>
    <w:rsid w:val="00773E51"/>
    <w:rsid w:val="00774283"/>
    <w:rsid w:val="00775EF7"/>
    <w:rsid w:val="00781FDA"/>
    <w:rsid w:val="0078275E"/>
    <w:rsid w:val="00784A75"/>
    <w:rsid w:val="007854CE"/>
    <w:rsid w:val="00790266"/>
    <w:rsid w:val="00790885"/>
    <w:rsid w:val="00790EB9"/>
    <w:rsid w:val="00793AAB"/>
    <w:rsid w:val="00795B10"/>
    <w:rsid w:val="007A00B5"/>
    <w:rsid w:val="007A1DB0"/>
    <w:rsid w:val="007A2396"/>
    <w:rsid w:val="007A355D"/>
    <w:rsid w:val="007A3BFC"/>
    <w:rsid w:val="007A76D0"/>
    <w:rsid w:val="007A7D5B"/>
    <w:rsid w:val="007B097E"/>
    <w:rsid w:val="007B1A12"/>
    <w:rsid w:val="007B1EB1"/>
    <w:rsid w:val="007B498C"/>
    <w:rsid w:val="007B5D04"/>
    <w:rsid w:val="007B5F8A"/>
    <w:rsid w:val="007B6604"/>
    <w:rsid w:val="007C25F9"/>
    <w:rsid w:val="007C35BE"/>
    <w:rsid w:val="007C3CCC"/>
    <w:rsid w:val="007C51DA"/>
    <w:rsid w:val="007C6670"/>
    <w:rsid w:val="007C7017"/>
    <w:rsid w:val="007D0E84"/>
    <w:rsid w:val="007D10CB"/>
    <w:rsid w:val="007D318B"/>
    <w:rsid w:val="007D3EE4"/>
    <w:rsid w:val="007D4B2F"/>
    <w:rsid w:val="007D643F"/>
    <w:rsid w:val="007D6E52"/>
    <w:rsid w:val="007E1F42"/>
    <w:rsid w:val="007E450E"/>
    <w:rsid w:val="007E4DB4"/>
    <w:rsid w:val="007E562C"/>
    <w:rsid w:val="007E5961"/>
    <w:rsid w:val="007E5E5D"/>
    <w:rsid w:val="007E64F5"/>
    <w:rsid w:val="007E73E6"/>
    <w:rsid w:val="007F248E"/>
    <w:rsid w:val="007F2794"/>
    <w:rsid w:val="007F3294"/>
    <w:rsid w:val="007F43FD"/>
    <w:rsid w:val="007F64CD"/>
    <w:rsid w:val="007F7E9B"/>
    <w:rsid w:val="00800C1A"/>
    <w:rsid w:val="0080304A"/>
    <w:rsid w:val="0080368A"/>
    <w:rsid w:val="008041C4"/>
    <w:rsid w:val="00804886"/>
    <w:rsid w:val="00805CCC"/>
    <w:rsid w:val="0080651E"/>
    <w:rsid w:val="00811476"/>
    <w:rsid w:val="00811C97"/>
    <w:rsid w:val="008137A0"/>
    <w:rsid w:val="00814DA6"/>
    <w:rsid w:val="00815494"/>
    <w:rsid w:val="008166D8"/>
    <w:rsid w:val="00817A11"/>
    <w:rsid w:val="00822008"/>
    <w:rsid w:val="00822D94"/>
    <w:rsid w:val="00823D27"/>
    <w:rsid w:val="00823EC5"/>
    <w:rsid w:val="0082642E"/>
    <w:rsid w:val="008265AF"/>
    <w:rsid w:val="00830074"/>
    <w:rsid w:val="00830759"/>
    <w:rsid w:val="00833497"/>
    <w:rsid w:val="00835BF2"/>
    <w:rsid w:val="00836E20"/>
    <w:rsid w:val="00837C77"/>
    <w:rsid w:val="00837D5C"/>
    <w:rsid w:val="00842E18"/>
    <w:rsid w:val="008437EC"/>
    <w:rsid w:val="00845AA5"/>
    <w:rsid w:val="00851352"/>
    <w:rsid w:val="0085153D"/>
    <w:rsid w:val="00853DA0"/>
    <w:rsid w:val="00854857"/>
    <w:rsid w:val="00854B7F"/>
    <w:rsid w:val="00855A32"/>
    <w:rsid w:val="0085634D"/>
    <w:rsid w:val="00856FD3"/>
    <w:rsid w:val="00857F56"/>
    <w:rsid w:val="00861D94"/>
    <w:rsid w:val="00861DC4"/>
    <w:rsid w:val="00861EB0"/>
    <w:rsid w:val="008627F2"/>
    <w:rsid w:val="00862E4D"/>
    <w:rsid w:val="008657B8"/>
    <w:rsid w:val="00865811"/>
    <w:rsid w:val="00866A91"/>
    <w:rsid w:val="00870125"/>
    <w:rsid w:val="00871B2D"/>
    <w:rsid w:val="0087232C"/>
    <w:rsid w:val="008726C1"/>
    <w:rsid w:val="008736D7"/>
    <w:rsid w:val="00873BC8"/>
    <w:rsid w:val="00875697"/>
    <w:rsid w:val="0087577D"/>
    <w:rsid w:val="00876A77"/>
    <w:rsid w:val="00880DFA"/>
    <w:rsid w:val="00885BA2"/>
    <w:rsid w:val="00885CA0"/>
    <w:rsid w:val="00885D60"/>
    <w:rsid w:val="0089022E"/>
    <w:rsid w:val="00891A59"/>
    <w:rsid w:val="00891BB4"/>
    <w:rsid w:val="00891F4B"/>
    <w:rsid w:val="00894180"/>
    <w:rsid w:val="00895340"/>
    <w:rsid w:val="00896B70"/>
    <w:rsid w:val="008A0F46"/>
    <w:rsid w:val="008A12EB"/>
    <w:rsid w:val="008A1AC4"/>
    <w:rsid w:val="008A2A62"/>
    <w:rsid w:val="008A3F88"/>
    <w:rsid w:val="008A4D35"/>
    <w:rsid w:val="008A55F9"/>
    <w:rsid w:val="008A639F"/>
    <w:rsid w:val="008A7B43"/>
    <w:rsid w:val="008B04F2"/>
    <w:rsid w:val="008B0577"/>
    <w:rsid w:val="008B0B40"/>
    <w:rsid w:val="008B2091"/>
    <w:rsid w:val="008B26E6"/>
    <w:rsid w:val="008B27A9"/>
    <w:rsid w:val="008B3BA0"/>
    <w:rsid w:val="008B5D7A"/>
    <w:rsid w:val="008C1565"/>
    <w:rsid w:val="008C193B"/>
    <w:rsid w:val="008C1B89"/>
    <w:rsid w:val="008C727F"/>
    <w:rsid w:val="008D0BD8"/>
    <w:rsid w:val="008D254A"/>
    <w:rsid w:val="008D28B8"/>
    <w:rsid w:val="008D3F01"/>
    <w:rsid w:val="008D4928"/>
    <w:rsid w:val="008D6B4D"/>
    <w:rsid w:val="008E0976"/>
    <w:rsid w:val="008E194D"/>
    <w:rsid w:val="008E2E72"/>
    <w:rsid w:val="008E31C8"/>
    <w:rsid w:val="008E40F8"/>
    <w:rsid w:val="008E578E"/>
    <w:rsid w:val="008F5152"/>
    <w:rsid w:val="008F5A00"/>
    <w:rsid w:val="008F7939"/>
    <w:rsid w:val="009014A4"/>
    <w:rsid w:val="009049C9"/>
    <w:rsid w:val="00913AE2"/>
    <w:rsid w:val="00913D2B"/>
    <w:rsid w:val="00914455"/>
    <w:rsid w:val="00916B69"/>
    <w:rsid w:val="00917498"/>
    <w:rsid w:val="00917B95"/>
    <w:rsid w:val="00923253"/>
    <w:rsid w:val="009244FE"/>
    <w:rsid w:val="00924B10"/>
    <w:rsid w:val="009257DF"/>
    <w:rsid w:val="009259E4"/>
    <w:rsid w:val="0093090A"/>
    <w:rsid w:val="009311DD"/>
    <w:rsid w:val="009339FC"/>
    <w:rsid w:val="0093523E"/>
    <w:rsid w:val="0093576C"/>
    <w:rsid w:val="00936702"/>
    <w:rsid w:val="00937F8A"/>
    <w:rsid w:val="00940560"/>
    <w:rsid w:val="009420C3"/>
    <w:rsid w:val="00946D3A"/>
    <w:rsid w:val="00952B4B"/>
    <w:rsid w:val="009554AE"/>
    <w:rsid w:val="00960806"/>
    <w:rsid w:val="00962538"/>
    <w:rsid w:val="0097013B"/>
    <w:rsid w:val="009716BF"/>
    <w:rsid w:val="00972B28"/>
    <w:rsid w:val="009739BD"/>
    <w:rsid w:val="00974DF6"/>
    <w:rsid w:val="0097693F"/>
    <w:rsid w:val="00977213"/>
    <w:rsid w:val="0098178D"/>
    <w:rsid w:val="009863C3"/>
    <w:rsid w:val="00986709"/>
    <w:rsid w:val="00987E26"/>
    <w:rsid w:val="00993608"/>
    <w:rsid w:val="0099494E"/>
    <w:rsid w:val="00996689"/>
    <w:rsid w:val="009968D6"/>
    <w:rsid w:val="00997696"/>
    <w:rsid w:val="0099798E"/>
    <w:rsid w:val="00997BE2"/>
    <w:rsid w:val="009A3142"/>
    <w:rsid w:val="009A3AB0"/>
    <w:rsid w:val="009A6EC0"/>
    <w:rsid w:val="009A7D82"/>
    <w:rsid w:val="009B1019"/>
    <w:rsid w:val="009B43C8"/>
    <w:rsid w:val="009B4F0F"/>
    <w:rsid w:val="009B5C04"/>
    <w:rsid w:val="009B6700"/>
    <w:rsid w:val="009B67F1"/>
    <w:rsid w:val="009C17EB"/>
    <w:rsid w:val="009C45D6"/>
    <w:rsid w:val="009D296E"/>
    <w:rsid w:val="009D35FC"/>
    <w:rsid w:val="009D63E0"/>
    <w:rsid w:val="009D7785"/>
    <w:rsid w:val="009E055D"/>
    <w:rsid w:val="009E0FF1"/>
    <w:rsid w:val="009E188C"/>
    <w:rsid w:val="009E26A5"/>
    <w:rsid w:val="009E3AA0"/>
    <w:rsid w:val="009E44DA"/>
    <w:rsid w:val="009F0C2C"/>
    <w:rsid w:val="009F0CD7"/>
    <w:rsid w:val="009F246A"/>
    <w:rsid w:val="009F33A8"/>
    <w:rsid w:val="009F537E"/>
    <w:rsid w:val="009F6C31"/>
    <w:rsid w:val="009F7B82"/>
    <w:rsid w:val="00A01091"/>
    <w:rsid w:val="00A03C80"/>
    <w:rsid w:val="00A060D0"/>
    <w:rsid w:val="00A1034E"/>
    <w:rsid w:val="00A12FCE"/>
    <w:rsid w:val="00A145D0"/>
    <w:rsid w:val="00A15A77"/>
    <w:rsid w:val="00A21BE0"/>
    <w:rsid w:val="00A24722"/>
    <w:rsid w:val="00A253D6"/>
    <w:rsid w:val="00A27E29"/>
    <w:rsid w:val="00A31F1D"/>
    <w:rsid w:val="00A323E1"/>
    <w:rsid w:val="00A328B0"/>
    <w:rsid w:val="00A34930"/>
    <w:rsid w:val="00A367D5"/>
    <w:rsid w:val="00A36A6F"/>
    <w:rsid w:val="00A40B32"/>
    <w:rsid w:val="00A43541"/>
    <w:rsid w:val="00A43B29"/>
    <w:rsid w:val="00A4608F"/>
    <w:rsid w:val="00A46881"/>
    <w:rsid w:val="00A468DE"/>
    <w:rsid w:val="00A475E5"/>
    <w:rsid w:val="00A5002E"/>
    <w:rsid w:val="00A5226B"/>
    <w:rsid w:val="00A523A1"/>
    <w:rsid w:val="00A527A0"/>
    <w:rsid w:val="00A53D23"/>
    <w:rsid w:val="00A53EF1"/>
    <w:rsid w:val="00A54E1B"/>
    <w:rsid w:val="00A60B29"/>
    <w:rsid w:val="00A60C10"/>
    <w:rsid w:val="00A61482"/>
    <w:rsid w:val="00A62091"/>
    <w:rsid w:val="00A64E93"/>
    <w:rsid w:val="00A6784F"/>
    <w:rsid w:val="00A7057F"/>
    <w:rsid w:val="00A74C0E"/>
    <w:rsid w:val="00A77174"/>
    <w:rsid w:val="00A7780D"/>
    <w:rsid w:val="00A77CAA"/>
    <w:rsid w:val="00A80430"/>
    <w:rsid w:val="00A829F6"/>
    <w:rsid w:val="00A82B8E"/>
    <w:rsid w:val="00A835C3"/>
    <w:rsid w:val="00A83E45"/>
    <w:rsid w:val="00A8629F"/>
    <w:rsid w:val="00A86AF1"/>
    <w:rsid w:val="00A911D0"/>
    <w:rsid w:val="00A9211E"/>
    <w:rsid w:val="00A9479C"/>
    <w:rsid w:val="00A9494D"/>
    <w:rsid w:val="00A958D2"/>
    <w:rsid w:val="00A97A90"/>
    <w:rsid w:val="00AA0238"/>
    <w:rsid w:val="00AA0643"/>
    <w:rsid w:val="00AA1C85"/>
    <w:rsid w:val="00AA3FEA"/>
    <w:rsid w:val="00AA44B7"/>
    <w:rsid w:val="00AA5997"/>
    <w:rsid w:val="00AA6939"/>
    <w:rsid w:val="00AB087F"/>
    <w:rsid w:val="00AB1C05"/>
    <w:rsid w:val="00AB3EAD"/>
    <w:rsid w:val="00AB44CA"/>
    <w:rsid w:val="00AB44DB"/>
    <w:rsid w:val="00AB60F0"/>
    <w:rsid w:val="00AB7304"/>
    <w:rsid w:val="00AB78F8"/>
    <w:rsid w:val="00AC6B61"/>
    <w:rsid w:val="00AC7745"/>
    <w:rsid w:val="00AD032B"/>
    <w:rsid w:val="00AD2B4B"/>
    <w:rsid w:val="00AD34F4"/>
    <w:rsid w:val="00AD353E"/>
    <w:rsid w:val="00AD4E37"/>
    <w:rsid w:val="00AD5DFE"/>
    <w:rsid w:val="00AD7C53"/>
    <w:rsid w:val="00AE143F"/>
    <w:rsid w:val="00AE1AFD"/>
    <w:rsid w:val="00AE2A67"/>
    <w:rsid w:val="00AE51AB"/>
    <w:rsid w:val="00AE55AC"/>
    <w:rsid w:val="00AE6332"/>
    <w:rsid w:val="00AF3886"/>
    <w:rsid w:val="00AF3A35"/>
    <w:rsid w:val="00AF4FAC"/>
    <w:rsid w:val="00B05E80"/>
    <w:rsid w:val="00B061A5"/>
    <w:rsid w:val="00B070E1"/>
    <w:rsid w:val="00B07581"/>
    <w:rsid w:val="00B10474"/>
    <w:rsid w:val="00B10799"/>
    <w:rsid w:val="00B147F1"/>
    <w:rsid w:val="00B1615C"/>
    <w:rsid w:val="00B220DF"/>
    <w:rsid w:val="00B266CD"/>
    <w:rsid w:val="00B309AC"/>
    <w:rsid w:val="00B318BF"/>
    <w:rsid w:val="00B31FDE"/>
    <w:rsid w:val="00B32A2C"/>
    <w:rsid w:val="00B33050"/>
    <w:rsid w:val="00B33B18"/>
    <w:rsid w:val="00B34E4B"/>
    <w:rsid w:val="00B40134"/>
    <w:rsid w:val="00B40894"/>
    <w:rsid w:val="00B40E83"/>
    <w:rsid w:val="00B41893"/>
    <w:rsid w:val="00B42BCA"/>
    <w:rsid w:val="00B43EC4"/>
    <w:rsid w:val="00B46A41"/>
    <w:rsid w:val="00B477B9"/>
    <w:rsid w:val="00B5082C"/>
    <w:rsid w:val="00B50874"/>
    <w:rsid w:val="00B509C6"/>
    <w:rsid w:val="00B51104"/>
    <w:rsid w:val="00B515A8"/>
    <w:rsid w:val="00B52C74"/>
    <w:rsid w:val="00B55517"/>
    <w:rsid w:val="00B5608C"/>
    <w:rsid w:val="00B606B8"/>
    <w:rsid w:val="00B6181B"/>
    <w:rsid w:val="00B62C98"/>
    <w:rsid w:val="00B63B97"/>
    <w:rsid w:val="00B65F53"/>
    <w:rsid w:val="00B72CE2"/>
    <w:rsid w:val="00B81294"/>
    <w:rsid w:val="00B83F1B"/>
    <w:rsid w:val="00B843D9"/>
    <w:rsid w:val="00B84D96"/>
    <w:rsid w:val="00B85F5A"/>
    <w:rsid w:val="00B861E4"/>
    <w:rsid w:val="00B868AF"/>
    <w:rsid w:val="00B870FD"/>
    <w:rsid w:val="00B87570"/>
    <w:rsid w:val="00B87826"/>
    <w:rsid w:val="00B87857"/>
    <w:rsid w:val="00B918F3"/>
    <w:rsid w:val="00B9370E"/>
    <w:rsid w:val="00B96851"/>
    <w:rsid w:val="00B96B41"/>
    <w:rsid w:val="00B971CD"/>
    <w:rsid w:val="00BA048B"/>
    <w:rsid w:val="00BA2D76"/>
    <w:rsid w:val="00BA2EC3"/>
    <w:rsid w:val="00BA2FCA"/>
    <w:rsid w:val="00BA325E"/>
    <w:rsid w:val="00BA34A3"/>
    <w:rsid w:val="00BB04E1"/>
    <w:rsid w:val="00BB1F11"/>
    <w:rsid w:val="00BB2117"/>
    <w:rsid w:val="00BB2594"/>
    <w:rsid w:val="00BB66BE"/>
    <w:rsid w:val="00BB7D8E"/>
    <w:rsid w:val="00BC0E8C"/>
    <w:rsid w:val="00BC4267"/>
    <w:rsid w:val="00BC5542"/>
    <w:rsid w:val="00BC65FF"/>
    <w:rsid w:val="00BC76D8"/>
    <w:rsid w:val="00BD012F"/>
    <w:rsid w:val="00BD019A"/>
    <w:rsid w:val="00BD120E"/>
    <w:rsid w:val="00BD19FD"/>
    <w:rsid w:val="00BD1A08"/>
    <w:rsid w:val="00BD1E58"/>
    <w:rsid w:val="00BD4380"/>
    <w:rsid w:val="00BD4768"/>
    <w:rsid w:val="00BD5E3C"/>
    <w:rsid w:val="00BD6367"/>
    <w:rsid w:val="00BD71E8"/>
    <w:rsid w:val="00BE19B3"/>
    <w:rsid w:val="00BE278E"/>
    <w:rsid w:val="00BE2DCD"/>
    <w:rsid w:val="00BE4DA9"/>
    <w:rsid w:val="00BE518C"/>
    <w:rsid w:val="00BE65AB"/>
    <w:rsid w:val="00BE65EA"/>
    <w:rsid w:val="00BE77D9"/>
    <w:rsid w:val="00BF324B"/>
    <w:rsid w:val="00BF3BC0"/>
    <w:rsid w:val="00BF4192"/>
    <w:rsid w:val="00BF7223"/>
    <w:rsid w:val="00C04FBD"/>
    <w:rsid w:val="00C05A32"/>
    <w:rsid w:val="00C101E8"/>
    <w:rsid w:val="00C10E5B"/>
    <w:rsid w:val="00C1206F"/>
    <w:rsid w:val="00C1780C"/>
    <w:rsid w:val="00C17F17"/>
    <w:rsid w:val="00C2311F"/>
    <w:rsid w:val="00C23343"/>
    <w:rsid w:val="00C233C8"/>
    <w:rsid w:val="00C241A3"/>
    <w:rsid w:val="00C25DEC"/>
    <w:rsid w:val="00C261CE"/>
    <w:rsid w:val="00C27A1B"/>
    <w:rsid w:val="00C3178C"/>
    <w:rsid w:val="00C319ED"/>
    <w:rsid w:val="00C33609"/>
    <w:rsid w:val="00C3408A"/>
    <w:rsid w:val="00C36B7E"/>
    <w:rsid w:val="00C3740E"/>
    <w:rsid w:val="00C41A21"/>
    <w:rsid w:val="00C4243D"/>
    <w:rsid w:val="00C457D8"/>
    <w:rsid w:val="00C50556"/>
    <w:rsid w:val="00C506D7"/>
    <w:rsid w:val="00C50B27"/>
    <w:rsid w:val="00C50E46"/>
    <w:rsid w:val="00C510E2"/>
    <w:rsid w:val="00C535C7"/>
    <w:rsid w:val="00C5446F"/>
    <w:rsid w:val="00C54738"/>
    <w:rsid w:val="00C60BD9"/>
    <w:rsid w:val="00C62845"/>
    <w:rsid w:val="00C629B8"/>
    <w:rsid w:val="00C64F45"/>
    <w:rsid w:val="00C65163"/>
    <w:rsid w:val="00C66893"/>
    <w:rsid w:val="00C66C17"/>
    <w:rsid w:val="00C72FA5"/>
    <w:rsid w:val="00C7557B"/>
    <w:rsid w:val="00C76761"/>
    <w:rsid w:val="00C77E56"/>
    <w:rsid w:val="00C82A63"/>
    <w:rsid w:val="00C837EC"/>
    <w:rsid w:val="00C83BD4"/>
    <w:rsid w:val="00C85C91"/>
    <w:rsid w:val="00C8625B"/>
    <w:rsid w:val="00C9373E"/>
    <w:rsid w:val="00C9437F"/>
    <w:rsid w:val="00C94C2B"/>
    <w:rsid w:val="00C95AF6"/>
    <w:rsid w:val="00C95BBE"/>
    <w:rsid w:val="00CA1B09"/>
    <w:rsid w:val="00CA24C8"/>
    <w:rsid w:val="00CB0ED4"/>
    <w:rsid w:val="00CB1740"/>
    <w:rsid w:val="00CB59C2"/>
    <w:rsid w:val="00CB6024"/>
    <w:rsid w:val="00CC1715"/>
    <w:rsid w:val="00CC1C9E"/>
    <w:rsid w:val="00CC1FA1"/>
    <w:rsid w:val="00CC20A7"/>
    <w:rsid w:val="00CC4257"/>
    <w:rsid w:val="00CC4461"/>
    <w:rsid w:val="00CC4AEE"/>
    <w:rsid w:val="00CC7561"/>
    <w:rsid w:val="00CC7FC4"/>
    <w:rsid w:val="00CD01A6"/>
    <w:rsid w:val="00CD1416"/>
    <w:rsid w:val="00CD1A7C"/>
    <w:rsid w:val="00CD2129"/>
    <w:rsid w:val="00CD30FF"/>
    <w:rsid w:val="00CD3C11"/>
    <w:rsid w:val="00CD49C7"/>
    <w:rsid w:val="00CD585E"/>
    <w:rsid w:val="00CE4860"/>
    <w:rsid w:val="00CF1207"/>
    <w:rsid w:val="00CF265E"/>
    <w:rsid w:val="00CF2A31"/>
    <w:rsid w:val="00CF430F"/>
    <w:rsid w:val="00CF4A1D"/>
    <w:rsid w:val="00CF5807"/>
    <w:rsid w:val="00CF5A0F"/>
    <w:rsid w:val="00D013C4"/>
    <w:rsid w:val="00D02DA8"/>
    <w:rsid w:val="00D02FA3"/>
    <w:rsid w:val="00D03AA3"/>
    <w:rsid w:val="00D06318"/>
    <w:rsid w:val="00D11685"/>
    <w:rsid w:val="00D128B5"/>
    <w:rsid w:val="00D143D3"/>
    <w:rsid w:val="00D14453"/>
    <w:rsid w:val="00D157BA"/>
    <w:rsid w:val="00D17401"/>
    <w:rsid w:val="00D20339"/>
    <w:rsid w:val="00D233A6"/>
    <w:rsid w:val="00D234D2"/>
    <w:rsid w:val="00D24FE1"/>
    <w:rsid w:val="00D26713"/>
    <w:rsid w:val="00D27BE8"/>
    <w:rsid w:val="00D30642"/>
    <w:rsid w:val="00D313F8"/>
    <w:rsid w:val="00D4225A"/>
    <w:rsid w:val="00D424A0"/>
    <w:rsid w:val="00D43E27"/>
    <w:rsid w:val="00D45577"/>
    <w:rsid w:val="00D46E0A"/>
    <w:rsid w:val="00D473C6"/>
    <w:rsid w:val="00D50367"/>
    <w:rsid w:val="00D50A86"/>
    <w:rsid w:val="00D5246D"/>
    <w:rsid w:val="00D54721"/>
    <w:rsid w:val="00D5530F"/>
    <w:rsid w:val="00D569FC"/>
    <w:rsid w:val="00D57A02"/>
    <w:rsid w:val="00D60D00"/>
    <w:rsid w:val="00D61AB4"/>
    <w:rsid w:val="00D61EB2"/>
    <w:rsid w:val="00D62594"/>
    <w:rsid w:val="00D633C3"/>
    <w:rsid w:val="00D6346C"/>
    <w:rsid w:val="00D6450D"/>
    <w:rsid w:val="00D77801"/>
    <w:rsid w:val="00D8184F"/>
    <w:rsid w:val="00D83533"/>
    <w:rsid w:val="00D8377D"/>
    <w:rsid w:val="00D85754"/>
    <w:rsid w:val="00D85F19"/>
    <w:rsid w:val="00D874C9"/>
    <w:rsid w:val="00D87BD7"/>
    <w:rsid w:val="00D925C0"/>
    <w:rsid w:val="00D94A62"/>
    <w:rsid w:val="00D94AB7"/>
    <w:rsid w:val="00D95294"/>
    <w:rsid w:val="00D9556A"/>
    <w:rsid w:val="00D961D3"/>
    <w:rsid w:val="00D9664A"/>
    <w:rsid w:val="00D96CD5"/>
    <w:rsid w:val="00D96FD6"/>
    <w:rsid w:val="00DA39CD"/>
    <w:rsid w:val="00DB0818"/>
    <w:rsid w:val="00DB228D"/>
    <w:rsid w:val="00DB261B"/>
    <w:rsid w:val="00DB447B"/>
    <w:rsid w:val="00DB460D"/>
    <w:rsid w:val="00DB5932"/>
    <w:rsid w:val="00DB6139"/>
    <w:rsid w:val="00DB64AA"/>
    <w:rsid w:val="00DC257A"/>
    <w:rsid w:val="00DC3F04"/>
    <w:rsid w:val="00DC5902"/>
    <w:rsid w:val="00DC6E4E"/>
    <w:rsid w:val="00DC719C"/>
    <w:rsid w:val="00DD1F42"/>
    <w:rsid w:val="00DD24CA"/>
    <w:rsid w:val="00DD30D6"/>
    <w:rsid w:val="00DD3AB0"/>
    <w:rsid w:val="00DD3E5F"/>
    <w:rsid w:val="00DD3FD4"/>
    <w:rsid w:val="00DD44C2"/>
    <w:rsid w:val="00DE16EF"/>
    <w:rsid w:val="00DE19A9"/>
    <w:rsid w:val="00DE1CE8"/>
    <w:rsid w:val="00DE3A54"/>
    <w:rsid w:val="00DE3CC1"/>
    <w:rsid w:val="00DE3D3B"/>
    <w:rsid w:val="00DE7B5B"/>
    <w:rsid w:val="00DE7F81"/>
    <w:rsid w:val="00DF0B6F"/>
    <w:rsid w:val="00DF289D"/>
    <w:rsid w:val="00DF44EA"/>
    <w:rsid w:val="00DF4DCC"/>
    <w:rsid w:val="00DF69AD"/>
    <w:rsid w:val="00DF7746"/>
    <w:rsid w:val="00E00E41"/>
    <w:rsid w:val="00E07167"/>
    <w:rsid w:val="00E11D31"/>
    <w:rsid w:val="00E1335C"/>
    <w:rsid w:val="00E137A3"/>
    <w:rsid w:val="00E13882"/>
    <w:rsid w:val="00E14877"/>
    <w:rsid w:val="00E15844"/>
    <w:rsid w:val="00E162C2"/>
    <w:rsid w:val="00E16A7E"/>
    <w:rsid w:val="00E16C46"/>
    <w:rsid w:val="00E20F3C"/>
    <w:rsid w:val="00E2411E"/>
    <w:rsid w:val="00E24CD2"/>
    <w:rsid w:val="00E24CEA"/>
    <w:rsid w:val="00E264A7"/>
    <w:rsid w:val="00E26C11"/>
    <w:rsid w:val="00E31D8C"/>
    <w:rsid w:val="00E326CF"/>
    <w:rsid w:val="00E32F4A"/>
    <w:rsid w:val="00E37424"/>
    <w:rsid w:val="00E430F0"/>
    <w:rsid w:val="00E4555B"/>
    <w:rsid w:val="00E507F7"/>
    <w:rsid w:val="00E50B91"/>
    <w:rsid w:val="00E50E39"/>
    <w:rsid w:val="00E541FB"/>
    <w:rsid w:val="00E548C9"/>
    <w:rsid w:val="00E570EB"/>
    <w:rsid w:val="00E613E8"/>
    <w:rsid w:val="00E627B5"/>
    <w:rsid w:val="00E629BA"/>
    <w:rsid w:val="00E62CF8"/>
    <w:rsid w:val="00E63CEB"/>
    <w:rsid w:val="00E65E36"/>
    <w:rsid w:val="00E67A35"/>
    <w:rsid w:val="00E67AD4"/>
    <w:rsid w:val="00E67E01"/>
    <w:rsid w:val="00E67FD9"/>
    <w:rsid w:val="00E74005"/>
    <w:rsid w:val="00E74925"/>
    <w:rsid w:val="00E74F39"/>
    <w:rsid w:val="00E753D7"/>
    <w:rsid w:val="00E81535"/>
    <w:rsid w:val="00E92ADC"/>
    <w:rsid w:val="00E93786"/>
    <w:rsid w:val="00E945B9"/>
    <w:rsid w:val="00E9471D"/>
    <w:rsid w:val="00E95316"/>
    <w:rsid w:val="00E96687"/>
    <w:rsid w:val="00EA2ED0"/>
    <w:rsid w:val="00EA3FB9"/>
    <w:rsid w:val="00EA54D7"/>
    <w:rsid w:val="00EA571C"/>
    <w:rsid w:val="00EA70EA"/>
    <w:rsid w:val="00EB082B"/>
    <w:rsid w:val="00EB195C"/>
    <w:rsid w:val="00EB61C6"/>
    <w:rsid w:val="00EC0E50"/>
    <w:rsid w:val="00EC0ECC"/>
    <w:rsid w:val="00EC1375"/>
    <w:rsid w:val="00EC2070"/>
    <w:rsid w:val="00EC3FB3"/>
    <w:rsid w:val="00EC4632"/>
    <w:rsid w:val="00EC5767"/>
    <w:rsid w:val="00EC5B4B"/>
    <w:rsid w:val="00ED079F"/>
    <w:rsid w:val="00ED1200"/>
    <w:rsid w:val="00ED38FC"/>
    <w:rsid w:val="00EE1431"/>
    <w:rsid w:val="00EE1DE2"/>
    <w:rsid w:val="00EE21FD"/>
    <w:rsid w:val="00EE3DAF"/>
    <w:rsid w:val="00EE4DBD"/>
    <w:rsid w:val="00EE6B5D"/>
    <w:rsid w:val="00EE735D"/>
    <w:rsid w:val="00EF158C"/>
    <w:rsid w:val="00EF4164"/>
    <w:rsid w:val="00EF43A9"/>
    <w:rsid w:val="00EF4EAC"/>
    <w:rsid w:val="00EF6171"/>
    <w:rsid w:val="00EF775C"/>
    <w:rsid w:val="00F00F18"/>
    <w:rsid w:val="00F05C15"/>
    <w:rsid w:val="00F1098E"/>
    <w:rsid w:val="00F206B4"/>
    <w:rsid w:val="00F230D4"/>
    <w:rsid w:val="00F23D3E"/>
    <w:rsid w:val="00F243B9"/>
    <w:rsid w:val="00F305EB"/>
    <w:rsid w:val="00F321FF"/>
    <w:rsid w:val="00F32E80"/>
    <w:rsid w:val="00F33118"/>
    <w:rsid w:val="00F341C3"/>
    <w:rsid w:val="00F36284"/>
    <w:rsid w:val="00F3787E"/>
    <w:rsid w:val="00F431A3"/>
    <w:rsid w:val="00F4378D"/>
    <w:rsid w:val="00F43933"/>
    <w:rsid w:val="00F439B3"/>
    <w:rsid w:val="00F43E36"/>
    <w:rsid w:val="00F44F8A"/>
    <w:rsid w:val="00F455FF"/>
    <w:rsid w:val="00F470B8"/>
    <w:rsid w:val="00F5038A"/>
    <w:rsid w:val="00F51FB4"/>
    <w:rsid w:val="00F54C75"/>
    <w:rsid w:val="00F55384"/>
    <w:rsid w:val="00F630CA"/>
    <w:rsid w:val="00F63C5C"/>
    <w:rsid w:val="00F65D21"/>
    <w:rsid w:val="00F67A99"/>
    <w:rsid w:val="00F73044"/>
    <w:rsid w:val="00F736E9"/>
    <w:rsid w:val="00F73889"/>
    <w:rsid w:val="00F76764"/>
    <w:rsid w:val="00F7706C"/>
    <w:rsid w:val="00F809E4"/>
    <w:rsid w:val="00F8210A"/>
    <w:rsid w:val="00F82887"/>
    <w:rsid w:val="00F83C74"/>
    <w:rsid w:val="00F848EC"/>
    <w:rsid w:val="00F90E78"/>
    <w:rsid w:val="00F92B27"/>
    <w:rsid w:val="00F93870"/>
    <w:rsid w:val="00F945BC"/>
    <w:rsid w:val="00F94D2B"/>
    <w:rsid w:val="00F94EB4"/>
    <w:rsid w:val="00F9641D"/>
    <w:rsid w:val="00F9657F"/>
    <w:rsid w:val="00F970EA"/>
    <w:rsid w:val="00F9742F"/>
    <w:rsid w:val="00FA3E0D"/>
    <w:rsid w:val="00FA701A"/>
    <w:rsid w:val="00FB1E94"/>
    <w:rsid w:val="00FB211E"/>
    <w:rsid w:val="00FB31ED"/>
    <w:rsid w:val="00FB3D26"/>
    <w:rsid w:val="00FC0BB6"/>
    <w:rsid w:val="00FC3074"/>
    <w:rsid w:val="00FC37FA"/>
    <w:rsid w:val="00FC3A0F"/>
    <w:rsid w:val="00FC3F66"/>
    <w:rsid w:val="00FC5840"/>
    <w:rsid w:val="00FC7635"/>
    <w:rsid w:val="00FC766E"/>
    <w:rsid w:val="00FD024B"/>
    <w:rsid w:val="00FD0B23"/>
    <w:rsid w:val="00FD1843"/>
    <w:rsid w:val="00FD2FC3"/>
    <w:rsid w:val="00FD3801"/>
    <w:rsid w:val="00FD5223"/>
    <w:rsid w:val="00FD523D"/>
    <w:rsid w:val="00FD535A"/>
    <w:rsid w:val="00FD6982"/>
    <w:rsid w:val="00FE0782"/>
    <w:rsid w:val="00FE10A9"/>
    <w:rsid w:val="00FE4123"/>
    <w:rsid w:val="00FE4DCF"/>
    <w:rsid w:val="00FE652B"/>
    <w:rsid w:val="00FE6B25"/>
    <w:rsid w:val="00FE6C48"/>
    <w:rsid w:val="00FE7EE2"/>
    <w:rsid w:val="00FF0134"/>
    <w:rsid w:val="00FF19B3"/>
    <w:rsid w:val="00FF2687"/>
    <w:rsid w:val="00FF26D8"/>
    <w:rsid w:val="00FF3015"/>
    <w:rsid w:val="00FF78DD"/>
    <w:rsid w:val="246472C0"/>
    <w:rsid w:val="4F99F936"/>
    <w:rsid w:val="5AA09F5C"/>
    <w:rsid w:val="6D5927AE"/>
    <w:rsid w:val="6E88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29795"/>
  <w15:chartTrackingRefBased/>
  <w15:docId w15:val="{B54D7372-8754-4163-B408-4D5EEE5F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39"/>
    <w:pPr>
      <w:spacing w:line="276" w:lineRule="auto"/>
    </w:pPr>
  </w:style>
  <w:style w:type="paragraph" w:styleId="Heading1">
    <w:name w:val="heading 1"/>
    <w:basedOn w:val="Normal"/>
    <w:next w:val="Normal"/>
    <w:link w:val="Heading1Char"/>
    <w:uiPriority w:val="9"/>
    <w:qFormat/>
    <w:rsid w:val="00BC5542"/>
    <w:pPr>
      <w:keepNext/>
      <w:keepLines/>
      <w:spacing w:before="240" w:after="12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C5542"/>
    <w:pPr>
      <w:keepNext/>
      <w:keepLines/>
      <w:spacing w:before="120" w:after="120"/>
      <w:outlineLvl w:val="1"/>
    </w:pPr>
    <w:rPr>
      <w:rFonts w:eastAsiaTheme="majorEastAsia" w:cstheme="majorBidi"/>
      <w:sz w:val="24"/>
      <w:szCs w:val="26"/>
      <w:u w:val="single"/>
    </w:rPr>
  </w:style>
  <w:style w:type="paragraph" w:styleId="Heading3">
    <w:name w:val="heading 3"/>
    <w:basedOn w:val="Normal"/>
    <w:next w:val="Normal"/>
    <w:link w:val="Heading3Char"/>
    <w:uiPriority w:val="9"/>
    <w:unhideWhenUsed/>
    <w:qFormat/>
    <w:rsid w:val="00527539"/>
    <w:pPr>
      <w:keepNext/>
      <w:keepLines/>
      <w:spacing w:before="120" w:after="8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542"/>
    <w:rPr>
      <w:color w:val="0563C1" w:themeColor="hyperlink"/>
      <w:u w:val="single"/>
    </w:rPr>
  </w:style>
  <w:style w:type="character" w:customStyle="1" w:styleId="Heading1Char">
    <w:name w:val="Heading 1 Char"/>
    <w:basedOn w:val="DefaultParagraphFont"/>
    <w:link w:val="Heading1"/>
    <w:uiPriority w:val="9"/>
    <w:rsid w:val="00BC5542"/>
    <w:rPr>
      <w:rFonts w:eastAsiaTheme="majorEastAsia" w:cstheme="majorBidi"/>
      <w:b/>
      <w:sz w:val="24"/>
      <w:szCs w:val="32"/>
    </w:rPr>
  </w:style>
  <w:style w:type="character" w:customStyle="1" w:styleId="Heading2Char">
    <w:name w:val="Heading 2 Char"/>
    <w:basedOn w:val="DefaultParagraphFont"/>
    <w:link w:val="Heading2"/>
    <w:uiPriority w:val="9"/>
    <w:rsid w:val="00BC5542"/>
    <w:rPr>
      <w:rFonts w:eastAsiaTheme="majorEastAsia" w:cstheme="majorBidi"/>
      <w:sz w:val="24"/>
      <w:szCs w:val="26"/>
      <w:u w:val="single"/>
    </w:rPr>
  </w:style>
  <w:style w:type="paragraph" w:styleId="Title">
    <w:name w:val="Title"/>
    <w:basedOn w:val="Normal"/>
    <w:next w:val="Normal"/>
    <w:link w:val="TitleChar"/>
    <w:uiPriority w:val="10"/>
    <w:qFormat/>
    <w:rsid w:val="00527539"/>
    <w:pPr>
      <w:spacing w:before="240" w:after="240" w:line="360" w:lineRule="auto"/>
    </w:pPr>
    <w:rPr>
      <w:rFonts w:eastAsiaTheme="majorEastAsia" w:cstheme="majorBidi"/>
      <w:spacing w:val="-10"/>
      <w:kern w:val="28"/>
      <w:sz w:val="40"/>
      <w:szCs w:val="56"/>
    </w:rPr>
  </w:style>
  <w:style w:type="character" w:customStyle="1" w:styleId="Heading3Char">
    <w:name w:val="Heading 3 Char"/>
    <w:basedOn w:val="DefaultParagraphFont"/>
    <w:link w:val="Heading3"/>
    <w:uiPriority w:val="9"/>
    <w:rsid w:val="00527539"/>
    <w:rPr>
      <w:rFonts w:eastAsiaTheme="majorEastAsia" w:cstheme="majorBidi"/>
      <w:i/>
      <w:szCs w:val="24"/>
    </w:rPr>
  </w:style>
  <w:style w:type="character" w:customStyle="1" w:styleId="TitleChar">
    <w:name w:val="Title Char"/>
    <w:basedOn w:val="DefaultParagraphFont"/>
    <w:link w:val="Title"/>
    <w:uiPriority w:val="10"/>
    <w:rsid w:val="00527539"/>
    <w:rPr>
      <w:rFonts w:eastAsiaTheme="majorEastAsia" w:cstheme="majorBidi"/>
      <w:spacing w:val="-10"/>
      <w:kern w:val="28"/>
      <w:sz w:val="40"/>
      <w:szCs w:val="56"/>
    </w:rPr>
  </w:style>
  <w:style w:type="paragraph" w:customStyle="1" w:styleId="EndNoteBibliographyTitle">
    <w:name w:val="EndNote Bibliography Title"/>
    <w:basedOn w:val="Normal"/>
    <w:link w:val="EndNoteBibliographyTitleChar"/>
    <w:rsid w:val="009A7D8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A7D82"/>
    <w:rPr>
      <w:rFonts w:ascii="Calibri" w:hAnsi="Calibri" w:cs="Calibri"/>
      <w:noProof/>
      <w:lang w:val="en-US"/>
    </w:rPr>
  </w:style>
  <w:style w:type="paragraph" w:customStyle="1" w:styleId="EndNoteBibliography">
    <w:name w:val="EndNote Bibliography"/>
    <w:basedOn w:val="Normal"/>
    <w:link w:val="EndNoteBibliographyChar"/>
    <w:rsid w:val="009A7D8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A7D82"/>
    <w:rPr>
      <w:rFonts w:ascii="Calibri" w:hAnsi="Calibri" w:cs="Calibri"/>
      <w:noProof/>
      <w:lang w:val="en-US"/>
    </w:rPr>
  </w:style>
  <w:style w:type="paragraph" w:styleId="ListParagraph">
    <w:name w:val="List Paragraph"/>
    <w:basedOn w:val="Normal"/>
    <w:uiPriority w:val="34"/>
    <w:qFormat/>
    <w:rsid w:val="00BB7D8E"/>
    <w:pPr>
      <w:ind w:left="720"/>
      <w:contextualSpacing/>
    </w:pPr>
  </w:style>
  <w:style w:type="character" w:styleId="CommentReference">
    <w:name w:val="annotation reference"/>
    <w:basedOn w:val="DefaultParagraphFont"/>
    <w:uiPriority w:val="99"/>
    <w:semiHidden/>
    <w:unhideWhenUsed/>
    <w:rsid w:val="00D6346C"/>
    <w:rPr>
      <w:sz w:val="16"/>
      <w:szCs w:val="16"/>
    </w:rPr>
  </w:style>
  <w:style w:type="paragraph" w:styleId="CommentText">
    <w:name w:val="annotation text"/>
    <w:basedOn w:val="Normal"/>
    <w:link w:val="CommentTextChar"/>
    <w:uiPriority w:val="99"/>
    <w:unhideWhenUsed/>
    <w:rsid w:val="00D6346C"/>
    <w:pPr>
      <w:spacing w:line="240" w:lineRule="auto"/>
    </w:pPr>
    <w:rPr>
      <w:sz w:val="20"/>
      <w:szCs w:val="20"/>
    </w:rPr>
  </w:style>
  <w:style w:type="character" w:customStyle="1" w:styleId="CommentTextChar">
    <w:name w:val="Comment Text Char"/>
    <w:basedOn w:val="DefaultParagraphFont"/>
    <w:link w:val="CommentText"/>
    <w:uiPriority w:val="99"/>
    <w:rsid w:val="00D6346C"/>
    <w:rPr>
      <w:sz w:val="20"/>
      <w:szCs w:val="20"/>
    </w:rPr>
  </w:style>
  <w:style w:type="paragraph" w:styleId="CommentSubject">
    <w:name w:val="annotation subject"/>
    <w:basedOn w:val="CommentText"/>
    <w:next w:val="CommentText"/>
    <w:link w:val="CommentSubjectChar"/>
    <w:uiPriority w:val="99"/>
    <w:semiHidden/>
    <w:unhideWhenUsed/>
    <w:rsid w:val="00D6346C"/>
    <w:rPr>
      <w:b/>
      <w:bCs/>
    </w:rPr>
  </w:style>
  <w:style w:type="character" w:customStyle="1" w:styleId="CommentSubjectChar">
    <w:name w:val="Comment Subject Char"/>
    <w:basedOn w:val="CommentTextChar"/>
    <w:link w:val="CommentSubject"/>
    <w:uiPriority w:val="99"/>
    <w:semiHidden/>
    <w:rsid w:val="00D6346C"/>
    <w:rPr>
      <w:b/>
      <w:bCs/>
      <w:sz w:val="20"/>
      <w:szCs w:val="20"/>
    </w:rPr>
  </w:style>
  <w:style w:type="paragraph" w:customStyle="1" w:styleId="Tabletext">
    <w:name w:val="Table text"/>
    <w:basedOn w:val="Normal"/>
    <w:qFormat/>
    <w:rsid w:val="0040492C"/>
    <w:pPr>
      <w:spacing w:after="0" w:line="240" w:lineRule="auto"/>
    </w:pPr>
    <w:rPr>
      <w:rFonts w:eastAsia="Calibri" w:cs="Times New Roman"/>
      <w:sz w:val="18"/>
      <w:szCs w:val="20"/>
    </w:rPr>
  </w:style>
  <w:style w:type="table" w:customStyle="1" w:styleId="TableGrid2">
    <w:name w:val="Table Grid2"/>
    <w:basedOn w:val="TableNormal"/>
    <w:next w:val="TableGrid"/>
    <w:uiPriority w:val="39"/>
    <w:rsid w:val="0040492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7F43FD"/>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7F43FD"/>
    <w:pPr>
      <w:numPr>
        <w:numId w:val="7"/>
      </w:numPr>
    </w:pPr>
  </w:style>
  <w:style w:type="character" w:styleId="UnresolvedMention">
    <w:name w:val="Unresolved Mention"/>
    <w:basedOn w:val="DefaultParagraphFont"/>
    <w:uiPriority w:val="99"/>
    <w:semiHidden/>
    <w:unhideWhenUsed/>
    <w:rsid w:val="00E37424"/>
    <w:rPr>
      <w:color w:val="605E5C"/>
      <w:shd w:val="clear" w:color="auto" w:fill="E1DFDD"/>
    </w:rPr>
  </w:style>
  <w:style w:type="paragraph" w:styleId="Revision">
    <w:name w:val="Revision"/>
    <w:hidden/>
    <w:uiPriority w:val="99"/>
    <w:semiHidden/>
    <w:rsid w:val="006E51FE"/>
    <w:pPr>
      <w:spacing w:after="0" w:line="240" w:lineRule="auto"/>
    </w:pPr>
  </w:style>
  <w:style w:type="paragraph" w:styleId="Header">
    <w:name w:val="header"/>
    <w:basedOn w:val="Normal"/>
    <w:link w:val="HeaderChar"/>
    <w:uiPriority w:val="99"/>
    <w:unhideWhenUsed/>
    <w:rsid w:val="00491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B70"/>
  </w:style>
  <w:style w:type="paragraph" w:styleId="Footer">
    <w:name w:val="footer"/>
    <w:basedOn w:val="Normal"/>
    <w:link w:val="FooterChar"/>
    <w:uiPriority w:val="99"/>
    <w:unhideWhenUsed/>
    <w:rsid w:val="00491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B70"/>
  </w:style>
  <w:style w:type="paragraph" w:styleId="NoSpacing">
    <w:name w:val="No Spacing"/>
    <w:uiPriority w:val="1"/>
    <w:qFormat/>
    <w:rsid w:val="00511786"/>
    <w:pPr>
      <w:spacing w:after="0" w:line="240" w:lineRule="auto"/>
    </w:pPr>
  </w:style>
  <w:style w:type="character" w:customStyle="1" w:styleId="normaltextrun">
    <w:name w:val="normaltextrun"/>
    <w:basedOn w:val="DefaultParagraphFont"/>
    <w:rsid w:val="0023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mje.org/coi_disclosure.pdf" TargetMode="External"/><Relationship Id="rId18" Type="http://schemas.openxmlformats.org/officeDocument/2006/relationships/hyperlink" Target="https://doi.org/10.1016/j.vaccine.2017.10.004" TargetMode="External"/><Relationship Id="rId26" Type="http://schemas.openxmlformats.org/officeDocument/2006/relationships/hyperlink" Target="https://doi.org/10.1001/jamanetworkopen.2021.40364" TargetMode="External"/><Relationship Id="rId39" Type="http://schemas.openxmlformats.org/officeDocument/2006/relationships/hyperlink" Target="https://doi.org/10.1016/s0277-9536(96)00340-1" TargetMode="External"/><Relationship Id="rId21" Type="http://schemas.openxmlformats.org/officeDocument/2006/relationships/hyperlink" Target="https://doi.org/10.1016/S0140-6736(20)32661-1" TargetMode="External"/><Relationship Id="rId34" Type="http://schemas.openxmlformats.org/officeDocument/2006/relationships/hyperlink" Target="https://osf.io/tehg8/" TargetMode="External"/><Relationship Id="rId42" Type="http://schemas.openxmlformats.org/officeDocument/2006/relationships/hyperlink" Target="https://doi.org/https://doi.org/10.1016/j.vaccine.2020.04.029" TargetMode="External"/><Relationship Id="rId47" Type="http://schemas.openxmlformats.org/officeDocument/2006/relationships/hyperlink" Target="https://www.gov.uk/government/news/prime-minister-issues-vaccine-call-to-arms-ahead-of-winter" TargetMode="External"/><Relationship Id="rId50" Type="http://schemas.openxmlformats.org/officeDocument/2006/relationships/hyperlink" Target="https://doi.org/10.1093/abm/kaac02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37/hea0000416" TargetMode="External"/><Relationship Id="rId29" Type="http://schemas.openxmlformats.org/officeDocument/2006/relationships/hyperlink" Target="https://doi.org/10.1159/000519853" TargetMode="External"/><Relationship Id="rId11" Type="http://schemas.openxmlformats.org/officeDocument/2006/relationships/hyperlink" Target="mailto:louise.e.smith@kcl.ac.uk" TargetMode="External"/><Relationship Id="rId24" Type="http://schemas.openxmlformats.org/officeDocument/2006/relationships/hyperlink" Target="https://doi.org/10.1056/NEJMoa2110345" TargetMode="External"/><Relationship Id="rId32" Type="http://schemas.openxmlformats.org/officeDocument/2006/relationships/hyperlink" Target="https://doi.org/10.1080/21645515.2020.1846397" TargetMode="External"/><Relationship Id="rId37" Type="http://schemas.openxmlformats.org/officeDocument/2006/relationships/hyperlink" Target="https://doi.org/10.1016/s0895-4356(96)00236-3" TargetMode="External"/><Relationship Id="rId40" Type="http://schemas.openxmlformats.org/officeDocument/2006/relationships/hyperlink" Target="https://doi.org/10.1016/j.vaccine.2017.09.046" TargetMode="External"/><Relationship Id="rId45" Type="http://schemas.openxmlformats.org/officeDocument/2006/relationships/hyperlink" Target="https://doi.org/10.1111/hex.13059" TargetMode="External"/><Relationship Id="rId5" Type="http://schemas.openxmlformats.org/officeDocument/2006/relationships/numbering" Target="numbering.xml"/><Relationship Id="rId15" Type="http://schemas.openxmlformats.org/officeDocument/2006/relationships/hyperlink" Target="https://doi.org/10.1136/postgradmedj-2012-131730" TargetMode="External"/><Relationship Id="rId23" Type="http://schemas.openxmlformats.org/officeDocument/2006/relationships/hyperlink" Target="https://doi.org/10.1056/NEJMoa2035389" TargetMode="External"/><Relationship Id="rId28" Type="http://schemas.openxmlformats.org/officeDocument/2006/relationships/hyperlink" Target="https://doi.org/https://doi.org/10.1016/j.jpsychores.2022.111093" TargetMode="External"/><Relationship Id="rId36" Type="http://schemas.openxmlformats.org/officeDocument/2006/relationships/hyperlink" Target="https://doi.org/10.1016/j.puhe.2021.10.008" TargetMode="External"/><Relationship Id="rId49" Type="http://schemas.openxmlformats.org/officeDocument/2006/relationships/hyperlink" Target="https://doi.org/10.1093/ije/dyp374" TargetMode="External"/><Relationship Id="rId10" Type="http://schemas.openxmlformats.org/officeDocument/2006/relationships/endnotes" Target="endnotes.xml"/><Relationship Id="rId19" Type="http://schemas.openxmlformats.org/officeDocument/2006/relationships/hyperlink" Target="https://doi.org/10.1002/acr.20160" TargetMode="External"/><Relationship Id="rId31" Type="http://schemas.openxmlformats.org/officeDocument/2006/relationships/hyperlink" Target="https://doi.org/10.1101/2022.03.25.22272954" TargetMode="External"/><Relationship Id="rId44" Type="http://schemas.openxmlformats.org/officeDocument/2006/relationships/hyperlink" Target="https://doi.org/10.1007/s00213-016-4466-8"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1/jama.287.5.622" TargetMode="External"/><Relationship Id="rId22" Type="http://schemas.openxmlformats.org/officeDocument/2006/relationships/hyperlink" Target="https://doi.org/10.1056/NEJMoa2034577" TargetMode="External"/><Relationship Id="rId27" Type="http://schemas.openxmlformats.org/officeDocument/2006/relationships/hyperlink" Target="https://doi.org/https://doi.org/10.1016/j.jpsychores.2022.111081" TargetMode="External"/><Relationship Id="rId30" Type="http://schemas.openxmlformats.org/officeDocument/2006/relationships/hyperlink" Target="https://doi.org/10.1016/j.jpsychores.2021.110679" TargetMode="External"/><Relationship Id="rId35" Type="http://schemas.openxmlformats.org/officeDocument/2006/relationships/hyperlink" Target="https://doi.org/10.1016/j.jpsychores.2020.110340" TargetMode="External"/><Relationship Id="rId43" Type="http://schemas.openxmlformats.org/officeDocument/2006/relationships/hyperlink" Target="https://doi.org/10.1136/bmjopen-2020-040134" TargetMode="External"/><Relationship Id="rId48" Type="http://schemas.openxmlformats.org/officeDocument/2006/relationships/hyperlink" Target="https://twitter.com/borisjohnson/status/1376796581970710529?lang=id"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oi.org/10.1093/abm/kay040" TargetMode="External"/><Relationship Id="rId25" Type="http://schemas.openxmlformats.org/officeDocument/2006/relationships/hyperlink" Target="https://doi.org/10.1016/S1473-3099(21)00224-3" TargetMode="External"/><Relationship Id="rId33" Type="http://schemas.openxmlformats.org/officeDocument/2006/relationships/hyperlink" Target="https://osf.io/ewch3/" TargetMode="External"/><Relationship Id="rId38" Type="http://schemas.openxmlformats.org/officeDocument/2006/relationships/hyperlink" Target="https://doi.org/10.1016/S0140-6736(20)31604-4" TargetMode="External"/><Relationship Id="rId46" Type="http://schemas.openxmlformats.org/officeDocument/2006/relationships/hyperlink" Target="https://www.ema.europa.eu/en/news/astrazenecas-covid-19-vaccine-ema-finds-possible-link-very-rare-cases-unusual-blood-clots-low-blood" TargetMode="External"/><Relationship Id="rId20" Type="http://schemas.openxmlformats.org/officeDocument/2006/relationships/hyperlink" Target="https://doi.org/10.1038/npjpcrm.2015.26" TargetMode="External"/><Relationship Id="rId41" Type="http://schemas.openxmlformats.org/officeDocument/2006/relationships/hyperlink" Target="https://doi.org/10.1016/j.vaccine.2011.06.107"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765CF4DBFAF4F80B6A90F818ED323" ma:contentTypeVersion="15" ma:contentTypeDescription="Create a new document." ma:contentTypeScope="" ma:versionID="87a74fdf9b3fd92445451eef57344d05">
  <xsd:schema xmlns:xsd="http://www.w3.org/2001/XMLSchema" xmlns:xs="http://www.w3.org/2001/XMLSchema" xmlns:p="http://schemas.microsoft.com/office/2006/metadata/properties" xmlns:ns1="http://schemas.microsoft.com/sharepoint/v3" xmlns:ns3="c654bb1c-410e-4a38-b505-6f07733a1d60" xmlns:ns4="0ea1de50-1813-4d1d-b536-0d1728e64504" targetNamespace="http://schemas.microsoft.com/office/2006/metadata/properties" ma:root="true" ma:fieldsID="30a1e356ac4a23a00dd7bb5864e621fa" ns1:_="" ns3:_="" ns4:_="">
    <xsd:import namespace="http://schemas.microsoft.com/sharepoint/v3"/>
    <xsd:import namespace="c654bb1c-410e-4a38-b505-6f07733a1d60"/>
    <xsd:import namespace="0ea1de50-1813-4d1d-b536-0d1728e645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4bb1c-410e-4a38-b505-6f07733a1d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1de50-1813-4d1d-b536-0d1728e645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99FEB5-7F9F-4AF5-A25A-FAF28ED0F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54bb1c-410e-4a38-b505-6f07733a1d60"/>
    <ds:schemaRef ds:uri="0ea1de50-1813-4d1d-b536-0d1728e64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D379E-EAF7-46D0-965C-E1E7FC35B508}">
  <ds:schemaRefs>
    <ds:schemaRef ds:uri="http://schemas.openxmlformats.org/officeDocument/2006/bibliography"/>
  </ds:schemaRefs>
</ds:datastoreItem>
</file>

<file path=customXml/itemProps3.xml><?xml version="1.0" encoding="utf-8"?>
<ds:datastoreItem xmlns:ds="http://schemas.openxmlformats.org/officeDocument/2006/customXml" ds:itemID="{30896A7D-7A25-40D6-9D1B-4E295911CFD3}">
  <ds:schemaRefs>
    <ds:schemaRef ds:uri="http://schemas.microsoft.com/sharepoint/v3/contenttype/forms"/>
  </ds:schemaRefs>
</ds:datastoreItem>
</file>

<file path=customXml/itemProps4.xml><?xml version="1.0" encoding="utf-8"?>
<ds:datastoreItem xmlns:ds="http://schemas.openxmlformats.org/officeDocument/2006/customXml" ds:itemID="{F5840D16-713A-45E2-A98E-CA1CAE8DF6D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8638</Words>
  <Characters>49239</Characters>
  <Application>Microsoft Office Word</Application>
  <DocSecurity>0</DocSecurity>
  <Lines>410</Lines>
  <Paragraphs>115</Paragraphs>
  <ScaleCrop>false</ScaleCrop>
  <Company/>
  <LinksUpToDate>false</LinksUpToDate>
  <CharactersWithSpaces>57762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Louise</dc:creator>
  <cp:keywords/>
  <dc:description/>
  <cp:lastModifiedBy>Smith, Louise</cp:lastModifiedBy>
  <cp:revision>4</cp:revision>
  <cp:lastPrinted>2022-08-31T20:09:00Z</cp:lastPrinted>
  <dcterms:created xsi:type="dcterms:W3CDTF">2022-11-28T14:55:00Z</dcterms:created>
  <dcterms:modified xsi:type="dcterms:W3CDTF">2022-11-28T14:57:00Z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0x010100B7B765CF4DBFAF4F80B6A90F818ED323</vt:lpwstr>
  </property>
</Properties>
</file>