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84C43" w14:textId="16021686" w:rsidR="00021272" w:rsidRPr="00B70C48" w:rsidRDefault="00021272" w:rsidP="00021272">
      <w:pPr>
        <w:spacing w:line="480" w:lineRule="auto"/>
        <w:rPr>
          <w:rFonts w:ascii="Arial" w:hAnsi="Arial" w:cs="Arial"/>
          <w:sz w:val="24"/>
          <w:szCs w:val="24"/>
        </w:rPr>
      </w:pPr>
      <w:r w:rsidRPr="00B70C48">
        <w:rPr>
          <w:rFonts w:ascii="Arial" w:hAnsi="Arial" w:cs="Arial"/>
          <w:b/>
          <w:sz w:val="24"/>
          <w:szCs w:val="24"/>
        </w:rPr>
        <w:t>Title:</w:t>
      </w:r>
      <w:r w:rsidRPr="00B70C48">
        <w:rPr>
          <w:rFonts w:ascii="Arial" w:hAnsi="Arial" w:cs="Arial"/>
          <w:sz w:val="24"/>
          <w:szCs w:val="24"/>
        </w:rPr>
        <w:t xml:space="preserve"> </w:t>
      </w:r>
      <w:r w:rsidR="008534EA">
        <w:rPr>
          <w:rFonts w:ascii="Arial" w:hAnsi="Arial" w:cs="Arial"/>
          <w:sz w:val="24"/>
          <w:szCs w:val="24"/>
        </w:rPr>
        <w:t>Is</w:t>
      </w:r>
      <w:r w:rsidRPr="00B70C48">
        <w:rPr>
          <w:rFonts w:ascii="Arial" w:hAnsi="Arial" w:cs="Arial"/>
          <w:sz w:val="24"/>
          <w:szCs w:val="24"/>
        </w:rPr>
        <w:t xml:space="preserve"> vaccination against </w:t>
      </w:r>
      <w:r w:rsidR="0025665E">
        <w:rPr>
          <w:rFonts w:ascii="Arial" w:hAnsi="Arial" w:cs="Arial"/>
          <w:sz w:val="24"/>
          <w:szCs w:val="24"/>
        </w:rPr>
        <w:t>COVID</w:t>
      </w:r>
      <w:r w:rsidRPr="00B70C48">
        <w:rPr>
          <w:rFonts w:ascii="Arial" w:hAnsi="Arial" w:cs="Arial"/>
          <w:sz w:val="24"/>
          <w:szCs w:val="24"/>
        </w:rPr>
        <w:t>-19 associate</w:t>
      </w:r>
      <w:r w:rsidR="008534EA">
        <w:rPr>
          <w:rFonts w:ascii="Arial" w:hAnsi="Arial" w:cs="Arial"/>
          <w:sz w:val="24"/>
          <w:szCs w:val="24"/>
        </w:rPr>
        <w:t>d</w:t>
      </w:r>
      <w:r w:rsidRPr="00B70C48">
        <w:rPr>
          <w:rFonts w:ascii="Arial" w:hAnsi="Arial" w:cs="Arial"/>
          <w:sz w:val="24"/>
          <w:szCs w:val="24"/>
        </w:rPr>
        <w:t xml:space="preserve"> with inflammatory bowel disease flare? Self-controlled case series analysis using</w:t>
      </w:r>
      <w:r w:rsidR="008534EA">
        <w:rPr>
          <w:rFonts w:ascii="Arial" w:hAnsi="Arial" w:cs="Arial"/>
          <w:sz w:val="24"/>
          <w:szCs w:val="24"/>
        </w:rPr>
        <w:t xml:space="preserve"> the</w:t>
      </w:r>
      <w:r w:rsidRPr="00B70C48">
        <w:rPr>
          <w:rFonts w:ascii="Arial" w:hAnsi="Arial" w:cs="Arial"/>
          <w:sz w:val="24"/>
          <w:szCs w:val="24"/>
        </w:rPr>
        <w:t xml:space="preserve"> </w:t>
      </w:r>
      <w:r w:rsidR="00B25AF9">
        <w:rPr>
          <w:rFonts w:ascii="Arial" w:hAnsi="Arial" w:cs="Arial"/>
          <w:sz w:val="24"/>
          <w:szCs w:val="24"/>
        </w:rPr>
        <w:t xml:space="preserve">UK </w:t>
      </w:r>
      <w:r w:rsidR="008534EA">
        <w:rPr>
          <w:rFonts w:ascii="Arial" w:hAnsi="Arial" w:cs="Arial"/>
          <w:sz w:val="24"/>
          <w:szCs w:val="24"/>
        </w:rPr>
        <w:t>CPRD</w:t>
      </w:r>
      <w:r w:rsidRPr="00B70C48">
        <w:rPr>
          <w:rFonts w:ascii="Arial" w:hAnsi="Arial" w:cs="Arial"/>
          <w:sz w:val="24"/>
          <w:szCs w:val="24"/>
        </w:rPr>
        <w:t>.</w:t>
      </w:r>
    </w:p>
    <w:p w14:paraId="24F2595E" w14:textId="2479D2E0" w:rsidR="00021272" w:rsidRPr="00B70C48" w:rsidRDefault="00021272" w:rsidP="00021272">
      <w:pPr>
        <w:spacing w:line="480" w:lineRule="auto"/>
        <w:rPr>
          <w:rFonts w:ascii="Arial" w:hAnsi="Arial" w:cs="Arial"/>
          <w:sz w:val="24"/>
          <w:szCs w:val="24"/>
        </w:rPr>
      </w:pPr>
      <w:r w:rsidRPr="00B70C48">
        <w:rPr>
          <w:rFonts w:ascii="Arial" w:hAnsi="Arial" w:cs="Arial"/>
          <w:b/>
          <w:color w:val="000000" w:themeColor="text1"/>
          <w:spacing w:val="-7"/>
          <w:sz w:val="24"/>
          <w:szCs w:val="24"/>
        </w:rPr>
        <w:t>Authors:</w:t>
      </w:r>
      <w:r w:rsidRPr="00B70C48">
        <w:rPr>
          <w:rFonts w:ascii="Arial" w:hAnsi="Arial" w:cs="Arial"/>
          <w:color w:val="000000" w:themeColor="text1"/>
          <w:spacing w:val="-7"/>
          <w:sz w:val="24"/>
          <w:szCs w:val="24"/>
        </w:rPr>
        <w:t xml:space="preserve"> Dr Tim Card</w:t>
      </w:r>
      <w:r w:rsidRPr="00B70C48">
        <w:rPr>
          <w:rFonts w:ascii="Arial" w:hAnsi="Arial" w:cs="Arial"/>
          <w:color w:val="000000" w:themeColor="text1"/>
          <w:spacing w:val="-7"/>
          <w:sz w:val="24"/>
          <w:szCs w:val="24"/>
          <w:vertAlign w:val="superscript"/>
        </w:rPr>
        <w:t>1,2*</w:t>
      </w:r>
      <w:r w:rsidRPr="00B70C48">
        <w:rPr>
          <w:rFonts w:ascii="Arial" w:hAnsi="Arial" w:cs="Arial"/>
          <w:color w:val="000000" w:themeColor="text1"/>
          <w:spacing w:val="-7"/>
          <w:sz w:val="24"/>
          <w:szCs w:val="24"/>
        </w:rPr>
        <w:t>, Dr Georgina Nakafero</w:t>
      </w:r>
      <w:r w:rsidRPr="00B70C48">
        <w:rPr>
          <w:rFonts w:ascii="Arial" w:hAnsi="Arial" w:cs="Arial"/>
          <w:color w:val="000000" w:themeColor="text1"/>
          <w:spacing w:val="-7"/>
          <w:sz w:val="24"/>
          <w:szCs w:val="24"/>
          <w:vertAlign w:val="superscript"/>
        </w:rPr>
        <w:t>3*</w:t>
      </w:r>
      <w:r w:rsidRPr="00B70C48">
        <w:rPr>
          <w:rFonts w:ascii="Arial" w:hAnsi="Arial" w:cs="Arial"/>
          <w:color w:val="000000" w:themeColor="text1"/>
          <w:spacing w:val="-7"/>
          <w:sz w:val="24"/>
          <w:szCs w:val="24"/>
        </w:rPr>
        <w:t>, Dr Matthew J. Grainge</w:t>
      </w:r>
      <w:r w:rsidRPr="00B70C48">
        <w:rPr>
          <w:rFonts w:ascii="Arial" w:hAnsi="Arial" w:cs="Arial"/>
          <w:color w:val="000000" w:themeColor="text1"/>
          <w:spacing w:val="-7"/>
          <w:sz w:val="24"/>
          <w:szCs w:val="24"/>
          <w:vertAlign w:val="superscript"/>
        </w:rPr>
        <w:t>1</w:t>
      </w:r>
      <w:r w:rsidRPr="00B70C48">
        <w:rPr>
          <w:rFonts w:ascii="Arial" w:hAnsi="Arial" w:cs="Arial"/>
          <w:color w:val="000000" w:themeColor="text1"/>
          <w:spacing w:val="-7"/>
          <w:sz w:val="24"/>
          <w:szCs w:val="24"/>
        </w:rPr>
        <w:t>, Prof. Christian D. Mallen</w:t>
      </w:r>
      <w:r w:rsidRPr="00B70C48">
        <w:rPr>
          <w:rFonts w:ascii="Arial" w:hAnsi="Arial" w:cs="Arial"/>
          <w:color w:val="000000" w:themeColor="text1"/>
          <w:spacing w:val="-7"/>
          <w:sz w:val="24"/>
          <w:szCs w:val="24"/>
          <w:vertAlign w:val="superscript"/>
        </w:rPr>
        <w:t>4</w:t>
      </w:r>
      <w:r w:rsidRPr="00B70C48">
        <w:rPr>
          <w:rFonts w:ascii="Arial" w:hAnsi="Arial" w:cs="Arial"/>
          <w:color w:val="000000" w:themeColor="text1"/>
          <w:spacing w:val="-7"/>
          <w:sz w:val="24"/>
          <w:szCs w:val="24"/>
        </w:rPr>
        <w:t>, Prof. Jonathan S. Nguyen Van-Tam</w:t>
      </w:r>
      <w:r w:rsidRPr="00B70C48">
        <w:rPr>
          <w:rFonts w:ascii="Arial" w:hAnsi="Arial" w:cs="Arial"/>
          <w:color w:val="000000" w:themeColor="text1"/>
          <w:spacing w:val="-7"/>
          <w:sz w:val="24"/>
          <w:szCs w:val="24"/>
          <w:vertAlign w:val="superscript"/>
        </w:rPr>
        <w:t>1</w:t>
      </w:r>
      <w:r w:rsidRPr="00B70C48">
        <w:rPr>
          <w:rFonts w:ascii="Arial" w:hAnsi="Arial" w:cs="Arial"/>
          <w:b/>
          <w:color w:val="000000" w:themeColor="text1"/>
          <w:spacing w:val="-7"/>
          <w:sz w:val="24"/>
          <w:szCs w:val="24"/>
        </w:rPr>
        <w:t xml:space="preserve">, </w:t>
      </w:r>
      <w:r w:rsidRPr="00B70C48">
        <w:rPr>
          <w:rFonts w:ascii="Arial" w:hAnsi="Arial" w:cs="Arial"/>
          <w:color w:val="000000" w:themeColor="text1"/>
          <w:spacing w:val="-7"/>
          <w:sz w:val="24"/>
          <w:szCs w:val="24"/>
        </w:rPr>
        <w:t>Prof. Hywel C. Williams</w:t>
      </w:r>
      <w:r w:rsidRPr="00B70C48">
        <w:rPr>
          <w:rFonts w:ascii="Arial" w:hAnsi="Arial" w:cs="Arial"/>
          <w:color w:val="000000" w:themeColor="text1"/>
          <w:spacing w:val="-7"/>
          <w:sz w:val="24"/>
          <w:szCs w:val="24"/>
          <w:vertAlign w:val="superscript"/>
        </w:rPr>
        <w:t>1</w:t>
      </w:r>
      <w:r w:rsidRPr="00B70C48">
        <w:rPr>
          <w:rFonts w:ascii="Arial" w:hAnsi="Arial" w:cs="Arial"/>
          <w:color w:val="000000" w:themeColor="text1"/>
          <w:spacing w:val="-7"/>
          <w:sz w:val="24"/>
          <w:szCs w:val="24"/>
        </w:rPr>
        <w:t>, Prof. Abhishek Abhishek</w:t>
      </w:r>
      <w:r w:rsidRPr="00B70C48">
        <w:rPr>
          <w:rFonts w:ascii="Arial" w:hAnsi="Arial" w:cs="Arial"/>
          <w:color w:val="000000" w:themeColor="text1"/>
          <w:spacing w:val="-7"/>
          <w:sz w:val="24"/>
          <w:szCs w:val="24"/>
          <w:vertAlign w:val="superscript"/>
        </w:rPr>
        <w:t>3</w:t>
      </w:r>
      <w:r w:rsidRPr="00B70C48">
        <w:rPr>
          <w:rFonts w:ascii="Arial" w:hAnsi="Arial" w:cs="Arial"/>
          <w:color w:val="000000" w:themeColor="text1"/>
          <w:spacing w:val="-7"/>
          <w:sz w:val="24"/>
          <w:szCs w:val="24"/>
        </w:rPr>
        <w:t>.</w:t>
      </w:r>
    </w:p>
    <w:p w14:paraId="005B3961" w14:textId="77777777" w:rsidR="00021272" w:rsidRPr="00B70C48" w:rsidRDefault="00021272" w:rsidP="00021272">
      <w:pPr>
        <w:spacing w:line="480" w:lineRule="auto"/>
        <w:rPr>
          <w:rFonts w:ascii="Arial" w:hAnsi="Arial" w:cs="Arial"/>
          <w:color w:val="000000" w:themeColor="text1"/>
          <w:spacing w:val="-7"/>
          <w:sz w:val="24"/>
          <w:szCs w:val="24"/>
        </w:rPr>
      </w:pPr>
      <w:r w:rsidRPr="00B70C48">
        <w:rPr>
          <w:rFonts w:ascii="Arial" w:hAnsi="Arial" w:cs="Arial"/>
          <w:b/>
          <w:color w:val="000000" w:themeColor="text1"/>
          <w:spacing w:val="-7"/>
          <w:sz w:val="24"/>
          <w:szCs w:val="24"/>
        </w:rPr>
        <w:t>Affiliations:</w:t>
      </w:r>
      <w:r w:rsidRPr="00B70C48">
        <w:rPr>
          <w:rFonts w:ascii="Arial" w:hAnsi="Arial" w:cs="Arial"/>
          <w:color w:val="000000" w:themeColor="text1"/>
          <w:spacing w:val="-7"/>
          <w:sz w:val="24"/>
          <w:szCs w:val="24"/>
        </w:rPr>
        <w:t xml:space="preserve"> </w:t>
      </w:r>
      <w:r w:rsidRPr="00B70C48">
        <w:rPr>
          <w:rFonts w:ascii="Arial" w:hAnsi="Arial" w:cs="Arial"/>
          <w:color w:val="000000" w:themeColor="text1"/>
          <w:spacing w:val="-7"/>
          <w:sz w:val="24"/>
          <w:szCs w:val="24"/>
          <w:vertAlign w:val="superscript"/>
        </w:rPr>
        <w:t>1</w:t>
      </w:r>
      <w:r w:rsidRPr="00B70C48">
        <w:rPr>
          <w:rFonts w:ascii="Arial" w:hAnsi="Arial" w:cs="Arial"/>
          <w:color w:val="000000" w:themeColor="text1"/>
          <w:spacing w:val="-7"/>
          <w:sz w:val="24"/>
          <w:szCs w:val="24"/>
        </w:rPr>
        <w:t xml:space="preserve">Lifespan and Population Health, School of Medicine, University of Nottingham, Nottingham. </w:t>
      </w:r>
      <w:r w:rsidRPr="00B70C48">
        <w:rPr>
          <w:rFonts w:ascii="Arial" w:hAnsi="Arial" w:cs="Arial"/>
          <w:color w:val="000000" w:themeColor="text1"/>
          <w:spacing w:val="-7"/>
          <w:sz w:val="24"/>
          <w:szCs w:val="24"/>
          <w:vertAlign w:val="superscript"/>
        </w:rPr>
        <w:t>2</w:t>
      </w:r>
      <w:r w:rsidRPr="00B70C48">
        <w:rPr>
          <w:rFonts w:ascii="Arial" w:hAnsi="Arial" w:cs="Arial"/>
          <w:color w:val="000000" w:themeColor="text1"/>
          <w:spacing w:val="-7"/>
          <w:sz w:val="24"/>
          <w:szCs w:val="24"/>
        </w:rPr>
        <w:t xml:space="preserve">Nottingham Digestive Diseases Centre, Translational Medical Sciences, School of Medicine, University of Nottingham. </w:t>
      </w:r>
      <w:r w:rsidRPr="00B70C48">
        <w:rPr>
          <w:rFonts w:ascii="Arial" w:hAnsi="Arial" w:cs="Arial"/>
          <w:color w:val="000000" w:themeColor="text1"/>
          <w:spacing w:val="-7"/>
          <w:sz w:val="24"/>
          <w:szCs w:val="24"/>
          <w:vertAlign w:val="superscript"/>
        </w:rPr>
        <w:t>3</w:t>
      </w:r>
      <w:r w:rsidRPr="00B70C48">
        <w:rPr>
          <w:rFonts w:ascii="Arial" w:hAnsi="Arial" w:cs="Arial"/>
          <w:color w:val="000000" w:themeColor="text1"/>
          <w:spacing w:val="-7"/>
          <w:sz w:val="24"/>
          <w:szCs w:val="24"/>
        </w:rPr>
        <w:t xml:space="preserve">Academic Rheumatology, School of Medicine, University of Nottingham, Nottingham. </w:t>
      </w:r>
      <w:r w:rsidRPr="00B70C48">
        <w:rPr>
          <w:rFonts w:ascii="Arial" w:hAnsi="Arial" w:cs="Arial"/>
          <w:color w:val="000000" w:themeColor="text1"/>
          <w:spacing w:val="-7"/>
          <w:sz w:val="24"/>
          <w:szCs w:val="24"/>
          <w:vertAlign w:val="superscript"/>
        </w:rPr>
        <w:t>4</w:t>
      </w:r>
      <w:r w:rsidRPr="00B70C48">
        <w:rPr>
          <w:rFonts w:ascii="Arial" w:hAnsi="Arial" w:cs="Arial"/>
          <w:color w:val="000000" w:themeColor="text1"/>
          <w:spacing w:val="-7"/>
          <w:sz w:val="24"/>
          <w:szCs w:val="24"/>
        </w:rPr>
        <w:t>Primary Care Centre Versus Arthritis, School of Medicine, Keele University, Keele.</w:t>
      </w:r>
    </w:p>
    <w:p w14:paraId="46B4E3A1" w14:textId="77777777" w:rsidR="00021272" w:rsidRPr="00B70C48" w:rsidRDefault="00021272" w:rsidP="00021272">
      <w:pPr>
        <w:spacing w:line="480" w:lineRule="auto"/>
        <w:rPr>
          <w:rFonts w:ascii="Arial" w:hAnsi="Arial" w:cs="Arial"/>
          <w:color w:val="000000" w:themeColor="text1"/>
          <w:spacing w:val="-7"/>
          <w:sz w:val="24"/>
          <w:szCs w:val="24"/>
        </w:rPr>
      </w:pPr>
      <w:r w:rsidRPr="00B70C48">
        <w:rPr>
          <w:rFonts w:ascii="Arial" w:hAnsi="Arial" w:cs="Arial"/>
          <w:color w:val="000000" w:themeColor="text1"/>
          <w:spacing w:val="-7"/>
          <w:sz w:val="24"/>
          <w:szCs w:val="24"/>
        </w:rPr>
        <w:t>*Equal contribution</w:t>
      </w:r>
    </w:p>
    <w:p w14:paraId="248D6378" w14:textId="77777777" w:rsidR="00021272" w:rsidRPr="00B70C48" w:rsidRDefault="00021272" w:rsidP="00021272">
      <w:pPr>
        <w:pStyle w:val="Heading3"/>
        <w:spacing w:before="154" w:line="480" w:lineRule="auto"/>
        <w:ind w:left="0"/>
        <w:jc w:val="both"/>
        <w:rPr>
          <w:b w:val="0"/>
          <w:bCs w:val="0"/>
          <w:color w:val="000000" w:themeColor="text1"/>
          <w:spacing w:val="-7"/>
          <w:sz w:val="24"/>
          <w:szCs w:val="24"/>
        </w:rPr>
      </w:pPr>
      <w:r w:rsidRPr="00B70C48">
        <w:rPr>
          <w:color w:val="000000" w:themeColor="text1"/>
          <w:spacing w:val="-7"/>
          <w:sz w:val="24"/>
          <w:szCs w:val="24"/>
        </w:rPr>
        <w:t xml:space="preserve">Corresponding author: </w:t>
      </w:r>
      <w:r w:rsidRPr="00B70C48">
        <w:rPr>
          <w:b w:val="0"/>
          <w:color w:val="000000" w:themeColor="text1"/>
          <w:spacing w:val="-7"/>
          <w:sz w:val="24"/>
          <w:szCs w:val="24"/>
        </w:rPr>
        <w:t>Dr</w:t>
      </w:r>
      <w:r w:rsidRPr="00B70C48">
        <w:rPr>
          <w:color w:val="000000" w:themeColor="text1"/>
          <w:spacing w:val="-7"/>
          <w:sz w:val="24"/>
          <w:szCs w:val="24"/>
        </w:rPr>
        <w:t xml:space="preserve"> </w:t>
      </w:r>
      <w:r w:rsidRPr="00B70C48">
        <w:rPr>
          <w:b w:val="0"/>
          <w:color w:val="000000" w:themeColor="text1"/>
          <w:spacing w:val="-7"/>
          <w:sz w:val="24"/>
          <w:szCs w:val="24"/>
        </w:rPr>
        <w:t>Georgina Nakafero</w:t>
      </w:r>
    </w:p>
    <w:p w14:paraId="5F2DBB7F" w14:textId="77777777" w:rsidR="00021272" w:rsidRPr="00B70C48" w:rsidRDefault="00021272" w:rsidP="00021272">
      <w:pPr>
        <w:pStyle w:val="Heading3"/>
        <w:spacing w:before="154" w:line="480" w:lineRule="auto"/>
        <w:ind w:left="0"/>
        <w:jc w:val="both"/>
        <w:rPr>
          <w:b w:val="0"/>
          <w:bCs w:val="0"/>
          <w:color w:val="000000" w:themeColor="text1"/>
          <w:spacing w:val="-7"/>
          <w:sz w:val="24"/>
          <w:szCs w:val="24"/>
        </w:rPr>
      </w:pPr>
      <w:r w:rsidRPr="00B70C48">
        <w:rPr>
          <w:color w:val="000000" w:themeColor="text1"/>
          <w:spacing w:val="-7"/>
          <w:sz w:val="24"/>
          <w:szCs w:val="24"/>
        </w:rPr>
        <w:t xml:space="preserve">Address for correspondence: </w:t>
      </w:r>
    </w:p>
    <w:p w14:paraId="787EED38" w14:textId="77777777" w:rsidR="00021272" w:rsidRPr="00B70C48" w:rsidRDefault="00021272" w:rsidP="00021272">
      <w:pPr>
        <w:pStyle w:val="Heading3"/>
        <w:spacing w:line="480" w:lineRule="auto"/>
        <w:ind w:left="0"/>
        <w:rPr>
          <w:color w:val="000000" w:themeColor="text1"/>
          <w:spacing w:val="-7"/>
          <w:sz w:val="24"/>
          <w:szCs w:val="24"/>
        </w:rPr>
      </w:pPr>
      <w:r w:rsidRPr="00B70C48">
        <w:rPr>
          <w:b w:val="0"/>
          <w:color w:val="000000" w:themeColor="text1"/>
          <w:spacing w:val="-7"/>
          <w:sz w:val="24"/>
          <w:szCs w:val="24"/>
        </w:rPr>
        <w:t>Dr G Nakafero</w:t>
      </w:r>
    </w:p>
    <w:p w14:paraId="385F87BD" w14:textId="77777777" w:rsidR="00021272" w:rsidRPr="00B70C48" w:rsidRDefault="00021272" w:rsidP="00021272">
      <w:pPr>
        <w:pStyle w:val="Heading3"/>
        <w:spacing w:line="480" w:lineRule="auto"/>
        <w:ind w:left="0"/>
        <w:rPr>
          <w:color w:val="000000" w:themeColor="text1"/>
          <w:spacing w:val="-7"/>
          <w:sz w:val="24"/>
          <w:szCs w:val="24"/>
        </w:rPr>
      </w:pPr>
      <w:r w:rsidRPr="00B70C48">
        <w:rPr>
          <w:b w:val="0"/>
          <w:color w:val="000000" w:themeColor="text1"/>
          <w:spacing w:val="-7"/>
          <w:sz w:val="24"/>
          <w:szCs w:val="24"/>
        </w:rPr>
        <w:t xml:space="preserve">A23, Academic Rheumatology, </w:t>
      </w:r>
    </w:p>
    <w:p w14:paraId="43E72405" w14:textId="77777777" w:rsidR="00021272" w:rsidRPr="00B70C48" w:rsidRDefault="00021272" w:rsidP="00021272">
      <w:pPr>
        <w:pStyle w:val="Heading3"/>
        <w:spacing w:line="480" w:lineRule="auto"/>
        <w:ind w:left="0"/>
        <w:rPr>
          <w:color w:val="000000" w:themeColor="text1"/>
          <w:spacing w:val="-7"/>
          <w:sz w:val="24"/>
          <w:szCs w:val="24"/>
        </w:rPr>
      </w:pPr>
      <w:r w:rsidRPr="00B70C48">
        <w:rPr>
          <w:b w:val="0"/>
          <w:color w:val="000000" w:themeColor="text1"/>
          <w:spacing w:val="-7"/>
          <w:sz w:val="24"/>
          <w:szCs w:val="24"/>
        </w:rPr>
        <w:t xml:space="preserve">Clinical Sciences Building, </w:t>
      </w:r>
    </w:p>
    <w:p w14:paraId="155D9CCD" w14:textId="77777777" w:rsidR="00021272" w:rsidRPr="00B70C48" w:rsidRDefault="00021272" w:rsidP="00021272">
      <w:pPr>
        <w:pStyle w:val="Heading3"/>
        <w:spacing w:line="480" w:lineRule="auto"/>
        <w:ind w:left="0"/>
        <w:rPr>
          <w:color w:val="000000" w:themeColor="text1"/>
          <w:spacing w:val="-7"/>
          <w:sz w:val="24"/>
          <w:szCs w:val="24"/>
        </w:rPr>
      </w:pPr>
      <w:r w:rsidRPr="00B70C48">
        <w:rPr>
          <w:b w:val="0"/>
          <w:color w:val="000000" w:themeColor="text1"/>
          <w:spacing w:val="-7"/>
          <w:sz w:val="24"/>
          <w:szCs w:val="24"/>
        </w:rPr>
        <w:t xml:space="preserve">School of Medicine, </w:t>
      </w:r>
    </w:p>
    <w:p w14:paraId="435514CD" w14:textId="77777777" w:rsidR="00021272" w:rsidRPr="00B70C48" w:rsidRDefault="00021272" w:rsidP="00021272">
      <w:pPr>
        <w:pStyle w:val="Heading3"/>
        <w:spacing w:line="480" w:lineRule="auto"/>
        <w:ind w:left="0"/>
        <w:rPr>
          <w:color w:val="000000" w:themeColor="text1"/>
          <w:spacing w:val="-7"/>
          <w:sz w:val="24"/>
          <w:szCs w:val="24"/>
        </w:rPr>
      </w:pPr>
      <w:r w:rsidRPr="00B70C48">
        <w:rPr>
          <w:b w:val="0"/>
          <w:color w:val="000000" w:themeColor="text1"/>
          <w:spacing w:val="-7"/>
          <w:sz w:val="24"/>
          <w:szCs w:val="24"/>
        </w:rPr>
        <w:t>The University of Nottingham, Nottingham, UK</w:t>
      </w:r>
    </w:p>
    <w:p w14:paraId="320BDC62" w14:textId="77777777" w:rsidR="00021272" w:rsidRPr="00B70C48" w:rsidRDefault="00021272" w:rsidP="00021272">
      <w:pPr>
        <w:pStyle w:val="Heading3"/>
        <w:spacing w:line="480" w:lineRule="auto"/>
        <w:ind w:left="0"/>
        <w:rPr>
          <w:sz w:val="24"/>
          <w:szCs w:val="24"/>
        </w:rPr>
      </w:pPr>
      <w:r w:rsidRPr="00B70C48">
        <w:rPr>
          <w:color w:val="000000" w:themeColor="text1"/>
          <w:spacing w:val="-7"/>
          <w:sz w:val="24"/>
          <w:szCs w:val="24"/>
        </w:rPr>
        <w:t xml:space="preserve">Email: </w:t>
      </w:r>
      <w:hyperlink r:id="rId11" w:history="1">
        <w:r w:rsidRPr="00B70C48">
          <w:rPr>
            <w:rStyle w:val="Hyperlink"/>
            <w:b w:val="0"/>
            <w:sz w:val="24"/>
            <w:szCs w:val="24"/>
          </w:rPr>
          <w:t>georgina.nakafero@nottingham.ac.uk</w:t>
        </w:r>
      </w:hyperlink>
      <w:r w:rsidRPr="00B70C48">
        <w:rPr>
          <w:sz w:val="24"/>
          <w:szCs w:val="24"/>
        </w:rPr>
        <w:t xml:space="preserve">             </w:t>
      </w:r>
      <w:r w:rsidRPr="00B70C48">
        <w:rPr>
          <w:sz w:val="24"/>
          <w:szCs w:val="24"/>
        </w:rPr>
        <w:tab/>
      </w:r>
      <w:r w:rsidRPr="00B70C48">
        <w:rPr>
          <w:sz w:val="24"/>
          <w:szCs w:val="24"/>
        </w:rPr>
        <w:tab/>
      </w:r>
      <w:r w:rsidRPr="00B70C48">
        <w:rPr>
          <w:sz w:val="24"/>
          <w:szCs w:val="24"/>
        </w:rPr>
        <w:tab/>
      </w:r>
    </w:p>
    <w:p w14:paraId="0C126243" w14:textId="77777777" w:rsidR="00021272" w:rsidRPr="00B70C48" w:rsidRDefault="00021272" w:rsidP="00021272">
      <w:pPr>
        <w:pStyle w:val="Heading3"/>
        <w:spacing w:line="480" w:lineRule="auto"/>
        <w:ind w:left="0"/>
        <w:rPr>
          <w:color w:val="000000" w:themeColor="text1"/>
          <w:spacing w:val="-7"/>
          <w:sz w:val="24"/>
          <w:szCs w:val="24"/>
        </w:rPr>
      </w:pPr>
      <w:r w:rsidRPr="00B70C48">
        <w:rPr>
          <w:color w:val="000000" w:themeColor="text1"/>
          <w:spacing w:val="-7"/>
          <w:sz w:val="24"/>
          <w:szCs w:val="24"/>
        </w:rPr>
        <w:t xml:space="preserve">Phone: </w:t>
      </w:r>
      <w:r w:rsidRPr="00B70C48">
        <w:rPr>
          <w:b w:val="0"/>
          <w:color w:val="000000" w:themeColor="text1"/>
          <w:spacing w:val="-7"/>
          <w:sz w:val="24"/>
          <w:szCs w:val="24"/>
        </w:rPr>
        <w:t>01158231655</w:t>
      </w:r>
      <w:r w:rsidRPr="00B70C48">
        <w:rPr>
          <w:color w:val="000000" w:themeColor="text1"/>
          <w:spacing w:val="-7"/>
          <w:sz w:val="24"/>
          <w:szCs w:val="24"/>
        </w:rPr>
        <w:t xml:space="preserve"> </w:t>
      </w:r>
    </w:p>
    <w:p w14:paraId="385062D5" w14:textId="77777777" w:rsidR="00021272" w:rsidRPr="00B70C48" w:rsidRDefault="00021272" w:rsidP="00021272">
      <w:pPr>
        <w:spacing w:line="480" w:lineRule="auto"/>
        <w:jc w:val="both"/>
        <w:rPr>
          <w:rFonts w:ascii="Arial" w:hAnsi="Arial" w:cs="Arial"/>
          <w:sz w:val="24"/>
          <w:szCs w:val="24"/>
        </w:rPr>
      </w:pPr>
      <w:r w:rsidRPr="00B70C48">
        <w:rPr>
          <w:rFonts w:ascii="Arial" w:hAnsi="Arial" w:cs="Arial"/>
          <w:b/>
          <w:sz w:val="24"/>
          <w:szCs w:val="24"/>
        </w:rPr>
        <w:t>ORCiD iD</w:t>
      </w:r>
      <w:r w:rsidRPr="00B70C48">
        <w:rPr>
          <w:rFonts w:ascii="Arial" w:hAnsi="Arial" w:cs="Arial"/>
          <w:sz w:val="24"/>
          <w:szCs w:val="24"/>
        </w:rPr>
        <w:t xml:space="preserve">: </w:t>
      </w:r>
      <w:hyperlink r:id="rId12" w:history="1">
        <w:r w:rsidRPr="00B70C48">
          <w:rPr>
            <w:rStyle w:val="Hyperlink"/>
            <w:rFonts w:ascii="Arial" w:hAnsi="Arial" w:cs="Arial"/>
            <w:sz w:val="24"/>
            <w:szCs w:val="24"/>
          </w:rPr>
          <w:t>https://orcid.org/0000-0002-3859-7354</w:t>
        </w:r>
      </w:hyperlink>
    </w:p>
    <w:p w14:paraId="7EEC4B95" w14:textId="6926C1CF" w:rsidR="00021272" w:rsidRPr="00B70C48" w:rsidRDefault="00021272" w:rsidP="00021272">
      <w:pPr>
        <w:pStyle w:val="Heading3"/>
        <w:spacing w:line="480" w:lineRule="auto"/>
        <w:ind w:left="0"/>
        <w:rPr>
          <w:color w:val="000000" w:themeColor="text1"/>
          <w:spacing w:val="-7"/>
          <w:sz w:val="24"/>
          <w:szCs w:val="24"/>
        </w:rPr>
      </w:pPr>
      <w:r w:rsidRPr="00B70C48">
        <w:rPr>
          <w:color w:val="000000" w:themeColor="text1"/>
          <w:spacing w:val="-7"/>
          <w:sz w:val="24"/>
          <w:szCs w:val="24"/>
        </w:rPr>
        <w:t>Full-text (word-count):</w:t>
      </w:r>
      <w:r w:rsidR="00A879C1">
        <w:rPr>
          <w:color w:val="000000" w:themeColor="text1"/>
          <w:spacing w:val="-7"/>
          <w:sz w:val="24"/>
          <w:szCs w:val="24"/>
        </w:rPr>
        <w:t xml:space="preserve"> 2</w:t>
      </w:r>
      <w:r w:rsidR="0025665E">
        <w:rPr>
          <w:color w:val="000000" w:themeColor="text1"/>
          <w:spacing w:val="-7"/>
          <w:sz w:val="24"/>
          <w:szCs w:val="24"/>
        </w:rPr>
        <w:t>750</w:t>
      </w:r>
      <w:r w:rsidRPr="00B70C48">
        <w:rPr>
          <w:color w:val="000000" w:themeColor="text1"/>
          <w:spacing w:val="-7"/>
          <w:sz w:val="24"/>
          <w:szCs w:val="24"/>
        </w:rPr>
        <w:tab/>
      </w:r>
      <w:r w:rsidRPr="00B70C48">
        <w:rPr>
          <w:color w:val="000000" w:themeColor="text1"/>
          <w:spacing w:val="-7"/>
          <w:sz w:val="24"/>
          <w:szCs w:val="24"/>
        </w:rPr>
        <w:tab/>
      </w:r>
      <w:r w:rsidRPr="00B70C48">
        <w:rPr>
          <w:color w:val="000000" w:themeColor="text1"/>
          <w:spacing w:val="-7"/>
          <w:sz w:val="24"/>
          <w:szCs w:val="24"/>
        </w:rPr>
        <w:tab/>
      </w:r>
      <w:r w:rsidRPr="00B70C48">
        <w:rPr>
          <w:color w:val="000000" w:themeColor="text1"/>
          <w:spacing w:val="-7"/>
          <w:sz w:val="24"/>
          <w:szCs w:val="24"/>
        </w:rPr>
        <w:tab/>
      </w:r>
      <w:r w:rsidRPr="00B70C48">
        <w:rPr>
          <w:color w:val="000000" w:themeColor="text1"/>
          <w:spacing w:val="-7"/>
          <w:sz w:val="24"/>
          <w:szCs w:val="24"/>
        </w:rPr>
        <w:tab/>
      </w:r>
      <w:r w:rsidRPr="00B70C48">
        <w:rPr>
          <w:color w:val="000000" w:themeColor="text1"/>
          <w:spacing w:val="-7"/>
          <w:sz w:val="24"/>
          <w:szCs w:val="24"/>
        </w:rPr>
        <w:tab/>
      </w:r>
      <w:r w:rsidRPr="00B70C48">
        <w:rPr>
          <w:color w:val="000000" w:themeColor="text1"/>
          <w:spacing w:val="-7"/>
          <w:sz w:val="24"/>
          <w:szCs w:val="24"/>
        </w:rPr>
        <w:tab/>
      </w:r>
    </w:p>
    <w:p w14:paraId="4A1C9AE6" w14:textId="535F1281" w:rsidR="00021272" w:rsidRPr="00B70C48" w:rsidRDefault="00021272" w:rsidP="00021272">
      <w:pPr>
        <w:pStyle w:val="Heading3"/>
        <w:spacing w:line="480" w:lineRule="auto"/>
        <w:ind w:left="0"/>
        <w:rPr>
          <w:b w:val="0"/>
          <w:color w:val="000000" w:themeColor="text1"/>
          <w:spacing w:val="-7"/>
          <w:sz w:val="24"/>
          <w:szCs w:val="24"/>
        </w:rPr>
      </w:pPr>
      <w:r w:rsidRPr="00B70C48">
        <w:rPr>
          <w:color w:val="000000" w:themeColor="text1"/>
          <w:spacing w:val="-7"/>
          <w:sz w:val="24"/>
          <w:szCs w:val="24"/>
        </w:rPr>
        <w:t xml:space="preserve">Abstract: </w:t>
      </w:r>
      <w:r w:rsidR="004D72E1">
        <w:rPr>
          <w:color w:val="000000" w:themeColor="text1"/>
          <w:spacing w:val="-7"/>
          <w:sz w:val="24"/>
          <w:szCs w:val="24"/>
        </w:rPr>
        <w:t xml:space="preserve"> 250</w:t>
      </w:r>
    </w:p>
    <w:p w14:paraId="466F487D" w14:textId="0EE605B5" w:rsidR="00021272" w:rsidRDefault="00021272" w:rsidP="00021272">
      <w:pPr>
        <w:pStyle w:val="Heading3"/>
        <w:spacing w:line="480" w:lineRule="auto"/>
        <w:ind w:left="0"/>
        <w:rPr>
          <w:b w:val="0"/>
          <w:color w:val="000000" w:themeColor="text1"/>
          <w:spacing w:val="-7"/>
          <w:sz w:val="24"/>
          <w:szCs w:val="24"/>
        </w:rPr>
      </w:pPr>
      <w:r w:rsidRPr="00B70C48">
        <w:rPr>
          <w:color w:val="000000" w:themeColor="text1"/>
          <w:spacing w:val="-7"/>
          <w:sz w:val="24"/>
          <w:szCs w:val="24"/>
        </w:rPr>
        <w:t>Keywords:</w:t>
      </w:r>
      <w:r w:rsidRPr="00B70C48">
        <w:rPr>
          <w:b w:val="0"/>
          <w:color w:val="000000" w:themeColor="text1"/>
          <w:spacing w:val="-7"/>
          <w:sz w:val="24"/>
          <w:szCs w:val="24"/>
        </w:rPr>
        <w:t xml:space="preserve"> </w:t>
      </w:r>
      <w:r w:rsidR="0025665E">
        <w:rPr>
          <w:b w:val="0"/>
          <w:color w:val="000000" w:themeColor="text1"/>
          <w:spacing w:val="-7"/>
          <w:sz w:val="24"/>
          <w:szCs w:val="24"/>
        </w:rPr>
        <w:t>COVID</w:t>
      </w:r>
      <w:r w:rsidRPr="00B70C48">
        <w:rPr>
          <w:b w:val="0"/>
          <w:color w:val="000000" w:themeColor="text1"/>
          <w:spacing w:val="-7"/>
          <w:sz w:val="24"/>
          <w:szCs w:val="24"/>
        </w:rPr>
        <w:t>-19, inflammatory bowel disease, vaccination, side-effect</w:t>
      </w:r>
    </w:p>
    <w:p w14:paraId="2931A96D" w14:textId="5637247D" w:rsidR="008534EA" w:rsidRDefault="008534EA" w:rsidP="00021272">
      <w:pPr>
        <w:pStyle w:val="Heading3"/>
        <w:spacing w:line="480" w:lineRule="auto"/>
        <w:ind w:left="0"/>
        <w:rPr>
          <w:b w:val="0"/>
          <w:color w:val="000000" w:themeColor="text1"/>
          <w:spacing w:val="-7"/>
          <w:sz w:val="24"/>
          <w:szCs w:val="24"/>
        </w:rPr>
      </w:pPr>
    </w:p>
    <w:p w14:paraId="072676BF" w14:textId="77777777" w:rsidR="008534EA" w:rsidRDefault="008534EA" w:rsidP="008534EA">
      <w:pPr>
        <w:spacing w:line="480" w:lineRule="auto"/>
        <w:rPr>
          <w:rFonts w:ascii="Arial" w:hAnsi="Arial" w:cs="Arial"/>
          <w:b/>
          <w:sz w:val="24"/>
          <w:szCs w:val="24"/>
        </w:rPr>
      </w:pPr>
      <w:r w:rsidRPr="00B65E90">
        <w:rPr>
          <w:rFonts w:ascii="Arial" w:hAnsi="Arial" w:cs="Arial"/>
          <w:b/>
          <w:sz w:val="24"/>
          <w:szCs w:val="24"/>
        </w:rPr>
        <w:t>Acknowledgements</w:t>
      </w:r>
    </w:p>
    <w:p w14:paraId="69A641B8" w14:textId="4D4AE4ED" w:rsidR="008534EA" w:rsidRDefault="008534EA" w:rsidP="008534EA">
      <w:pPr>
        <w:spacing w:line="480" w:lineRule="auto"/>
        <w:rPr>
          <w:rFonts w:ascii="Arial" w:hAnsi="Arial" w:cs="Arial"/>
          <w:sz w:val="24"/>
          <w:szCs w:val="24"/>
        </w:rPr>
      </w:pPr>
      <w:r w:rsidRPr="00B65E90">
        <w:rPr>
          <w:rFonts w:ascii="Arial" w:hAnsi="Arial" w:cs="Arial"/>
          <w:sz w:val="24"/>
          <w:szCs w:val="24"/>
        </w:rPr>
        <w:t>This work was funded</w:t>
      </w:r>
      <w:r>
        <w:rPr>
          <w:rFonts w:ascii="Arial" w:hAnsi="Arial" w:cs="Arial"/>
          <w:sz w:val="24"/>
          <w:szCs w:val="24"/>
        </w:rPr>
        <w:t xml:space="preserve"> by a grant from the NIHR. No funding beyond this was sought or gained for this work. All authors declare that they have no conflict of interests.</w:t>
      </w:r>
    </w:p>
    <w:p w14:paraId="00325F34" w14:textId="77777777" w:rsidR="008534EA" w:rsidRDefault="008534EA" w:rsidP="008534EA">
      <w:pPr>
        <w:spacing w:line="480" w:lineRule="auto"/>
        <w:rPr>
          <w:rFonts w:ascii="Arial" w:hAnsi="Arial" w:cs="Arial"/>
          <w:b/>
          <w:sz w:val="24"/>
          <w:szCs w:val="24"/>
        </w:rPr>
      </w:pPr>
      <w:r w:rsidRPr="00642613">
        <w:rPr>
          <w:rFonts w:ascii="Arial" w:hAnsi="Arial" w:cs="Arial"/>
          <w:b/>
          <w:sz w:val="24"/>
          <w:szCs w:val="24"/>
        </w:rPr>
        <w:t>Contributorship</w:t>
      </w:r>
      <w:r>
        <w:rPr>
          <w:rFonts w:ascii="Arial" w:hAnsi="Arial" w:cs="Arial"/>
          <w:b/>
          <w:sz w:val="24"/>
          <w:szCs w:val="24"/>
        </w:rPr>
        <w:t xml:space="preserve"> Statement</w:t>
      </w:r>
    </w:p>
    <w:p w14:paraId="4B4FDF94" w14:textId="1B6E315D" w:rsidR="008534EA" w:rsidRDefault="008534EA" w:rsidP="008534EA">
      <w:pPr>
        <w:spacing w:line="480" w:lineRule="auto"/>
        <w:rPr>
          <w:rFonts w:ascii="Arial" w:hAnsi="Arial" w:cs="Arial"/>
          <w:sz w:val="24"/>
          <w:szCs w:val="24"/>
        </w:rPr>
      </w:pPr>
      <w:r>
        <w:rPr>
          <w:rFonts w:ascii="Arial" w:hAnsi="Arial" w:cs="Arial"/>
          <w:sz w:val="24"/>
          <w:szCs w:val="24"/>
        </w:rPr>
        <w:t>The study was conceived by Prof Abhishek. All authors were involved in the design of the study. The analysis was carried out by Dr Nakafero. Drs Card and Nakafero jointly wrote the first draft. All authors edited the first and all subsequent drafts and approved the final draft for submission. Prof Abhishek is the guarantor of the article.</w:t>
      </w:r>
    </w:p>
    <w:p w14:paraId="1C7FB025" w14:textId="77777777" w:rsidR="008534EA" w:rsidRPr="00B70C48" w:rsidRDefault="008534EA" w:rsidP="00021272">
      <w:pPr>
        <w:pStyle w:val="Heading3"/>
        <w:spacing w:line="480" w:lineRule="auto"/>
        <w:ind w:left="0"/>
        <w:rPr>
          <w:b w:val="0"/>
          <w:color w:val="000000" w:themeColor="text1"/>
          <w:spacing w:val="-7"/>
          <w:sz w:val="24"/>
          <w:szCs w:val="24"/>
        </w:rPr>
      </w:pPr>
    </w:p>
    <w:p w14:paraId="36D7CB74" w14:textId="0FA4F9EF" w:rsidR="00021272" w:rsidRDefault="00021272" w:rsidP="00021272">
      <w:pPr>
        <w:pStyle w:val="Heading3"/>
        <w:spacing w:line="480" w:lineRule="auto"/>
        <w:ind w:left="0"/>
        <w:rPr>
          <w:b w:val="0"/>
          <w:color w:val="000000" w:themeColor="text1"/>
          <w:spacing w:val="-7"/>
          <w:sz w:val="24"/>
          <w:szCs w:val="24"/>
        </w:rPr>
      </w:pPr>
    </w:p>
    <w:p w14:paraId="471502AA" w14:textId="0C14207B" w:rsidR="00021272" w:rsidRDefault="00021272">
      <w:pPr>
        <w:rPr>
          <w:rFonts w:ascii="Arial" w:eastAsia="Arial" w:hAnsi="Arial" w:cs="Arial"/>
          <w:bCs/>
          <w:color w:val="000000" w:themeColor="text1"/>
          <w:spacing w:val="-7"/>
          <w:sz w:val="24"/>
          <w:szCs w:val="24"/>
          <w:lang w:val="en-US"/>
        </w:rPr>
      </w:pPr>
      <w:r>
        <w:rPr>
          <w:b/>
          <w:color w:val="000000" w:themeColor="text1"/>
          <w:spacing w:val="-7"/>
          <w:sz w:val="24"/>
          <w:szCs w:val="24"/>
        </w:rPr>
        <w:br w:type="page"/>
      </w:r>
    </w:p>
    <w:p w14:paraId="4F146B73" w14:textId="77777777" w:rsidR="00021272" w:rsidRDefault="00021272" w:rsidP="00021272">
      <w:pPr>
        <w:pStyle w:val="Heading3"/>
        <w:spacing w:line="480" w:lineRule="auto"/>
        <w:ind w:left="0"/>
        <w:jc w:val="both"/>
        <w:rPr>
          <w:b w:val="0"/>
          <w:color w:val="000000" w:themeColor="text1"/>
          <w:spacing w:val="-7"/>
          <w:sz w:val="24"/>
          <w:szCs w:val="24"/>
        </w:rPr>
      </w:pPr>
      <w:r w:rsidRPr="00271F72">
        <w:rPr>
          <w:color w:val="000000" w:themeColor="text1"/>
          <w:spacing w:val="-7"/>
        </w:rPr>
        <w:lastRenderedPageBreak/>
        <w:t>Abstract:</w:t>
      </w:r>
    </w:p>
    <w:p w14:paraId="5D6AFAC2" w14:textId="2975ACA0" w:rsidR="00021272" w:rsidRDefault="00021272" w:rsidP="00021272">
      <w:pPr>
        <w:pStyle w:val="Heading3"/>
        <w:spacing w:line="480" w:lineRule="auto"/>
        <w:ind w:left="0"/>
        <w:jc w:val="both"/>
        <w:rPr>
          <w:b w:val="0"/>
          <w:color w:val="000000" w:themeColor="text1"/>
          <w:spacing w:val="-7"/>
          <w:sz w:val="24"/>
          <w:szCs w:val="24"/>
        </w:rPr>
      </w:pPr>
      <w:r w:rsidRPr="00923D5A">
        <w:rPr>
          <w:b w:val="0"/>
          <w:bCs w:val="0"/>
          <w:color w:val="000000" w:themeColor="text1"/>
          <w:spacing w:val="-7"/>
          <w:sz w:val="24"/>
          <w:szCs w:val="24"/>
        </w:rPr>
        <w:t xml:space="preserve">Objectives: To investigate the association between vaccination against </w:t>
      </w:r>
      <w:r w:rsidR="0025665E">
        <w:rPr>
          <w:b w:val="0"/>
          <w:bCs w:val="0"/>
          <w:color w:val="000000" w:themeColor="text1"/>
          <w:spacing w:val="-7"/>
          <w:sz w:val="24"/>
          <w:szCs w:val="24"/>
        </w:rPr>
        <w:t>COVID</w:t>
      </w:r>
      <w:r w:rsidRPr="00923D5A">
        <w:rPr>
          <w:b w:val="0"/>
          <w:bCs w:val="0"/>
          <w:color w:val="000000" w:themeColor="text1"/>
          <w:spacing w:val="-7"/>
          <w:sz w:val="24"/>
          <w:szCs w:val="24"/>
        </w:rPr>
        <w:t xml:space="preserve">-19 and </w:t>
      </w:r>
      <w:r>
        <w:rPr>
          <w:b w:val="0"/>
          <w:bCs w:val="0"/>
          <w:color w:val="000000" w:themeColor="text1"/>
          <w:spacing w:val="-7"/>
          <w:sz w:val="24"/>
          <w:szCs w:val="24"/>
        </w:rPr>
        <w:t>inflammatory bowel disease</w:t>
      </w:r>
      <w:r w:rsidRPr="00923D5A">
        <w:rPr>
          <w:b w:val="0"/>
          <w:bCs w:val="0"/>
          <w:color w:val="000000" w:themeColor="text1"/>
          <w:spacing w:val="-7"/>
          <w:sz w:val="24"/>
          <w:szCs w:val="24"/>
        </w:rPr>
        <w:t xml:space="preserve"> (I</w:t>
      </w:r>
      <w:r>
        <w:rPr>
          <w:b w:val="0"/>
          <w:bCs w:val="0"/>
          <w:color w:val="000000" w:themeColor="text1"/>
          <w:spacing w:val="-7"/>
          <w:sz w:val="24"/>
          <w:szCs w:val="24"/>
        </w:rPr>
        <w:t>BD</w:t>
      </w:r>
      <w:r w:rsidRPr="00923D5A">
        <w:rPr>
          <w:b w:val="0"/>
          <w:bCs w:val="0"/>
          <w:color w:val="000000" w:themeColor="text1"/>
          <w:spacing w:val="-7"/>
          <w:sz w:val="24"/>
          <w:szCs w:val="24"/>
        </w:rPr>
        <w:t xml:space="preserve">) flare. </w:t>
      </w:r>
    </w:p>
    <w:p w14:paraId="6C22D877" w14:textId="7D7B134E" w:rsidR="00021272" w:rsidRPr="005D675A" w:rsidRDefault="00021272" w:rsidP="00021272">
      <w:pPr>
        <w:pStyle w:val="Heading3"/>
        <w:spacing w:line="480" w:lineRule="auto"/>
        <w:ind w:left="0"/>
        <w:jc w:val="both"/>
        <w:rPr>
          <w:b w:val="0"/>
          <w:color w:val="000000" w:themeColor="text1"/>
          <w:spacing w:val="-7"/>
          <w:sz w:val="24"/>
          <w:szCs w:val="24"/>
        </w:rPr>
      </w:pPr>
      <w:r w:rsidRPr="00923D5A">
        <w:rPr>
          <w:b w:val="0"/>
          <w:bCs w:val="0"/>
          <w:color w:val="000000" w:themeColor="text1"/>
          <w:spacing w:val="-7"/>
          <w:sz w:val="24"/>
          <w:szCs w:val="24"/>
        </w:rPr>
        <w:t xml:space="preserve">Methods: Patients with </w:t>
      </w:r>
      <w:r>
        <w:rPr>
          <w:b w:val="0"/>
          <w:bCs w:val="0"/>
          <w:color w:val="000000" w:themeColor="text1"/>
          <w:spacing w:val="-7"/>
          <w:sz w:val="24"/>
          <w:szCs w:val="24"/>
        </w:rPr>
        <w:t>IBD</w:t>
      </w:r>
      <w:r w:rsidRPr="00923D5A">
        <w:rPr>
          <w:b w:val="0"/>
          <w:bCs w:val="0"/>
          <w:color w:val="000000" w:themeColor="text1"/>
          <w:spacing w:val="-7"/>
          <w:sz w:val="24"/>
          <w:szCs w:val="24"/>
        </w:rPr>
        <w:t xml:space="preserve"> vaccinated against </w:t>
      </w:r>
      <w:r w:rsidR="0025665E">
        <w:rPr>
          <w:b w:val="0"/>
          <w:bCs w:val="0"/>
          <w:color w:val="000000" w:themeColor="text1"/>
          <w:spacing w:val="-7"/>
          <w:sz w:val="24"/>
          <w:szCs w:val="24"/>
        </w:rPr>
        <w:t>COVID</w:t>
      </w:r>
      <w:r w:rsidRPr="00923D5A">
        <w:rPr>
          <w:b w:val="0"/>
          <w:bCs w:val="0"/>
          <w:color w:val="000000" w:themeColor="text1"/>
          <w:spacing w:val="-7"/>
          <w:sz w:val="24"/>
          <w:szCs w:val="24"/>
        </w:rPr>
        <w:t xml:space="preserve">-19 who consulted for disease flare between 01/12/2020 and 31/12/2021 were ascertained </w:t>
      </w:r>
      <w:r w:rsidR="001876A8">
        <w:rPr>
          <w:b w:val="0"/>
          <w:bCs w:val="0"/>
          <w:color w:val="000000" w:themeColor="text1"/>
          <w:spacing w:val="-7"/>
          <w:sz w:val="24"/>
          <w:szCs w:val="24"/>
        </w:rPr>
        <w:t>from the</w:t>
      </w:r>
      <w:r w:rsidRPr="00923D5A">
        <w:rPr>
          <w:b w:val="0"/>
          <w:bCs w:val="0"/>
          <w:color w:val="000000" w:themeColor="text1"/>
          <w:spacing w:val="-7"/>
          <w:sz w:val="24"/>
          <w:szCs w:val="24"/>
        </w:rPr>
        <w:t xml:space="preserve"> Clinical Practice Research Datalink (</w:t>
      </w:r>
      <w:r w:rsidR="008534EA">
        <w:rPr>
          <w:b w:val="0"/>
          <w:bCs w:val="0"/>
          <w:color w:val="000000" w:themeColor="text1"/>
          <w:spacing w:val="-7"/>
          <w:sz w:val="24"/>
          <w:szCs w:val="24"/>
        </w:rPr>
        <w:t>CPRD</w:t>
      </w:r>
      <w:r w:rsidRPr="00923D5A">
        <w:rPr>
          <w:b w:val="0"/>
          <w:bCs w:val="0"/>
          <w:color w:val="000000" w:themeColor="text1"/>
          <w:spacing w:val="-7"/>
          <w:sz w:val="24"/>
          <w:szCs w:val="24"/>
        </w:rPr>
        <w:t xml:space="preserve">). </w:t>
      </w:r>
      <w:r>
        <w:rPr>
          <w:b w:val="0"/>
          <w:bCs w:val="0"/>
          <w:color w:val="000000" w:themeColor="text1"/>
          <w:spacing w:val="-7"/>
          <w:sz w:val="24"/>
          <w:szCs w:val="24"/>
        </w:rPr>
        <w:t>IBD</w:t>
      </w:r>
      <w:r w:rsidRPr="00923D5A">
        <w:rPr>
          <w:b w:val="0"/>
          <w:bCs w:val="0"/>
          <w:color w:val="000000" w:themeColor="text1"/>
          <w:spacing w:val="-7"/>
          <w:sz w:val="24"/>
          <w:szCs w:val="24"/>
        </w:rPr>
        <w:t xml:space="preserve"> flare</w:t>
      </w:r>
      <w:r w:rsidR="00D76FB6">
        <w:rPr>
          <w:b w:val="0"/>
          <w:bCs w:val="0"/>
          <w:color w:val="000000" w:themeColor="text1"/>
          <w:spacing w:val="-7"/>
          <w:sz w:val="24"/>
          <w:szCs w:val="24"/>
        </w:rPr>
        <w:t>s</w:t>
      </w:r>
      <w:r w:rsidRPr="00923D5A">
        <w:rPr>
          <w:b w:val="0"/>
          <w:bCs w:val="0"/>
          <w:color w:val="000000" w:themeColor="text1"/>
          <w:spacing w:val="-7"/>
          <w:sz w:val="24"/>
          <w:szCs w:val="24"/>
        </w:rPr>
        <w:t xml:space="preserve"> </w:t>
      </w:r>
      <w:r w:rsidR="00D76FB6">
        <w:rPr>
          <w:b w:val="0"/>
          <w:bCs w:val="0"/>
          <w:color w:val="000000" w:themeColor="text1"/>
          <w:spacing w:val="-7"/>
          <w:sz w:val="24"/>
          <w:szCs w:val="24"/>
        </w:rPr>
        <w:t>were</w:t>
      </w:r>
      <w:r w:rsidR="00D76FB6" w:rsidRPr="00923D5A">
        <w:rPr>
          <w:b w:val="0"/>
          <w:bCs w:val="0"/>
          <w:color w:val="000000" w:themeColor="text1"/>
          <w:spacing w:val="-7"/>
          <w:sz w:val="24"/>
          <w:szCs w:val="24"/>
        </w:rPr>
        <w:t xml:space="preserve"> </w:t>
      </w:r>
      <w:r w:rsidR="00D76FB6">
        <w:rPr>
          <w:b w:val="0"/>
          <w:bCs w:val="0"/>
          <w:color w:val="000000" w:themeColor="text1"/>
          <w:spacing w:val="-7"/>
          <w:sz w:val="24"/>
          <w:szCs w:val="24"/>
        </w:rPr>
        <w:t>identified</w:t>
      </w:r>
      <w:r w:rsidR="00D76FB6" w:rsidRPr="00923D5A">
        <w:rPr>
          <w:b w:val="0"/>
          <w:bCs w:val="0"/>
          <w:color w:val="000000" w:themeColor="text1"/>
          <w:spacing w:val="-7"/>
          <w:sz w:val="24"/>
          <w:szCs w:val="24"/>
        </w:rPr>
        <w:t xml:space="preserve"> </w:t>
      </w:r>
      <w:r w:rsidRPr="00923D5A">
        <w:rPr>
          <w:b w:val="0"/>
          <w:bCs w:val="0"/>
          <w:color w:val="000000" w:themeColor="text1"/>
          <w:spacing w:val="-7"/>
          <w:sz w:val="24"/>
          <w:szCs w:val="24"/>
        </w:rPr>
        <w:t>using</w:t>
      </w:r>
      <w:r w:rsidR="00A10057">
        <w:rPr>
          <w:b w:val="0"/>
          <w:bCs w:val="0"/>
          <w:color w:val="000000" w:themeColor="text1"/>
          <w:spacing w:val="-7"/>
          <w:sz w:val="24"/>
          <w:szCs w:val="24"/>
        </w:rPr>
        <w:t xml:space="preserve"> </w:t>
      </w:r>
      <w:r w:rsidRPr="00923D5A">
        <w:rPr>
          <w:b w:val="0"/>
          <w:bCs w:val="0"/>
          <w:color w:val="000000" w:themeColor="text1"/>
          <w:spacing w:val="-7"/>
          <w:sz w:val="24"/>
          <w:szCs w:val="24"/>
        </w:rPr>
        <w:t>consultation and corticosteroid prescription</w:t>
      </w:r>
      <w:r w:rsidR="00D76FB6">
        <w:rPr>
          <w:b w:val="0"/>
          <w:bCs w:val="0"/>
          <w:color w:val="000000" w:themeColor="text1"/>
          <w:spacing w:val="-7"/>
          <w:sz w:val="24"/>
          <w:szCs w:val="24"/>
        </w:rPr>
        <w:t xml:space="preserve"> records.</w:t>
      </w:r>
      <w:r w:rsidRPr="00923D5A">
        <w:rPr>
          <w:b w:val="0"/>
          <w:bCs w:val="0"/>
          <w:color w:val="000000" w:themeColor="text1"/>
          <w:spacing w:val="-7"/>
          <w:sz w:val="24"/>
          <w:szCs w:val="24"/>
        </w:rPr>
        <w:t xml:space="preserve"> Vaccination</w:t>
      </w:r>
      <w:r w:rsidR="00D76FB6">
        <w:rPr>
          <w:b w:val="0"/>
          <w:bCs w:val="0"/>
          <w:color w:val="000000" w:themeColor="text1"/>
          <w:spacing w:val="-7"/>
          <w:sz w:val="24"/>
          <w:szCs w:val="24"/>
        </w:rPr>
        <w:t>s</w:t>
      </w:r>
      <w:r w:rsidRPr="00923D5A">
        <w:rPr>
          <w:b w:val="0"/>
          <w:bCs w:val="0"/>
          <w:color w:val="000000" w:themeColor="text1"/>
          <w:spacing w:val="-7"/>
          <w:sz w:val="24"/>
          <w:szCs w:val="24"/>
        </w:rPr>
        <w:t xml:space="preserve"> </w:t>
      </w:r>
      <w:r w:rsidR="00D76FB6">
        <w:rPr>
          <w:b w:val="0"/>
          <w:bCs w:val="0"/>
          <w:color w:val="000000" w:themeColor="text1"/>
          <w:spacing w:val="-7"/>
          <w:sz w:val="24"/>
          <w:szCs w:val="24"/>
        </w:rPr>
        <w:t>were</w:t>
      </w:r>
      <w:r w:rsidR="00D76FB6" w:rsidRPr="00923D5A">
        <w:rPr>
          <w:b w:val="0"/>
          <w:bCs w:val="0"/>
          <w:color w:val="000000" w:themeColor="text1"/>
          <w:spacing w:val="-7"/>
          <w:sz w:val="24"/>
          <w:szCs w:val="24"/>
        </w:rPr>
        <w:t xml:space="preserve"> </w:t>
      </w:r>
      <w:r w:rsidR="00D76FB6">
        <w:rPr>
          <w:b w:val="0"/>
          <w:bCs w:val="0"/>
          <w:color w:val="000000" w:themeColor="text1"/>
          <w:spacing w:val="-7"/>
          <w:sz w:val="24"/>
          <w:szCs w:val="24"/>
        </w:rPr>
        <w:t>identified</w:t>
      </w:r>
      <w:r w:rsidR="00D76FB6" w:rsidRPr="00923D5A">
        <w:rPr>
          <w:b w:val="0"/>
          <w:bCs w:val="0"/>
          <w:color w:val="000000" w:themeColor="text1"/>
          <w:spacing w:val="-7"/>
          <w:sz w:val="24"/>
          <w:szCs w:val="24"/>
        </w:rPr>
        <w:t xml:space="preserve"> </w:t>
      </w:r>
      <w:r w:rsidRPr="00923D5A">
        <w:rPr>
          <w:b w:val="0"/>
          <w:bCs w:val="0"/>
          <w:color w:val="000000" w:themeColor="text1"/>
          <w:spacing w:val="-7"/>
          <w:sz w:val="24"/>
          <w:szCs w:val="24"/>
        </w:rPr>
        <w:t>using product codes and vaccination</w:t>
      </w:r>
      <w:r w:rsidR="0025665E">
        <w:rPr>
          <w:b w:val="0"/>
          <w:bCs w:val="0"/>
          <w:color w:val="000000" w:themeColor="text1"/>
          <w:spacing w:val="-7"/>
          <w:sz w:val="24"/>
          <w:szCs w:val="24"/>
        </w:rPr>
        <w:t xml:space="preserve"> dates</w:t>
      </w:r>
      <w:r w:rsidRPr="00923D5A">
        <w:rPr>
          <w:b w:val="0"/>
          <w:bCs w:val="0"/>
          <w:color w:val="000000" w:themeColor="text1"/>
          <w:spacing w:val="-7"/>
          <w:sz w:val="24"/>
          <w:szCs w:val="24"/>
        </w:rPr>
        <w:t xml:space="preserve">. The </w:t>
      </w:r>
      <w:r w:rsidR="0025665E">
        <w:rPr>
          <w:b w:val="0"/>
          <w:bCs w:val="0"/>
          <w:color w:val="000000" w:themeColor="text1"/>
          <w:spacing w:val="-7"/>
          <w:sz w:val="24"/>
          <w:szCs w:val="24"/>
        </w:rPr>
        <w:t>study</w:t>
      </w:r>
      <w:r w:rsidRPr="00923D5A">
        <w:rPr>
          <w:b w:val="0"/>
          <w:bCs w:val="0"/>
          <w:color w:val="000000" w:themeColor="text1"/>
          <w:spacing w:val="-7"/>
          <w:sz w:val="24"/>
          <w:szCs w:val="24"/>
        </w:rPr>
        <w:t xml:space="preserve"> period was partitioned into vaccine-exposed (</w:t>
      </w:r>
      <w:r w:rsidR="0025665E">
        <w:rPr>
          <w:b w:val="0"/>
          <w:bCs w:val="0"/>
          <w:color w:val="000000" w:themeColor="text1"/>
          <w:spacing w:val="-7"/>
          <w:sz w:val="24"/>
          <w:szCs w:val="24"/>
        </w:rPr>
        <w:t xml:space="preserve">vaccination date and </w:t>
      </w:r>
      <w:r w:rsidRPr="00923D5A">
        <w:rPr>
          <w:b w:val="0"/>
          <w:bCs w:val="0"/>
          <w:color w:val="000000" w:themeColor="text1"/>
          <w:spacing w:val="-7"/>
          <w:sz w:val="24"/>
          <w:szCs w:val="24"/>
        </w:rPr>
        <w:t>21-days</w:t>
      </w:r>
      <w:r w:rsidR="00D76FB6">
        <w:rPr>
          <w:b w:val="0"/>
          <w:bCs w:val="0"/>
          <w:color w:val="000000" w:themeColor="text1"/>
          <w:spacing w:val="-7"/>
          <w:sz w:val="24"/>
          <w:szCs w:val="24"/>
        </w:rPr>
        <w:t xml:space="preserve"> </w:t>
      </w:r>
      <w:r w:rsidR="0025665E">
        <w:rPr>
          <w:b w:val="0"/>
          <w:bCs w:val="0"/>
          <w:color w:val="000000" w:themeColor="text1"/>
          <w:spacing w:val="-7"/>
          <w:sz w:val="24"/>
          <w:szCs w:val="24"/>
        </w:rPr>
        <w:t xml:space="preserve">immediately </w:t>
      </w:r>
      <w:r w:rsidR="00D76FB6">
        <w:rPr>
          <w:b w:val="0"/>
          <w:bCs w:val="0"/>
          <w:color w:val="000000" w:themeColor="text1"/>
          <w:spacing w:val="-7"/>
          <w:sz w:val="24"/>
          <w:szCs w:val="24"/>
        </w:rPr>
        <w:t>after</w:t>
      </w:r>
      <w:r w:rsidRPr="00923D5A">
        <w:rPr>
          <w:b w:val="0"/>
          <w:bCs w:val="0"/>
          <w:color w:val="000000" w:themeColor="text1"/>
          <w:spacing w:val="-7"/>
          <w:sz w:val="24"/>
          <w:szCs w:val="24"/>
        </w:rPr>
        <w:t>), pre-vaccination (7-days</w:t>
      </w:r>
      <w:r w:rsidR="0025665E">
        <w:rPr>
          <w:b w:val="0"/>
          <w:bCs w:val="0"/>
          <w:color w:val="000000" w:themeColor="text1"/>
          <w:spacing w:val="-7"/>
          <w:sz w:val="24"/>
          <w:szCs w:val="24"/>
        </w:rPr>
        <w:t xml:space="preserve"> immediately before vaccination</w:t>
      </w:r>
      <w:r w:rsidRPr="00923D5A">
        <w:rPr>
          <w:b w:val="0"/>
          <w:bCs w:val="0"/>
          <w:color w:val="000000" w:themeColor="text1"/>
          <w:spacing w:val="-7"/>
          <w:sz w:val="24"/>
          <w:szCs w:val="24"/>
        </w:rPr>
        <w:t xml:space="preserve">), and </w:t>
      </w:r>
      <w:r>
        <w:rPr>
          <w:b w:val="0"/>
          <w:bCs w:val="0"/>
          <w:color w:val="000000" w:themeColor="text1"/>
          <w:spacing w:val="-7"/>
          <w:sz w:val="24"/>
          <w:szCs w:val="24"/>
        </w:rPr>
        <w:t xml:space="preserve">the </w:t>
      </w:r>
      <w:r w:rsidRPr="00923D5A">
        <w:rPr>
          <w:b w:val="0"/>
          <w:bCs w:val="0"/>
          <w:color w:val="000000" w:themeColor="text1"/>
          <w:spacing w:val="-7"/>
          <w:sz w:val="24"/>
          <w:szCs w:val="24"/>
        </w:rPr>
        <w:t>remaining vaccine-unexposed periods. Participants contributed dat</w:t>
      </w:r>
      <w:r>
        <w:rPr>
          <w:b w:val="0"/>
          <w:bCs w:val="0"/>
          <w:color w:val="000000" w:themeColor="text1"/>
          <w:spacing w:val="-7"/>
          <w:sz w:val="24"/>
          <w:szCs w:val="24"/>
        </w:rPr>
        <w:t>a</w:t>
      </w:r>
      <w:r w:rsidRPr="00923D5A">
        <w:rPr>
          <w:b w:val="0"/>
          <w:bCs w:val="0"/>
          <w:color w:val="000000" w:themeColor="text1"/>
          <w:spacing w:val="-7"/>
          <w:sz w:val="24"/>
          <w:szCs w:val="24"/>
        </w:rPr>
        <w:t xml:space="preserve"> with multiple vaccination</w:t>
      </w:r>
      <w:r>
        <w:rPr>
          <w:b w:val="0"/>
          <w:bCs w:val="0"/>
          <w:color w:val="000000" w:themeColor="text1"/>
          <w:spacing w:val="-7"/>
          <w:sz w:val="24"/>
          <w:szCs w:val="24"/>
        </w:rPr>
        <w:t>s</w:t>
      </w:r>
      <w:r w:rsidRPr="00923D5A">
        <w:rPr>
          <w:b w:val="0"/>
          <w:bCs w:val="0"/>
          <w:color w:val="000000" w:themeColor="text1"/>
          <w:spacing w:val="-7"/>
          <w:sz w:val="24"/>
          <w:szCs w:val="24"/>
        </w:rPr>
        <w:t xml:space="preserve"> and </w:t>
      </w:r>
      <w:r>
        <w:rPr>
          <w:b w:val="0"/>
          <w:bCs w:val="0"/>
          <w:color w:val="000000" w:themeColor="text1"/>
          <w:spacing w:val="-7"/>
          <w:sz w:val="24"/>
          <w:szCs w:val="24"/>
        </w:rPr>
        <w:t>IBD</w:t>
      </w:r>
      <w:r w:rsidRPr="00923D5A">
        <w:rPr>
          <w:b w:val="0"/>
          <w:bCs w:val="0"/>
          <w:color w:val="000000" w:themeColor="text1"/>
          <w:spacing w:val="-7"/>
          <w:sz w:val="24"/>
          <w:szCs w:val="24"/>
        </w:rPr>
        <w:t xml:space="preserve"> flares. Season adjusted incidence rate ratios (aIRR) and 95% confidence intervals (CI) were calculated using self-controlled case-series analysis.</w:t>
      </w:r>
    </w:p>
    <w:p w14:paraId="0FD72DF7" w14:textId="4EACC99D" w:rsidR="00021272" w:rsidRPr="00923D5A" w:rsidRDefault="00021272" w:rsidP="00021272">
      <w:pPr>
        <w:pStyle w:val="Heading3"/>
        <w:spacing w:line="480" w:lineRule="auto"/>
        <w:ind w:left="0"/>
        <w:jc w:val="both"/>
        <w:rPr>
          <w:b w:val="0"/>
          <w:bCs w:val="0"/>
          <w:color w:val="000000" w:themeColor="text1"/>
          <w:spacing w:val="-7"/>
          <w:sz w:val="24"/>
          <w:szCs w:val="24"/>
        </w:rPr>
      </w:pPr>
      <w:r w:rsidRPr="00923D5A">
        <w:rPr>
          <w:b w:val="0"/>
          <w:bCs w:val="0"/>
          <w:color w:val="000000" w:themeColor="text1"/>
          <w:spacing w:val="-7"/>
          <w:sz w:val="24"/>
          <w:szCs w:val="24"/>
        </w:rPr>
        <w:t xml:space="preserve">Results: Data for </w:t>
      </w:r>
      <w:r>
        <w:rPr>
          <w:b w:val="0"/>
          <w:bCs w:val="0"/>
          <w:color w:val="000000" w:themeColor="text1"/>
          <w:spacing w:val="-7"/>
          <w:sz w:val="24"/>
          <w:szCs w:val="24"/>
        </w:rPr>
        <w:t>1911</w:t>
      </w:r>
      <w:r w:rsidRPr="00923D5A">
        <w:rPr>
          <w:b w:val="0"/>
          <w:bCs w:val="0"/>
          <w:color w:val="000000" w:themeColor="text1"/>
          <w:spacing w:val="-7"/>
          <w:sz w:val="24"/>
          <w:szCs w:val="24"/>
        </w:rPr>
        <w:t xml:space="preserve"> </w:t>
      </w:r>
      <w:r>
        <w:rPr>
          <w:b w:val="0"/>
          <w:bCs w:val="0"/>
          <w:color w:val="000000" w:themeColor="text1"/>
          <w:spacing w:val="-7"/>
          <w:sz w:val="24"/>
          <w:szCs w:val="24"/>
        </w:rPr>
        <w:t>IBD</w:t>
      </w:r>
      <w:r w:rsidRPr="00923D5A">
        <w:rPr>
          <w:b w:val="0"/>
          <w:bCs w:val="0"/>
          <w:color w:val="000000" w:themeColor="text1"/>
          <w:spacing w:val="-7"/>
          <w:sz w:val="24"/>
          <w:szCs w:val="24"/>
        </w:rPr>
        <w:t xml:space="preserve"> cases, </w:t>
      </w:r>
      <w:r>
        <w:rPr>
          <w:b w:val="0"/>
          <w:bCs w:val="0"/>
          <w:color w:val="000000" w:themeColor="text1"/>
          <w:spacing w:val="-7"/>
          <w:sz w:val="24"/>
          <w:szCs w:val="24"/>
        </w:rPr>
        <w:t>5</w:t>
      </w:r>
      <w:r w:rsidRPr="00923D5A">
        <w:rPr>
          <w:b w:val="0"/>
          <w:bCs w:val="0"/>
          <w:color w:val="000000" w:themeColor="text1"/>
          <w:spacing w:val="-7"/>
          <w:sz w:val="24"/>
          <w:szCs w:val="24"/>
        </w:rPr>
        <w:t xml:space="preserve">2% female, mean age </w:t>
      </w:r>
      <w:r>
        <w:rPr>
          <w:b w:val="0"/>
          <w:bCs w:val="0"/>
          <w:color w:val="000000" w:themeColor="text1"/>
          <w:spacing w:val="-7"/>
          <w:sz w:val="24"/>
          <w:szCs w:val="24"/>
        </w:rPr>
        <w:t>49</w:t>
      </w:r>
      <w:r w:rsidRPr="00923D5A">
        <w:rPr>
          <w:b w:val="0"/>
          <w:bCs w:val="0"/>
          <w:color w:val="000000" w:themeColor="text1"/>
          <w:spacing w:val="-7"/>
          <w:sz w:val="24"/>
          <w:szCs w:val="24"/>
        </w:rPr>
        <w:t xml:space="preserve"> years, and 6</w:t>
      </w:r>
      <w:r>
        <w:rPr>
          <w:b w:val="0"/>
          <w:bCs w:val="0"/>
          <w:color w:val="000000" w:themeColor="text1"/>
          <w:spacing w:val="-7"/>
          <w:sz w:val="24"/>
          <w:szCs w:val="24"/>
        </w:rPr>
        <w:t>3</w:t>
      </w:r>
      <w:r w:rsidRPr="00923D5A">
        <w:rPr>
          <w:b w:val="0"/>
          <w:bCs w:val="0"/>
          <w:color w:val="000000" w:themeColor="text1"/>
          <w:spacing w:val="-7"/>
          <w:sz w:val="24"/>
          <w:szCs w:val="24"/>
        </w:rPr>
        <w:t xml:space="preserve">% with </w:t>
      </w:r>
      <w:r>
        <w:rPr>
          <w:b w:val="0"/>
          <w:bCs w:val="0"/>
          <w:color w:val="000000" w:themeColor="text1"/>
          <w:spacing w:val="-7"/>
          <w:sz w:val="24"/>
          <w:szCs w:val="24"/>
        </w:rPr>
        <w:t xml:space="preserve">ulcerative colitis </w:t>
      </w:r>
      <w:r w:rsidR="0025665E">
        <w:rPr>
          <w:b w:val="0"/>
          <w:bCs w:val="0"/>
          <w:color w:val="000000" w:themeColor="text1"/>
          <w:spacing w:val="-7"/>
          <w:sz w:val="24"/>
          <w:szCs w:val="24"/>
        </w:rPr>
        <w:t xml:space="preserve">(UC) </w:t>
      </w:r>
      <w:r w:rsidRPr="00923D5A">
        <w:rPr>
          <w:b w:val="0"/>
          <w:bCs w:val="0"/>
          <w:color w:val="000000" w:themeColor="text1"/>
          <w:spacing w:val="-7"/>
          <w:sz w:val="24"/>
          <w:szCs w:val="24"/>
        </w:rPr>
        <w:t>were in</w:t>
      </w:r>
      <w:r>
        <w:rPr>
          <w:b w:val="0"/>
          <w:bCs w:val="0"/>
          <w:color w:val="000000" w:themeColor="text1"/>
          <w:spacing w:val="-7"/>
          <w:sz w:val="24"/>
          <w:szCs w:val="24"/>
        </w:rPr>
        <w:t>cluded</w:t>
      </w:r>
      <w:r w:rsidRPr="00923D5A">
        <w:rPr>
          <w:b w:val="0"/>
          <w:bCs w:val="0"/>
          <w:color w:val="000000" w:themeColor="text1"/>
          <w:spacing w:val="-7"/>
          <w:sz w:val="24"/>
          <w:szCs w:val="24"/>
        </w:rPr>
        <w:t xml:space="preserve">. </w:t>
      </w:r>
      <w:r w:rsidR="0025665E">
        <w:rPr>
          <w:b w:val="0"/>
          <w:bCs w:val="0"/>
          <w:color w:val="000000" w:themeColor="text1"/>
          <w:spacing w:val="-7"/>
          <w:sz w:val="24"/>
          <w:szCs w:val="24"/>
        </w:rPr>
        <w:t>COVID</w:t>
      </w:r>
      <w:r w:rsidRPr="00923D5A">
        <w:rPr>
          <w:b w:val="0"/>
          <w:bCs w:val="0"/>
          <w:color w:val="000000" w:themeColor="text1"/>
          <w:spacing w:val="-7"/>
          <w:sz w:val="24"/>
          <w:szCs w:val="24"/>
        </w:rPr>
        <w:t xml:space="preserve">-19 vaccination was </w:t>
      </w:r>
      <w:r>
        <w:rPr>
          <w:b w:val="0"/>
          <w:bCs w:val="0"/>
          <w:color w:val="000000" w:themeColor="text1"/>
          <w:spacing w:val="-7"/>
          <w:sz w:val="24"/>
          <w:szCs w:val="24"/>
        </w:rPr>
        <w:t xml:space="preserve">not </w:t>
      </w:r>
      <w:r w:rsidRPr="00923D5A">
        <w:rPr>
          <w:b w:val="0"/>
          <w:bCs w:val="0"/>
          <w:color w:val="000000" w:themeColor="text1"/>
          <w:spacing w:val="-7"/>
          <w:sz w:val="24"/>
          <w:szCs w:val="24"/>
        </w:rPr>
        <w:t xml:space="preserve">associated with </w:t>
      </w:r>
      <w:r>
        <w:rPr>
          <w:b w:val="0"/>
          <w:bCs w:val="0"/>
          <w:color w:val="000000" w:themeColor="text1"/>
          <w:spacing w:val="-7"/>
          <w:sz w:val="24"/>
          <w:szCs w:val="24"/>
        </w:rPr>
        <w:t>increased IBD</w:t>
      </w:r>
      <w:r w:rsidRPr="00923D5A">
        <w:rPr>
          <w:b w:val="0"/>
          <w:bCs w:val="0"/>
          <w:color w:val="000000" w:themeColor="text1"/>
          <w:spacing w:val="-7"/>
          <w:sz w:val="24"/>
          <w:szCs w:val="24"/>
        </w:rPr>
        <w:t xml:space="preserve"> flares in the vaccin</w:t>
      </w:r>
      <w:r>
        <w:rPr>
          <w:b w:val="0"/>
          <w:bCs w:val="0"/>
          <w:color w:val="000000" w:themeColor="text1"/>
          <w:spacing w:val="-7"/>
          <w:sz w:val="24"/>
          <w:szCs w:val="24"/>
        </w:rPr>
        <w:t>e</w:t>
      </w:r>
      <w:r w:rsidRPr="00923D5A">
        <w:rPr>
          <w:b w:val="0"/>
          <w:bCs w:val="0"/>
          <w:color w:val="000000" w:themeColor="text1"/>
          <w:spacing w:val="-7"/>
          <w:sz w:val="24"/>
          <w:szCs w:val="24"/>
        </w:rPr>
        <w:t xml:space="preserve">-exposed period when all vaccinations were considered (aIRR (95%CI) </w:t>
      </w:r>
      <w:r w:rsidRPr="00923D5A">
        <w:rPr>
          <w:b w:val="0"/>
          <w:bCs w:val="0"/>
          <w:sz w:val="24"/>
          <w:szCs w:val="24"/>
        </w:rPr>
        <w:t>0.89 (0.</w:t>
      </w:r>
      <w:r>
        <w:rPr>
          <w:b w:val="0"/>
          <w:bCs w:val="0"/>
          <w:sz w:val="24"/>
          <w:szCs w:val="24"/>
        </w:rPr>
        <w:t>77</w:t>
      </w:r>
      <w:r w:rsidRPr="00923D5A">
        <w:rPr>
          <w:b w:val="0"/>
          <w:bCs w:val="0"/>
          <w:sz w:val="24"/>
          <w:szCs w:val="24"/>
        </w:rPr>
        <w:t>-</w:t>
      </w:r>
      <w:r>
        <w:rPr>
          <w:b w:val="0"/>
          <w:bCs w:val="0"/>
          <w:sz w:val="24"/>
          <w:szCs w:val="24"/>
        </w:rPr>
        <w:t>1</w:t>
      </w:r>
      <w:r w:rsidRPr="00923D5A">
        <w:rPr>
          <w:b w:val="0"/>
          <w:bCs w:val="0"/>
          <w:sz w:val="24"/>
          <w:szCs w:val="24"/>
        </w:rPr>
        <w:t>.</w:t>
      </w:r>
      <w:r>
        <w:rPr>
          <w:b w:val="0"/>
          <w:bCs w:val="0"/>
          <w:sz w:val="24"/>
          <w:szCs w:val="24"/>
        </w:rPr>
        <w:t>02</w:t>
      </w:r>
      <w:r w:rsidRPr="00923D5A">
        <w:rPr>
          <w:b w:val="0"/>
          <w:bCs w:val="0"/>
          <w:sz w:val="24"/>
          <w:szCs w:val="24"/>
        </w:rPr>
        <w:t>)</w:t>
      </w:r>
      <w:r>
        <w:rPr>
          <w:b w:val="0"/>
          <w:bCs w:val="0"/>
          <w:sz w:val="24"/>
          <w:szCs w:val="24"/>
        </w:rPr>
        <w:t>, 0.79 (0.66-0.95</w:t>
      </w:r>
      <w:r w:rsidRPr="00923D5A">
        <w:rPr>
          <w:b w:val="0"/>
          <w:bCs w:val="0"/>
          <w:color w:val="000000" w:themeColor="text1"/>
          <w:spacing w:val="-7"/>
          <w:sz w:val="24"/>
          <w:szCs w:val="24"/>
        </w:rPr>
        <w:t>)</w:t>
      </w:r>
      <w:r>
        <w:rPr>
          <w:b w:val="0"/>
          <w:bCs w:val="0"/>
          <w:color w:val="000000" w:themeColor="text1"/>
          <w:spacing w:val="-7"/>
          <w:sz w:val="24"/>
          <w:szCs w:val="24"/>
        </w:rPr>
        <w:t>, and 1.00 (0.79–1.27) in IBD</w:t>
      </w:r>
      <w:r w:rsidR="00C74F2F">
        <w:rPr>
          <w:b w:val="0"/>
          <w:bCs w:val="0"/>
          <w:color w:val="000000" w:themeColor="text1"/>
          <w:spacing w:val="-7"/>
          <w:sz w:val="24"/>
          <w:szCs w:val="24"/>
        </w:rPr>
        <w:t xml:space="preserve"> overall</w:t>
      </w:r>
      <w:r>
        <w:rPr>
          <w:b w:val="0"/>
          <w:bCs w:val="0"/>
          <w:color w:val="000000" w:themeColor="text1"/>
          <w:spacing w:val="-7"/>
          <w:sz w:val="24"/>
          <w:szCs w:val="24"/>
        </w:rPr>
        <w:t xml:space="preserve">, </w:t>
      </w:r>
      <w:r w:rsidR="0025665E">
        <w:rPr>
          <w:b w:val="0"/>
          <w:bCs w:val="0"/>
          <w:color w:val="000000" w:themeColor="text1"/>
          <w:spacing w:val="-7"/>
          <w:sz w:val="24"/>
          <w:szCs w:val="24"/>
        </w:rPr>
        <w:t>UC</w:t>
      </w:r>
      <w:r>
        <w:rPr>
          <w:b w:val="0"/>
          <w:bCs w:val="0"/>
          <w:color w:val="000000" w:themeColor="text1"/>
          <w:spacing w:val="-7"/>
          <w:sz w:val="24"/>
          <w:szCs w:val="24"/>
        </w:rPr>
        <w:t>, and Crohn’s disease respectively)</w:t>
      </w:r>
      <w:r w:rsidRPr="00923D5A">
        <w:rPr>
          <w:b w:val="0"/>
          <w:bCs w:val="0"/>
          <w:color w:val="000000" w:themeColor="text1"/>
          <w:spacing w:val="-7"/>
          <w:sz w:val="24"/>
          <w:szCs w:val="24"/>
        </w:rPr>
        <w:t xml:space="preserve">. </w:t>
      </w:r>
      <w:r w:rsidR="006227A7">
        <w:rPr>
          <w:b w:val="0"/>
          <w:bCs w:val="0"/>
          <w:color w:val="000000" w:themeColor="text1"/>
          <w:spacing w:val="-7"/>
          <w:sz w:val="24"/>
          <w:szCs w:val="24"/>
        </w:rPr>
        <w:t xml:space="preserve">Analyses stratified to include only </w:t>
      </w:r>
      <w:r w:rsidR="006227A7" w:rsidRPr="00923D5A">
        <w:rPr>
          <w:b w:val="0"/>
          <w:bCs w:val="0"/>
          <w:sz w:val="24"/>
          <w:szCs w:val="24"/>
        </w:rPr>
        <w:t>first</w:t>
      </w:r>
      <w:r w:rsidR="006227A7">
        <w:rPr>
          <w:b w:val="0"/>
          <w:bCs w:val="0"/>
          <w:sz w:val="24"/>
          <w:szCs w:val="24"/>
        </w:rPr>
        <w:t xml:space="preserve">, </w:t>
      </w:r>
      <w:r w:rsidR="006227A7" w:rsidRPr="00923D5A">
        <w:rPr>
          <w:b w:val="0"/>
          <w:bCs w:val="0"/>
          <w:sz w:val="24"/>
          <w:szCs w:val="24"/>
        </w:rPr>
        <w:t xml:space="preserve">second or third </w:t>
      </w:r>
      <w:r w:rsidR="0025665E">
        <w:rPr>
          <w:b w:val="0"/>
          <w:bCs w:val="0"/>
          <w:sz w:val="24"/>
          <w:szCs w:val="24"/>
        </w:rPr>
        <w:t>COVID</w:t>
      </w:r>
      <w:r w:rsidR="006227A7" w:rsidRPr="00923D5A">
        <w:rPr>
          <w:b w:val="0"/>
          <w:bCs w:val="0"/>
          <w:sz w:val="24"/>
          <w:szCs w:val="24"/>
        </w:rPr>
        <w:t xml:space="preserve">-19 vaccinations </w:t>
      </w:r>
      <w:r w:rsidR="006227A7">
        <w:rPr>
          <w:b w:val="0"/>
          <w:bCs w:val="0"/>
          <w:color w:val="000000" w:themeColor="text1"/>
          <w:spacing w:val="-7"/>
          <w:sz w:val="24"/>
          <w:szCs w:val="24"/>
        </w:rPr>
        <w:t>found</w:t>
      </w:r>
      <w:r w:rsidRPr="00923D5A">
        <w:rPr>
          <w:b w:val="0"/>
          <w:bCs w:val="0"/>
          <w:sz w:val="24"/>
          <w:szCs w:val="24"/>
        </w:rPr>
        <w:t xml:space="preserve"> </w:t>
      </w:r>
      <w:r>
        <w:rPr>
          <w:b w:val="0"/>
          <w:bCs w:val="0"/>
          <w:sz w:val="24"/>
          <w:szCs w:val="24"/>
        </w:rPr>
        <w:t xml:space="preserve">no </w:t>
      </w:r>
      <w:r w:rsidR="006227A7">
        <w:rPr>
          <w:b w:val="0"/>
          <w:bCs w:val="0"/>
          <w:sz w:val="24"/>
          <w:szCs w:val="24"/>
        </w:rPr>
        <w:t xml:space="preserve">significant </w:t>
      </w:r>
      <w:r>
        <w:rPr>
          <w:b w:val="0"/>
          <w:bCs w:val="0"/>
          <w:sz w:val="24"/>
          <w:szCs w:val="24"/>
        </w:rPr>
        <w:t xml:space="preserve">association between vaccination and IBD flares </w:t>
      </w:r>
      <w:r w:rsidRPr="00923D5A">
        <w:rPr>
          <w:b w:val="0"/>
          <w:bCs w:val="0"/>
          <w:sz w:val="24"/>
          <w:szCs w:val="24"/>
        </w:rPr>
        <w:t xml:space="preserve">in the </w:t>
      </w:r>
      <w:r w:rsidR="0025665E">
        <w:rPr>
          <w:b w:val="0"/>
          <w:bCs w:val="0"/>
          <w:sz w:val="24"/>
          <w:szCs w:val="24"/>
        </w:rPr>
        <w:t>vaccine exposed period</w:t>
      </w:r>
      <w:r w:rsidRPr="00923D5A">
        <w:rPr>
          <w:b w:val="0"/>
          <w:bCs w:val="0"/>
          <w:sz w:val="24"/>
          <w:szCs w:val="24"/>
        </w:rPr>
        <w:t xml:space="preserve"> (</w:t>
      </w:r>
      <w:r w:rsidRPr="00923D5A">
        <w:rPr>
          <w:b w:val="0"/>
          <w:bCs w:val="0"/>
          <w:color w:val="000000" w:themeColor="text1"/>
          <w:spacing w:val="-7"/>
          <w:sz w:val="24"/>
          <w:szCs w:val="24"/>
        </w:rPr>
        <w:t xml:space="preserve">aIRR (95%CI) </w:t>
      </w:r>
      <w:r w:rsidRPr="00923D5A">
        <w:rPr>
          <w:b w:val="0"/>
          <w:bCs w:val="0"/>
          <w:sz w:val="24"/>
          <w:szCs w:val="24"/>
        </w:rPr>
        <w:t>0.</w:t>
      </w:r>
      <w:r>
        <w:rPr>
          <w:b w:val="0"/>
          <w:bCs w:val="0"/>
          <w:sz w:val="24"/>
          <w:szCs w:val="24"/>
        </w:rPr>
        <w:t xml:space="preserve">87 </w:t>
      </w:r>
      <w:r w:rsidRPr="00923D5A">
        <w:rPr>
          <w:b w:val="0"/>
          <w:bCs w:val="0"/>
          <w:sz w:val="24"/>
          <w:szCs w:val="24"/>
        </w:rPr>
        <w:t>(0.</w:t>
      </w:r>
      <w:r>
        <w:rPr>
          <w:b w:val="0"/>
          <w:bCs w:val="0"/>
          <w:sz w:val="24"/>
          <w:szCs w:val="24"/>
        </w:rPr>
        <w:t>71</w:t>
      </w:r>
      <w:r w:rsidRPr="00923D5A">
        <w:rPr>
          <w:b w:val="0"/>
          <w:bCs w:val="0"/>
          <w:sz w:val="24"/>
          <w:szCs w:val="24"/>
        </w:rPr>
        <w:t>-</w:t>
      </w:r>
      <w:r>
        <w:rPr>
          <w:b w:val="0"/>
          <w:bCs w:val="0"/>
          <w:sz w:val="24"/>
          <w:szCs w:val="24"/>
        </w:rPr>
        <w:t>1</w:t>
      </w:r>
      <w:r w:rsidRPr="00923D5A">
        <w:rPr>
          <w:b w:val="0"/>
          <w:bCs w:val="0"/>
          <w:sz w:val="24"/>
          <w:szCs w:val="24"/>
        </w:rPr>
        <w:t>.</w:t>
      </w:r>
      <w:r>
        <w:rPr>
          <w:b w:val="0"/>
          <w:bCs w:val="0"/>
          <w:sz w:val="24"/>
          <w:szCs w:val="24"/>
        </w:rPr>
        <w:t>06</w:t>
      </w:r>
      <w:r w:rsidRPr="00923D5A">
        <w:rPr>
          <w:b w:val="0"/>
          <w:bCs w:val="0"/>
          <w:sz w:val="24"/>
          <w:szCs w:val="24"/>
        </w:rPr>
        <w:t>), 0.9</w:t>
      </w:r>
      <w:r>
        <w:rPr>
          <w:b w:val="0"/>
          <w:bCs w:val="0"/>
          <w:sz w:val="24"/>
          <w:szCs w:val="24"/>
        </w:rPr>
        <w:t xml:space="preserve">3 </w:t>
      </w:r>
      <w:r w:rsidRPr="00923D5A">
        <w:rPr>
          <w:b w:val="0"/>
          <w:bCs w:val="0"/>
          <w:sz w:val="24"/>
          <w:szCs w:val="24"/>
        </w:rPr>
        <w:t>(0.7</w:t>
      </w:r>
      <w:r>
        <w:rPr>
          <w:b w:val="0"/>
          <w:bCs w:val="0"/>
          <w:sz w:val="24"/>
          <w:szCs w:val="24"/>
        </w:rPr>
        <w:t>5</w:t>
      </w:r>
      <w:r w:rsidRPr="00923D5A">
        <w:rPr>
          <w:b w:val="0"/>
          <w:bCs w:val="0"/>
          <w:sz w:val="24"/>
          <w:szCs w:val="24"/>
        </w:rPr>
        <w:t>-1.1</w:t>
      </w:r>
      <w:r>
        <w:rPr>
          <w:b w:val="0"/>
          <w:bCs w:val="0"/>
          <w:sz w:val="24"/>
          <w:szCs w:val="24"/>
        </w:rPr>
        <w:t>5</w:t>
      </w:r>
      <w:r w:rsidRPr="00923D5A">
        <w:rPr>
          <w:b w:val="0"/>
          <w:bCs w:val="0"/>
          <w:sz w:val="24"/>
          <w:szCs w:val="24"/>
        </w:rPr>
        <w:t xml:space="preserve">) and </w:t>
      </w:r>
      <w:r>
        <w:rPr>
          <w:b w:val="0"/>
          <w:bCs w:val="0"/>
          <w:sz w:val="24"/>
          <w:szCs w:val="24"/>
        </w:rPr>
        <w:t>0</w:t>
      </w:r>
      <w:r w:rsidRPr="00923D5A">
        <w:rPr>
          <w:b w:val="0"/>
          <w:bCs w:val="0"/>
          <w:sz w:val="24"/>
          <w:szCs w:val="24"/>
        </w:rPr>
        <w:t>.</w:t>
      </w:r>
      <w:r>
        <w:rPr>
          <w:b w:val="0"/>
          <w:bCs w:val="0"/>
          <w:sz w:val="24"/>
          <w:szCs w:val="24"/>
        </w:rPr>
        <w:t xml:space="preserve">86 </w:t>
      </w:r>
      <w:r w:rsidRPr="00923D5A">
        <w:rPr>
          <w:b w:val="0"/>
          <w:bCs w:val="0"/>
          <w:sz w:val="24"/>
          <w:szCs w:val="24"/>
        </w:rPr>
        <w:t>(0.</w:t>
      </w:r>
      <w:r>
        <w:rPr>
          <w:b w:val="0"/>
          <w:bCs w:val="0"/>
          <w:sz w:val="24"/>
          <w:szCs w:val="24"/>
        </w:rPr>
        <w:t>63</w:t>
      </w:r>
      <w:r w:rsidRPr="00923D5A">
        <w:rPr>
          <w:b w:val="0"/>
          <w:bCs w:val="0"/>
          <w:sz w:val="24"/>
          <w:szCs w:val="24"/>
        </w:rPr>
        <w:t>-1.</w:t>
      </w:r>
      <w:r>
        <w:rPr>
          <w:b w:val="0"/>
          <w:bCs w:val="0"/>
          <w:sz w:val="24"/>
          <w:szCs w:val="24"/>
        </w:rPr>
        <w:t>17</w:t>
      </w:r>
      <w:r w:rsidRPr="00923D5A">
        <w:rPr>
          <w:b w:val="0"/>
          <w:bCs w:val="0"/>
          <w:sz w:val="24"/>
          <w:szCs w:val="24"/>
        </w:rPr>
        <w:t>)</w:t>
      </w:r>
      <w:r w:rsidRPr="00923D5A">
        <w:rPr>
          <w:b w:val="0"/>
          <w:bCs w:val="0"/>
          <w:color w:val="000000" w:themeColor="text1"/>
          <w:spacing w:val="-7"/>
          <w:sz w:val="24"/>
          <w:szCs w:val="24"/>
        </w:rPr>
        <w:t xml:space="preserve"> respectively)</w:t>
      </w:r>
      <w:r w:rsidRPr="00923D5A">
        <w:rPr>
          <w:b w:val="0"/>
          <w:bCs w:val="0"/>
          <w:sz w:val="24"/>
          <w:szCs w:val="24"/>
        </w:rPr>
        <w:t>.</w:t>
      </w:r>
      <w:r w:rsidRPr="00923D5A">
        <w:rPr>
          <w:b w:val="0"/>
          <w:bCs w:val="0"/>
          <w:color w:val="000000" w:themeColor="text1"/>
          <w:spacing w:val="-7"/>
          <w:sz w:val="24"/>
          <w:szCs w:val="24"/>
        </w:rPr>
        <w:t xml:space="preserve"> </w:t>
      </w:r>
      <w:r w:rsidR="006227A7">
        <w:rPr>
          <w:b w:val="0"/>
          <w:bCs w:val="0"/>
          <w:color w:val="000000" w:themeColor="text1"/>
          <w:spacing w:val="-7"/>
          <w:sz w:val="24"/>
          <w:szCs w:val="24"/>
        </w:rPr>
        <w:t>Similarly</w:t>
      </w:r>
      <w:r w:rsidR="003B6908">
        <w:rPr>
          <w:b w:val="0"/>
          <w:bCs w:val="0"/>
          <w:color w:val="000000" w:themeColor="text1"/>
          <w:spacing w:val="-7"/>
          <w:sz w:val="24"/>
          <w:szCs w:val="24"/>
        </w:rPr>
        <w:t>,</w:t>
      </w:r>
      <w:r w:rsidR="006227A7">
        <w:rPr>
          <w:b w:val="0"/>
          <w:bCs w:val="0"/>
          <w:color w:val="000000" w:themeColor="text1"/>
          <w:spacing w:val="-7"/>
          <w:sz w:val="24"/>
          <w:szCs w:val="24"/>
        </w:rPr>
        <w:t xml:space="preserve"> stratification by </w:t>
      </w:r>
      <w:r w:rsidR="0025665E">
        <w:rPr>
          <w:b w:val="0"/>
          <w:bCs w:val="0"/>
          <w:color w:val="000000" w:themeColor="text1"/>
          <w:spacing w:val="-7"/>
          <w:sz w:val="24"/>
          <w:szCs w:val="24"/>
        </w:rPr>
        <w:t>COVID</w:t>
      </w:r>
      <w:r w:rsidR="006227A7">
        <w:rPr>
          <w:b w:val="0"/>
          <w:bCs w:val="0"/>
          <w:color w:val="000000" w:themeColor="text1"/>
          <w:spacing w:val="-7"/>
          <w:sz w:val="24"/>
          <w:szCs w:val="24"/>
        </w:rPr>
        <w:t>-19 before vaccination</w:t>
      </w:r>
      <w:r w:rsidRPr="00923D5A">
        <w:rPr>
          <w:b w:val="0"/>
          <w:bCs w:val="0"/>
          <w:color w:val="000000" w:themeColor="text1"/>
          <w:spacing w:val="-7"/>
          <w:sz w:val="24"/>
          <w:szCs w:val="24"/>
        </w:rPr>
        <w:t xml:space="preserve">, and </w:t>
      </w:r>
      <w:r w:rsidR="006227A7">
        <w:rPr>
          <w:b w:val="0"/>
          <w:bCs w:val="0"/>
          <w:color w:val="000000" w:themeColor="text1"/>
          <w:spacing w:val="-7"/>
          <w:sz w:val="24"/>
          <w:szCs w:val="24"/>
        </w:rPr>
        <w:t xml:space="preserve">by </w:t>
      </w:r>
      <w:r w:rsidRPr="00923D5A">
        <w:rPr>
          <w:b w:val="0"/>
          <w:bCs w:val="0"/>
          <w:color w:val="000000" w:themeColor="text1"/>
          <w:spacing w:val="-7"/>
          <w:sz w:val="24"/>
          <w:szCs w:val="24"/>
        </w:rPr>
        <w:t xml:space="preserve">vaccination with vectored DNA or mRNA vaccine </w:t>
      </w:r>
      <w:r w:rsidR="006227A7">
        <w:rPr>
          <w:b w:val="0"/>
          <w:bCs w:val="0"/>
          <w:color w:val="000000" w:themeColor="text1"/>
          <w:spacing w:val="-7"/>
          <w:sz w:val="24"/>
          <w:szCs w:val="24"/>
        </w:rPr>
        <w:t>did not reveal an increased risk of flare in any of these subgroups</w:t>
      </w:r>
      <w:r w:rsidRPr="00923D5A">
        <w:rPr>
          <w:b w:val="0"/>
          <w:bCs w:val="0"/>
          <w:color w:val="000000" w:themeColor="text1"/>
          <w:spacing w:val="-7"/>
          <w:sz w:val="24"/>
          <w:szCs w:val="24"/>
        </w:rPr>
        <w:t xml:space="preserve">. </w:t>
      </w:r>
    </w:p>
    <w:p w14:paraId="6E74FF01" w14:textId="53028EEA" w:rsidR="00531420" w:rsidRDefault="00021272" w:rsidP="00EA1826">
      <w:pPr>
        <w:spacing w:line="480" w:lineRule="auto"/>
        <w:rPr>
          <w:rFonts w:ascii="Arial" w:eastAsia="Arial" w:hAnsi="Arial" w:cs="Arial"/>
          <w:bCs/>
          <w:lang w:val="en-US"/>
        </w:rPr>
      </w:pPr>
      <w:r w:rsidRPr="00EA1826">
        <w:rPr>
          <w:rFonts w:ascii="Arial" w:hAnsi="Arial" w:cs="Arial"/>
          <w:sz w:val="24"/>
          <w:szCs w:val="24"/>
        </w:rPr>
        <w:t xml:space="preserve">Conclusion: Vaccination against </w:t>
      </w:r>
      <w:r w:rsidR="0025665E">
        <w:rPr>
          <w:rFonts w:ascii="Arial" w:hAnsi="Arial" w:cs="Arial"/>
          <w:sz w:val="24"/>
          <w:szCs w:val="24"/>
        </w:rPr>
        <w:t>COVID</w:t>
      </w:r>
      <w:r w:rsidRPr="00EA1826">
        <w:rPr>
          <w:rFonts w:ascii="Arial" w:hAnsi="Arial" w:cs="Arial"/>
          <w:sz w:val="24"/>
          <w:szCs w:val="24"/>
        </w:rPr>
        <w:t xml:space="preserve">-19 was not associated with IBD flares regardless of prior </w:t>
      </w:r>
      <w:r w:rsidR="0025665E">
        <w:rPr>
          <w:rFonts w:ascii="Arial" w:hAnsi="Arial" w:cs="Arial"/>
          <w:sz w:val="24"/>
          <w:szCs w:val="24"/>
        </w:rPr>
        <w:t>COVID</w:t>
      </w:r>
      <w:r w:rsidRPr="00EA1826">
        <w:rPr>
          <w:rFonts w:ascii="Arial" w:hAnsi="Arial" w:cs="Arial"/>
          <w:sz w:val="24"/>
          <w:szCs w:val="24"/>
        </w:rPr>
        <w:t xml:space="preserve">-19 </w:t>
      </w:r>
      <w:r w:rsidR="00F41AC4">
        <w:rPr>
          <w:rFonts w:ascii="Arial" w:hAnsi="Arial" w:cs="Arial"/>
          <w:sz w:val="24"/>
          <w:szCs w:val="24"/>
        </w:rPr>
        <w:t xml:space="preserve">infection </w:t>
      </w:r>
      <w:r w:rsidRPr="00EA1826">
        <w:rPr>
          <w:rFonts w:ascii="Arial" w:hAnsi="Arial" w:cs="Arial"/>
          <w:sz w:val="24"/>
          <w:szCs w:val="24"/>
        </w:rPr>
        <w:t>and whether mRNA or DNA vaccin</w:t>
      </w:r>
      <w:r w:rsidR="0025665E">
        <w:rPr>
          <w:rFonts w:ascii="Arial" w:hAnsi="Arial" w:cs="Arial"/>
          <w:sz w:val="24"/>
          <w:szCs w:val="24"/>
        </w:rPr>
        <w:t>es</w:t>
      </w:r>
      <w:r w:rsidRPr="00EA1826">
        <w:rPr>
          <w:rFonts w:ascii="Arial" w:hAnsi="Arial" w:cs="Arial"/>
          <w:sz w:val="24"/>
          <w:szCs w:val="24"/>
        </w:rPr>
        <w:t xml:space="preserve"> were used.</w:t>
      </w:r>
      <w:r w:rsidR="00531420">
        <w:br w:type="page"/>
      </w:r>
    </w:p>
    <w:p w14:paraId="49E9C5D0" w14:textId="32D8AE1F" w:rsidR="00B65E90" w:rsidRPr="00531420" w:rsidRDefault="0032390D" w:rsidP="00EA1826">
      <w:pPr>
        <w:pStyle w:val="Heading3"/>
        <w:spacing w:line="480" w:lineRule="auto"/>
        <w:ind w:left="0"/>
        <w:rPr>
          <w:color w:val="000000" w:themeColor="text1"/>
          <w:spacing w:val="-7"/>
          <w:sz w:val="24"/>
          <w:szCs w:val="24"/>
        </w:rPr>
      </w:pPr>
      <w:r>
        <w:rPr>
          <w:color w:val="000000" w:themeColor="text1"/>
          <w:spacing w:val="-7"/>
          <w:sz w:val="24"/>
          <w:szCs w:val="24"/>
        </w:rPr>
        <w:lastRenderedPageBreak/>
        <w:t>Study Highlights</w:t>
      </w:r>
    </w:p>
    <w:p w14:paraId="505AD074" w14:textId="77777777" w:rsidR="008534EA" w:rsidRDefault="008534EA" w:rsidP="00EA1826">
      <w:pPr>
        <w:spacing w:line="480" w:lineRule="auto"/>
        <w:rPr>
          <w:rFonts w:ascii="Arial" w:hAnsi="Arial" w:cs="Arial"/>
          <w:b/>
          <w:sz w:val="24"/>
          <w:szCs w:val="24"/>
        </w:rPr>
      </w:pPr>
      <w:r w:rsidRPr="008534EA">
        <w:rPr>
          <w:rFonts w:ascii="Arial" w:hAnsi="Arial" w:cs="Arial"/>
          <w:b/>
          <w:sz w:val="24"/>
          <w:szCs w:val="24"/>
        </w:rPr>
        <w:t>WHAT IS KNOWN</w:t>
      </w:r>
    </w:p>
    <w:p w14:paraId="1686F95D" w14:textId="77777777" w:rsidR="008534EA" w:rsidRPr="008534EA" w:rsidRDefault="005A2B6A" w:rsidP="008534EA">
      <w:pPr>
        <w:pStyle w:val="ListParagraph"/>
        <w:numPr>
          <w:ilvl w:val="0"/>
          <w:numId w:val="2"/>
        </w:numPr>
        <w:spacing w:line="480" w:lineRule="auto"/>
        <w:rPr>
          <w:rFonts w:ascii="Arial" w:hAnsi="Arial" w:cs="Arial"/>
          <w:sz w:val="24"/>
          <w:szCs w:val="24"/>
        </w:rPr>
      </w:pPr>
      <w:r w:rsidRPr="008534EA">
        <w:rPr>
          <w:rFonts w:ascii="Arial" w:hAnsi="Arial" w:cs="Arial"/>
          <w:sz w:val="24"/>
          <w:szCs w:val="24"/>
        </w:rPr>
        <w:t>Reports of post vaccination</w:t>
      </w:r>
      <w:r w:rsidR="0032390D" w:rsidRPr="008534EA">
        <w:rPr>
          <w:rFonts w:ascii="Arial" w:hAnsi="Arial" w:cs="Arial"/>
          <w:sz w:val="24"/>
          <w:szCs w:val="24"/>
        </w:rPr>
        <w:t xml:space="preserve"> Inflammatory Bowel Disease</w:t>
      </w:r>
      <w:r w:rsidRPr="008534EA">
        <w:rPr>
          <w:rFonts w:ascii="Arial" w:hAnsi="Arial" w:cs="Arial"/>
          <w:sz w:val="24"/>
          <w:szCs w:val="24"/>
        </w:rPr>
        <w:t xml:space="preserve"> </w:t>
      </w:r>
      <w:r w:rsidR="0032390D" w:rsidRPr="008534EA">
        <w:rPr>
          <w:rFonts w:ascii="Arial" w:hAnsi="Arial" w:cs="Arial"/>
          <w:sz w:val="24"/>
          <w:szCs w:val="24"/>
        </w:rPr>
        <w:t>(</w:t>
      </w:r>
      <w:r w:rsidRPr="008534EA">
        <w:rPr>
          <w:rFonts w:ascii="Arial" w:hAnsi="Arial" w:cs="Arial"/>
          <w:sz w:val="24"/>
          <w:szCs w:val="24"/>
        </w:rPr>
        <w:t>IBD</w:t>
      </w:r>
      <w:r w:rsidR="0032390D" w:rsidRPr="008534EA">
        <w:rPr>
          <w:rFonts w:ascii="Arial" w:hAnsi="Arial" w:cs="Arial"/>
          <w:sz w:val="24"/>
          <w:szCs w:val="24"/>
        </w:rPr>
        <w:t>)</w:t>
      </w:r>
      <w:r w:rsidRPr="008534EA">
        <w:rPr>
          <w:rFonts w:ascii="Arial" w:hAnsi="Arial" w:cs="Arial"/>
          <w:sz w:val="24"/>
          <w:szCs w:val="24"/>
        </w:rPr>
        <w:t xml:space="preserve"> flares may add to va</w:t>
      </w:r>
      <w:r w:rsidR="008534EA" w:rsidRPr="008534EA">
        <w:rPr>
          <w:rFonts w:ascii="Arial" w:hAnsi="Arial" w:cs="Arial"/>
          <w:sz w:val="24"/>
          <w:szCs w:val="24"/>
        </w:rPr>
        <w:t>ccine hesitancy in IBD patients.</w:t>
      </w:r>
    </w:p>
    <w:p w14:paraId="68EAAF11" w14:textId="7BAAC96A" w:rsidR="00531420" w:rsidRPr="008534EA" w:rsidRDefault="008534EA" w:rsidP="008534EA">
      <w:pPr>
        <w:pStyle w:val="ListParagraph"/>
        <w:numPr>
          <w:ilvl w:val="0"/>
          <w:numId w:val="2"/>
        </w:numPr>
        <w:spacing w:line="480" w:lineRule="auto"/>
        <w:rPr>
          <w:rFonts w:ascii="Arial" w:hAnsi="Arial" w:cs="Arial"/>
          <w:sz w:val="24"/>
          <w:szCs w:val="24"/>
        </w:rPr>
      </w:pPr>
      <w:r w:rsidRPr="008534EA">
        <w:rPr>
          <w:rFonts w:ascii="Arial" w:hAnsi="Arial" w:cs="Arial"/>
          <w:sz w:val="24"/>
          <w:szCs w:val="24"/>
        </w:rPr>
        <w:t>T</w:t>
      </w:r>
      <w:r w:rsidR="005A2B6A" w:rsidRPr="008534EA">
        <w:rPr>
          <w:rFonts w:ascii="Arial" w:hAnsi="Arial" w:cs="Arial"/>
          <w:sz w:val="24"/>
          <w:szCs w:val="24"/>
        </w:rPr>
        <w:t xml:space="preserve">here is as yet no definitive study to demonstrate that such flares are not more common </w:t>
      </w:r>
      <w:r w:rsidR="003B6908" w:rsidRPr="008534EA">
        <w:rPr>
          <w:rFonts w:ascii="Arial" w:hAnsi="Arial" w:cs="Arial"/>
          <w:sz w:val="24"/>
          <w:szCs w:val="24"/>
        </w:rPr>
        <w:t xml:space="preserve">post vaccination </w:t>
      </w:r>
      <w:r w:rsidR="005A2B6A" w:rsidRPr="008534EA">
        <w:rPr>
          <w:rFonts w:ascii="Arial" w:hAnsi="Arial" w:cs="Arial"/>
          <w:sz w:val="24"/>
          <w:szCs w:val="24"/>
        </w:rPr>
        <w:t>than would be expected by chance.</w:t>
      </w:r>
    </w:p>
    <w:p w14:paraId="437EC5BC" w14:textId="77777777" w:rsidR="008534EA" w:rsidRDefault="008534EA" w:rsidP="00EA1826">
      <w:pPr>
        <w:spacing w:line="480" w:lineRule="auto"/>
        <w:rPr>
          <w:rFonts w:ascii="Arial" w:hAnsi="Arial" w:cs="Arial"/>
          <w:b/>
          <w:sz w:val="24"/>
          <w:szCs w:val="24"/>
        </w:rPr>
      </w:pPr>
      <w:r w:rsidRPr="008534EA">
        <w:rPr>
          <w:rFonts w:ascii="Arial" w:hAnsi="Arial" w:cs="Arial"/>
          <w:b/>
          <w:sz w:val="24"/>
          <w:szCs w:val="24"/>
        </w:rPr>
        <w:t>WHAT IS NEW HERE</w:t>
      </w:r>
    </w:p>
    <w:p w14:paraId="654C2A8B" w14:textId="1CC0D8A2" w:rsidR="005A2B6A" w:rsidRPr="008534EA" w:rsidRDefault="005A2B6A" w:rsidP="008534EA">
      <w:pPr>
        <w:pStyle w:val="ListParagraph"/>
        <w:numPr>
          <w:ilvl w:val="0"/>
          <w:numId w:val="1"/>
        </w:numPr>
        <w:spacing w:line="480" w:lineRule="auto"/>
        <w:rPr>
          <w:rFonts w:ascii="Arial" w:hAnsi="Arial" w:cs="Arial"/>
          <w:b/>
          <w:color w:val="000000" w:themeColor="text1"/>
          <w:spacing w:val="-7"/>
          <w:sz w:val="24"/>
          <w:szCs w:val="24"/>
        </w:rPr>
      </w:pPr>
      <w:r w:rsidRPr="008534EA">
        <w:rPr>
          <w:rFonts w:ascii="Arial" w:hAnsi="Arial" w:cs="Arial"/>
          <w:sz w:val="24"/>
          <w:szCs w:val="24"/>
        </w:rPr>
        <w:t xml:space="preserve">Vaccination against </w:t>
      </w:r>
      <w:r w:rsidR="0025665E">
        <w:rPr>
          <w:rFonts w:ascii="Arial" w:hAnsi="Arial" w:cs="Arial"/>
          <w:sz w:val="24"/>
          <w:szCs w:val="24"/>
        </w:rPr>
        <w:t>COVID</w:t>
      </w:r>
      <w:r w:rsidRPr="008534EA">
        <w:rPr>
          <w:rFonts w:ascii="Arial" w:hAnsi="Arial" w:cs="Arial"/>
          <w:sz w:val="24"/>
          <w:szCs w:val="24"/>
        </w:rPr>
        <w:t xml:space="preserve">-19 with either vectored DNA or mRNA vaccines </w:t>
      </w:r>
      <w:r w:rsidR="0025665E">
        <w:rPr>
          <w:rFonts w:ascii="Arial" w:hAnsi="Arial" w:cs="Arial"/>
          <w:sz w:val="24"/>
          <w:szCs w:val="24"/>
        </w:rPr>
        <w:t>wa</w:t>
      </w:r>
      <w:r w:rsidR="008534EA" w:rsidRPr="008534EA">
        <w:rPr>
          <w:rFonts w:ascii="Arial" w:hAnsi="Arial" w:cs="Arial"/>
          <w:sz w:val="24"/>
          <w:szCs w:val="24"/>
        </w:rPr>
        <w:t>s</w:t>
      </w:r>
      <w:r w:rsidRPr="008534EA">
        <w:rPr>
          <w:rFonts w:ascii="Arial" w:hAnsi="Arial" w:cs="Arial"/>
          <w:sz w:val="24"/>
          <w:szCs w:val="24"/>
        </w:rPr>
        <w:t xml:space="preserve"> not associated with a </w:t>
      </w:r>
      <w:r w:rsidR="007D0A64" w:rsidRPr="008534EA">
        <w:rPr>
          <w:rFonts w:ascii="Arial" w:hAnsi="Arial" w:cs="Arial"/>
          <w:sz w:val="24"/>
          <w:szCs w:val="24"/>
        </w:rPr>
        <w:t>short-term</w:t>
      </w:r>
      <w:r w:rsidRPr="008534EA">
        <w:rPr>
          <w:rFonts w:ascii="Arial" w:hAnsi="Arial" w:cs="Arial"/>
          <w:sz w:val="24"/>
          <w:szCs w:val="24"/>
        </w:rPr>
        <w:t xml:space="preserve"> increase in IBD flares.</w:t>
      </w:r>
      <w:r w:rsidRPr="008534EA">
        <w:rPr>
          <w:rFonts w:ascii="Arial" w:hAnsi="Arial" w:cs="Arial"/>
          <w:b/>
          <w:color w:val="000000" w:themeColor="text1"/>
          <w:spacing w:val="-7"/>
          <w:sz w:val="24"/>
          <w:szCs w:val="24"/>
        </w:rPr>
        <w:t xml:space="preserve"> </w:t>
      </w:r>
    </w:p>
    <w:p w14:paraId="525FF017" w14:textId="1085A6AE" w:rsidR="00B65E90" w:rsidRPr="008534EA" w:rsidRDefault="008534EA" w:rsidP="008534EA">
      <w:pPr>
        <w:pStyle w:val="ListParagraph"/>
        <w:numPr>
          <w:ilvl w:val="0"/>
          <w:numId w:val="1"/>
        </w:numPr>
        <w:spacing w:line="480" w:lineRule="auto"/>
        <w:rPr>
          <w:rFonts w:ascii="Arial" w:hAnsi="Arial" w:cs="Arial"/>
          <w:color w:val="000000" w:themeColor="text1"/>
          <w:spacing w:val="-7"/>
          <w:sz w:val="24"/>
          <w:szCs w:val="24"/>
        </w:rPr>
      </w:pPr>
      <w:r w:rsidRPr="008534EA">
        <w:rPr>
          <w:rFonts w:ascii="Arial" w:hAnsi="Arial" w:cs="Arial"/>
          <w:color w:val="000000" w:themeColor="text1"/>
          <w:spacing w:val="-7"/>
          <w:sz w:val="24"/>
          <w:szCs w:val="24"/>
        </w:rPr>
        <w:t>P</w:t>
      </w:r>
      <w:r w:rsidR="00557F78" w:rsidRPr="008534EA">
        <w:rPr>
          <w:rFonts w:ascii="Arial" w:hAnsi="Arial" w:cs="Arial"/>
          <w:color w:val="000000" w:themeColor="text1"/>
          <w:spacing w:val="-7"/>
          <w:sz w:val="24"/>
          <w:szCs w:val="24"/>
        </w:rPr>
        <w:t>rescribing clinicians and</w:t>
      </w:r>
      <w:r w:rsidR="005A2B6A" w:rsidRPr="008534EA">
        <w:rPr>
          <w:rFonts w:ascii="Arial" w:hAnsi="Arial" w:cs="Arial"/>
          <w:color w:val="000000" w:themeColor="text1"/>
          <w:spacing w:val="-7"/>
          <w:sz w:val="24"/>
          <w:szCs w:val="24"/>
        </w:rPr>
        <w:t xml:space="preserve"> vaccine hesitant patients </w:t>
      </w:r>
      <w:r w:rsidRPr="008534EA">
        <w:rPr>
          <w:rFonts w:ascii="Arial" w:hAnsi="Arial" w:cs="Arial"/>
          <w:color w:val="000000" w:themeColor="text1"/>
          <w:spacing w:val="-7"/>
          <w:sz w:val="24"/>
          <w:szCs w:val="24"/>
        </w:rPr>
        <w:t xml:space="preserve">should be reassured </w:t>
      </w:r>
      <w:r w:rsidR="005A2B6A" w:rsidRPr="008534EA">
        <w:rPr>
          <w:rFonts w:ascii="Arial" w:hAnsi="Arial" w:cs="Arial"/>
          <w:color w:val="000000" w:themeColor="text1"/>
          <w:spacing w:val="-7"/>
          <w:sz w:val="24"/>
          <w:szCs w:val="24"/>
        </w:rPr>
        <w:t xml:space="preserve">that </w:t>
      </w:r>
      <w:r w:rsidR="0025665E">
        <w:rPr>
          <w:rFonts w:ascii="Arial" w:hAnsi="Arial" w:cs="Arial"/>
          <w:color w:val="000000" w:themeColor="text1"/>
          <w:spacing w:val="-7"/>
          <w:sz w:val="24"/>
          <w:szCs w:val="24"/>
        </w:rPr>
        <w:t>COVID</w:t>
      </w:r>
      <w:r w:rsidR="003B6908" w:rsidRPr="008534EA">
        <w:rPr>
          <w:rFonts w:ascii="Arial" w:hAnsi="Arial" w:cs="Arial"/>
          <w:color w:val="000000" w:themeColor="text1"/>
          <w:spacing w:val="-7"/>
          <w:sz w:val="24"/>
          <w:szCs w:val="24"/>
        </w:rPr>
        <w:t>-19</w:t>
      </w:r>
      <w:r w:rsidR="005A2B6A" w:rsidRPr="008534EA">
        <w:rPr>
          <w:rFonts w:ascii="Arial" w:hAnsi="Arial" w:cs="Arial"/>
          <w:color w:val="000000" w:themeColor="text1"/>
          <w:spacing w:val="-7"/>
          <w:sz w:val="24"/>
          <w:szCs w:val="24"/>
        </w:rPr>
        <w:t xml:space="preserve"> vaccination does not precipitate IBD flares.</w:t>
      </w:r>
    </w:p>
    <w:p w14:paraId="55F2EB29" w14:textId="77777777" w:rsidR="00531420" w:rsidRPr="00EA1826" w:rsidRDefault="00531420" w:rsidP="00EA1826">
      <w:pPr>
        <w:spacing w:line="480" w:lineRule="auto"/>
        <w:rPr>
          <w:rFonts w:ascii="Arial" w:hAnsi="Arial" w:cs="Arial"/>
          <w:b/>
          <w:color w:val="000000" w:themeColor="text1"/>
          <w:spacing w:val="-7"/>
          <w:sz w:val="24"/>
          <w:szCs w:val="24"/>
        </w:rPr>
      </w:pPr>
      <w:r w:rsidRPr="00EA1826">
        <w:rPr>
          <w:rFonts w:ascii="Arial" w:hAnsi="Arial" w:cs="Arial"/>
          <w:b/>
          <w:color w:val="000000" w:themeColor="text1"/>
          <w:spacing w:val="-7"/>
          <w:sz w:val="24"/>
          <w:szCs w:val="24"/>
        </w:rPr>
        <w:br w:type="page"/>
      </w:r>
    </w:p>
    <w:p w14:paraId="1AB1A6FE" w14:textId="341D85DF" w:rsidR="00B31584" w:rsidRPr="00021272" w:rsidRDefault="00B31584" w:rsidP="000736FB">
      <w:pPr>
        <w:spacing w:line="480" w:lineRule="auto"/>
        <w:rPr>
          <w:rFonts w:ascii="Arial" w:hAnsi="Arial" w:cs="Arial"/>
          <w:b/>
          <w:sz w:val="24"/>
          <w:szCs w:val="24"/>
        </w:rPr>
      </w:pPr>
      <w:r w:rsidRPr="00021272">
        <w:rPr>
          <w:rFonts w:ascii="Arial" w:hAnsi="Arial" w:cs="Arial"/>
          <w:b/>
          <w:sz w:val="24"/>
          <w:szCs w:val="24"/>
        </w:rPr>
        <w:lastRenderedPageBreak/>
        <w:t>Introduction</w:t>
      </w:r>
    </w:p>
    <w:p w14:paraId="42A57191" w14:textId="77777777" w:rsidR="00B31584" w:rsidRPr="00021272" w:rsidRDefault="00B31584" w:rsidP="000736FB">
      <w:pPr>
        <w:spacing w:line="480" w:lineRule="auto"/>
        <w:rPr>
          <w:rFonts w:ascii="Arial" w:hAnsi="Arial" w:cs="Arial"/>
          <w:sz w:val="24"/>
          <w:szCs w:val="24"/>
        </w:rPr>
      </w:pPr>
    </w:p>
    <w:p w14:paraId="1F5CAA67" w14:textId="72582518" w:rsidR="0097064A" w:rsidRPr="00021272" w:rsidRDefault="00001255" w:rsidP="000736FB">
      <w:pPr>
        <w:spacing w:line="480" w:lineRule="auto"/>
        <w:rPr>
          <w:rFonts w:ascii="Arial" w:hAnsi="Arial" w:cs="Arial"/>
          <w:sz w:val="24"/>
          <w:szCs w:val="24"/>
        </w:rPr>
      </w:pPr>
      <w:r w:rsidRPr="00021272">
        <w:rPr>
          <w:rFonts w:ascii="Arial" w:hAnsi="Arial" w:cs="Arial"/>
          <w:sz w:val="24"/>
          <w:szCs w:val="24"/>
        </w:rPr>
        <w:t>It has been recogni</w:t>
      </w:r>
      <w:r w:rsidR="0025665E">
        <w:rPr>
          <w:rFonts w:ascii="Arial" w:hAnsi="Arial" w:cs="Arial"/>
          <w:sz w:val="24"/>
          <w:szCs w:val="24"/>
        </w:rPr>
        <w:t>z</w:t>
      </w:r>
      <w:r w:rsidRPr="00021272">
        <w:rPr>
          <w:rFonts w:ascii="Arial" w:hAnsi="Arial" w:cs="Arial"/>
          <w:sz w:val="24"/>
          <w:szCs w:val="24"/>
        </w:rPr>
        <w:t>ed for some years that patients with IBD receiving immunosuppressive medication should be advised to receive vaccination against a number of infections</w:t>
      </w:r>
      <w:r w:rsidR="003B6908">
        <w:rPr>
          <w:rFonts w:ascii="Arial" w:hAnsi="Arial" w:cs="Arial"/>
          <w:sz w:val="24"/>
          <w:szCs w:val="24"/>
        </w:rPr>
        <w:t xml:space="preserve"> </w:t>
      </w:r>
      <w:r w:rsidR="002F7550" w:rsidRPr="00021272">
        <w:rPr>
          <w:rFonts w:ascii="Arial" w:hAnsi="Arial" w:cs="Arial"/>
          <w:sz w:val="24"/>
          <w:szCs w:val="24"/>
        </w:rPr>
        <w:fldChar w:fldCharType="begin" w:fldLock="1"/>
      </w:r>
      <w:r w:rsidR="00EB18A3">
        <w:rPr>
          <w:rFonts w:ascii="Arial" w:hAnsi="Arial" w:cs="Arial"/>
          <w:sz w:val="24"/>
          <w:szCs w:val="24"/>
        </w:rPr>
        <w:instrText>ADDIN CSL_CITATION {"citationItems":[{"id":"ITEM-1","itemData":{"DOI":"10.1097/00054725-200409000-00028","ISSN":"1078-0998","PMID":"15472534","abstract":"During the past 2 decades, medical therapy for Crohn's disease (CD) and ulcerative colitis (UC) has grown to incorporate a variety of immunesuppressing agents. At the same time, basic insights into the aberrant mucosal immune response underlying inflammatory bowel disease (IBD) have expanded dramatically. The interplay of host susceptibility to infection and the safety and efficacy of immunization for vaccine-preventable diseases has been explored in other immune-mediated disease states but only rarely in IBD. The purpose of this review is to formulate best-practice recommendations for immunization in children and adults with IBD by considering the effects of the IBD disease state and its treatments on both the safety and efficacy of immunization. To do so, we first considered the routine recommendations for immunization of children, adults and distinct populations at increased risk for vaccine-preventable disease. Because it was rarely possible to examine direct data on safety and efficacy of immunization in IBD populations, we relied to a large extent upon extrapolation from similar populations and from knowledge of basic mechanisms. The literature suggests that efficacy of immunization may be diminished in some patients whose immune status is compromised by immune suppression. However, except for live agent vaccines, most immunizations may be safely administered to patients with IBD even when immune compromised. Conversely, protection against vaccine-preventable illness may be of even greater benefit to those at risk for morbid or lethal complications of infections because of an immune compromised state. We conclude that for most patients with IBD, recommendations for immunization do not deviate from recommended schedules for the general population.","author":[{"dropping-particle":"","family":"Sands","given":"Bruce E","non-dropping-particle":"","parse-names":false,"suffix":""},{"dropping-particle":"","family":"Cuffari","given":"Carmen","non-dropping-particle":"","parse-names":false,"suffix":""},{"dropping-particle":"","family":"Katz","given":"Jeffry","non-dropping-particle":"","parse-names":false,"suffix":""},{"dropping-particle":"","family":"Kugathasan","given":"Subra","non-dropping-particle":"","parse-names":false,"suffix":""},{"dropping-particle":"","family":"Onken","given":"Jane","non-dropping-particle":"","parse-names":false,"suffix":""},{"dropping-particle":"","family":"Vitek","given":"Charles","non-dropping-particle":"","parse-names":false,"suffix":""},{"dropping-particle":"","family":"Orenstein","given":"Walter","non-dropping-particle":"","parse-names":false,"suffix":""}],"container-title":"Inflammatory bowel diseases","id":"ITEM-1","issue":"5","issued":{"date-parts":[["2004","9"]]},"page":"677-92","title":"Guidelines for immunizations in patients with inflammatory bowel disease.","type":"article-journal","volume":"10"},"uris":["http://www.mendeley.com/documents/?uuid=41631dd2-3510-4186-a896-e39944748858"]},{"id":"ITEM-2","itemData":{"ISSN":"00015644","PMID":"20458849","abstract":"In an era of increasing use of immunomodulator (IM) therapy, opportunistic infections have emerged as a pivotal safety issue in patients with inflammatory bowel disease (IBD). Today's challenge to the physician is not only to manage IBD, but also to recognise, prevent and treat common and uncommon infections. The recent European ECCO guidelines on the management and prevention of opportunistic infections in patients with IBD provide clinicians with guidance on the prevention, detection and management of opportunistic infections in patients with IBD. Proposals may appear radical, potentially changing current practice, but we believe that the recommendations will help optimise patient outcomes by reducing morbidity and mortality related to opportunistic infections in patients with IBD. In this ongoing process, prevention is far the first and most important step. Prevention of opportunistic infections relies on recognition of risk factors for infection, the use of primary or secondary chemoprophylaxis, careful monitoring (clinical and laboratory work-up) before and during the use of immunomodulators, vaccination and education of the patient. Special recommendations should also be given to patients before travel. Additionally, this paper discusses how the ECCO guidelines can be implemented in Belgium according to reimbursement legislation. (Acta gastro enterol. belg., 2010, 73, 41-45).","author":[{"dropping-particle":"","family":"Rahier","given":"Jean Françoi","non-dropping-particle":"","parse-names":false,"suffix":""},{"dropping-particle":"","family":"Moreels","given":"T.","non-dropping-particle":"","parse-names":false,"suffix":""},{"dropping-particle":"","family":"Munter","given":"P.","non-dropping-particle":"De","parse-names":false,"suffix":""},{"dropping-particle":"","family":"D'Haens","given":"G.","non-dropping-particle":"","parse-names":false,"suffix":""}],"container-title":"Acta Gastro-Enterologica Belgica","id":"ITEM-2","issue":"1","issued":{"date-parts":[["2010"]]},"page":"41-45","title":"Prevention of opportunistic infections in patients with inflammatory bowel disease and implications of the ECCO consensus in Belgium","type":"article-journal","volume":"73"},"uris":["http://www.mendeley.com/documents/?uuid=6889d972-472f-4728-a6ce-7a4896165dee"]}],"mendeley":{"formattedCitation":"(1,2)","plainTextFormattedCitation":"(1,2)","previouslyFormattedCitation":"(1,2)"},"properties":{"noteIndex":0},"schema":"https://github.com/citation-style-language/schema/raw/master/csl-citation.json"}</w:instrText>
      </w:r>
      <w:r w:rsidR="002F7550" w:rsidRPr="00021272">
        <w:rPr>
          <w:rFonts w:ascii="Arial" w:hAnsi="Arial" w:cs="Arial"/>
          <w:sz w:val="24"/>
          <w:szCs w:val="24"/>
        </w:rPr>
        <w:fldChar w:fldCharType="separate"/>
      </w:r>
      <w:r w:rsidR="0032390D" w:rsidRPr="0032390D">
        <w:rPr>
          <w:rFonts w:ascii="Arial" w:hAnsi="Arial" w:cs="Arial"/>
          <w:noProof/>
          <w:sz w:val="24"/>
          <w:szCs w:val="24"/>
        </w:rPr>
        <w:t>(1,2)</w:t>
      </w:r>
      <w:r w:rsidR="002F7550" w:rsidRPr="00021272">
        <w:rPr>
          <w:rFonts w:ascii="Arial" w:hAnsi="Arial" w:cs="Arial"/>
          <w:sz w:val="24"/>
          <w:szCs w:val="24"/>
        </w:rPr>
        <w:fldChar w:fldCharType="end"/>
      </w:r>
      <w:r w:rsidRPr="00021272">
        <w:rPr>
          <w:rFonts w:ascii="Arial" w:hAnsi="Arial" w:cs="Arial"/>
          <w:sz w:val="24"/>
          <w:szCs w:val="24"/>
        </w:rPr>
        <w:t>. These commonly include influenza and pneumococcus, but there are variations around the world</w:t>
      </w:r>
      <w:r w:rsidR="003B6908">
        <w:rPr>
          <w:rFonts w:ascii="Arial" w:hAnsi="Arial" w:cs="Arial"/>
          <w:sz w:val="24"/>
          <w:szCs w:val="24"/>
        </w:rPr>
        <w:t xml:space="preserve"> </w:t>
      </w:r>
      <w:r w:rsidR="002F7550" w:rsidRPr="00021272">
        <w:rPr>
          <w:rFonts w:ascii="Arial" w:hAnsi="Arial" w:cs="Arial"/>
          <w:sz w:val="24"/>
          <w:szCs w:val="24"/>
        </w:rPr>
        <w:fldChar w:fldCharType="begin" w:fldLock="1"/>
      </w:r>
      <w:r w:rsidR="00EB18A3">
        <w:rPr>
          <w:rFonts w:ascii="Arial" w:hAnsi="Arial" w:cs="Arial"/>
          <w:sz w:val="24"/>
          <w:szCs w:val="24"/>
        </w:rPr>
        <w:instrText>ADDIN CSL_CITATION {"citationItems":[{"id":"ITEM-1","itemData":{"DOI":"10.1016/j.jaut.2017.03.011","ISSN":"10959157","PMID":"28381345","abstract":"Background Immunosuppressed patients are at risk of severe viral infections-related complications. National and international vaccination guidelines have been developed to decrease the mortality risk associated with these infections. However, a summary of these guidelines and the value of immunisation in this population is missing. Objectives To summarize specific guidelines regarding vaccination in immunosuppressed patients. Methods We performed a literature search based on last update vaccine guidelines in immunosuppressed adult patients published between 1/1/2005–1/31/2016 in English or French language using PubMed, Cochrane and Embase, as well as relevant medical society websites. Results Of the 389 citations identified, 12 guidelines were selected Three additional guidelines were selected by searching on the websites from medical societies of each specialty. 15 guidelines were included, involving 19 medical societies issued from the US (n = 6), international collaboration (n = 3), UK (n = 2), Canada (n = 1), Australia (n = 1), France (n = 1), and Germany (n = 1). These guidelines provide recommendations on vaccination in asplenic patients (n = 5), cancer patients (n = 4), HIV patients (n = 5), hematopoietic stem cell recipients (n = 4), inflammatory bowel diseases patients (n = 5), psoriasis patients (n = 4), primary immunocompromised patients (n = 3), inflammatory rheumatic diseases patients (n = 6), and solid organ transplant recipients (n = 5). All guidelines recommended pneumococcal and injectable influenza vaccines. Other inactivated vaccines were recommended only in high risk patients. Live vaccines were usually contraindicated in patients under immunosuppressive therapy and/or in HIV patients with a CD4 count under 200/mm3. Conclusion Pneumococcal and injectable influenza are the two essential vaccines recommended in all immunocompromised patients. Other inactivated vaccines are only indicated in high risk patients. Live vaccines are usually contraindicated.","author":[{"dropping-particle":"","family":"Lopez","given":"Anthony","non-dropping-particle":"","parse-names":false,"suffix":""},{"dropping-particle":"","family":"Mariette","given":"Xavier","non-dropping-particle":"","parse-names":false,"suffix":""},{"dropping-particle":"","family":"Bachelez","given":"Hervé","non-dropping-particle":"","parse-names":false,"suffix":""},{"dropping-particle":"","family":"Belot","given":"Alexandre","non-dropping-particle":"","parse-names":false,"suffix":""},{"dropping-particle":"","family":"Bonnotte","given":"Bernard","non-dropping-particle":"","parse-names":false,"suffix":""},{"dropping-particle":"","family":"Hachulla","given":"Eric","non-dropping-particle":"","parse-names":false,"suffix":""},{"dropping-particle":"","family":"Lahfa","given":"Morad","non-dropping-particle":"","parse-names":false,"suffix":""},{"dropping-particle":"","family":"Lortholary","given":"Olivier","non-dropping-particle":"","parse-names":false,"suffix":""},{"dropping-particle":"","family":"Loulergue","given":"Pierre","non-dropping-particle":"","parse-names":false,"suffix":""},{"dropping-particle":"","family":"Paul","given":"Stéphane","non-dropping-particle":"","parse-names":false,"suffix":""},{"dropping-particle":"","family":"Roblin","given":"Xavier","non-dropping-particle":"","parse-names":false,"suffix":""},{"dropping-particle":"","family":"Sibilia","given":"Jean","non-dropping-particle":"","parse-names":false,"suffix":""},{"dropping-particle":"","family":"Blum","given":"Mariela","non-dropping-particle":"","parse-names":false,"suffix":""},{"dropping-particle":"","family":"Danese","given":"Silvio","non-dropping-particle":"","parse-names":false,"suffix":""},{"dropping-particle":"","family":"Bonovas","given":"Stefanos","non-dropping-particle":"","parse-names":false,"suffix":""},{"dropping-particle":"","family":"Peyrin-Biroulet","given":"Laurent","non-dropping-particle":"","parse-names":false,"suffix":""}],"container-title":"Journal of Autoimmunity","id":"ITEM-1","issued":{"date-parts":[["2017"]]},"page":"10-27","title":"Vaccination recommendations for the adult immunosuppressed patient: A systematic review and comprehensive field synopsis","type":"article-journal","volume":"80"},"uris":["http://www.mendeley.com/documents/?uuid=0aa8963d-ae5d-4d1a-a92b-447289aac72c"]}],"mendeley":{"formattedCitation":"(3)","plainTextFormattedCitation":"(3)","previouslyFormattedCitation":"(3)"},"properties":{"noteIndex":0},"schema":"https://github.com/citation-style-language/schema/raw/master/csl-citation.json"}</w:instrText>
      </w:r>
      <w:r w:rsidR="002F7550" w:rsidRPr="00021272">
        <w:rPr>
          <w:rFonts w:ascii="Arial" w:hAnsi="Arial" w:cs="Arial"/>
          <w:sz w:val="24"/>
          <w:szCs w:val="24"/>
        </w:rPr>
        <w:fldChar w:fldCharType="separate"/>
      </w:r>
      <w:r w:rsidR="0032390D" w:rsidRPr="0032390D">
        <w:rPr>
          <w:rFonts w:ascii="Arial" w:hAnsi="Arial" w:cs="Arial"/>
          <w:noProof/>
          <w:sz w:val="24"/>
          <w:szCs w:val="24"/>
        </w:rPr>
        <w:t>(3)</w:t>
      </w:r>
      <w:r w:rsidR="002F7550" w:rsidRPr="00021272">
        <w:rPr>
          <w:rFonts w:ascii="Arial" w:hAnsi="Arial" w:cs="Arial"/>
          <w:sz w:val="24"/>
          <w:szCs w:val="24"/>
        </w:rPr>
        <w:fldChar w:fldCharType="end"/>
      </w:r>
      <w:r w:rsidRPr="00021272">
        <w:rPr>
          <w:rFonts w:ascii="Arial" w:hAnsi="Arial" w:cs="Arial"/>
          <w:sz w:val="24"/>
          <w:szCs w:val="24"/>
        </w:rPr>
        <w:t>.</w:t>
      </w:r>
      <w:r w:rsidR="002F7550" w:rsidRPr="00021272">
        <w:rPr>
          <w:rFonts w:ascii="Arial" w:hAnsi="Arial" w:cs="Arial"/>
          <w:sz w:val="24"/>
          <w:szCs w:val="24"/>
        </w:rPr>
        <w:t xml:space="preserve"> </w:t>
      </w:r>
      <w:r w:rsidR="00431B1A" w:rsidRPr="00021272">
        <w:rPr>
          <w:rFonts w:ascii="Arial" w:hAnsi="Arial" w:cs="Arial"/>
          <w:sz w:val="24"/>
          <w:szCs w:val="24"/>
        </w:rPr>
        <w:t>Despite this the uptake of vaccination has often been suboptimal</w:t>
      </w:r>
      <w:r w:rsidR="003B6908">
        <w:rPr>
          <w:rFonts w:ascii="Arial" w:hAnsi="Arial" w:cs="Arial"/>
          <w:sz w:val="24"/>
          <w:szCs w:val="24"/>
        </w:rPr>
        <w:t xml:space="preserve"> </w:t>
      </w:r>
      <w:r w:rsidR="00431B1A" w:rsidRPr="00021272">
        <w:rPr>
          <w:rFonts w:ascii="Arial" w:hAnsi="Arial" w:cs="Arial"/>
          <w:sz w:val="24"/>
          <w:szCs w:val="24"/>
        </w:rPr>
        <w:fldChar w:fldCharType="begin" w:fldLock="1"/>
      </w:r>
      <w:r w:rsidR="00EB18A3">
        <w:rPr>
          <w:rFonts w:ascii="Arial" w:hAnsi="Arial" w:cs="Arial"/>
          <w:sz w:val="24"/>
          <w:szCs w:val="24"/>
        </w:rPr>
        <w:instrText>ADDIN CSL_CITATION {"citationItems":[{"id":"ITEM-1","itemData":{"DOI":"10.7861/clinmedicine.11-3-301","ISSN":"1470-2118","PMID":"21902095","author":[{"dropping-particle":"","family":"Hanna","given":"M","non-dropping-particle":"","parse-names":false,"suffix":""},{"dropping-particle":"","family":"Poullis","given":"A","non-dropping-particle":"","parse-names":false,"suffix":""}],"container-title":"Clinical medicine (London, England)","id":"ITEM-1","issue":"3","issued":{"date-parts":[["2011","6"]]},"page":"301","title":"Sub-optimal H1N1 vaccine uptake by immunocompromised inflammatory bowel disease patients.","type":"article-journal","volume":"11"},"uris":["http://www.mendeley.com/documents/?uuid=67297adb-ffdf-425a-8772-2c3b48569b39"]},{"id":"ITEM-2","itemData":{"DOI":"10.1016/j.crohns.2011.12.013","ISSN":"18739946","PMID":"22398092","abstract":"Background: There is no information as to the extent by which Spanish gastroenterologists adhere to Crohn's disease (CD) management guidelines. The objective of this study was to evaluate the degree of adherence of Spanish gastroenterologists to the European Crohn's and Colitis Organisation (ECCO) guidelines and to determine whether differences in adherence exist between gastroenterologists specialized in inflammatory bowel diseases (GSIBDs) and general gastroenterologists (GGs). Methods: This was a prospective, nation-wide, questionnaire-based survey covering aspects related to diagnosis, treatment, follow-up, and safety considered by the physicians in their daily management of CD, as well as demographic traits seen in clinical practice. Results: The overall degree of adherence to guidelines by both GSIBDs and GGs was high. However, the use of imaging techniques in diagnosis, follow-up, and in relapsed patients differed between the two groups. In the diagnosis of perianal disease, GSIBDs used magnetic resonance and surgical exploration under anesthesia more frequently than GGs. In terms of therapeutic choices, the adherence to guidelines was good in both groups. However, GSIBDs showed significantly higher adherence in some areas: thiopurines were used less in refractory cases and methotrexate was used more commonly in corticoid-dependent, azathioprine-intolerant patients, and in patients under biological treatment. Request for infection studies and vaccinations at diagnosis or prior to treatment was more common among GSIBDs. Conclusions: Guideline adherence among Spanish gastroenterologists is high. However, there are significant differences between IBD-specialized (more adherent in general) and non-specialized gastroenterologists. © 2012 European Crohn's and Colitis Organisation.","author":[{"dropping-particle":"","family":"Hinojosa","given":"J.","non-dropping-particle":"","parse-names":false,"suffix":""},{"dropping-particle":"","family":"Gisbert","given":"J. P.","non-dropping-particle":"","parse-names":false,"suffix":""},{"dropping-particle":"","family":"Gomollón","given":"F.","non-dropping-particle":"","parse-names":false,"suffix":""},{"dropping-particle":"","family":"López San Román","given":"A.","non-dropping-particle":"","parse-names":false,"suffix":""}],"container-title":"Journal of Crohn's and Colitis","id":"ITEM-2","issue":"7","issued":{"date-parts":[["2012"]]},"page":"763-770","publisher":"European Crohn's and Colitis Organisation","title":"Adherence of gastroenterologists to European Crohn's and Colitis Organisation Consensus on Crohn's disease: A real-life survey in Spain","type":"article-journal","volume":"6"},"uris":["http://www.mendeley.com/documents/?uuid=701486bf-caf8-4b9c-bc5d-936a84705791"]},{"id":"ITEM-3","itemData":{"ISSN":"15547914","abstract":"Patients with inflammatory bowel disease (IBD) are at an increased risk for vaccine-preventable illnesses, such as pneumococcal pneumonia and influenza. We hypothesized that a patient-directed educational program would increase vaccination rates of patients with IBD. We developed a written educational form that was given to all patients over a 15-month period. The form included information about the importance of vaccination and asked patients about their vaccination status. If patients indicated that they were not vaccinated, they were offered a vaccination at the time of their visit. For influenza, the vaccination rates during 3 seasons were compared. For pneumococcal pneumonia, the vaccination rates during a 6-month period before the introduction of the educational program and the rates during the 15-month period after implementation of the intervention were compared. Our form increased the percentage of patients who reported having an influenza vaccination (23% vs 47%; P&lt;.001) and the percentage of patients who reported having a pneumococcal pneumonia vaccination (21% vs 32%; P&lt;.001). We concluded that a simple written educational form designed to assess vaccination status and enable providers to offer same-day influenza and pneumococcal pneumonia vaccinations resulted in a significant increase in influenza and pneumococcal pneumonia vaccination rates among patients in an IBD specialty clinic.","author":[{"dropping-particle":"","family":"Reich","given":"Jason S.","non-dropping-particle":"","parse-names":false,"suffix":""},{"dropping-particle":"","family":"Miller","given":"Hannah L.","non-dropping-particle":"","parse-names":false,"suffix":""},{"dropping-particle":"","family":"Wasan","given":"Sharmeel K.","non-dropping-particle":"","parse-names":false,"suffix":""},{"dropping-particle":"","family":"Noronha","given":"Ansu","non-dropping-particle":"","parse-names":false,"suffix":""},{"dropping-particle":"","family":"Ardagna","given":"Eileen","non-dropping-particle":"","parse-names":false,"suffix":""},{"dropping-particle":"","family":"Sullivan","given":"Kathleen","non-dropping-particle":"","parse-names":false,"suffix":""},{"dropping-particle":"","family":"Jacobson","given":"Brian","non-dropping-particle":"","parse-names":false,"suffix":""},{"dropping-particle":"","family":"Farraye","given":"Francis A.","non-dropping-particle":"","parse-names":false,"suffix":""}],"container-title":"Gastroenterology and Hepatology","id":"ITEM-3","issue":"6","issued":{"date-parts":[["2015"]]},"page":"396-401","title":"Influenza and pneumococcal vaccination rates in patients with inflammatory bowel disease","type":"article-journal","volume":"11"},"uris":["http://www.mendeley.com/documents/?uuid=fc2c81ef-d78e-4af2-afce-6b2a626ac840"]},{"id":"ITEM-4","itemData":{"DOI":"10.1097/01.MIB.0000437737.68841.87","ISBN":"8586542555","ISSN":"1536-4844","PMID":"24374881","abstract":"BACKGROUND Immunosuppressive agents used to treat inflammatory bowel disease (IBD) can increase the risk for infections, several of which are preventable through vaccination. Our study aimed to describe vaccine utilization by immunosuppression status, examine reasons for vaccine refusal, and identify characteristics associated with lack of influenza vaccination in patients with IBD. METHODS We administered an online survey between February 2012 and April 2012 to an internet-based cohort of patients with IBD in the Crohn's and Colitis Foundation of America Partners program. RESULTS During this time, 958 individuals completed the survey. The median age was 45, 72.8% were female, and 62.0% had Crohn's disease. Self-reported vaccination rates were low. Those on immunosuppression (n = 514) were more likely to be counseled to avoid live vaccines (P &lt; 0.01). However, counseling rates were low (3.5%-19.1% for various live vaccines). Among the 776 individuals who received the influenza vaccine, maintaining health (74.1%), importance of prevention (66.1%), and provider recommendation (38%) were the most frequently cited motivations. Factors associated with lack of influenza vaccine included lower education level (P = 0.01), younger age (P = 0.02), and no chronic immunosuppression use (P &lt; 0.01). Five hundred seventy (59.5%) individuals thought that patients were responsible for keeping track of their vaccines, whereas 428 (44.7%) placed responsibility on their gastroenterologist and 595 (62.1%) on their primary care physician. CONCLUSIONS Vaccine utilization remains suboptimal in patients with IBD. Educational interventions may increase vaccination rates by clarifying misconceptions. Gastroenterologists can play a more active role in health care maintenance in patients with IBD by counseling patients on which vaccines to receive or avoid.","author":[{"dropping-particle":"","family":"Wasan","given":"Sharmeel K.","non-dropping-particle":"","parse-names":false,"suffix":""},{"dropping-particle":"","family":"Calderwood","given":"Audrey H.","non-dropping-particle":"","parse-names":false,"suffix":""},{"dropping-particle":"","family":"Long","given":"Millie D.","non-dropping-particle":"","parse-names":false,"suffix":""},{"dropping-particle":"","family":"Kappelman","given":"Michael D.","non-dropping-particle":"","parse-names":false,"suffix":""},{"dropping-particle":"","family":"Sandler","given":"Robert S.","non-dropping-particle":"","parse-names":false,"suffix":""},{"dropping-particle":"","family":"Farraye","given":"Francis A.","non-dropping-particle":"","parse-names":false,"suffix":""}],"container-title":"Inflammatory bowel diseases","id":"ITEM-4","issue":"2","issued":{"date-parts":[["2014","2"]]},"page":"246-50","title":"Immunization rates and vaccine beliefs among patients with inflammatory bowel disease: an opportunity for improvement.","type":"article-journal","volume":"20"},"uris":["http://www.mendeley.com/documents/?uuid=26bb1b9e-db7e-499e-9a37-c3e4b56e9871"]}],"mendeley":{"formattedCitation":"(4–7)","plainTextFormattedCitation":"(4–7)","previouslyFormattedCitation":"(4–7)"},"properties":{"noteIndex":0},"schema":"https://github.com/citation-style-language/schema/raw/master/csl-citation.json"}</w:instrText>
      </w:r>
      <w:r w:rsidR="00431B1A" w:rsidRPr="00021272">
        <w:rPr>
          <w:rFonts w:ascii="Arial" w:hAnsi="Arial" w:cs="Arial"/>
          <w:sz w:val="24"/>
          <w:szCs w:val="24"/>
        </w:rPr>
        <w:fldChar w:fldCharType="separate"/>
      </w:r>
      <w:r w:rsidR="0032390D" w:rsidRPr="0032390D">
        <w:rPr>
          <w:rFonts w:ascii="Arial" w:hAnsi="Arial" w:cs="Arial"/>
          <w:noProof/>
          <w:sz w:val="24"/>
          <w:szCs w:val="24"/>
        </w:rPr>
        <w:t>(4–7)</w:t>
      </w:r>
      <w:r w:rsidR="00431B1A" w:rsidRPr="00021272">
        <w:rPr>
          <w:rFonts w:ascii="Arial" w:hAnsi="Arial" w:cs="Arial"/>
          <w:sz w:val="24"/>
          <w:szCs w:val="24"/>
        </w:rPr>
        <w:fldChar w:fldCharType="end"/>
      </w:r>
      <w:r w:rsidR="00431B1A" w:rsidRPr="00021272">
        <w:rPr>
          <w:rFonts w:ascii="Arial" w:hAnsi="Arial" w:cs="Arial"/>
          <w:sz w:val="24"/>
          <w:szCs w:val="24"/>
        </w:rPr>
        <w:t>.</w:t>
      </w:r>
      <w:r w:rsidR="00DE0A9E">
        <w:rPr>
          <w:rFonts w:ascii="Arial" w:hAnsi="Arial" w:cs="Arial"/>
          <w:sz w:val="24"/>
          <w:szCs w:val="24"/>
        </w:rPr>
        <w:t xml:space="preserve">  With rates of vaccination at 60-80% being reported</w:t>
      </w:r>
      <w:r w:rsidR="00431B1A" w:rsidRPr="00021272">
        <w:rPr>
          <w:rFonts w:ascii="Arial" w:hAnsi="Arial" w:cs="Arial"/>
          <w:sz w:val="24"/>
          <w:szCs w:val="24"/>
        </w:rPr>
        <w:t xml:space="preserve"> </w:t>
      </w:r>
      <w:r w:rsidR="00DE0A9E">
        <w:rPr>
          <w:rFonts w:ascii="Arial" w:hAnsi="Arial" w:cs="Arial"/>
          <w:sz w:val="24"/>
          <w:szCs w:val="24"/>
        </w:rPr>
        <w:t>seasonal flu vaccine is relatively well accepted, but one UK hospital reported only 32.5% vaccinated during the H1N1 pandemic of 2009</w:t>
      </w:r>
      <w:r w:rsidR="003B6908">
        <w:rPr>
          <w:rFonts w:ascii="Arial" w:hAnsi="Arial" w:cs="Arial"/>
          <w:sz w:val="24"/>
          <w:szCs w:val="24"/>
        </w:rPr>
        <w:t xml:space="preserve"> </w:t>
      </w:r>
      <w:r w:rsidR="00DE0A9E">
        <w:rPr>
          <w:rFonts w:ascii="Arial" w:hAnsi="Arial" w:cs="Arial"/>
          <w:sz w:val="24"/>
          <w:szCs w:val="24"/>
        </w:rPr>
        <w:fldChar w:fldCharType="begin" w:fldLock="1"/>
      </w:r>
      <w:r w:rsidR="00EB18A3">
        <w:rPr>
          <w:rFonts w:ascii="Arial" w:hAnsi="Arial" w:cs="Arial"/>
          <w:sz w:val="24"/>
          <w:szCs w:val="24"/>
        </w:rPr>
        <w:instrText>ADDIN CSL_CITATION {"citationItems":[{"id":"ITEM-1","itemData":{"DOI":"10.7861/clinmedicine.11-3-301","ISSN":"1470-2118","PMID":"21902095","author":[{"dropping-particle":"","family":"Hanna","given":"M","non-dropping-particle":"","parse-names":false,"suffix":""},{"dropping-particle":"","family":"Poullis","given":"A","non-dropping-particle":"","parse-names":false,"suffix":""}],"container-title":"Clinical medicine (London, England)","id":"ITEM-1","issue":"3","issued":{"date-parts":[["2011","6"]]},"page":"301","title":"Sub-optimal H1N1 vaccine uptake by immunocompromised inflammatory bowel disease patients.","type":"article-journal","volume":"11"},"uris":["http://www.mendeley.com/documents/?uuid=67297adb-ffdf-425a-8772-2c3b48569b39"]}],"mendeley":{"formattedCitation":"(4)","plainTextFormattedCitation":"(4)","previouslyFormattedCitation":"(4)"},"properties":{"noteIndex":0},"schema":"https://github.com/citation-style-language/schema/raw/master/csl-citation.json"}</w:instrText>
      </w:r>
      <w:r w:rsidR="00DE0A9E">
        <w:rPr>
          <w:rFonts w:ascii="Arial" w:hAnsi="Arial" w:cs="Arial"/>
          <w:sz w:val="24"/>
          <w:szCs w:val="24"/>
        </w:rPr>
        <w:fldChar w:fldCharType="separate"/>
      </w:r>
      <w:r w:rsidR="0032390D" w:rsidRPr="0032390D">
        <w:rPr>
          <w:rFonts w:ascii="Arial" w:hAnsi="Arial" w:cs="Arial"/>
          <w:noProof/>
          <w:sz w:val="24"/>
          <w:szCs w:val="24"/>
        </w:rPr>
        <w:t>(4)</w:t>
      </w:r>
      <w:r w:rsidR="00DE0A9E">
        <w:rPr>
          <w:rFonts w:ascii="Arial" w:hAnsi="Arial" w:cs="Arial"/>
          <w:sz w:val="24"/>
          <w:szCs w:val="24"/>
        </w:rPr>
        <w:fldChar w:fldCharType="end"/>
      </w:r>
      <w:r w:rsidR="00DE0A9E">
        <w:rPr>
          <w:rFonts w:ascii="Arial" w:hAnsi="Arial" w:cs="Arial"/>
          <w:sz w:val="24"/>
          <w:szCs w:val="24"/>
        </w:rPr>
        <w:t>, and less than 50% have been recorded as receiving Hepatitis B or pneumococcal vaccines as recommended</w:t>
      </w:r>
      <w:r w:rsidR="003B6908">
        <w:rPr>
          <w:rFonts w:ascii="Arial" w:hAnsi="Arial" w:cs="Arial"/>
          <w:sz w:val="24"/>
          <w:szCs w:val="24"/>
        </w:rPr>
        <w:t xml:space="preserve"> </w:t>
      </w:r>
      <w:r w:rsidR="00DE0A9E">
        <w:rPr>
          <w:rFonts w:ascii="Arial" w:hAnsi="Arial" w:cs="Arial"/>
          <w:sz w:val="24"/>
          <w:szCs w:val="24"/>
        </w:rPr>
        <w:fldChar w:fldCharType="begin" w:fldLock="1"/>
      </w:r>
      <w:r w:rsidR="00EB18A3">
        <w:rPr>
          <w:rFonts w:ascii="Arial" w:hAnsi="Arial" w:cs="Arial"/>
          <w:sz w:val="24"/>
          <w:szCs w:val="24"/>
        </w:rPr>
        <w:instrText>ADDIN CSL_CITATION {"citationItems":[{"id":"ITEM-1","itemData":{"DOI":"10.1097/01.MIB.0000437737.68841.87","ISBN":"8586542555","ISSN":"1536-4844","PMID":"24374881","abstract":"BACKGROUND Immunosuppressive agents used to treat inflammatory bowel disease (IBD) can increase the risk for infections, several of which are preventable through vaccination. Our study aimed to describe vaccine utilization by immunosuppression status, examine reasons for vaccine refusal, and identify characteristics associated with lack of influenza vaccination in patients with IBD. METHODS We administered an online survey between February 2012 and April 2012 to an internet-based cohort of patients with IBD in the Crohn's and Colitis Foundation of America Partners program. RESULTS During this time, 958 individuals completed the survey. The median age was 45, 72.8% were female, and 62.0% had Crohn's disease. Self-reported vaccination rates were low. Those on immunosuppression (n = 514) were more likely to be counseled to avoid live vaccines (P &lt; 0.01). However, counseling rates were low (3.5%-19.1% for various live vaccines). Among the 776 individuals who received the influenza vaccine, maintaining health (74.1%), importance of prevention (66.1%), and provider recommendation (38%) were the most frequently cited motivations. Factors associated with lack of influenza vaccine included lower education level (P = 0.01), younger age (P = 0.02), and no chronic immunosuppression use (P &lt; 0.01). Five hundred seventy (59.5%) individuals thought that patients were responsible for keeping track of their vaccines, whereas 428 (44.7%) placed responsibility on their gastroenterologist and 595 (62.1%) on their primary care physician. CONCLUSIONS Vaccine utilization remains suboptimal in patients with IBD. Educational interventions may increase vaccination rates by clarifying misconceptions. Gastroenterologists can play a more active role in health care maintenance in patients with IBD by counseling patients on which vaccines to receive or avoid.","author":[{"dropping-particle":"","family":"Wasan","given":"Sharmeel K.","non-dropping-particle":"","parse-names":false,"suffix":""},{"dropping-particle":"","family":"Calderwood","given":"Audrey H.","non-dropping-particle":"","parse-names":false,"suffix":""},{"dropping-particle":"","family":"Long","given":"Millie D.","non-dropping-particle":"","parse-names":false,"suffix":""},{"dropping-particle":"","family":"Kappelman","given":"Michael D.","non-dropping-particle":"","parse-names":false,"suffix":""},{"dropping-particle":"","family":"Sandler","given":"Robert S.","non-dropping-particle":"","parse-names":false,"suffix":""},{"dropping-particle":"","family":"Farraye","given":"Francis A.","non-dropping-particle":"","parse-names":false,"suffix":""}],"container-title":"Inflammatory bowel diseases","id":"ITEM-1","issue":"2","issued":{"date-parts":[["2014","2"]]},"page":"246-50","title":"Immunization rates and vaccine beliefs among patients with inflammatory bowel disease: an opportunity for improvement.","type":"article-journal","volume":"20"},"uris":["http://www.mendeley.com/documents/?uuid=26bb1b9e-db7e-499e-9a37-c3e4b56e9871"]}],"mendeley":{"formattedCitation":"(7)","plainTextFormattedCitation":"(7)","previouslyFormattedCitation":"(7)"},"properties":{"noteIndex":0},"schema":"https://github.com/citation-style-language/schema/raw/master/csl-citation.json"}</w:instrText>
      </w:r>
      <w:r w:rsidR="00DE0A9E">
        <w:rPr>
          <w:rFonts w:ascii="Arial" w:hAnsi="Arial" w:cs="Arial"/>
          <w:sz w:val="24"/>
          <w:szCs w:val="24"/>
        </w:rPr>
        <w:fldChar w:fldCharType="separate"/>
      </w:r>
      <w:r w:rsidR="0032390D" w:rsidRPr="0032390D">
        <w:rPr>
          <w:rFonts w:ascii="Arial" w:hAnsi="Arial" w:cs="Arial"/>
          <w:noProof/>
          <w:sz w:val="24"/>
          <w:szCs w:val="24"/>
        </w:rPr>
        <w:t>(7)</w:t>
      </w:r>
      <w:r w:rsidR="00DE0A9E">
        <w:rPr>
          <w:rFonts w:ascii="Arial" w:hAnsi="Arial" w:cs="Arial"/>
          <w:sz w:val="24"/>
          <w:szCs w:val="24"/>
        </w:rPr>
        <w:fldChar w:fldCharType="end"/>
      </w:r>
      <w:r w:rsidR="00DE0A9E">
        <w:rPr>
          <w:rFonts w:ascii="Arial" w:hAnsi="Arial" w:cs="Arial"/>
          <w:sz w:val="24"/>
          <w:szCs w:val="24"/>
        </w:rPr>
        <w:t xml:space="preserve">. </w:t>
      </w:r>
      <w:r w:rsidR="00D450D6" w:rsidRPr="00021272">
        <w:rPr>
          <w:rFonts w:ascii="Arial" w:hAnsi="Arial" w:cs="Arial"/>
          <w:sz w:val="24"/>
          <w:szCs w:val="24"/>
        </w:rPr>
        <w:t>A variety of reasons for this have been proposed and have included worries about safety and the risk of IBD flare</w:t>
      </w:r>
      <w:r w:rsidR="00A628B0">
        <w:rPr>
          <w:rFonts w:ascii="Arial" w:hAnsi="Arial" w:cs="Arial"/>
          <w:sz w:val="24"/>
          <w:szCs w:val="24"/>
        </w:rPr>
        <w:t xml:space="preserve"> demonstrated by surveys of patients</w:t>
      </w:r>
      <w:r w:rsidR="003B6908">
        <w:rPr>
          <w:rFonts w:ascii="Arial" w:hAnsi="Arial" w:cs="Arial"/>
          <w:sz w:val="24"/>
          <w:szCs w:val="24"/>
        </w:rPr>
        <w:t xml:space="preserve"> </w:t>
      </w:r>
      <w:r w:rsidR="00D450D6" w:rsidRPr="00021272">
        <w:rPr>
          <w:rFonts w:ascii="Arial" w:hAnsi="Arial" w:cs="Arial"/>
          <w:sz w:val="24"/>
          <w:szCs w:val="24"/>
        </w:rPr>
        <w:fldChar w:fldCharType="begin" w:fldLock="1"/>
      </w:r>
      <w:r w:rsidR="00EB18A3">
        <w:rPr>
          <w:rFonts w:ascii="Arial" w:hAnsi="Arial" w:cs="Arial"/>
          <w:sz w:val="24"/>
          <w:szCs w:val="24"/>
        </w:rPr>
        <w:instrText>ADDIN CSL_CITATION {"citationItems":[{"id":"ITEM-1","itemData":{"DOI":"10.1093/ibd/izab266","ISSN":"1536-4844","PMID":"34849941","abstract":"BACKGROUND Patients with inflammatory bowel disease (IBD) have low vaccination rates for vaccine-preventable diseases. Fear of adverse reactions (AEs) appear to negatively affect vaccination efforts. We aimed to systemically review the risks for AEs following immunization for patients with IBD. METHODS We searched PubMed and Embase until April 15, 2020, for studies evaluating the safety of vaccinations among patients with IBD. The primary outcome was the incidence of systemic and local AEs among vaccinated patients. Secondary outcome was the rate of IBD flare following immunization. We utilized a random effects meta-analysis of proportions using the DerSimonian-Laird approach to estimate the safety of immunizations. RESULTS A total of 13 studies with 2116 patients was included in our analysis after fulfilling our inclusion criteria. Seven studies examined the influenza vaccine, 4 the pneumococcal vaccine, 1 the recombinant zoster vaccine, and 1 the hepatitis B vaccine. Follow-up of patients was up to 6 months. The majority of AEs were local, with a pooled incidence of 24% (95% CI, 9%-42%) for all vaccines. Systemic AEs were mostly mild, without resulting in hospitalizations or deaths, with a pooled incidence of 16% (95% CI, 6%-29%) for all vaccines. Flare of inflammatory bowel disease after vaccination found with a pooled incidence of 2% (95% CI, 1%-4%) and we include in the analysis data from all immunizations examined. DISCUSSION Our study demonstrated that AEs after vaccination are mainly local or mildly systemic and do not differ significantly from the expected AE after recommended immunizations for the general population. Thus, gastroenterologists should reinforce that vaccines are safe in patients with IBD.","author":[{"dropping-particle":"","family":"Desalermos","given":"Athanasios","non-dropping-particle":"","parse-names":false,"suffix":""},{"dropping-particle":"","family":"Pimienta","given":"Michael","non-dropping-particle":"","parse-names":false,"suffix":""},{"dropping-particle":"","family":"Kalligeros","given":"Markos","non-dropping-particle":"","parse-names":false,"suffix":""},{"dropping-particle":"","family":"Shehadeh","given":"Fadi","non-dropping-particle":"","parse-names":false,"suffix":""},{"dropping-particle":"","family":"Diamantopoulos","given":"Leonidas","non-dropping-particle":"","parse-names":false,"suffix":""},{"dropping-particle":"","family":"Karamanolis","given":"George","non-dropping-particle":"","parse-names":false,"suffix":""},{"dropping-particle":"","family":"Caldera","given":"Freddy","non-dropping-particle":"","parse-names":false,"suffix":""},{"dropping-particle":"","family":"Farraye","given":"Francis A.","non-dropping-particle":"","parse-names":false,"suffix":""}],"container-title":"Inflammatory bowel diseases","id":"ITEM-1","issued":{"date-parts":[["2021","11","24"]]},"title":"Safety of Immunizations for the Adult Patient With Inflammatory Bowel Disease-A Systematic Review and Meta-analysis.","type":"article-journal"},"uris":["http://www.mendeley.com/documents/?uuid=7b45e91b-eff4-47fa-ba74-857016005794"]}],"mendeley":{"formattedCitation":"(8)","plainTextFormattedCitation":"(8)","previouslyFormattedCitation":"(8)"},"properties":{"noteIndex":0},"schema":"https://github.com/citation-style-language/schema/raw/master/csl-citation.json"}</w:instrText>
      </w:r>
      <w:r w:rsidR="00D450D6" w:rsidRPr="00021272">
        <w:rPr>
          <w:rFonts w:ascii="Arial" w:hAnsi="Arial" w:cs="Arial"/>
          <w:sz w:val="24"/>
          <w:szCs w:val="24"/>
        </w:rPr>
        <w:fldChar w:fldCharType="separate"/>
      </w:r>
      <w:r w:rsidR="0032390D" w:rsidRPr="0032390D">
        <w:rPr>
          <w:rFonts w:ascii="Arial" w:hAnsi="Arial" w:cs="Arial"/>
          <w:noProof/>
          <w:sz w:val="24"/>
          <w:szCs w:val="24"/>
        </w:rPr>
        <w:t>(8)</w:t>
      </w:r>
      <w:r w:rsidR="00D450D6" w:rsidRPr="00021272">
        <w:rPr>
          <w:rFonts w:ascii="Arial" w:hAnsi="Arial" w:cs="Arial"/>
          <w:sz w:val="24"/>
          <w:szCs w:val="24"/>
        </w:rPr>
        <w:fldChar w:fldCharType="end"/>
      </w:r>
      <w:r w:rsidR="00D450D6" w:rsidRPr="00021272">
        <w:rPr>
          <w:rFonts w:ascii="Arial" w:hAnsi="Arial" w:cs="Arial"/>
          <w:sz w:val="24"/>
          <w:szCs w:val="24"/>
        </w:rPr>
        <w:t xml:space="preserve">. </w:t>
      </w:r>
      <w:r w:rsidR="00431B1A" w:rsidRPr="00021272">
        <w:rPr>
          <w:rFonts w:ascii="Arial" w:hAnsi="Arial" w:cs="Arial"/>
          <w:sz w:val="24"/>
          <w:szCs w:val="24"/>
        </w:rPr>
        <w:t xml:space="preserve">This has led to interest in the safety of vaccinations in </w:t>
      </w:r>
      <w:r w:rsidR="00123942">
        <w:rPr>
          <w:rFonts w:ascii="Arial" w:hAnsi="Arial" w:cs="Arial"/>
          <w:sz w:val="24"/>
          <w:szCs w:val="24"/>
        </w:rPr>
        <w:t xml:space="preserve">people with </w:t>
      </w:r>
      <w:r w:rsidR="00431B1A" w:rsidRPr="00021272">
        <w:rPr>
          <w:rFonts w:ascii="Arial" w:hAnsi="Arial" w:cs="Arial"/>
          <w:sz w:val="24"/>
          <w:szCs w:val="24"/>
        </w:rPr>
        <w:t>IBD</w:t>
      </w:r>
      <w:r w:rsidR="00123942">
        <w:rPr>
          <w:rFonts w:ascii="Arial" w:hAnsi="Arial" w:cs="Arial"/>
          <w:sz w:val="24"/>
          <w:szCs w:val="24"/>
        </w:rPr>
        <w:t>,</w:t>
      </w:r>
      <w:r w:rsidR="00431B1A" w:rsidRPr="00021272">
        <w:rPr>
          <w:rFonts w:ascii="Arial" w:hAnsi="Arial" w:cs="Arial"/>
          <w:sz w:val="24"/>
          <w:szCs w:val="24"/>
        </w:rPr>
        <w:t xml:space="preserve"> with specific reference to their effect upon </w:t>
      </w:r>
      <w:r w:rsidR="003B6908">
        <w:rPr>
          <w:rFonts w:ascii="Arial" w:hAnsi="Arial" w:cs="Arial"/>
          <w:sz w:val="24"/>
          <w:szCs w:val="24"/>
        </w:rPr>
        <w:t xml:space="preserve">disease activity </w:t>
      </w:r>
      <w:r w:rsidR="00431B1A" w:rsidRPr="00021272">
        <w:rPr>
          <w:rFonts w:ascii="Arial" w:hAnsi="Arial" w:cs="Arial"/>
          <w:sz w:val="24"/>
          <w:szCs w:val="24"/>
        </w:rPr>
        <w:fldChar w:fldCharType="begin" w:fldLock="1"/>
      </w:r>
      <w:r w:rsidR="00EB18A3">
        <w:rPr>
          <w:rFonts w:ascii="Arial" w:hAnsi="Arial" w:cs="Arial"/>
          <w:sz w:val="24"/>
          <w:szCs w:val="24"/>
        </w:rPr>
        <w:instrText>ADDIN CSL_CITATION {"citationItems":[{"id":"ITEM-1","itemData":{"DOI":"10.1136/gut.2010.233981","ISSN":"1468-3288","PMID":"21270121","abstract":"BACKGROUND Safety data are lacking on influenza vaccination in general and on A (H1N1)v vaccination in particular in patients with inflammatory bowel disease (IBD) receiving immmunomodulators and/or biological therapy. AIMS AND METHODS The authors conducted a multicentre observational cohort study to evaluate symptoms associated with influenza H1N1 adjuvanted (Pandemrix, Focetria, FluvalP) and non-adjuvanted (Celvapan) vaccines and to assess the risk of flare of IBD after vaccination. Patients with stable IBD treated with immunomodulators and/or biological therapy were recruited from November 2009 until March 2010 in 12 European countries. Harvey-Bradshaw Index and Partial Mayo Score were used to assess disease activity before and 4 weeks after vaccination in Crohn's disease (CD) and ulcerative colitis (UC). Vaccination-related events up to 7 days after vaccination were recorded. RESULTS Of 575 patients enrolled (407 CD, 159 UC and nine indeterminate colitis; 53.9% female; mean age 40.3 years, SD 13.9), local and systemic symptoms were reported by 34.6% and 15.5% of patients, respectively. The most common local and systemic reactions were pain in 32.8% and fatigue in 6.1% of subjects. Local symptoms were more common with adjuvanted (39.3%) than non-adjuvanted (3.9%) vaccines (p &lt; 0.0001), whereas rates of systemic symptoms were similar with both types (15.0% vs 18.4%, p = 0.44). Among the adjuvanted group, Pandemrix more often induced local reactions than FluvalP and Focetria (51.2% vs 27.6% and 15.4%, p &lt; 0.0001). Solicited adverse events were not associated with any patient characteristics, specific immunomodulatory treatment, or biological therapy. Four weeks after vaccination, absence of flare was observed in 377 patients with CD (96.7%) and 151 with UC (95.6%). CONCLUSION Influenza A (H1N1)v vaccines are well tolerated in patients with IBD. Non-adjuvanted vaccines are associated with fewer local reactions. The risk of IBD flare is probably not increased after H1N1 vaccination.","author":[{"dropping-particle":"","family":"Rahier","given":"Jean-François","non-dropping-particle":"","parse-names":false,"suffix":""},{"dropping-particle":"","family":"Papay","given":"Pavol","non-dropping-particle":"","parse-names":false,"suffix":""},{"dropping-particle":"","family":"Salleron","given":"Julia","non-dropping-particle":"","parse-names":false,"suffix":""},{"dropping-particle":"","family":"Sebastian","given":"Shaji","non-dropping-particle":"","parse-names":false,"suffix":""},{"dropping-particle":"","family":"Marzo","given":"Manuela","non-dropping-particle":"","parse-names":false,"suffix":""},{"dropping-particle":"","family":"Peyrin-Biroulet","given":"Laurent","non-dropping-particle":"","parse-names":false,"suffix":""},{"dropping-particle":"","family":"Garcia-Sanchez","given":"Valle","non-dropping-particle":"","parse-names":false,"suffix":""},{"dropping-particle":"","family":"Fries","given":"Walter","non-dropping-particle":"","parse-names":false,"suffix":""},{"dropping-particle":"","family":"Asseldonk","given":"Dirk P.","non-dropping-particle":"van","parse-names":false,"suffix":""},{"dropping-particle":"","family":"Farkas","given":"Klaudia","non-dropping-particle":"","parse-names":false,"suffix":""},{"dropping-particle":"","family":"Boer","given":"Nanne K.","non-dropping-particle":"de","parse-names":false,"suffix":""},{"dropping-particle":"","family":"Sipponen","given":"Taina","non-dropping-particle":"","parse-names":false,"suffix":""},{"dropping-particle":"","family":"Ellul","given":"Pierre","non-dropping-particle":"","parse-names":false,"suffix":""},{"dropping-particle":"","family":"Louis","given":"Edouard","non-dropping-particle":"","parse-names":false,"suffix":""},{"dropping-particle":"","family":"Peake","given":"Simon T. C.","non-dropping-particle":"","parse-names":false,"suffix":""},{"dropping-particle":"","family":"Kopylov","given":"Uri","non-dropping-particle":"","parse-names":false,"suffix":""},{"dropping-particle":"","family":"Maul","given":"Jochen","non-dropping-particle":"","parse-names":false,"suffix":""},{"dropping-particle":"","family":"Makhoul","given":"Badira","non-dropping-particle":"","parse-names":false,"suffix":""},{"dropping-particle":"","family":"Fiorino","given":"Gionata","non-dropping-particle":"","parse-names":false,"suffix":""},{"dropping-particle":"","family":"Yazdanpanah","given":"Yazdan","non-dropping-particle":"","parse-names":false,"suffix":""},{"dropping-particle":"","family":"Chaparro","given":"Maria","non-dropping-particle":"","parse-names":false,"suffix":""},{"dropping-particle":"","family":"European Crohn's and Colitis Organisation (ECCO)","given":"","non-dropping-particle":"","parse-names":false,"suffix":""}],"container-title":"Gut","id":"ITEM-1","issue":"4","issued":{"date-parts":[["2011","4","1"]]},"page":"456-62","title":"H1N1 vaccines in a large observational cohort of patients with inflammatory bowel disease treated with immunomodulators and biological therapy.","type":"article-journal","volume":"60"},"uris":["http://www.mendeley.com/documents/?uuid=42fa4b07-6a72-4472-89c5-93a1f43d1c32"]}],"mendeley":{"formattedCitation":"(9)","plainTextFormattedCitation":"(9)","previouslyFormattedCitation":"(9)"},"properties":{"noteIndex":0},"schema":"https://github.com/citation-style-language/schema/raw/master/csl-citation.json"}</w:instrText>
      </w:r>
      <w:r w:rsidR="00431B1A" w:rsidRPr="00021272">
        <w:rPr>
          <w:rFonts w:ascii="Arial" w:hAnsi="Arial" w:cs="Arial"/>
          <w:sz w:val="24"/>
          <w:szCs w:val="24"/>
        </w:rPr>
        <w:fldChar w:fldCharType="separate"/>
      </w:r>
      <w:r w:rsidR="0032390D" w:rsidRPr="0032390D">
        <w:rPr>
          <w:rFonts w:ascii="Arial" w:hAnsi="Arial" w:cs="Arial"/>
          <w:noProof/>
          <w:sz w:val="24"/>
          <w:szCs w:val="24"/>
        </w:rPr>
        <w:t>(9)</w:t>
      </w:r>
      <w:r w:rsidR="00431B1A" w:rsidRPr="00021272">
        <w:rPr>
          <w:rFonts w:ascii="Arial" w:hAnsi="Arial" w:cs="Arial"/>
          <w:sz w:val="24"/>
          <w:szCs w:val="24"/>
        </w:rPr>
        <w:fldChar w:fldCharType="end"/>
      </w:r>
      <w:r w:rsidR="00431B1A" w:rsidRPr="00021272">
        <w:rPr>
          <w:rFonts w:ascii="Arial" w:hAnsi="Arial" w:cs="Arial"/>
          <w:sz w:val="24"/>
          <w:szCs w:val="24"/>
        </w:rPr>
        <w:t>.</w:t>
      </w:r>
    </w:p>
    <w:p w14:paraId="410206C3" w14:textId="3A93F94A" w:rsidR="00431B1A" w:rsidRPr="00021272" w:rsidRDefault="008E075B" w:rsidP="000736FB">
      <w:pPr>
        <w:spacing w:line="480" w:lineRule="auto"/>
        <w:rPr>
          <w:rFonts w:ascii="Arial" w:hAnsi="Arial" w:cs="Arial"/>
          <w:sz w:val="24"/>
          <w:szCs w:val="24"/>
        </w:rPr>
      </w:pPr>
      <w:r>
        <w:rPr>
          <w:rFonts w:ascii="Arial" w:hAnsi="Arial" w:cs="Arial"/>
          <w:sz w:val="24"/>
          <w:szCs w:val="24"/>
        </w:rPr>
        <w:t xml:space="preserve">The </w:t>
      </w:r>
      <w:r w:rsidR="006E7AB1" w:rsidRPr="00021272">
        <w:rPr>
          <w:rFonts w:ascii="Arial" w:hAnsi="Arial" w:cs="Arial"/>
          <w:sz w:val="24"/>
          <w:szCs w:val="24"/>
        </w:rPr>
        <w:t xml:space="preserve">recognition </w:t>
      </w:r>
      <w:r w:rsidR="00AC486C" w:rsidRPr="00021272">
        <w:rPr>
          <w:rFonts w:ascii="Arial" w:hAnsi="Arial" w:cs="Arial"/>
          <w:sz w:val="24"/>
          <w:szCs w:val="24"/>
        </w:rPr>
        <w:t>that</w:t>
      </w:r>
      <w:r w:rsidR="006E7AB1" w:rsidRPr="00021272">
        <w:rPr>
          <w:rFonts w:ascii="Arial" w:hAnsi="Arial" w:cs="Arial"/>
          <w:sz w:val="24"/>
          <w:szCs w:val="24"/>
        </w:rPr>
        <w:t xml:space="preserve"> </w:t>
      </w:r>
      <w:r w:rsidR="00E03001" w:rsidRPr="00021272">
        <w:rPr>
          <w:rFonts w:ascii="Arial" w:hAnsi="Arial" w:cs="Arial"/>
          <w:sz w:val="24"/>
          <w:szCs w:val="24"/>
        </w:rPr>
        <w:t xml:space="preserve">some </w:t>
      </w:r>
      <w:r w:rsidR="006E7AB1" w:rsidRPr="00021272">
        <w:rPr>
          <w:rFonts w:ascii="Arial" w:hAnsi="Arial" w:cs="Arial"/>
          <w:sz w:val="24"/>
          <w:szCs w:val="24"/>
        </w:rPr>
        <w:t>IBD patients</w:t>
      </w:r>
      <w:r>
        <w:rPr>
          <w:rFonts w:ascii="Arial" w:hAnsi="Arial" w:cs="Arial"/>
          <w:sz w:val="24"/>
          <w:szCs w:val="24"/>
        </w:rPr>
        <w:t>,</w:t>
      </w:r>
      <w:r w:rsidR="006E7AB1" w:rsidRPr="00021272">
        <w:rPr>
          <w:rFonts w:ascii="Arial" w:hAnsi="Arial" w:cs="Arial"/>
          <w:sz w:val="24"/>
          <w:szCs w:val="24"/>
        </w:rPr>
        <w:t xml:space="preserve"> </w:t>
      </w:r>
      <w:r w:rsidR="00E03001" w:rsidRPr="00021272">
        <w:rPr>
          <w:rFonts w:ascii="Arial" w:hAnsi="Arial" w:cs="Arial"/>
          <w:sz w:val="24"/>
          <w:szCs w:val="24"/>
        </w:rPr>
        <w:t>including those treated with steroids for active flares</w:t>
      </w:r>
      <w:r>
        <w:rPr>
          <w:rFonts w:ascii="Arial" w:hAnsi="Arial" w:cs="Arial"/>
          <w:sz w:val="24"/>
          <w:szCs w:val="24"/>
        </w:rPr>
        <w:t>,</w:t>
      </w:r>
      <w:r w:rsidR="00E03001" w:rsidRPr="00021272">
        <w:rPr>
          <w:rFonts w:ascii="Arial" w:hAnsi="Arial" w:cs="Arial"/>
          <w:sz w:val="24"/>
          <w:szCs w:val="24"/>
        </w:rPr>
        <w:t xml:space="preserve"> </w:t>
      </w:r>
      <w:r w:rsidR="00AC486C" w:rsidRPr="00021272">
        <w:rPr>
          <w:rFonts w:ascii="Arial" w:hAnsi="Arial" w:cs="Arial"/>
          <w:sz w:val="24"/>
          <w:szCs w:val="24"/>
        </w:rPr>
        <w:t>are</w:t>
      </w:r>
      <w:r w:rsidR="00E03001" w:rsidRPr="00021272">
        <w:rPr>
          <w:rFonts w:ascii="Arial" w:hAnsi="Arial" w:cs="Arial"/>
          <w:sz w:val="24"/>
          <w:szCs w:val="24"/>
        </w:rPr>
        <w:t xml:space="preserve"> at</w:t>
      </w:r>
      <w:r w:rsidR="006E7AB1" w:rsidRPr="00021272">
        <w:rPr>
          <w:rFonts w:ascii="Arial" w:hAnsi="Arial" w:cs="Arial"/>
          <w:sz w:val="24"/>
          <w:szCs w:val="24"/>
        </w:rPr>
        <w:t xml:space="preserve"> particular risk from</w:t>
      </w:r>
      <w:r>
        <w:rPr>
          <w:rFonts w:ascii="Arial" w:hAnsi="Arial" w:cs="Arial"/>
          <w:sz w:val="24"/>
          <w:szCs w:val="24"/>
        </w:rPr>
        <w:t xml:space="preserve"> </w:t>
      </w:r>
      <w:r w:rsidR="0025665E">
        <w:rPr>
          <w:rFonts w:ascii="Arial" w:hAnsi="Arial" w:cs="Arial"/>
          <w:sz w:val="24"/>
          <w:szCs w:val="24"/>
        </w:rPr>
        <w:t>COVID</w:t>
      </w:r>
      <w:r>
        <w:rPr>
          <w:rFonts w:ascii="Arial" w:hAnsi="Arial" w:cs="Arial"/>
          <w:sz w:val="24"/>
          <w:szCs w:val="24"/>
        </w:rPr>
        <w:t>-19</w:t>
      </w:r>
      <w:r w:rsidR="00AC486C" w:rsidRPr="00021272">
        <w:rPr>
          <w:rFonts w:ascii="Arial" w:hAnsi="Arial" w:cs="Arial"/>
          <w:sz w:val="24"/>
          <w:szCs w:val="24"/>
        </w:rPr>
        <w:t>,</w:t>
      </w:r>
      <w:r w:rsidR="006E7AB1" w:rsidRPr="00021272">
        <w:rPr>
          <w:rFonts w:ascii="Arial" w:hAnsi="Arial" w:cs="Arial"/>
          <w:sz w:val="24"/>
          <w:szCs w:val="24"/>
        </w:rPr>
        <w:t xml:space="preserve"> caused </w:t>
      </w:r>
      <w:r w:rsidR="00E03001" w:rsidRPr="00021272">
        <w:rPr>
          <w:rFonts w:ascii="Arial" w:hAnsi="Arial" w:cs="Arial"/>
          <w:sz w:val="24"/>
          <w:szCs w:val="24"/>
        </w:rPr>
        <w:t>inevitable concern</w:t>
      </w:r>
      <w:r w:rsidR="003B6908">
        <w:rPr>
          <w:rFonts w:ascii="Arial" w:hAnsi="Arial" w:cs="Arial"/>
          <w:sz w:val="24"/>
          <w:szCs w:val="24"/>
        </w:rPr>
        <w:t xml:space="preserve"> </w:t>
      </w:r>
      <w:r w:rsidR="00E03001" w:rsidRPr="00021272">
        <w:rPr>
          <w:rFonts w:ascii="Arial" w:hAnsi="Arial" w:cs="Arial"/>
          <w:sz w:val="24"/>
          <w:szCs w:val="24"/>
        </w:rPr>
        <w:fldChar w:fldCharType="begin" w:fldLock="1"/>
      </w:r>
      <w:r w:rsidR="00EB18A3">
        <w:rPr>
          <w:rFonts w:ascii="Arial" w:hAnsi="Arial" w:cs="Arial"/>
          <w:sz w:val="24"/>
          <w:szCs w:val="24"/>
        </w:rPr>
        <w:instrText>ADDIN CSL_CITATION {"citationItems":[{"id":"ITEM-1","itemData":{"DOI":"10.1093/ibd/izac064","ISSN":"1078-0998","abstract":"BACKGROUND: Data from the first wave of the coronavirus disease 2019 (COVID-19) pandemic suggested that patients with inflammatory bowel disease (IBD) are not at higher risk of being infected by severe acute respiratory syndrome coronavirus 2 (SARS-CoV-2) than the general population and that a worse prognosis is not associated with immunomodulatory drugs, with the possible exception of systemic steroids. METHODS: This retrospective, observational study included consecutive IBD patients from the Sicilian Network for Inflammatory Bowel Disease (SN-IBD) cohort who had a SARS-CoV-2 infection diagnosis (polymerase chain reaction-confirmed presence of the viral genome in a nasopharyngeal swab) during the second COVID-19 pandemic wave (September 2020 to December 2020). Data regarding demographics, IBD features and treatments, and comorbidities were analyzed in correlation with COVID-19 clinical outcomes. RESULTS: Data on 122 patients (mean age, 43.9 ± 16.7 years; males, 50.0%; Crohn's disease, 62.3%; ulcerative colitis, 37.7%) were reported. Twelve patients developed COVID-19-related pneumonia (9.8%), 4 (3.3%) required respiratory assistance (nonmechanical ventilation or orotracheal intubation), and 4 died (case fatality rate, 3.3%). In a multivariable analysis, age (odds ratio [OR], 1.034; 95% CI, 1.006-1.147; P = .032) and severe IBD activity (OR, 13.465; 95% CI, 1.104-164.182; P = .042) were independent predictors of COVID-19-related pneumonia, while severe IBD activity (OR, 15.359; 95% CI, 1.320-178.677; P = .030) was the only independent predictor of severe COVID-19, a composite endpoint defined as the need for respiratory assistance or death. A trend towards a protective role of tumor necrosis factor α inhibitors on pneumonia development was reported (P = .076). CONCLUSIONS: In this cohort of patients with IBD and SARS-CoV-2 infection, severe IBD activity was the only independent risk factor for severe COVID-19. This retrospective, observational study on patients with inflammatory bowel disease and severe acute respiratory syndrome coronavirus 2 infection showed that severe inflammatory bowel disease activity was the only independent risk factor for severe coronavirus disease 2019. eng","author":[{"dropping-particle":"","family":"Macaluso","given":"Fabio Salvatore","non-dropping-particle":"","parse-names":false,"suffix":""},{"dropping-particle":"","family":"Giuliano","given":"Alessandra","non-dropping-particle":"","parse-names":false,"suffix":""},{"dropping-particle":"","family":"Fries,","given":"Walter","non-dropping-particle":"","parse-names":false,"suffix":""},{"dropping-particle":"","family":"Viola","given":"Anna","non-dropping-particle":"","parse-names":false,"suffix":""},{"dropping-particle":"","family":"Abbruzzese","given":"Alfredo","non-dropping-particle":"","parse-names":false,"suffix":""},{"dropping-particle":"","family":"Cappello","given":"Maria","non-dropping-particle":"","parse-names":false,"suffix":""},{"dropping-particle":"","family":"Giuffrida","given":"Enrica","non-dropping-particle":"","parse-names":false,"suffix":""},{"dropping-particle":"","family":"Carrozza","given":"Lucio","non-dropping-particle":"","parse-names":false,"suffix":""},{"dropping-particle":"","family":"Privitera","given":"Antonino Carlo","non-dropping-particle":"","parse-names":false,"suffix":""},{"dropping-particle":"","family":"Magnano","given":"Antonio","non-dropping-particle":"","parse-names":false,"suffix":""},{"dropping-particle":"","family":"Ferracane","given":"Concetta","non-dropping-particle":"","parse-names":false,"suffix":""},{"dropping-particle":"","family":"Scalisi","given":"Giuseppe","non-dropping-particle":"","parse-names":false,"suffix":""},{"dropping-particle":"","family":"Minissale","given":"Maria Giovanna","non-dropping-particle":"","parse-names":false,"suffix":""},{"dropping-particle":"","family":"Giangreco","given":"Emiliano","non-dropping-particle":"","parse-names":false,"suffix":""},{"dropping-particle":"","family":"Garufi","given":"Serena","non-dropping-particle":"","parse-names":false,"suffix":""},{"dropping-particle":"","family":"Bertolami","given":"Carmelo","non-dropping-particle":"","parse-names":false,"suffix":""},{"dropping-particle":"","family":"Cucinotta","given":"Ugo","non-dropping-particle":"","parse-names":false,"suffix":""},{"dropping-particle":"","family":"Graziano","given":"Francesco","non-dropping-particle":"","parse-names":false,"suffix":""},{"dropping-particle":"","family":"Casà","given":"Angelo","non-dropping-particle":"","parse-names":false,"suffix":""},{"dropping-particle":"","family":"Renna","given":"Sara","non-dropping-particle":"","parse-names":false,"suffix":""},{"dropping-particle":"","family":"Teresi","given":"Giulia","non-dropping-particle":"","parse-names":false,"suffix":""},{"dropping-particle":"","family":"Rizzuto","given":"Giulia","non-dropping-particle":"","parse-names":false,"suffix":""},{"dropping-particle":"","family":"Mannino","given":"Mariella","non-dropping-particle":"","parse-names":false,"suffix":""},{"dropping-particle":"","family":"Maida","given":"Marcello","non-dropping-particle":"","parse-names":false,"suffix":""},{"dropping-particle":"","family":"Orlando","given":"Ambrogio","non-dropping-particle":"","parse-names":false,"suffix":""}],"container-title":"Inflammatory Bowel Diseases","id":"ITEM-1","issue":"April","issued":{"date-parts":[["2022","4","6"]]},"page":"1-5","title":"Severe Activity of Inflammatory Bowel Disease is a Risk Factor for Severe COVID-19","type":"article-journal"},"uris":["http://www.mendeley.com/documents/?uuid=cc711eda-5108-4ef5-86fa-d2051b6f8cad"]},{"id":"ITEM-2","itemData":{"DOI":"10.1053/j.gastro.2020.05.032","ISSN":"15280012","PMID":"32425234","abstract":"Background and Aims: The impact of Coronavirus disease 2019 (COVID-19) on patients with inflammatory bowel disease (IBD) is unknown. We sought to characterize the clinical course of COVID-19 among patients with IBD and evaluate the association among demographics, clinical characteristics, and immunosuppressant treatments on COVID-19 outcomes. Methods: Surveillance Epidemiology of Coronavirus Under Research Exclusion for Inflammatory Bowel Disease (SECURE-IBD) is a large, international registry created to monitor outcomes of patients with IBD with confirmed COVID-19. We calculated age-standardized mortality ratios and used multivariable logistic regression to identify factors associated with severe COVID-19, defined as intensive care unit admission, ventilator use, and/or death. Results: 525 cases from 33 countries were reported (median age 43 years, 53% men). Thirty-seven patients (7%) had severe COVID-19, 161 (31%) were hospitalized, and 16 patients died (3% case fatality rate). Standardized mortality ratios for patients with IBD were 1.8 (95% confidence interval [CI], 0.9–2.6), 1.5 (95% CI, 0.7–2.2), and 1.7 (95% CI, 0.9–2.5) relative to data from China, Italy, and the United States, respectively. Risk factors for severe COVID-19 among patients with IBD included increasing age (adjusted odds ratio [aOR], 1.04; 95% CI, 1.01–1.02), ≥2 comorbidities (aOR, 2.9; 95% CI, 1.1–7.8), systemic corticosteroids (aOR, 6.9; 95% CI, 2.3–20.5), and sulfasalazine or 5-aminosalicylate use (aOR, 3.1; 95% CI, 1.3–7.7). Tumor necrosis factor antagonist treatment was not associated with severe COVID-19 (aOR, 0.9; 95% CI, 0.4–2.2). Conclusions: Increasing age, comorbidities, and corticosteroids are associated with severe COVID-19 among patients with IBD, although a causal relationship cannot be definitively established. Notably, tumor necrosis factor antagonists do not appear to be associated with severe COVID-19.","author":[{"dropping-particle":"","family":"Brenner","given":"Erica J.","non-dropping-particle":"","parse-names":false,"suffix":""},{"dropping-particle":"","family":"Ungaro","given":"Ryan C.","non-dropping-particle":"","parse-names":false,"suffix":""},{"dropping-particle":"","family":"Gearry","given":"Richard B.","non-dropping-particle":"","parse-names":false,"suffix":""},{"dropping-particle":"","family":"Kaplan","given":"Gilaad G.","non-dropping-particle":"","parse-names":false,"suffix":""},{"dropping-particle":"","family":"Kissous-Hunt","given":"Michele","non-dropping-particle":"","parse-names":false,"suffix":""},{"dropping-particle":"","family":"Lewis","given":"James D.","non-dropping-particle":"","parse-names":false,"suffix":""},{"dropping-particle":"","family":"Ng","given":"Siew C.","non-dropping-particle":"","parse-names":false,"suffix":""},{"dropping-particle":"","family":"Rahier","given":"Jean Francois","non-dropping-particle":"","parse-names":false,"suffix":""},{"dropping-particle":"","family":"Reinisch","given":"Walter","non-dropping-particle":"","parse-names":false,"suffix":""},{"dropping-particle":"","family":"Ruemmele","given":"Frank M.","non-dropping-particle":"","parse-names":false,"suffix":""},{"dropping-particle":"","family":"Steinwurz","given":"Flavio","non-dropping-particle":"","parse-names":false,"suffix":""},{"dropping-particle":"","family":"Underwood","given":"Fox E.","non-dropping-particle":"","parse-names":false,"suffix":""},{"dropping-particle":"","family":"Zhang","given":"Xian","non-dropping-particle":"","parse-names":false,"suffix":""},{"dropping-particle":"","family":"Colombel","given":"Jean Frederic","non-dropping-particle":"","parse-names":false,"suffix":""},{"dropping-particle":"","family":"Kappelman","given":"Michael D.","non-dropping-particle":"","parse-names":false,"suffix":""}],"container-title":"Gastroenterology","id":"ITEM-2","issue":"2","issued":{"date-parts":[["2020"]]},"page":"481-491.e3","publisher":"Elsevier, Inc","title":"Corticosteroids, But Not TNF Antagonists, Are Associated With Adverse COVID-19 Outcomes in Patients With Inflammatory Bowel Diseases: Results From an International Registry","type":"article-journal","volume":"159"},"uris":["http://www.mendeley.com/documents/?uuid=8c342ed2-761c-4511-b531-6c308a58a1e4"]}],"mendeley":{"formattedCitation":"(10,11)","plainTextFormattedCitation":"(10,11)","previouslyFormattedCitation":"(10,11)"},"properties":{"noteIndex":0},"schema":"https://github.com/citation-style-language/schema/raw/master/csl-citation.json"}</w:instrText>
      </w:r>
      <w:r w:rsidR="00E03001" w:rsidRPr="00021272">
        <w:rPr>
          <w:rFonts w:ascii="Arial" w:hAnsi="Arial" w:cs="Arial"/>
          <w:sz w:val="24"/>
          <w:szCs w:val="24"/>
          <w:vertAlign w:val="superscript"/>
        </w:rPr>
        <w:fldChar w:fldCharType="separate"/>
      </w:r>
      <w:r w:rsidR="0032390D" w:rsidRPr="0032390D">
        <w:rPr>
          <w:rFonts w:ascii="Arial" w:hAnsi="Arial" w:cs="Arial"/>
          <w:noProof/>
          <w:sz w:val="24"/>
          <w:szCs w:val="24"/>
        </w:rPr>
        <w:t>(10,11)</w:t>
      </w:r>
      <w:r w:rsidR="00E03001" w:rsidRPr="00021272">
        <w:rPr>
          <w:rFonts w:ascii="Arial" w:hAnsi="Arial" w:cs="Arial"/>
          <w:sz w:val="24"/>
          <w:szCs w:val="24"/>
        </w:rPr>
        <w:fldChar w:fldCharType="end"/>
      </w:r>
      <w:r w:rsidR="006E7AB1" w:rsidRPr="00021272">
        <w:rPr>
          <w:rFonts w:ascii="Arial" w:hAnsi="Arial" w:cs="Arial"/>
          <w:sz w:val="24"/>
          <w:szCs w:val="24"/>
        </w:rPr>
        <w:t>. The rapid development of vaccinations offered the prospect of alleviating this risk</w:t>
      </w:r>
      <w:r w:rsidR="00B056E7">
        <w:rPr>
          <w:rFonts w:ascii="Arial" w:hAnsi="Arial" w:cs="Arial"/>
          <w:sz w:val="24"/>
          <w:szCs w:val="24"/>
        </w:rPr>
        <w:t>. However</w:t>
      </w:r>
      <w:r w:rsidR="006E7AB1" w:rsidRPr="00021272">
        <w:rPr>
          <w:rFonts w:ascii="Arial" w:hAnsi="Arial" w:cs="Arial"/>
          <w:sz w:val="24"/>
          <w:szCs w:val="24"/>
        </w:rPr>
        <w:t xml:space="preserve"> given the previous experience of vaccination in IBD it is unsurprising that </w:t>
      </w:r>
      <w:r w:rsidR="00485661" w:rsidRPr="00021272">
        <w:rPr>
          <w:rFonts w:ascii="Arial" w:hAnsi="Arial" w:cs="Arial"/>
          <w:sz w:val="24"/>
          <w:szCs w:val="24"/>
        </w:rPr>
        <w:t>though most patient</w:t>
      </w:r>
      <w:r w:rsidR="00FA765A">
        <w:rPr>
          <w:rFonts w:ascii="Arial" w:hAnsi="Arial" w:cs="Arial"/>
          <w:sz w:val="24"/>
          <w:szCs w:val="24"/>
        </w:rPr>
        <w:t>s</w:t>
      </w:r>
      <w:r w:rsidR="00485661" w:rsidRPr="00021272">
        <w:rPr>
          <w:rFonts w:ascii="Arial" w:hAnsi="Arial" w:cs="Arial"/>
          <w:sz w:val="24"/>
          <w:szCs w:val="24"/>
        </w:rPr>
        <w:t xml:space="preserve"> were willing to accept vaccination </w:t>
      </w:r>
      <w:r w:rsidR="006E7AB1" w:rsidRPr="00021272">
        <w:rPr>
          <w:rFonts w:ascii="Arial" w:hAnsi="Arial" w:cs="Arial"/>
          <w:sz w:val="24"/>
          <w:szCs w:val="24"/>
        </w:rPr>
        <w:t xml:space="preserve">it also caused concerns about safety and efficacy </w:t>
      </w:r>
      <w:r w:rsidR="00485661" w:rsidRPr="00021272">
        <w:rPr>
          <w:rFonts w:ascii="Arial" w:hAnsi="Arial" w:cs="Arial"/>
          <w:sz w:val="24"/>
          <w:szCs w:val="24"/>
        </w:rPr>
        <w:t>among others</w:t>
      </w:r>
      <w:r w:rsidR="003B6908">
        <w:rPr>
          <w:rFonts w:ascii="Arial" w:hAnsi="Arial" w:cs="Arial"/>
          <w:sz w:val="24"/>
          <w:szCs w:val="24"/>
        </w:rPr>
        <w:t xml:space="preserve"> </w:t>
      </w:r>
      <w:r w:rsidR="00485661" w:rsidRPr="00021272">
        <w:rPr>
          <w:rFonts w:ascii="Arial" w:hAnsi="Arial" w:cs="Arial"/>
          <w:sz w:val="24"/>
          <w:szCs w:val="24"/>
        </w:rPr>
        <w:fldChar w:fldCharType="begin" w:fldLock="1"/>
      </w:r>
      <w:r w:rsidR="00EB18A3">
        <w:rPr>
          <w:rFonts w:ascii="Arial" w:hAnsi="Arial" w:cs="Arial"/>
          <w:sz w:val="24"/>
          <w:szCs w:val="24"/>
        </w:rPr>
        <w:instrText>ADDIN CSL_CITATION {"citationItems":[{"id":"ITEM-1","itemData":{"DOI":"10.3389/fpubh.2021.731578","ISSN":"22962565","PMID":"34708016","abstract":"Objective: To explore the attitudes and views of patients with inflammatory bowel disease (IBD) on COVID-19 vaccination. Methods: An online interview questionnaire concerning the acceptance or hesitancy toward vaccination for COVID-19 was designed and 543 patients with IBD in China were invited to complete the structured self-administered anonymous questionnaire. Results: Of all the participants, 50.7% were indecisive about the vaccination and only 16.0% opted for it. Vaccination hesitancy was significantly associated with women and those without medical or biomedical backgrounds. The acceptance of COVID-19 vaccination was higher in participants with no history of immune-modifying therapies, especially in those without immunosuppressants. Participants who considered vaccination critically important to self-health or the health of others were more likely to choose immediately or later vaccination. Safety and potential adverse reactions, personal hypoimmunity, efficacy, and reliability of COVID-19 vaccines were the top three concerns of the participants that were independent of their willingness for vaccination. Conclusions: This study discloses the presence of hesitancy for COVID-19 vaccination in patients with IBD. Further studies are warranted to evaluate the efficacy and safety of COVID-19 vaccines in IBD individuals, with a specific focus on the impact of immune-modifying therapies. Health education and recommendation from authoritative sources may facilitate COVID-19 vaccination efforts.","author":[{"dropping-particle":"","family":"Wu","given":"Xia","non-dropping-particle":"","parse-names":false,"suffix":""},{"dropping-particle":"","family":"Lin","given":"Jue","non-dropping-particle":"","parse-names":false,"suffix":""},{"dropping-particle":"","family":"Buch","given":"Heena","non-dropping-particle":"","parse-names":false,"suffix":""},{"dropping-particle":"","family":"Ding","given":"Quchen","non-dropping-particle":"","parse-names":false,"suffix":""},{"dropping-particle":"","family":"Zhang","given":"Faming","non-dropping-particle":"","parse-names":false,"suffix":""},{"dropping-particle":"","family":"Cui","given":"Bota","non-dropping-particle":"","parse-names":false,"suffix":""},{"dropping-particle":"","family":"Ji","given":"Guozhong","non-dropping-particle":"","parse-names":false,"suffix":""}],"container-title":"Frontiers in Public Health","id":"ITEM-1","issue":"October","issued":{"date-parts":[["2021"]]},"page":"1-10","title":"The COVID-19 Vaccination Hesitancy Among the People With Inflammatory Bowel Disease in China: A Questionnaire Study","type":"article-journal","volume":"9"},"uris":["http://www.mendeley.com/documents/?uuid=149c59e3-854b-47ad-b83b-9d3e9b395eec"]},{"id":"ITEM-2","itemData":{"DOI":"10.3390/healthcare10010006","ISSN":"22279032","abstract":"Coronavirus disease 2019 (COVID-19) vaccination is recommended for patients with inflammatory bowel disease (IBD). However, the acceptance of COVID-19 vaccines has not been sufficiently evaluated in patients with IBD. We aimed to assess the acceptance and hesitancy of COVID-19 vaccination and related factors among these patients. A retrospective cohort study using a self-reported questionnaire was performed among patients with IBD between 22 June 2021 and 30 August 2021. Of the 187 participants, 10.2% (n = 19) were hesitant to be vaccinated. Patients in the vaccine-hesitant group were younger (p = 0.009) and had a shorter disease duration (p = 0.020). Vedolizumab was prescribed more frequently (p = 0.024) and immunomodulators were less frequently used (p = 0.027) in this group. Multivariable logistic regression analysis identified age (odds ratio [OR]: 0.96, 95% confidence interval [CI]: 0.92–1.00, p = 0.042) and the use of immunomodulators (OR: 0.08, 95% CI: 0.01–0.66, p = 0.019) as independent significant factors for vaccine hesitancy. The COVID-19 vaccine hesitancy rate in patients with IBD in Japan was 10% in this study. The Japanese COVID-19 vaccination campaign appears to be successful. The risk of COVID-19 among patients with IBD requires adequate measures to ensure that vaccines are accepted by vaccine-hesitant patients. These findings may be helpful in achieving adequate vaccination rates.","author":[{"dropping-particle":"","family":"Nishida","given":"Yu","non-dropping-particle":"","parse-names":false,"suffix":""},{"dropping-particle":"","family":"Hosomi","given":"Shuhei","non-dropping-particle":"","parse-names":false,"suffix":""},{"dropping-particle":"","family":"Kobayashi","given":"Yumie","non-dropping-particle":"","parse-names":false,"suffix":""},{"dropping-particle":"","family":"Nakata","given":"Rieko","non-dropping-particle":"","parse-names":false,"suffix":""},{"dropping-particle":"","family":"Ominami","given":"Masaki","non-dropping-particle":"","parse-names":false,"suffix":""},{"dropping-particle":"","family":"Nadatani","given":"Yuji","non-dropping-particle":"","parse-names":false,"suffix":""},{"dropping-particle":"","family":"Fukunaga","given":"Shusei","non-dropping-particle":"","parse-names":false,"suffix":""},{"dropping-particle":"","family":"Otani","given":"Koji","non-dropping-particle":"","parse-names":false,"suffix":""},{"dropping-particle":"","family":"Tanaka","given":"Fumio","non-dropping-particle":"","parse-names":false,"suffix":""},{"dropping-particle":"","family":"Nagami","given":"Yasuaki","non-dropping-particle":"","parse-names":false,"suffix":""},{"dropping-particle":"","family":"Taira","given":"Koichi","non-dropping-particle":"","parse-names":false,"suffix":""},{"dropping-particle":"","family":"Kamata","given":"Noriko","non-dropping-particle":"","parse-names":false,"suffix":""},{"dropping-particle":"","family":"Fujiwara","given":"Yasuhiro","non-dropping-particle":"","parse-names":false,"suffix":""}],"container-title":"Healthcare (Switzerland)","id":"ITEM-2","issue":"1","issued":{"date-parts":[["2022"]]},"title":"Acceptance of covid-19 vaccines among patients with inflammatory bowel disease in Japan","type":"article-journal","volume":"10"},"uris":["http://www.mendeley.com/documents/?uuid=d5bb3f26-a8e9-4807-becd-2a3f5fab750e"]},{"id":"ITEM-3","itemData":{"DOI":"10.1111/imj.15722","ISSN":"1444-0903","abstract":"The majority of the Australian public are willing to have a Coronavirus disease 2019 (COVID-19) vaccination. It is unclear whether people with inflammatory bowel disease (IBD) have the same attitude towards COVID-19 vaccination. A survey was performed to assess the attitude of patients with IBD towards COVID-19 vaccination in South Aus- tralia. Two-thirds of surveyed patients with IBD were willing to accept COVID-19 vac- cine. Females and younger patients were less likely to accept the COVID-19 vaccine, as were those who had never had a discussion around vaccines.","author":[{"dropping-particle":"","family":"Duong","given":"Tuan A","non-dropping-particle":"","parse-names":false,"suffix":""},{"dropping-particle":"V","family":"Bryant","given":"Robert","non-dropping-particle":"","parse-names":false,"suffix":""},{"dropping-particle":"","family":"Andrews","given":"Jane M","non-dropping-particle":"","parse-names":false,"suffix":""},{"dropping-particle":"","family":"Lynch","given":"Kate D","non-dropping-particle":"","parse-names":false,"suffix":""}],"container-title":"Internal Medicine Journal","id":"ITEM-3","issued":{"date-parts":[["2022","5","18"]]},"page":"1-5","title":"Attitudes towards COVID-19 vaccination in patients with inflammatory bowel disease.","type":"article-journal"},"uris":["http://www.mendeley.com/documents/?uuid=cf6c3ca7-ca5e-441e-84e4-6699e071d188"]}],"mendeley":{"formattedCitation":"(12–14)","plainTextFormattedCitation":"(12–14)","previouslyFormattedCitation":"(12–14)"},"properties":{"noteIndex":0},"schema":"https://github.com/citation-style-language/schema/raw/master/csl-citation.json"}</w:instrText>
      </w:r>
      <w:r w:rsidR="00485661" w:rsidRPr="00021272">
        <w:rPr>
          <w:rFonts w:ascii="Arial" w:hAnsi="Arial" w:cs="Arial"/>
          <w:sz w:val="24"/>
          <w:szCs w:val="24"/>
        </w:rPr>
        <w:fldChar w:fldCharType="separate"/>
      </w:r>
      <w:r w:rsidR="0032390D" w:rsidRPr="0032390D">
        <w:rPr>
          <w:rFonts w:ascii="Arial" w:hAnsi="Arial" w:cs="Arial"/>
          <w:noProof/>
          <w:sz w:val="24"/>
          <w:szCs w:val="24"/>
        </w:rPr>
        <w:t>(12–14)</w:t>
      </w:r>
      <w:r w:rsidR="00485661" w:rsidRPr="00021272">
        <w:rPr>
          <w:rFonts w:ascii="Arial" w:hAnsi="Arial" w:cs="Arial"/>
          <w:sz w:val="24"/>
          <w:szCs w:val="24"/>
        </w:rPr>
        <w:fldChar w:fldCharType="end"/>
      </w:r>
      <w:r w:rsidR="006E7AB1" w:rsidRPr="00021272">
        <w:rPr>
          <w:rFonts w:ascii="Arial" w:hAnsi="Arial" w:cs="Arial"/>
          <w:sz w:val="24"/>
          <w:szCs w:val="24"/>
        </w:rPr>
        <w:t>.</w:t>
      </w:r>
      <w:r w:rsidR="00D450D6" w:rsidRPr="00021272">
        <w:rPr>
          <w:rFonts w:ascii="Arial" w:hAnsi="Arial" w:cs="Arial"/>
          <w:sz w:val="24"/>
          <w:szCs w:val="24"/>
        </w:rPr>
        <w:t xml:space="preserve"> These may have been added to by limited reports of possible exacerbation of IBD post vaccination</w:t>
      </w:r>
      <w:r w:rsidR="003B6908">
        <w:rPr>
          <w:rFonts w:ascii="Arial" w:hAnsi="Arial" w:cs="Arial"/>
          <w:sz w:val="24"/>
          <w:szCs w:val="24"/>
        </w:rPr>
        <w:t xml:space="preserve"> </w:t>
      </w:r>
      <w:r w:rsidR="00650F8A" w:rsidRPr="00021272">
        <w:rPr>
          <w:rFonts w:ascii="Arial" w:hAnsi="Arial" w:cs="Arial"/>
          <w:sz w:val="24"/>
          <w:szCs w:val="24"/>
        </w:rPr>
        <w:fldChar w:fldCharType="begin" w:fldLock="1"/>
      </w:r>
      <w:r w:rsidR="00EB18A3">
        <w:rPr>
          <w:rFonts w:ascii="Arial" w:hAnsi="Arial" w:cs="Arial"/>
          <w:sz w:val="24"/>
          <w:szCs w:val="24"/>
        </w:rPr>
        <w:instrText>ADDIN CSL_CITATION {"citationItems":[{"id":"ITEM-1","itemData":{"DOI":"10.14309/ajg.0000000000001416","ISBN":"0000000000","ISSN":"0002-9270","PMID":"34406140","author":[{"dropping-particle":"","family":"Sangha","given":"Maheep","non-dropping-particle":"","parse-names":false,"suffix":""},{"dropping-particle":"","family":"Roitman","given":"Isabel","non-dropping-particle":"","parse-names":false,"suffix":""},{"dropping-particle":"","family":"Sultan","given":"Keith","non-dropping-particle":"","parse-names":false,"suffix":""},{"dropping-particle":"","family":"Swaminath","given":"Arun","non-dropping-particle":"","parse-names":false,"suffix":""}],"container-title":"American Journal of Gastroenterology","id":"ITEM-1","issue":"12","issued":{"date-parts":[["2021","12","1"]]},"page":"2480-2481","title":"SARS-CoV-2 Immunization in Patients With Inflammatory Bowel Disease May Result in Disease Flares","type":"article-journal","volume":"116"},"uris":["http://www.mendeley.com/documents/?uuid=0bcf24b7-9000-42a3-a545-7d3ee6f02440"]},{"id":"ITEM-2","itemData":{"DOI":"10.3390/jcm11102765","ISSN":"2077-0383","PMID":"35628892","abstract":"BACKGROUND Pediatric inflammatory multisystem syndrome temporally associated with COVID-19/multi-system inflammatory syndrome in children (PIMS-TS/MIS-C) is a potentially life-threatening complication of SARS-CoV-2 infection in children. Gastrointestinal manifestations are prominent in children with PIMS-TS/MIS-C. Thus, it is challenging to differentiate this condition from an exacerbation of inflammatory bowel disease (IBD). We aimed to present the clinical characteristics, and diagnostic and therapeutic difficulties in patients with overlapping IBD and PIMS-TS/MIS-C; Methods: We reviewed medical records of children hospitalized due to overlapping IBD and PIMS-TS/MIS-C in a single pediatric hospital from December 2020 to December 2021; Results: There were four children with overlapping IBD flare and PIMS-TS/MIS-C. In three cases, IBD recognition preceded PIMS-TS/MIS-C onset and PIMS-TS/MIS-C occurred during anti-inflammatory therapy of IBD. All children presented with gastrointestinal symptoms at PIMS-TS/MIS-C onset. All patients received IVIG and ASA treatment. In three children there was a need to use steroids to resolve PIMS-TS/MIS-C symptoms. One child was vaccinated against COVID-19; Conclusions: SARS-CoV-2 infection may affect patients with underlying inflammatory conditions such as IBD, inducing systemic symptoms of PIMS-TS/MIS-C, and probably triggering IBD after PIMS-TS/MIS-C. The resemblance of clinical presentations is the main source of diagnostic and therapeutic challenges in PIMS-TS/MIS-C in patients with underlying IBD.","author":[{"dropping-particle":"","family":"Krawiec","given":"Paulina","non-dropping-particle":"","parse-names":false,"suffix":""},{"dropping-particle":"","family":"Opoka-Winiarska","given":"Violetta","non-dropping-particle":"","parse-names":false,"suffix":""},{"dropping-particle":"","family":"Pac-Kożuchowska","given":"Elżbieta","non-dropping-particle":"","parse-names":false,"suffix":""}],"container-title":"Journal of clinical medicine","id":"ITEM-2","issue":"10","issued":{"date-parts":[["2022","5","13"]]},"title":"Is It Inflammatory Bowel Disease Flare or Pediatric Inflammatory Multisystem Syndrome Temporally Associated with COVID-19?","type":"article-journal","volume":"11"},"uris":["http://www.mendeley.com/documents/?uuid=f74c954e-1006-4ba3-854b-5d9ec8512a7c"]}],"mendeley":{"formattedCitation":"(15,16)","plainTextFormattedCitation":"(15,16)","previouslyFormattedCitation":"(15,16)"},"properties":{"noteIndex":0},"schema":"https://github.com/citation-style-language/schema/raw/master/csl-citation.json"}</w:instrText>
      </w:r>
      <w:r w:rsidR="00650F8A" w:rsidRPr="00021272">
        <w:rPr>
          <w:rFonts w:ascii="Arial" w:hAnsi="Arial" w:cs="Arial"/>
          <w:sz w:val="24"/>
          <w:szCs w:val="24"/>
        </w:rPr>
        <w:fldChar w:fldCharType="separate"/>
      </w:r>
      <w:r w:rsidR="0032390D" w:rsidRPr="0032390D">
        <w:rPr>
          <w:rFonts w:ascii="Arial" w:hAnsi="Arial" w:cs="Arial"/>
          <w:noProof/>
          <w:sz w:val="24"/>
          <w:szCs w:val="24"/>
        </w:rPr>
        <w:t>(15,16)</w:t>
      </w:r>
      <w:r w:rsidR="00650F8A" w:rsidRPr="00021272">
        <w:rPr>
          <w:rFonts w:ascii="Arial" w:hAnsi="Arial" w:cs="Arial"/>
          <w:sz w:val="24"/>
          <w:szCs w:val="24"/>
        </w:rPr>
        <w:fldChar w:fldCharType="end"/>
      </w:r>
      <w:r w:rsidR="00650F8A" w:rsidRPr="00021272">
        <w:rPr>
          <w:rFonts w:ascii="Arial" w:hAnsi="Arial" w:cs="Arial"/>
          <w:sz w:val="24"/>
          <w:szCs w:val="24"/>
        </w:rPr>
        <w:t>.</w:t>
      </w:r>
      <w:r w:rsidR="00485661" w:rsidRPr="00021272">
        <w:rPr>
          <w:rFonts w:ascii="Arial" w:hAnsi="Arial" w:cs="Arial"/>
          <w:sz w:val="24"/>
          <w:szCs w:val="24"/>
        </w:rPr>
        <w:t xml:space="preserve"> </w:t>
      </w:r>
    </w:p>
    <w:p w14:paraId="5C1950DB" w14:textId="726EAA15" w:rsidR="00021272" w:rsidRDefault="00485661" w:rsidP="000736FB">
      <w:pPr>
        <w:spacing w:line="480" w:lineRule="auto"/>
        <w:rPr>
          <w:rFonts w:ascii="Arial" w:hAnsi="Arial" w:cs="Arial"/>
          <w:sz w:val="24"/>
          <w:szCs w:val="24"/>
        </w:rPr>
      </w:pPr>
      <w:r w:rsidRPr="00021272">
        <w:rPr>
          <w:rFonts w:ascii="Arial" w:hAnsi="Arial" w:cs="Arial"/>
          <w:sz w:val="24"/>
          <w:szCs w:val="24"/>
        </w:rPr>
        <w:t>A small number of subsequent studies have now shown evidence specifically in IBD of immunogenicity</w:t>
      </w:r>
      <w:r w:rsidR="003B6908">
        <w:rPr>
          <w:rFonts w:ascii="Arial" w:hAnsi="Arial" w:cs="Arial"/>
          <w:sz w:val="24"/>
          <w:szCs w:val="24"/>
        </w:rPr>
        <w:t xml:space="preserve"> </w:t>
      </w:r>
      <w:r w:rsidR="008A0D4A">
        <w:rPr>
          <w:rFonts w:ascii="Arial" w:hAnsi="Arial" w:cs="Arial"/>
          <w:sz w:val="24"/>
          <w:szCs w:val="24"/>
        </w:rPr>
        <w:fldChar w:fldCharType="begin" w:fldLock="1"/>
      </w:r>
      <w:r w:rsidR="00EB18A3">
        <w:rPr>
          <w:rFonts w:ascii="Arial" w:hAnsi="Arial" w:cs="Arial"/>
          <w:sz w:val="24"/>
          <w:szCs w:val="24"/>
        </w:rPr>
        <w:instrText>ADDIN CSL_CITATION {"citationItems":[{"id":"ITEM-1","itemData":{"DOI":"10.7326/M21-2483","ISSN":"1539-3704","PMID":"34633830","author":[{"dropping-particle":"","family":"Melmed","given":"Gil Y","non-dropping-particle":"","parse-names":false,"suffix":""},{"dropping-particle":"","family":"Botwin","given":"Gregory J","non-dropping-particle":"","parse-names":false,"suffix":""},{"dropping-particle":"","family":"Sobhani","given":"Kimia","non-dropping-particle":"","parse-names":false,"suffix":""},{"dropping-particle":"","family":"Li","given":"Dalin","non-dropping-particle":"","parse-names":false,"suffix":""},{"dropping-particle":"","family":"Prostko","given":"John","non-dropping-particle":"","parse-names":false,"suffix":""},{"dropping-particle":"","family":"Figueiredo","given":"Jane","non-dropping-particle":"","parse-names":false,"suffix":""},{"dropping-particle":"","family":"Cheng","given":"Susan","non-dropping-particle":"","parse-names":false,"suffix":""},{"dropping-particle":"","family":"Braun","given":"Jonathan","non-dropping-particle":"","parse-names":false,"suffix":""},{"dropping-particle":"","family":"McGovern","given":"Dermot P B","non-dropping-particle":"","parse-names":false,"suffix":""}],"container-title":"Annals of internal medicine","id":"ITEM-1","issue":"12","issued":{"date-parts":[["2021"]]},"page":"1768-1770","title":"Antibody Responses After SARS-CoV-2 mRNA Vaccination in Adults With Inflammatory Bowel Disease.","type":"article-journal","volume":"174"},"uris":["http://www.mendeley.com/documents/?uuid=1a0bcd88-c5eb-4d19-af5c-db1cd87425de"]},{"id":"ITEM-2","itemData":{"DOI":"10.1136/gutjnl-2021-324789","ISSN":"14683288","PMID":"33903149","abstract":"Objective Delayed second dose SARS-CoV-2 vaccination trades maximal effectiveness for a lower level of immunity across more of the population. We investigated whether patients with inflammatory bowel disease treated with infliximab have attenuated serological responses to a single dose of a SARS-CoV-2 vaccine. Design Antibody responses and seroconversion rates in infliximab-treated patients (n=865) were compared with a cohort treated with vedolizumab (n=428), a gut-selective anti-integrin α4β7 monoclonal antibody. Our primary outcome was anti-SARS-CoV-2 spike (S) antibody concentrations, measured using the Elecsys anti-SARS-CoV-2 spike (S) antibody assay 3-10 weeks after vaccination, in patients without evidence of prior infection. Secondary outcomes were seroconversion rates (defined by a cut-off of 15 U/mL), and antibody responses following past infection or a second dose of the BNT162b2 vaccine. Results Geometric mean (SD) anti-SARS-CoV-2 antibody concentrations were lower in patients treated with infliximab than vedolizumab, following BNT162b2 (6.0 U/mL (5.9) vs 28.8 U/mL (5.4) p&lt;0.0001) and ChAdOx1 nCoV-19 (4.7 U/mL (4.9)) vs 13.8 U/mL (5.9) p&lt;0.0001) vaccines. In our multivariable models, antibody concentrations were lower in infliximab-treated compared with vedolizumab-treated patients who received the BNT162b2 (fold change (FC) 0.29 (95% CI 0.21 to 0.40), p&lt;0.0001) and ChAdOx1 nCoV-19 (FC 0.39 (95% CI 0.30 to 0.51), p&lt;0.0001) vaccines. In both models, age ≥60 years, immunomodulator use, Crohn's disease and smoking were associated with lower, while non-white ethnicity was associated with higher, anti-SARS-CoV-2 antibody concentrations. Seroconversion rates after a single dose of either vaccine were higher in patients with prior SARS-CoV-2 infection and after two doses of BNT162b2 vaccine. Conclusion Infliximab is associated with attenuated immunogenicity to a single dose of the BNT162b2 and ChAdOx1 nCoV-19 SARS-CoV-2 vaccines. Vaccination after SARS-CoV-2 infection, or a second dose of vaccine, led to seroconversion in most patients. Delayed second dosing should be avoided in patients treated with infliximab. Trial registration number ISRCTN45176516.","author":[{"dropping-particle":"","family":"Kennedy","given":"Nicholas A.","non-dropping-particle":"","parse-names":false,"suffix":""},{"dropping-particle":"","family":"Lin","given":"Simeng","non-dropping-particle":"","parse-names":false,"suffix":""},{"dropping-particle":"","family":"Goodhand","given":"James R.","non-dropping-particle":"","parse-names":false,"suffix":""},{"dropping-particle":"","family":"Chanchlani","given":"Neil","non-dropping-particle":"","parse-names":false,"suffix":""},{"dropping-particle":"","family":"Hamilton","given":"Benjamin","non-dropping-particle":"","parse-names":false,"suffix":""},{"dropping-particle":"","family":"Bewshea","given":"Claire","non-dropping-particle":"","parse-names":false,"suffix":""},{"dropping-particle":"","family":"Nice","given":"Rachel","non-dropping-particle":"","parse-names":false,"suffix":""},{"dropping-particle":"","family":"Chee","given":"Desmond","non-dropping-particle":"","parse-names":false,"suffix":""},{"dropping-particle":"","family":"Cummings","given":"J. R.Fraser","non-dropping-particle":"","parse-names":false,"suffix":""},{"dropping-particle":"","family":"Fraser","given":"Aileen","non-dropping-particle":"","parse-names":false,"suffix":""},{"dropping-particle":"","family":"Irving","given":"Peter M.","non-dropping-particle":"","parse-names":false,"suffix":""},{"dropping-particle":"","family":"Kamperidis","given":"Nikolaos","non-dropping-particle":"","parse-names":false,"suffix":""},{"dropping-particle":"","family":"Kok","given":"Klaartje B.","non-dropping-particle":"","parse-names":false,"suffix":""},{"dropping-particle":"","family":"Lamb","given":"Christopher Andrew","non-dropping-particle":"","parse-names":false,"suffix":""},{"dropping-particle":"","family":"Macdonald","given":"Jonathan","non-dropping-particle":"","parse-names":false,"suffix":""},{"dropping-particle":"","family":"Mehta","given":"Shameer","non-dropping-particle":"","parse-names":false,"suffix":""},{"dropping-particle":"","family":"Pollok","given":"Richard C.G.","non-dropping-particle":"","parse-names":false,"suffix":""},{"dropping-particle":"","family":"Raine","given":"Tim","non-dropping-particle":"","parse-names":false,"suffix":""},{"dropping-particle":"","family":"Smith","given":"Philip J.","non-dropping-particle":"","parse-names":false,"suffix":""},{"dropping-particle":"","family":"Verma","given":"Ajay Mark","non-dropping-particle":"","parse-names":false,"suffix":""},{"dropping-particle":"","family":"Jochum","given":"Simon","non-dropping-particle":"","parse-names":false,"suffix":""},{"dropping-particle":"","family":"McDonald","given":"Timothy J.","non-dropping-particle":"","parse-names":false,"suffix":""},{"dropping-particle":"","family":"Sebastian","given":"Shaji","non-dropping-particle":"","parse-names":false,"suffix":""},{"dropping-particle":"","family":"Lees","given":"Charlie W.","non-dropping-particle":"","parse-names":false,"suffix":""},{"dropping-particle":"","family":"Powell","given":"Nick","non-dropping-particle":"","parse-names":false,"suffix":""},{"dropping-particle":"","family":"Ahmad","given":"Tariq","non-dropping-particle":"","parse-names":false,"suffix":""}],"container-title":"Gut","id":"ITEM-2","issue":"10","issued":{"date-parts":[["2021","10","1"]]},"page":"1884-1893","publisher":"BMJ Publishing Group","title":"Infliximab is associated with attenuated immunogenicity to BNT162b2 and ChAdOx1 nCoV-19 SARS-CoV-2 vaccines in patients with IBD","type":"article-journal","volume":"70"},"uris":["http://www.mendeley.com/documents/?uuid=57abc301-1174-4c34-8037-6c9c0ec88b8a"]}],"mendeley":{"formattedCitation":"(17,18)","plainTextFormattedCitation":"(17,18)","previouslyFormattedCitation":"(17,18)"},"properties":{"noteIndex":0},"schema":"https://github.com/citation-style-language/schema/raw/master/csl-citation.json"}</w:instrText>
      </w:r>
      <w:r w:rsidR="008A0D4A">
        <w:rPr>
          <w:rFonts w:ascii="Arial" w:hAnsi="Arial" w:cs="Arial"/>
          <w:sz w:val="24"/>
          <w:szCs w:val="24"/>
        </w:rPr>
        <w:fldChar w:fldCharType="separate"/>
      </w:r>
      <w:r w:rsidR="0032390D" w:rsidRPr="0032390D">
        <w:rPr>
          <w:rFonts w:ascii="Arial" w:hAnsi="Arial" w:cs="Arial"/>
          <w:noProof/>
          <w:sz w:val="24"/>
          <w:szCs w:val="24"/>
        </w:rPr>
        <w:t>(17,18)</w:t>
      </w:r>
      <w:r w:rsidR="008A0D4A">
        <w:rPr>
          <w:rFonts w:ascii="Arial" w:hAnsi="Arial" w:cs="Arial"/>
          <w:sz w:val="24"/>
          <w:szCs w:val="24"/>
        </w:rPr>
        <w:fldChar w:fldCharType="end"/>
      </w:r>
      <w:r w:rsidRPr="00021272">
        <w:rPr>
          <w:rFonts w:ascii="Arial" w:hAnsi="Arial" w:cs="Arial"/>
          <w:sz w:val="24"/>
          <w:szCs w:val="24"/>
        </w:rPr>
        <w:t>, clinical efficacy and safety</w:t>
      </w:r>
      <w:r w:rsidR="006C691C" w:rsidRPr="00021272">
        <w:rPr>
          <w:rFonts w:ascii="Arial" w:hAnsi="Arial" w:cs="Arial"/>
          <w:sz w:val="24"/>
          <w:szCs w:val="24"/>
        </w:rPr>
        <w:fldChar w:fldCharType="begin" w:fldLock="1"/>
      </w:r>
      <w:r w:rsidR="00EB18A3">
        <w:rPr>
          <w:rFonts w:ascii="Arial" w:hAnsi="Arial" w:cs="Arial"/>
          <w:sz w:val="24"/>
          <w:szCs w:val="24"/>
        </w:rPr>
        <w:instrText>ADDIN CSL_CITATION {"citationItems":[{"id":"ITEM-1","itemData":{"DOI":"10.1111/apt.16913","ISSN":"0269-2813","abstract":"Introduction: There are concerns regarding the effectiveness and safety of SARS- CoV- 2 vaccine in inflammatory Bowel Disease (IBD) patients. This systematic review and meta- analysis comprehensively summarises the available literature regarding the safety and effectiveness of SARS- CoV- 2 vaccine in IBD. Methods: Three independent reviewers performed a comprehensive review of all original articles describing the response of SARS- CoV- 2 vaccines in patients with IBD. Primary outcomes were (1) pooled seroconversion rate SARS- CoV- 2 vaccination in IBD patients (2) comparison of breakthrough COVID- 19 infection rate SARS- CoV- 2 vaccination in IBD patients with control cohort and (3) pooled adverse event rate of SARS- CoV- 2 vaccine. All outcomes were evaluated for one and two doses of SARS- CoV- 2 vaccine. Meta- regression was performed. Probability of publication bias was assessed using funnel plots and with Egger’s test. Results: Twenty- one studies yielded a pooled seroconversion rate of 73.7% and 96.8% in IBD patients after one and two doses of SARS- CoV- 2 vaccine respectively. Sub- group analysis revealed non- statistically significant differences between differ- ent immunosuppressive regimens for seroconversion. Meta- regression revealed that the vaccine type and study location independently influenced seroconversion rates. There was no statistically significant difference in breakthrough infection in IBD pa- tients as compared to control after vaccination. Conclusion: In summary, the systematic review and meta- analysis suggest that SARS- CoV- 2 vaccine is safe and effective in IBD patients. As","author":[{"dropping-particle":"","family":"Bhurwal","given":"Abhishek","non-dropping-particle":"","parse-names":false,"suffix":""},{"dropping-particle":"","family":"Mutneja","given":"Hemant","non-dropping-particle":"","parse-names":false,"suffix":""},{"dropping-particle":"","family":"Bansal","given":"Vikas","non-dropping-particle":"","parse-names":false,"suffix":""},{"dropping-particle":"","family":"Goel","given":"Akshay","non-dropping-particle":"","parse-names":false,"suffix":""},{"dropping-particle":"","family":"Arora","given":"Shilpa","non-dropping-particle":"","parse-names":false,"suffix":""},{"dropping-particle":"","family":"Attar","given":"Bashar","non-dropping-particle":"","parse-names":false,"suffix":""},{"dropping-particle":"","family":"Minacapelli","given":"Carlos D.","non-dropping-particle":"","parse-names":false,"suffix":""},{"dropping-particle":"","family":"Kochhar","given":"Gursimran","non-dropping-particle":"","parse-names":false,"suffix":""},{"dropping-particle":"","family":"Chen","given":"Lea Ann","non-dropping-particle":"","parse-names":false,"suffix":""},{"dropping-particle":"","family":"Brant","given":"Steve","non-dropping-particle":"","parse-names":false,"suffix":""},{"dropping-particle":"","family":"Seril","given":"Darren","non-dropping-particle":"","parse-names":false,"suffix":""}],"container-title":"Alimentary Pharmacology &amp; Therapeutics","id":"ITEM-1","issue":"10","issued":{"date-parts":[["2022","5","30"]]},"page":"1244-1264","title":"Effectiveness and safety of SARS</w:instrText>
      </w:r>
      <w:r w:rsidR="00EB18A3">
        <w:rPr>
          <w:rFonts w:ascii="Cambria Math" w:hAnsi="Cambria Math" w:cs="Cambria Math"/>
          <w:sz w:val="24"/>
          <w:szCs w:val="24"/>
        </w:rPr>
        <w:instrText>‐</w:instrText>
      </w:r>
      <w:r w:rsidR="00EB18A3">
        <w:rPr>
          <w:rFonts w:ascii="Arial" w:hAnsi="Arial" w:cs="Arial"/>
          <w:sz w:val="24"/>
          <w:szCs w:val="24"/>
        </w:rPr>
        <w:instrText>CoV</w:instrText>
      </w:r>
      <w:r w:rsidR="00EB18A3">
        <w:rPr>
          <w:rFonts w:ascii="Cambria Math" w:hAnsi="Cambria Math" w:cs="Cambria Math"/>
          <w:sz w:val="24"/>
          <w:szCs w:val="24"/>
        </w:rPr>
        <w:instrText>‐</w:instrText>
      </w:r>
      <w:r w:rsidR="00EB18A3">
        <w:rPr>
          <w:rFonts w:ascii="Arial" w:hAnsi="Arial" w:cs="Arial"/>
          <w:sz w:val="24"/>
          <w:szCs w:val="24"/>
        </w:rPr>
        <w:instrText>2 vaccine in Inflammatory Bowel Disease patients: a systematic review, meta</w:instrText>
      </w:r>
      <w:r w:rsidR="00EB18A3">
        <w:rPr>
          <w:rFonts w:ascii="Cambria Math" w:hAnsi="Cambria Math" w:cs="Cambria Math"/>
          <w:sz w:val="24"/>
          <w:szCs w:val="24"/>
        </w:rPr>
        <w:instrText>‐</w:instrText>
      </w:r>
      <w:r w:rsidR="00EB18A3">
        <w:rPr>
          <w:rFonts w:ascii="Arial" w:hAnsi="Arial" w:cs="Arial"/>
          <w:sz w:val="24"/>
          <w:szCs w:val="24"/>
        </w:rPr>
        <w:instrText>analysis and meta</w:instrText>
      </w:r>
      <w:r w:rsidR="00EB18A3">
        <w:rPr>
          <w:rFonts w:ascii="Cambria Math" w:hAnsi="Cambria Math" w:cs="Cambria Math"/>
          <w:sz w:val="24"/>
          <w:szCs w:val="24"/>
        </w:rPr>
        <w:instrText>‐</w:instrText>
      </w:r>
      <w:r w:rsidR="00EB18A3">
        <w:rPr>
          <w:rFonts w:ascii="Arial" w:hAnsi="Arial" w:cs="Arial"/>
          <w:sz w:val="24"/>
          <w:szCs w:val="24"/>
        </w:rPr>
        <w:instrText>regression","type":"article-journal","volume":"55"},"uris":["http://www.mendeley.com/documents/?uuid=a4597a90-98bc-37cd-9422-6f16f8090619"]}],"mendeley":{"formattedCitation":"(19)","plainTextFormattedCitation":"(19)","previouslyFormattedCitation":"(19)"},"properties":{"noteIndex":0},"schema":"https://github.com/citation-style-language/schema/raw/master/csl-citation.json"}</w:instrText>
      </w:r>
      <w:r w:rsidR="006C691C" w:rsidRPr="00021272">
        <w:rPr>
          <w:rFonts w:ascii="Arial" w:hAnsi="Arial" w:cs="Arial"/>
          <w:sz w:val="24"/>
          <w:szCs w:val="24"/>
        </w:rPr>
        <w:fldChar w:fldCharType="separate"/>
      </w:r>
      <w:r w:rsidR="0032390D" w:rsidRPr="0032390D">
        <w:rPr>
          <w:rFonts w:ascii="Arial" w:hAnsi="Arial" w:cs="Arial"/>
          <w:noProof/>
          <w:sz w:val="24"/>
          <w:szCs w:val="24"/>
        </w:rPr>
        <w:t>(19)</w:t>
      </w:r>
      <w:r w:rsidR="006C691C" w:rsidRPr="00021272">
        <w:rPr>
          <w:rFonts w:ascii="Arial" w:hAnsi="Arial" w:cs="Arial"/>
          <w:sz w:val="24"/>
          <w:szCs w:val="24"/>
        </w:rPr>
        <w:fldChar w:fldCharType="end"/>
      </w:r>
      <w:r w:rsidRPr="00021272">
        <w:rPr>
          <w:rFonts w:ascii="Arial" w:hAnsi="Arial" w:cs="Arial"/>
          <w:sz w:val="24"/>
          <w:szCs w:val="24"/>
        </w:rPr>
        <w:t xml:space="preserve"> of </w:t>
      </w:r>
      <w:r w:rsidR="0025665E">
        <w:rPr>
          <w:rFonts w:ascii="Arial" w:hAnsi="Arial" w:cs="Arial"/>
          <w:sz w:val="24"/>
          <w:szCs w:val="24"/>
        </w:rPr>
        <w:t>COVID</w:t>
      </w:r>
      <w:r w:rsidRPr="00021272">
        <w:rPr>
          <w:rFonts w:ascii="Arial" w:hAnsi="Arial" w:cs="Arial"/>
          <w:sz w:val="24"/>
          <w:szCs w:val="24"/>
        </w:rPr>
        <w:t xml:space="preserve">-19 vaccinations. </w:t>
      </w:r>
      <w:r w:rsidR="00670275">
        <w:rPr>
          <w:rFonts w:ascii="Arial" w:hAnsi="Arial" w:cs="Arial"/>
          <w:sz w:val="24"/>
          <w:szCs w:val="24"/>
        </w:rPr>
        <w:lastRenderedPageBreak/>
        <w:t>The review by Bhurwal et al did not evaluate the association between vaccination against Coivid-19 and IBD flares</w:t>
      </w:r>
      <w:r w:rsidR="00D025CD">
        <w:rPr>
          <w:rFonts w:ascii="Arial" w:hAnsi="Arial" w:cs="Arial"/>
          <w:sz w:val="24"/>
          <w:szCs w:val="24"/>
        </w:rPr>
        <w:fldChar w:fldCharType="begin" w:fldLock="1"/>
      </w:r>
      <w:r w:rsidR="00EB18A3">
        <w:rPr>
          <w:rFonts w:ascii="Arial" w:hAnsi="Arial" w:cs="Arial"/>
          <w:sz w:val="24"/>
          <w:szCs w:val="24"/>
        </w:rPr>
        <w:instrText>ADDIN CSL_CITATION {"citationItems":[{"id":"ITEM-1","itemData":{"DOI":"10.1111/apt.16913","ISSN":"0269-2813","abstract":"Introduction: There are concerns regarding the effectiveness and safety of SARS- CoV- 2 vaccine in inflammatory Bowel Disease (IBD) patients. This systematic review and meta- analysis comprehensively summarises the available literature regarding the safety and effectiveness of SARS- CoV- 2 vaccine in IBD. Methods: Three independent reviewers performed a comprehensive review of all original articles describing the response of SARS- CoV- 2 vaccines in patients with IBD. Primary outcomes were (1) pooled seroconversion rate SARS- CoV- 2 vaccination in IBD patients (2) comparison of breakthrough COVID- 19 infection rate SARS- CoV- 2 vaccination in IBD patients with control cohort and (3) pooled adverse event rate of SARS- CoV- 2 vaccine. All outcomes were evaluated for one and two doses of SARS- CoV- 2 vaccine. Meta- regression was performed. Probability of publication bias was assessed using funnel plots and with Egger’s test. Results: Twenty- one studies yielded a pooled seroconversion rate of 73.7% and 96.8% in IBD patients after one and two doses of SARS- CoV- 2 vaccine respectively. Sub- group analysis revealed non- statistically significant differences between differ- ent immunosuppressive regimens for seroconversion. Meta- regression revealed that the vaccine type and study location independently influenced seroconversion rates. There was no statistically significant difference in breakthrough infection in IBD pa- tients as compared to control after vaccination. Conclusion: In summary, the systematic review and meta- analysis suggest that SARS- CoV- 2 vaccine is safe and effective in IBD patients. As","author":[{"dropping-particle":"","family":"Bhurwal","given":"Abhishek","non-dropping-particle":"","parse-names":false,"suffix":""},{"dropping-particle":"","family":"Mutneja","given":"Hemant","non-dropping-particle":"","parse-names":false,"suffix":""},{"dropping-particle":"","family":"Bansal","given":"Vikas","non-dropping-particle":"","parse-names":false,"suffix":""},{"dropping-particle":"","family":"Goel","given":"Akshay","non-dropping-particle":"","parse-names":false,"suffix":""},{"dropping-particle":"","family":"Arora","given":"Shilpa","non-dropping-particle":"","parse-names":false,"suffix":""},{"dropping-particle":"","family":"Attar","given":"Bashar","non-dropping-particle":"","parse-names":false,"suffix":""},{"dropping-particle":"","family":"Minacapelli","given":"Carlos D.","non-dropping-particle":"","parse-names":false,"suffix":""},{"dropping-particle":"","family":"Kochhar","given":"Gursimran","non-dropping-particle":"","parse-names":false,"suffix":""},{"dropping-particle":"","family":"Chen","given":"Lea Ann","non-dropping-particle":"","parse-names":false,"suffix":""},{"dropping-particle":"","family":"Brant","given":"Steve","non-dropping-particle":"","parse-names":false,"suffix":""},{"dropping-particle":"","family":"Seril","given":"Darren","non-dropping-particle":"","parse-names":false,"suffix":""}],"container-title":"Alimentary Pharmacology &amp; Therapeutics","id":"ITEM-1","issue":"10","issued":{"date-parts":[["2022","5","30"]]},"page":"1244-1264","title":"Effectiveness and safety of SARS</w:instrText>
      </w:r>
      <w:r w:rsidR="00EB18A3">
        <w:rPr>
          <w:rFonts w:ascii="Cambria Math" w:hAnsi="Cambria Math" w:cs="Cambria Math"/>
          <w:sz w:val="24"/>
          <w:szCs w:val="24"/>
        </w:rPr>
        <w:instrText>‐</w:instrText>
      </w:r>
      <w:r w:rsidR="00EB18A3">
        <w:rPr>
          <w:rFonts w:ascii="Arial" w:hAnsi="Arial" w:cs="Arial"/>
          <w:sz w:val="24"/>
          <w:szCs w:val="24"/>
        </w:rPr>
        <w:instrText>CoV</w:instrText>
      </w:r>
      <w:r w:rsidR="00EB18A3">
        <w:rPr>
          <w:rFonts w:ascii="Cambria Math" w:hAnsi="Cambria Math" w:cs="Cambria Math"/>
          <w:sz w:val="24"/>
          <w:szCs w:val="24"/>
        </w:rPr>
        <w:instrText>‐</w:instrText>
      </w:r>
      <w:r w:rsidR="00EB18A3">
        <w:rPr>
          <w:rFonts w:ascii="Arial" w:hAnsi="Arial" w:cs="Arial"/>
          <w:sz w:val="24"/>
          <w:szCs w:val="24"/>
        </w:rPr>
        <w:instrText>2 vaccine in Inflammatory Bowel Disease patients: a systematic review, meta</w:instrText>
      </w:r>
      <w:r w:rsidR="00EB18A3">
        <w:rPr>
          <w:rFonts w:ascii="Cambria Math" w:hAnsi="Cambria Math" w:cs="Cambria Math"/>
          <w:sz w:val="24"/>
          <w:szCs w:val="24"/>
        </w:rPr>
        <w:instrText>‐</w:instrText>
      </w:r>
      <w:r w:rsidR="00EB18A3">
        <w:rPr>
          <w:rFonts w:ascii="Arial" w:hAnsi="Arial" w:cs="Arial"/>
          <w:sz w:val="24"/>
          <w:szCs w:val="24"/>
        </w:rPr>
        <w:instrText>analysis and meta</w:instrText>
      </w:r>
      <w:r w:rsidR="00EB18A3">
        <w:rPr>
          <w:rFonts w:ascii="Cambria Math" w:hAnsi="Cambria Math" w:cs="Cambria Math"/>
          <w:sz w:val="24"/>
          <w:szCs w:val="24"/>
        </w:rPr>
        <w:instrText>‐</w:instrText>
      </w:r>
      <w:r w:rsidR="00EB18A3">
        <w:rPr>
          <w:rFonts w:ascii="Arial" w:hAnsi="Arial" w:cs="Arial"/>
          <w:sz w:val="24"/>
          <w:szCs w:val="24"/>
        </w:rPr>
        <w:instrText>regression","type":"article-journal","volume":"55"},"uris":["http://www.mendeley.com/documents/?uuid=a4597a90-98bc-37cd-9422-6f16f8090619"]}],"mendeley":{"formattedCitation":"(19)","plainTextFormattedCitation":"(19)","previouslyFormattedCitation":"(19)"},"properties":{"noteIndex":0},"schema":"https://github.com/citation-style-language/schema/raw/master/csl-citation.json"}</w:instrText>
      </w:r>
      <w:r w:rsidR="00D025CD">
        <w:rPr>
          <w:rFonts w:ascii="Arial" w:hAnsi="Arial" w:cs="Arial"/>
          <w:sz w:val="24"/>
          <w:szCs w:val="24"/>
        </w:rPr>
        <w:fldChar w:fldCharType="separate"/>
      </w:r>
      <w:r w:rsidR="0032390D" w:rsidRPr="0032390D">
        <w:rPr>
          <w:rFonts w:ascii="Arial" w:hAnsi="Arial" w:cs="Arial"/>
          <w:noProof/>
          <w:sz w:val="24"/>
          <w:szCs w:val="24"/>
        </w:rPr>
        <w:t>(19)</w:t>
      </w:r>
      <w:r w:rsidR="00D025CD">
        <w:rPr>
          <w:rFonts w:ascii="Arial" w:hAnsi="Arial" w:cs="Arial"/>
          <w:sz w:val="24"/>
          <w:szCs w:val="24"/>
        </w:rPr>
        <w:fldChar w:fldCharType="end"/>
      </w:r>
      <w:r w:rsidR="00670275">
        <w:rPr>
          <w:rFonts w:ascii="Arial" w:hAnsi="Arial" w:cs="Arial"/>
          <w:sz w:val="24"/>
          <w:szCs w:val="24"/>
        </w:rPr>
        <w:t xml:space="preserve">. </w:t>
      </w:r>
      <w:r w:rsidRPr="00021272">
        <w:rPr>
          <w:rFonts w:ascii="Arial" w:hAnsi="Arial" w:cs="Arial"/>
          <w:sz w:val="24"/>
          <w:szCs w:val="24"/>
        </w:rPr>
        <w:t xml:space="preserve">These studies have however mainly been case series or surveys from individual or small groups of centres, and/or have related to specific vaccines. The risk of IBD flare </w:t>
      </w:r>
      <w:r w:rsidR="003B6908">
        <w:rPr>
          <w:rFonts w:ascii="Arial" w:hAnsi="Arial" w:cs="Arial"/>
          <w:sz w:val="24"/>
          <w:szCs w:val="24"/>
        </w:rPr>
        <w:t xml:space="preserve">with vaccination against </w:t>
      </w:r>
      <w:r w:rsidR="0025665E">
        <w:rPr>
          <w:rFonts w:ascii="Arial" w:hAnsi="Arial" w:cs="Arial"/>
          <w:sz w:val="24"/>
          <w:szCs w:val="24"/>
        </w:rPr>
        <w:t>COVID</w:t>
      </w:r>
      <w:r w:rsidR="003B6908">
        <w:rPr>
          <w:rFonts w:ascii="Arial" w:hAnsi="Arial" w:cs="Arial"/>
          <w:sz w:val="24"/>
          <w:szCs w:val="24"/>
        </w:rPr>
        <w:t xml:space="preserve">-19 </w:t>
      </w:r>
      <w:r w:rsidRPr="00021272">
        <w:rPr>
          <w:rFonts w:ascii="Arial" w:hAnsi="Arial" w:cs="Arial"/>
          <w:sz w:val="24"/>
          <w:szCs w:val="24"/>
        </w:rPr>
        <w:t>originally suggested</w:t>
      </w:r>
      <w:r w:rsidR="003B6908">
        <w:rPr>
          <w:rFonts w:ascii="Arial" w:hAnsi="Arial" w:cs="Arial"/>
          <w:sz w:val="24"/>
          <w:szCs w:val="24"/>
        </w:rPr>
        <w:t xml:space="preserve"> </w:t>
      </w:r>
      <w:r w:rsidR="001A1C95">
        <w:rPr>
          <w:rFonts w:ascii="Arial" w:hAnsi="Arial" w:cs="Arial"/>
          <w:sz w:val="24"/>
          <w:szCs w:val="24"/>
        </w:rPr>
        <w:fldChar w:fldCharType="begin" w:fldLock="1"/>
      </w:r>
      <w:r w:rsidR="00EB18A3">
        <w:rPr>
          <w:rFonts w:ascii="Arial" w:hAnsi="Arial" w:cs="Arial"/>
          <w:sz w:val="24"/>
          <w:szCs w:val="24"/>
        </w:rPr>
        <w:instrText>ADDIN CSL_CITATION {"citationItems":[{"id":"ITEM-1","itemData":{"DOI":"10.3390/jcm11102765","ISSN":"2077-0383","PMID":"35628892","abstract":"BACKGROUND Pediatric inflammatory multisystem syndrome temporally associated with COVID-19/multi-system inflammatory syndrome in children (PIMS-TS/MIS-C) is a potentially life-threatening complication of SARS-CoV-2 infection in children. Gastrointestinal manifestations are prominent in children with PIMS-TS/MIS-C. Thus, it is challenging to differentiate this condition from an exacerbation of inflammatory bowel disease (IBD). We aimed to present the clinical characteristics, and diagnostic and therapeutic difficulties in patients with overlapping IBD and PIMS-TS/MIS-C; Methods: We reviewed medical records of children hospitalized due to overlapping IBD and PIMS-TS/MIS-C in a single pediatric hospital from December 2020 to December 2021; Results: There were four children with overlapping IBD flare and PIMS-TS/MIS-C. In three cases, IBD recognition preceded PIMS-TS/MIS-C onset and PIMS-TS/MIS-C occurred during anti-inflammatory therapy of IBD. All children presented with gastrointestinal symptoms at PIMS-TS/MIS-C onset. All patients received IVIG and ASA treatment. In three children there was a need to use steroids to resolve PIMS-TS/MIS-C symptoms. One child was vaccinated against COVID-19; Conclusions: SARS-CoV-2 infection may affect patients with underlying inflammatory conditions such as IBD, inducing systemic symptoms of PIMS-TS/MIS-C, and probably triggering IBD after PIMS-TS/MIS-C. The resemblance of clinical presentations is the main source of diagnostic and therapeutic challenges in PIMS-TS/MIS-C in patients with underlying IBD.","author":[{"dropping-particle":"","family":"Krawiec","given":"Paulina","non-dropping-particle":"","parse-names":false,"suffix":""},{"dropping-particle":"","family":"Opoka-Winiarska","given":"Violetta","non-dropping-particle":"","parse-names":false,"suffix":""},{"dropping-particle":"","family":"Pac-Kożuchowska","given":"Elżbieta","non-dropping-particle":"","parse-names":false,"suffix":""}],"container-title":"Journal of clinical medicine","id":"ITEM-1","issue":"10","issued":{"date-parts":[["2022","5","13"]]},"title":"Is It Inflammatory Bowel Disease Flare or Pediatric Inflammatory Multisystem Syndrome Temporally Associated with COVID-19?","type":"article-journal","volume":"11"},"uris":["http://www.mendeley.com/documents/?uuid=f74c954e-1006-4ba3-854b-5d9ec8512a7c"]},{"id":"ITEM-2","itemData":{"DOI":"10.14309/ajg.0000000000001416","ISBN":"0000000000","ISSN":"0002-9270","PMID":"34406140","author":[{"dropping-particle":"","family":"Sangha","given":"Maheep","non-dropping-particle":"","parse-names":false,"suffix":""},{"dropping-particle":"","family":"Roitman","given":"Isabel","non-dropping-particle":"","parse-names":false,"suffix":""},{"dropping-particle":"","family":"Sultan","given":"Keith","non-dropping-particle":"","parse-names":false,"suffix":""},{"dropping-particle":"","family":"Swaminath","given":"Arun","non-dropping-particle":"","parse-names":false,"suffix":""}],"container-title":"American Journal of Gastroenterology","id":"ITEM-2","issue":"12","issued":{"date-parts":[["2021","12","1"]]},"page":"2480-2481","title":"SARS-CoV-2 Immunization in Patients With Inflammatory Bowel Disease May Result in Disease Flares","type":"article-journal","volume":"116"},"uris":["http://www.mendeley.com/documents/?uuid=0bcf24b7-9000-42a3-a545-7d3ee6f02440"]}],"mendeley":{"formattedCitation":"(15,16)","plainTextFormattedCitation":"(15,16)","previouslyFormattedCitation":"(15,16)"},"properties":{"noteIndex":0},"schema":"https://github.com/citation-style-language/schema/raw/master/csl-citation.json"}</w:instrText>
      </w:r>
      <w:r w:rsidR="001A1C95">
        <w:rPr>
          <w:rFonts w:ascii="Arial" w:hAnsi="Arial" w:cs="Arial"/>
          <w:sz w:val="24"/>
          <w:szCs w:val="24"/>
        </w:rPr>
        <w:fldChar w:fldCharType="separate"/>
      </w:r>
      <w:r w:rsidR="0032390D" w:rsidRPr="0032390D">
        <w:rPr>
          <w:rFonts w:ascii="Arial" w:hAnsi="Arial" w:cs="Arial"/>
          <w:noProof/>
          <w:sz w:val="24"/>
          <w:szCs w:val="24"/>
        </w:rPr>
        <w:t>(15,16)</w:t>
      </w:r>
      <w:r w:rsidR="001A1C95">
        <w:rPr>
          <w:rFonts w:ascii="Arial" w:hAnsi="Arial" w:cs="Arial"/>
          <w:sz w:val="24"/>
          <w:szCs w:val="24"/>
        </w:rPr>
        <w:fldChar w:fldCharType="end"/>
      </w:r>
      <w:r w:rsidRPr="00021272">
        <w:rPr>
          <w:rFonts w:ascii="Arial" w:hAnsi="Arial" w:cs="Arial"/>
          <w:sz w:val="24"/>
          <w:szCs w:val="24"/>
        </w:rPr>
        <w:t xml:space="preserve"> has not to date been conclusively excluded in a large representative population. We have therefore carried out a study in the CPRD population which is representative of the overall UK population to </w:t>
      </w:r>
      <w:r w:rsidR="00C74F2F">
        <w:rPr>
          <w:rFonts w:ascii="Arial" w:hAnsi="Arial" w:cs="Arial"/>
          <w:sz w:val="24"/>
          <w:szCs w:val="24"/>
        </w:rPr>
        <w:t xml:space="preserve">clarify </w:t>
      </w:r>
      <w:r w:rsidRPr="00021272">
        <w:rPr>
          <w:rFonts w:ascii="Arial" w:hAnsi="Arial" w:cs="Arial"/>
          <w:sz w:val="24"/>
          <w:szCs w:val="24"/>
        </w:rPr>
        <w:t xml:space="preserve">whether </w:t>
      </w:r>
      <w:r w:rsidR="0025665E">
        <w:rPr>
          <w:rFonts w:ascii="Arial" w:hAnsi="Arial" w:cs="Arial"/>
          <w:sz w:val="24"/>
          <w:szCs w:val="24"/>
        </w:rPr>
        <w:t>COVID</w:t>
      </w:r>
      <w:r w:rsidRPr="00021272">
        <w:rPr>
          <w:rFonts w:ascii="Arial" w:hAnsi="Arial" w:cs="Arial"/>
          <w:sz w:val="24"/>
          <w:szCs w:val="24"/>
        </w:rPr>
        <w:t xml:space="preserve"> vaccination </w:t>
      </w:r>
      <w:r w:rsidR="00C74F2F">
        <w:rPr>
          <w:rFonts w:ascii="Arial" w:hAnsi="Arial" w:cs="Arial"/>
          <w:sz w:val="24"/>
          <w:szCs w:val="24"/>
        </w:rPr>
        <w:t xml:space="preserve">is associated with an </w:t>
      </w:r>
      <w:r w:rsidRPr="00021272">
        <w:rPr>
          <w:rFonts w:ascii="Arial" w:hAnsi="Arial" w:cs="Arial"/>
          <w:sz w:val="24"/>
          <w:szCs w:val="24"/>
        </w:rPr>
        <w:t>increase</w:t>
      </w:r>
      <w:r w:rsidR="00C74F2F">
        <w:rPr>
          <w:rFonts w:ascii="Arial" w:hAnsi="Arial" w:cs="Arial"/>
          <w:sz w:val="24"/>
          <w:szCs w:val="24"/>
        </w:rPr>
        <w:t>d</w:t>
      </w:r>
      <w:r w:rsidRPr="00021272">
        <w:rPr>
          <w:rFonts w:ascii="Arial" w:hAnsi="Arial" w:cs="Arial"/>
          <w:sz w:val="24"/>
          <w:szCs w:val="24"/>
        </w:rPr>
        <w:t xml:space="preserve"> risk of IBD flare.</w:t>
      </w:r>
    </w:p>
    <w:p w14:paraId="4289597D" w14:textId="77777777" w:rsidR="00021272" w:rsidRDefault="00021272">
      <w:pPr>
        <w:rPr>
          <w:rFonts w:ascii="Arial" w:hAnsi="Arial" w:cs="Arial"/>
          <w:sz w:val="24"/>
          <w:szCs w:val="24"/>
        </w:rPr>
      </w:pPr>
      <w:r>
        <w:rPr>
          <w:rFonts w:ascii="Arial" w:hAnsi="Arial" w:cs="Arial"/>
          <w:sz w:val="24"/>
          <w:szCs w:val="24"/>
        </w:rPr>
        <w:br w:type="page"/>
      </w:r>
    </w:p>
    <w:p w14:paraId="7587DE61" w14:textId="77777777" w:rsidR="00485661" w:rsidRPr="00021272" w:rsidRDefault="00485661" w:rsidP="000736FB">
      <w:pPr>
        <w:spacing w:line="480" w:lineRule="auto"/>
        <w:rPr>
          <w:rFonts w:ascii="Arial" w:hAnsi="Arial" w:cs="Arial"/>
          <w:sz w:val="24"/>
          <w:szCs w:val="24"/>
        </w:rPr>
      </w:pPr>
    </w:p>
    <w:p w14:paraId="5A737135" w14:textId="4C74084F" w:rsidR="00B70C48" w:rsidRPr="00B70C48" w:rsidRDefault="00B70C48" w:rsidP="00021272">
      <w:pPr>
        <w:spacing w:line="480" w:lineRule="auto"/>
        <w:rPr>
          <w:rFonts w:ascii="Arial" w:hAnsi="Arial" w:cs="Arial"/>
          <w:b/>
          <w:sz w:val="24"/>
          <w:szCs w:val="24"/>
        </w:rPr>
      </w:pPr>
      <w:r w:rsidRPr="00B70C48">
        <w:rPr>
          <w:rFonts w:ascii="Arial" w:hAnsi="Arial" w:cs="Arial"/>
          <w:b/>
          <w:sz w:val="24"/>
          <w:szCs w:val="24"/>
        </w:rPr>
        <w:t>Methods</w:t>
      </w:r>
      <w:r w:rsidR="00021272" w:rsidRPr="00B70C48">
        <w:rPr>
          <w:rFonts w:ascii="Arial" w:hAnsi="Arial" w:cs="Arial"/>
          <w:b/>
          <w:sz w:val="24"/>
          <w:szCs w:val="24"/>
        </w:rPr>
        <w:t xml:space="preserve"> </w:t>
      </w:r>
    </w:p>
    <w:p w14:paraId="74F3836D" w14:textId="72160CFE" w:rsidR="00021272" w:rsidRPr="00021272" w:rsidRDefault="00021272" w:rsidP="00021272">
      <w:pPr>
        <w:spacing w:line="480" w:lineRule="auto"/>
        <w:rPr>
          <w:rFonts w:ascii="Arial" w:hAnsi="Arial" w:cs="Arial"/>
          <w:sz w:val="24"/>
          <w:szCs w:val="24"/>
        </w:rPr>
      </w:pPr>
      <w:r w:rsidRPr="00021272">
        <w:rPr>
          <w:rFonts w:ascii="Arial" w:hAnsi="Arial" w:cs="Arial"/>
          <w:sz w:val="24"/>
          <w:szCs w:val="24"/>
        </w:rPr>
        <w:t>Data</w:t>
      </w:r>
      <w:r w:rsidR="00B4669C">
        <w:rPr>
          <w:rFonts w:ascii="Arial" w:hAnsi="Arial" w:cs="Arial"/>
          <w:sz w:val="24"/>
          <w:szCs w:val="24"/>
        </w:rPr>
        <w:t>:</w:t>
      </w:r>
      <w:r w:rsidRPr="00021272">
        <w:rPr>
          <w:rFonts w:ascii="Arial" w:hAnsi="Arial" w:cs="Arial"/>
          <w:sz w:val="24"/>
          <w:szCs w:val="24"/>
        </w:rPr>
        <w:t xml:space="preserve"> </w:t>
      </w:r>
      <w:r w:rsidR="00347C8D">
        <w:rPr>
          <w:rFonts w:ascii="Arial" w:hAnsi="Arial" w:cs="Arial"/>
          <w:sz w:val="24"/>
          <w:szCs w:val="24"/>
        </w:rPr>
        <w:t>S</w:t>
      </w:r>
      <w:r w:rsidRPr="00021272">
        <w:rPr>
          <w:rFonts w:ascii="Arial" w:hAnsi="Arial" w:cs="Arial"/>
          <w:sz w:val="24"/>
          <w:szCs w:val="24"/>
        </w:rPr>
        <w:t xml:space="preserve">ource </w:t>
      </w:r>
      <w:r w:rsidR="00347C8D">
        <w:rPr>
          <w:rFonts w:ascii="Arial" w:hAnsi="Arial" w:cs="Arial"/>
          <w:sz w:val="24"/>
          <w:szCs w:val="24"/>
        </w:rPr>
        <w:t>d</w:t>
      </w:r>
      <w:r w:rsidRPr="00021272">
        <w:rPr>
          <w:rFonts w:ascii="Arial" w:hAnsi="Arial" w:cs="Arial"/>
          <w:sz w:val="24"/>
          <w:szCs w:val="24"/>
        </w:rPr>
        <w:t xml:space="preserve">ata were extracted from Clinical Practice Research Datalink (CPRD) Aurum, a longitudinal anonymized electronic database of health records from 19 million patients </w:t>
      </w:r>
      <w:r w:rsidR="008E075B">
        <w:rPr>
          <w:rFonts w:ascii="Arial" w:hAnsi="Arial" w:cs="Arial"/>
          <w:sz w:val="24"/>
          <w:szCs w:val="24"/>
        </w:rPr>
        <w:t>registered with</w:t>
      </w:r>
      <w:r w:rsidRPr="00021272">
        <w:rPr>
          <w:rFonts w:ascii="Arial" w:hAnsi="Arial" w:cs="Arial"/>
          <w:sz w:val="24"/>
          <w:szCs w:val="24"/>
        </w:rPr>
        <w:t xml:space="preserve"> 738 general practices that dates back to 1995</w:t>
      </w:r>
      <w:r w:rsidR="003B6908">
        <w:rPr>
          <w:rFonts w:ascii="Arial" w:hAnsi="Arial" w:cs="Arial"/>
          <w:sz w:val="24"/>
          <w:szCs w:val="24"/>
        </w:rPr>
        <w:t xml:space="preserve"> </w:t>
      </w:r>
      <w:r w:rsidR="0090352B">
        <w:rPr>
          <w:rFonts w:ascii="Arial" w:hAnsi="Arial" w:cs="Arial"/>
          <w:sz w:val="24"/>
          <w:szCs w:val="24"/>
        </w:rPr>
        <w:fldChar w:fldCharType="begin" w:fldLock="1"/>
      </w:r>
      <w:r w:rsidR="00EB18A3">
        <w:rPr>
          <w:rFonts w:ascii="Arial" w:hAnsi="Arial" w:cs="Arial"/>
          <w:sz w:val="24"/>
          <w:szCs w:val="24"/>
        </w:rPr>
        <w:instrText>ADDIN CSL_CITATION {"citationItems":[{"id":"ITEM-1","itemData":{"DOI":"10.1093/ije/dyz034","ISSN":"1464-3685","PMID":"30859197","author":[{"dropping-particle":"","family":"Wolf","given":"Achim","non-dropping-particle":"","parse-names":false,"suffix":""},{"dropping-particle":"","family":"Dedman","given":"Daniel","non-dropping-particle":"","parse-names":false,"suffix":""},{"dropping-particle":"","family":"Campbell","given":"Jennifer","non-dropping-particle":"","parse-names":false,"suffix":""},{"dropping-particle":"","family":"Booth","given":"Helen","non-dropping-particle":"","parse-names":false,"suffix":""},{"dropping-particle":"","family":"Lunn","given":"Darren","non-dropping-particle":"","parse-names":false,"suffix":""},{"dropping-particle":"","family":"Chapman","given":"Jennifer","non-dropping-particle":"","parse-names":false,"suffix":""},{"dropping-particle":"","family":"Myles","given":"Puja","non-dropping-particle":"","parse-names":false,"suffix":""}],"container-title":"International journal of epidemiology","id":"ITEM-1","issue":"6","issued":{"date-parts":[["2019","12","1"]]},"page":"1740-1740g","title":"Data resource profile: Clinical Practice Research Datalink (CPRD) Aurum.","type":"article-journal","volume":"48"},"uris":["http://www.mendeley.com/documents/?uuid=a79ea2d9-661c-4e10-bb55-44627f8deb5e"]}],"mendeley":{"formattedCitation":"(20)","plainTextFormattedCitation":"(20)","previouslyFormattedCitation":"(20)"},"properties":{"noteIndex":0},"schema":"https://github.com/citation-style-language/schema/raw/master/csl-citation.json"}</w:instrText>
      </w:r>
      <w:r w:rsidR="0090352B">
        <w:rPr>
          <w:rFonts w:ascii="Arial" w:hAnsi="Arial" w:cs="Arial"/>
          <w:sz w:val="24"/>
          <w:szCs w:val="24"/>
          <w:vertAlign w:val="superscript"/>
        </w:rPr>
        <w:fldChar w:fldCharType="separate"/>
      </w:r>
      <w:r w:rsidR="0032390D" w:rsidRPr="0032390D">
        <w:rPr>
          <w:rFonts w:ascii="Arial" w:hAnsi="Arial" w:cs="Arial"/>
          <w:noProof/>
          <w:sz w:val="24"/>
          <w:szCs w:val="24"/>
        </w:rPr>
        <w:t>(20)</w:t>
      </w:r>
      <w:r w:rsidR="0090352B">
        <w:rPr>
          <w:rFonts w:ascii="Arial" w:hAnsi="Arial" w:cs="Arial"/>
          <w:sz w:val="24"/>
          <w:szCs w:val="24"/>
        </w:rPr>
        <w:fldChar w:fldCharType="end"/>
      </w:r>
      <w:r w:rsidRPr="00021272">
        <w:rPr>
          <w:rFonts w:ascii="Arial" w:hAnsi="Arial" w:cs="Arial"/>
          <w:sz w:val="24"/>
          <w:szCs w:val="24"/>
        </w:rPr>
        <w:t xml:space="preserve">. It includes information on demographic details, lifestyle factors, diagnoses, results of investigations, </w:t>
      </w:r>
      <w:r w:rsidR="008E075B">
        <w:rPr>
          <w:rFonts w:ascii="Arial" w:hAnsi="Arial" w:cs="Arial"/>
          <w:sz w:val="24"/>
          <w:szCs w:val="24"/>
        </w:rPr>
        <w:t xml:space="preserve">consultations, </w:t>
      </w:r>
      <w:r w:rsidRPr="00021272">
        <w:rPr>
          <w:rFonts w:ascii="Arial" w:hAnsi="Arial" w:cs="Arial"/>
          <w:sz w:val="24"/>
          <w:szCs w:val="24"/>
        </w:rPr>
        <w:t xml:space="preserve">primary-care prescription, and vaccinations. Diagnostic and prescription data are recorded using medical codes (a combination of Read 2, SNOMED and local EMIS® codes) and product codes respectively. Data for vaccination against </w:t>
      </w:r>
      <w:r w:rsidR="0025665E">
        <w:rPr>
          <w:rFonts w:ascii="Arial" w:hAnsi="Arial" w:cs="Arial"/>
          <w:sz w:val="24"/>
          <w:szCs w:val="24"/>
        </w:rPr>
        <w:t>COVID</w:t>
      </w:r>
      <w:r w:rsidRPr="00021272">
        <w:rPr>
          <w:rFonts w:ascii="Arial" w:hAnsi="Arial" w:cs="Arial"/>
          <w:sz w:val="24"/>
          <w:szCs w:val="24"/>
        </w:rPr>
        <w:t xml:space="preserve">-19, including date of vaccination and vaccine brand are provided by NHS Digital. </w:t>
      </w:r>
      <w:r w:rsidR="0025665E">
        <w:rPr>
          <w:rFonts w:ascii="Arial" w:hAnsi="Arial" w:cs="Arial"/>
          <w:sz w:val="24"/>
          <w:szCs w:val="24"/>
        </w:rPr>
        <w:t>COVID</w:t>
      </w:r>
      <w:r w:rsidRPr="00021272">
        <w:rPr>
          <w:rFonts w:ascii="Arial" w:hAnsi="Arial" w:cs="Arial"/>
          <w:sz w:val="24"/>
          <w:szCs w:val="24"/>
        </w:rPr>
        <w:t xml:space="preserve">-19 is defined using </w:t>
      </w:r>
      <w:r w:rsidR="0025665E">
        <w:rPr>
          <w:rFonts w:ascii="Arial" w:hAnsi="Arial" w:cs="Arial"/>
          <w:sz w:val="24"/>
          <w:szCs w:val="24"/>
        </w:rPr>
        <w:t>primary-care</w:t>
      </w:r>
      <w:r w:rsidR="0025665E" w:rsidRPr="00021272">
        <w:rPr>
          <w:rFonts w:ascii="Arial" w:hAnsi="Arial" w:cs="Arial"/>
          <w:sz w:val="24"/>
          <w:szCs w:val="24"/>
        </w:rPr>
        <w:t xml:space="preserve"> </w:t>
      </w:r>
      <w:r w:rsidRPr="00021272">
        <w:rPr>
          <w:rFonts w:ascii="Arial" w:hAnsi="Arial" w:cs="Arial"/>
          <w:sz w:val="24"/>
          <w:szCs w:val="24"/>
        </w:rPr>
        <w:t xml:space="preserve">diagnosis, serology, or polymerase chain reaction result. </w:t>
      </w:r>
    </w:p>
    <w:p w14:paraId="3D05E5FB" w14:textId="7A54C2FA" w:rsidR="00021272" w:rsidRPr="00021272" w:rsidRDefault="00021272" w:rsidP="00021272">
      <w:pPr>
        <w:spacing w:line="480" w:lineRule="auto"/>
        <w:rPr>
          <w:rFonts w:ascii="Arial" w:hAnsi="Arial" w:cs="Arial"/>
          <w:sz w:val="24"/>
          <w:szCs w:val="24"/>
        </w:rPr>
      </w:pPr>
      <w:r w:rsidRPr="00021272">
        <w:rPr>
          <w:rFonts w:ascii="Arial" w:hAnsi="Arial" w:cs="Arial"/>
          <w:sz w:val="24"/>
          <w:szCs w:val="24"/>
        </w:rPr>
        <w:t>Approvals</w:t>
      </w:r>
      <w:r w:rsidR="00B4669C">
        <w:rPr>
          <w:rFonts w:ascii="Arial" w:hAnsi="Arial" w:cs="Arial"/>
          <w:sz w:val="24"/>
          <w:szCs w:val="24"/>
        </w:rPr>
        <w:t>:</w:t>
      </w:r>
      <w:r w:rsidRPr="00021272">
        <w:rPr>
          <w:rFonts w:ascii="Arial" w:hAnsi="Arial" w:cs="Arial"/>
          <w:sz w:val="24"/>
          <w:szCs w:val="24"/>
        </w:rPr>
        <w:t xml:space="preserve"> CPRD Research Data Governance (Reference: 21_000670).</w:t>
      </w:r>
      <w:r w:rsidR="006B1FEB" w:rsidRPr="006B1FEB">
        <w:rPr>
          <w:rFonts w:ascii="Arial" w:hAnsi="Arial" w:cs="Arial"/>
          <w:sz w:val="24"/>
          <w:szCs w:val="24"/>
        </w:rPr>
        <w:t xml:space="preserve"> </w:t>
      </w:r>
      <w:r w:rsidR="006B1FEB" w:rsidRPr="00021272">
        <w:rPr>
          <w:rFonts w:ascii="Arial" w:hAnsi="Arial" w:cs="Arial"/>
          <w:sz w:val="24"/>
          <w:szCs w:val="24"/>
        </w:rPr>
        <w:t xml:space="preserve">This study used anonymized patient health records from the CPRD, and did not require individual participant consent.  </w:t>
      </w:r>
    </w:p>
    <w:p w14:paraId="2654B1EA" w14:textId="3C15DD29" w:rsidR="00021272" w:rsidRPr="00021272" w:rsidRDefault="00021272" w:rsidP="00021272">
      <w:pPr>
        <w:spacing w:line="480" w:lineRule="auto"/>
        <w:rPr>
          <w:rFonts w:ascii="Arial" w:hAnsi="Arial" w:cs="Arial"/>
          <w:sz w:val="24"/>
          <w:szCs w:val="24"/>
        </w:rPr>
      </w:pPr>
      <w:r w:rsidRPr="00021272">
        <w:rPr>
          <w:rFonts w:ascii="Arial" w:hAnsi="Arial" w:cs="Arial"/>
          <w:sz w:val="24"/>
          <w:szCs w:val="24"/>
        </w:rPr>
        <w:t>Study design</w:t>
      </w:r>
      <w:r w:rsidR="00B4669C">
        <w:rPr>
          <w:rFonts w:ascii="Arial" w:hAnsi="Arial" w:cs="Arial"/>
          <w:sz w:val="24"/>
          <w:szCs w:val="24"/>
        </w:rPr>
        <w:t>:</w:t>
      </w:r>
      <w:r w:rsidRPr="00021272">
        <w:rPr>
          <w:rFonts w:ascii="Arial" w:hAnsi="Arial" w:cs="Arial"/>
          <w:sz w:val="24"/>
          <w:szCs w:val="24"/>
        </w:rPr>
        <w:t xml:space="preserve"> Self-controlled case series analysis. This method </w:t>
      </w:r>
      <w:r w:rsidR="00684DE5">
        <w:rPr>
          <w:rFonts w:ascii="Arial" w:hAnsi="Arial" w:cs="Arial"/>
          <w:sz w:val="24"/>
          <w:szCs w:val="24"/>
        </w:rPr>
        <w:t>quantifies</w:t>
      </w:r>
      <w:r w:rsidRPr="00021272">
        <w:rPr>
          <w:rFonts w:ascii="Arial" w:hAnsi="Arial" w:cs="Arial"/>
          <w:sz w:val="24"/>
          <w:szCs w:val="24"/>
        </w:rPr>
        <w:t xml:space="preserve"> the association between exposure and outcome using data from exposed participants that developed an outcome and is extensively used in vaccine safety studi</w:t>
      </w:r>
      <w:r w:rsidR="0090352B">
        <w:rPr>
          <w:rFonts w:ascii="Arial" w:hAnsi="Arial" w:cs="Arial"/>
          <w:sz w:val="24"/>
          <w:szCs w:val="24"/>
        </w:rPr>
        <w:t>es</w:t>
      </w:r>
      <w:r w:rsidR="003B6908">
        <w:rPr>
          <w:rFonts w:ascii="Arial" w:hAnsi="Arial" w:cs="Arial"/>
          <w:sz w:val="24"/>
          <w:szCs w:val="24"/>
        </w:rPr>
        <w:t xml:space="preserve"> </w:t>
      </w:r>
      <w:r w:rsidR="0090352B">
        <w:rPr>
          <w:rFonts w:ascii="Arial" w:hAnsi="Arial" w:cs="Arial"/>
          <w:sz w:val="24"/>
          <w:szCs w:val="24"/>
        </w:rPr>
        <w:fldChar w:fldCharType="begin" w:fldLock="1"/>
      </w:r>
      <w:r w:rsidR="00EB18A3">
        <w:rPr>
          <w:rFonts w:ascii="Arial" w:hAnsi="Arial" w:cs="Arial"/>
          <w:sz w:val="24"/>
          <w:szCs w:val="24"/>
        </w:rPr>
        <w:instrText>ADDIN CSL_CITATION {"citationItems":[{"id":"ITEM-1","itemData":{"DOI":"10.1177/0962280208092342","ISSN":"0962-2802","PMID":"18562396","abstract":"The self-controlled case series method is increasingly being used in pharmacoepidemiology, particularly in vaccine safety studies. This method is typically used to evaluate the association between a transient exposure and an acute event, using only cases. We present both parametric and semiparametric models using a motivating example on MMR vaccine and bleeding disorders. We briefly describe approaches for interferent events and a sequential version of the method for prospective surveillance of drug safety. The efficiency of the self-controlled case series method is compared to the that of cohort and case control studies. Some further extensions, to long or indefinite exposures and to bivariate counts, are described.","author":[{"dropping-particle":"","family":"Whitaker","given":"Heather J","non-dropping-particle":"","parse-names":false,"suffix":""},{"dropping-particle":"","family":"Hocine","given":"Mounia N","non-dropping-particle":"","parse-names":false,"suffix":""},{"dropping-particle":"","family":"Farrington","given":"C Paddy","non-dropping-particle":"","parse-names":false,"suffix":""}],"container-title":"Statistical methods in medical research","id":"ITEM-1","issue":"1","issued":{"date-parts":[["2009","2"]]},"page":"7-26","title":"The methodology of self-controlled case series studies.","type":"article-journal","volume":"18"},"uris":["http://www.mendeley.com/documents/?uuid=0bbe1ac2-68a9-46a3-9139-abe8f9bc35be"]},{"id":"ITEM-2","itemData":{"DOI":"10.1136/bmj.i4515","ISSN":"1756-1833","PMID":"27618829","author":[{"dropping-particle":"","family":"Petersen","given":"Irene","non-dropping-particle":"","parse-names":false,"suffix":""},{"dropping-particle":"","family":"Douglas","given":"Ian","non-dropping-particle":"","parse-names":false,"suffix":""},{"dropping-particle":"","family":"Whitaker","given":"Heather","non-dropping-particle":"","parse-names":false,"suffix":""}],"container-title":"BMJ (Clinical research ed.)","id":"ITEM-2","issued":{"date-parts":[["2016","9","12"]]},"page":"i4515","title":"Self controlled case series methods: an alternative to standard epidemiological study designs.","type":"article-journal","volume":"354"},"uris":["http://www.mendeley.com/documents/?uuid=55e778f6-3495-4731-8b45-df35f33efaf5"]}],"mendeley":{"formattedCitation":"(21,22)","plainTextFormattedCitation":"(21,22)","previouslyFormattedCitation":"(21,22)"},"properties":{"noteIndex":0},"schema":"https://github.com/citation-style-language/schema/raw/master/csl-citation.json"}</w:instrText>
      </w:r>
      <w:r w:rsidR="0090352B">
        <w:rPr>
          <w:rFonts w:ascii="Arial" w:hAnsi="Arial" w:cs="Arial"/>
          <w:sz w:val="24"/>
          <w:szCs w:val="24"/>
          <w:vertAlign w:val="superscript"/>
        </w:rPr>
        <w:fldChar w:fldCharType="separate"/>
      </w:r>
      <w:r w:rsidR="0032390D" w:rsidRPr="0032390D">
        <w:rPr>
          <w:rFonts w:ascii="Arial" w:hAnsi="Arial" w:cs="Arial"/>
          <w:noProof/>
          <w:sz w:val="24"/>
          <w:szCs w:val="24"/>
        </w:rPr>
        <w:t>(21,22)</w:t>
      </w:r>
      <w:r w:rsidR="0090352B">
        <w:rPr>
          <w:rFonts w:ascii="Arial" w:hAnsi="Arial" w:cs="Arial"/>
          <w:sz w:val="24"/>
          <w:szCs w:val="24"/>
        </w:rPr>
        <w:fldChar w:fldCharType="end"/>
      </w:r>
      <w:r w:rsidRPr="00021272">
        <w:rPr>
          <w:rFonts w:ascii="Arial" w:hAnsi="Arial" w:cs="Arial"/>
          <w:sz w:val="24"/>
          <w:szCs w:val="24"/>
        </w:rPr>
        <w:t xml:space="preserve">. </w:t>
      </w:r>
      <w:r w:rsidR="0025665E" w:rsidRPr="0025665E">
        <w:rPr>
          <w:rFonts w:ascii="Arial" w:hAnsi="Arial" w:cs="Arial"/>
          <w:sz w:val="24"/>
          <w:szCs w:val="24"/>
          <w:lang w:val="en-US"/>
        </w:rPr>
        <w:t>It has the advantage of implicitly controlling for all between-person confounding, by conditioning on the time of events and analyzing when exposures occur in relation to this within each individual.</w:t>
      </w:r>
    </w:p>
    <w:p w14:paraId="1A3A2EC8" w14:textId="5AF8C6F3" w:rsidR="00021272" w:rsidRPr="00EB18A3" w:rsidRDefault="00021272" w:rsidP="00021272">
      <w:pPr>
        <w:spacing w:line="480" w:lineRule="auto"/>
        <w:rPr>
          <w:rFonts w:ascii="Arial" w:hAnsi="Arial" w:cs="Arial"/>
          <w:sz w:val="24"/>
          <w:szCs w:val="24"/>
          <w:lang w:val="en-US"/>
        </w:rPr>
      </w:pPr>
      <w:r w:rsidRPr="00021272">
        <w:rPr>
          <w:rFonts w:ascii="Arial" w:hAnsi="Arial" w:cs="Arial"/>
          <w:sz w:val="24"/>
          <w:szCs w:val="24"/>
        </w:rPr>
        <w:t xml:space="preserve">Population: Adults aged ≥18 years with ≥1 primary-care consultation for IBD; and ≥1 prescription for </w:t>
      </w:r>
      <w:r w:rsidR="0025665E" w:rsidRPr="0025665E">
        <w:rPr>
          <w:rFonts w:ascii="Arial" w:hAnsi="Arial" w:cs="Arial"/>
          <w:sz w:val="24"/>
          <w:szCs w:val="24"/>
          <w:lang w:val="en-US"/>
        </w:rPr>
        <w:t xml:space="preserve">5-amino salicylate drugs (mesalazine, balsalazide, olsalazine) or </w:t>
      </w:r>
      <w:r w:rsidRPr="00021272">
        <w:rPr>
          <w:rFonts w:ascii="Arial" w:hAnsi="Arial" w:cs="Arial"/>
          <w:sz w:val="24"/>
          <w:szCs w:val="24"/>
        </w:rPr>
        <w:t xml:space="preserve">any conventional immunosuppressing drugs </w:t>
      </w:r>
      <w:r w:rsidR="0025665E" w:rsidRPr="0025665E">
        <w:rPr>
          <w:rFonts w:ascii="Arial" w:hAnsi="Arial" w:cs="Arial"/>
          <w:sz w:val="24"/>
          <w:szCs w:val="24"/>
          <w:lang w:val="en-US"/>
        </w:rPr>
        <w:t xml:space="preserve">i.e. azathioprine, 5-mercaptopurine, </w:t>
      </w:r>
      <w:r w:rsidR="0025665E" w:rsidRPr="0025665E">
        <w:rPr>
          <w:rFonts w:ascii="Arial" w:hAnsi="Arial" w:cs="Arial"/>
          <w:sz w:val="24"/>
          <w:szCs w:val="24"/>
          <w:lang w:val="en-US"/>
        </w:rPr>
        <w:lastRenderedPageBreak/>
        <w:t xml:space="preserve">methotrexate, mycophenolate mofetil, ciclosporin, tacrolimus, sirolimus </w:t>
      </w:r>
      <w:r w:rsidRPr="00021272">
        <w:rPr>
          <w:rFonts w:ascii="Arial" w:hAnsi="Arial" w:cs="Arial"/>
          <w:sz w:val="24"/>
          <w:szCs w:val="24"/>
        </w:rPr>
        <w:t xml:space="preserve">prior to 1st December 2020 were eligible to be included in the study, provided they also received ≥1 vaccination against </w:t>
      </w:r>
      <w:r w:rsidR="0025665E">
        <w:rPr>
          <w:rFonts w:ascii="Arial" w:hAnsi="Arial" w:cs="Arial"/>
          <w:sz w:val="24"/>
          <w:szCs w:val="24"/>
        </w:rPr>
        <w:t>COVID</w:t>
      </w:r>
      <w:r w:rsidRPr="00021272">
        <w:rPr>
          <w:rFonts w:ascii="Arial" w:hAnsi="Arial" w:cs="Arial"/>
          <w:sz w:val="24"/>
          <w:szCs w:val="24"/>
        </w:rPr>
        <w:t xml:space="preserve">-19 and consulted their </w:t>
      </w:r>
      <w:r w:rsidR="0025665E">
        <w:rPr>
          <w:rFonts w:ascii="Arial" w:hAnsi="Arial" w:cs="Arial"/>
          <w:sz w:val="24"/>
          <w:szCs w:val="24"/>
        </w:rPr>
        <w:t>primary-care provider</w:t>
      </w:r>
      <w:r w:rsidRPr="00021272">
        <w:rPr>
          <w:rFonts w:ascii="Arial" w:hAnsi="Arial" w:cs="Arial"/>
          <w:sz w:val="24"/>
          <w:szCs w:val="24"/>
        </w:rPr>
        <w:t xml:space="preserve"> for ≥1 IBD flare in the study period. </w:t>
      </w:r>
      <w:r w:rsidR="0025665E" w:rsidRPr="0025665E">
        <w:rPr>
          <w:rFonts w:ascii="Arial" w:hAnsi="Arial" w:cs="Arial"/>
          <w:sz w:val="24"/>
          <w:szCs w:val="24"/>
          <w:lang w:val="en-US"/>
        </w:rPr>
        <w:t>A primary-care diagnosis of IBD recorded in the CPRD has been validated to have a 92% positive predictive value for probable or highly probably diagnosis of IBD</w:t>
      </w:r>
      <w:r w:rsidR="00EB18A3">
        <w:rPr>
          <w:rFonts w:ascii="Arial" w:hAnsi="Arial" w:cs="Arial"/>
          <w:sz w:val="24"/>
          <w:szCs w:val="24"/>
          <w:lang w:val="en-US"/>
        </w:rPr>
        <w:fldChar w:fldCharType="begin" w:fldLock="1"/>
      </w:r>
      <w:r w:rsidR="00877691">
        <w:rPr>
          <w:rFonts w:ascii="Arial" w:hAnsi="Arial" w:cs="Arial"/>
          <w:sz w:val="24"/>
          <w:szCs w:val="24"/>
          <w:lang w:val="en-US"/>
        </w:rPr>
        <w:instrText>ADDIN CSL_CITATION {"citationItems":[{"id":"ITEM-1","itemData":{"DOI":"10.1002/pds.698","ISSN":"10538569","PMID":"12051120","abstract":"PURPOSE: The objective of this study was to evaluate the validity and completeness of the General Practice Research Database (GPRD) as a tool for research into inflammatory bowel disease epidemiology.\\n\\nMETHODS: Patients diagnosed with inflammatory bowel disease were identified from GPRD. Mailed surveys were sent to the general practitioner caring for a stratified random sample of 170 of these patients and collected information on the diagnosis of inflammatory bowel disease and the most recent surgery and hospitalization.\\n\\nRESULTS: Usable surveys were returned for 157 patients (92%). The inflammatory bowel disease diagnosis was highly probable or probable in 144 (92%, 95% CI 86 to 96%). Among the 53 patients with a potentially incident inflammatory bowel disease diagnosis, 33 (62%) had the first recorded diagnosis in GPRD within 30 days of the date reported in the survey (median difference -8 days; interquartile range 0 to -81 days). Of 12 surgeries and 25 hospitalizations reported in the survey, 11 (92%) and 19 (76%) were identified in GPRD, respectively.\\n\\nCONCLUSIONS: The diagnosis of inflammatory bowel disease in GPRD appears reliable for most patients. Important medical events such as hospitalizations and surgery are recorded at a high rate, although algorithms to identify these events are complex.","author":[{"dropping-particle":"","family":"Lewis","given":"James D.","non-dropping-particle":"","parse-names":false,"suffix":""},{"dropping-particle":"","family":"Brensinger","given":"Colleen","non-dropping-particle":"","parse-names":false,"suffix":""},{"dropping-particle":"","family":"Bilker","given":"Warren B.","non-dropping-particle":"","parse-names":false,"suffix":""},{"dropping-particle":"","family":"Strom","given":"Brian L.","non-dropping-particle":"","parse-names":false,"suffix":""}],"container-title":"Pharmacoepidemiology and Drug Safety","id":"ITEM-1","issue":"3","issued":{"date-parts":[["2002"]]},"note":"From Duplicate 1 ( \n\n\nValidity and completeness of the General Practice Research Database for studies of inflammatory bowel disease.\n\n\n- Lewis, James D; Brensinger, Colleen; Bilker, Warren B; Strom, Brian L )\n\n\n\nJournal Article","page":"211-218","title":"Validity and completeness of the General Practice Research Database for studies of inflammatory bowel disease","type":"article-journal","volume":"11"},"uris":["http://www.mendeley.com/documents/?uuid=b60a3140-9018-4450-987b-58261745ee8d"]}],"mendeley":{"formattedCitation":"(23)","plainTextFormattedCitation":"(23)","previouslyFormattedCitation":"(23)"},"properties":{"noteIndex":0},"schema":"https://github.com/citation-style-language/schema/raw/master/csl-citation.json"}</w:instrText>
      </w:r>
      <w:r w:rsidR="00EB18A3">
        <w:rPr>
          <w:rFonts w:ascii="Arial" w:hAnsi="Arial" w:cs="Arial"/>
          <w:sz w:val="24"/>
          <w:szCs w:val="24"/>
          <w:lang w:val="en-US"/>
        </w:rPr>
        <w:fldChar w:fldCharType="separate"/>
      </w:r>
      <w:r w:rsidR="00EB18A3" w:rsidRPr="00EB18A3">
        <w:rPr>
          <w:rFonts w:ascii="Arial" w:hAnsi="Arial" w:cs="Arial"/>
          <w:noProof/>
          <w:sz w:val="24"/>
          <w:szCs w:val="24"/>
          <w:lang w:val="en-US"/>
        </w:rPr>
        <w:t>(23)</w:t>
      </w:r>
      <w:r w:rsidR="00EB18A3">
        <w:rPr>
          <w:rFonts w:ascii="Arial" w:hAnsi="Arial" w:cs="Arial"/>
          <w:sz w:val="24"/>
          <w:szCs w:val="24"/>
          <w:lang w:val="en-US"/>
        </w:rPr>
        <w:fldChar w:fldCharType="end"/>
      </w:r>
      <w:r w:rsidR="00EB18A3">
        <w:rPr>
          <w:rStyle w:val="Hyperlink"/>
          <w:rFonts w:ascii="Arial" w:hAnsi="Arial" w:cs="Arial"/>
          <w:sz w:val="24"/>
          <w:szCs w:val="24"/>
          <w:lang w:val="en-US"/>
        </w:rPr>
        <w:t xml:space="preserve">. </w:t>
      </w:r>
      <w:r w:rsidR="00B25AF9">
        <w:rPr>
          <w:rFonts w:ascii="Arial" w:hAnsi="Arial" w:cs="Arial"/>
          <w:sz w:val="24"/>
          <w:szCs w:val="24"/>
        </w:rPr>
        <w:t>Codes are provided in supplemental data, as appendix 1.</w:t>
      </w:r>
    </w:p>
    <w:p w14:paraId="45218127" w14:textId="0EB252D1" w:rsidR="00021272" w:rsidRPr="00021272" w:rsidRDefault="00021272" w:rsidP="00021272">
      <w:pPr>
        <w:spacing w:line="480" w:lineRule="auto"/>
        <w:rPr>
          <w:rFonts w:ascii="Arial" w:hAnsi="Arial" w:cs="Arial"/>
          <w:sz w:val="24"/>
          <w:szCs w:val="24"/>
        </w:rPr>
      </w:pPr>
      <w:r w:rsidRPr="00021272">
        <w:rPr>
          <w:rFonts w:ascii="Arial" w:hAnsi="Arial" w:cs="Arial"/>
          <w:sz w:val="24"/>
          <w:szCs w:val="24"/>
        </w:rPr>
        <w:t>Study period</w:t>
      </w:r>
      <w:r w:rsidR="00B4669C">
        <w:rPr>
          <w:rFonts w:ascii="Arial" w:hAnsi="Arial" w:cs="Arial"/>
          <w:sz w:val="24"/>
          <w:szCs w:val="24"/>
        </w:rPr>
        <w:t>:</w:t>
      </w:r>
      <w:r w:rsidRPr="00021272">
        <w:rPr>
          <w:rFonts w:ascii="Arial" w:hAnsi="Arial" w:cs="Arial"/>
          <w:sz w:val="24"/>
          <w:szCs w:val="24"/>
        </w:rPr>
        <w:t xml:space="preserve"> 1st December 2020 to 31st December 2021. Follow-up was censored if death, emigration from participating general practice, or last collection of data from general practice occurred before 31st December 2021.</w:t>
      </w:r>
    </w:p>
    <w:p w14:paraId="31648E7C" w14:textId="14F54FDE" w:rsidR="00021272" w:rsidRPr="00021272" w:rsidRDefault="00021272" w:rsidP="00021272">
      <w:pPr>
        <w:spacing w:line="480" w:lineRule="auto"/>
        <w:rPr>
          <w:rFonts w:ascii="Arial" w:hAnsi="Arial" w:cs="Arial"/>
          <w:sz w:val="24"/>
          <w:szCs w:val="24"/>
        </w:rPr>
      </w:pPr>
      <w:r w:rsidRPr="00021272">
        <w:rPr>
          <w:rFonts w:ascii="Arial" w:hAnsi="Arial" w:cs="Arial"/>
          <w:sz w:val="24"/>
          <w:szCs w:val="24"/>
        </w:rPr>
        <w:t xml:space="preserve">Exposure: Vaccination against </w:t>
      </w:r>
      <w:r w:rsidR="0025665E">
        <w:rPr>
          <w:rFonts w:ascii="Arial" w:hAnsi="Arial" w:cs="Arial"/>
          <w:sz w:val="24"/>
          <w:szCs w:val="24"/>
        </w:rPr>
        <w:t>COVID</w:t>
      </w:r>
      <w:r w:rsidRPr="00021272">
        <w:rPr>
          <w:rFonts w:ascii="Arial" w:hAnsi="Arial" w:cs="Arial"/>
          <w:sz w:val="24"/>
          <w:szCs w:val="24"/>
        </w:rPr>
        <w:t>-19 was the exposure of interest and was defined using product codes for vaccines and vaccination dates. Product codes were used to define the vaccine type and brand, specifically vectored DNA (AZD1222) and mRNA (mRNA-1273, BNT1262b2).</w:t>
      </w:r>
    </w:p>
    <w:p w14:paraId="79BAF24D" w14:textId="5801DA5F" w:rsidR="00021272" w:rsidRPr="00021272" w:rsidRDefault="00021272" w:rsidP="00021272">
      <w:pPr>
        <w:spacing w:line="480" w:lineRule="auto"/>
        <w:rPr>
          <w:rFonts w:ascii="Arial" w:hAnsi="Arial" w:cs="Arial"/>
          <w:sz w:val="24"/>
          <w:szCs w:val="24"/>
        </w:rPr>
      </w:pPr>
      <w:r w:rsidRPr="00021272">
        <w:rPr>
          <w:rFonts w:ascii="Arial" w:hAnsi="Arial" w:cs="Arial"/>
          <w:sz w:val="24"/>
          <w:szCs w:val="24"/>
        </w:rPr>
        <w:t xml:space="preserve">Outcome: IBD flare was the outcome of interest. It was defined as primary-care consultation with a diagnostic coding for </w:t>
      </w:r>
      <w:r w:rsidR="0090352B">
        <w:rPr>
          <w:rFonts w:ascii="Arial" w:hAnsi="Arial" w:cs="Arial"/>
          <w:sz w:val="24"/>
          <w:szCs w:val="24"/>
        </w:rPr>
        <w:t>IBD</w:t>
      </w:r>
      <w:r w:rsidR="00B03959">
        <w:rPr>
          <w:rFonts w:ascii="Arial" w:hAnsi="Arial" w:cs="Arial"/>
          <w:sz w:val="24"/>
          <w:szCs w:val="24"/>
        </w:rPr>
        <w:t>,</w:t>
      </w:r>
      <w:r w:rsidR="00B03959" w:rsidRPr="00B03959">
        <w:t xml:space="preserve"> </w:t>
      </w:r>
      <w:r w:rsidR="00B03959" w:rsidRPr="00B03959">
        <w:rPr>
          <w:rFonts w:ascii="Arial" w:hAnsi="Arial" w:cs="Arial"/>
          <w:sz w:val="24"/>
          <w:szCs w:val="24"/>
        </w:rPr>
        <w:t xml:space="preserve">diarrhoea, abdominal pain, </w:t>
      </w:r>
      <w:r w:rsidR="003A7F10">
        <w:rPr>
          <w:rFonts w:ascii="Arial" w:hAnsi="Arial" w:cs="Arial"/>
          <w:sz w:val="24"/>
          <w:szCs w:val="24"/>
        </w:rPr>
        <w:t xml:space="preserve">or </w:t>
      </w:r>
      <w:r w:rsidR="00B03959" w:rsidRPr="00B03959">
        <w:rPr>
          <w:rFonts w:ascii="Arial" w:hAnsi="Arial" w:cs="Arial"/>
          <w:sz w:val="24"/>
          <w:szCs w:val="24"/>
        </w:rPr>
        <w:t>rectal-bleeding</w:t>
      </w:r>
      <w:r w:rsidRPr="00021272">
        <w:rPr>
          <w:rFonts w:ascii="Arial" w:hAnsi="Arial" w:cs="Arial"/>
          <w:sz w:val="24"/>
          <w:szCs w:val="24"/>
        </w:rPr>
        <w:t xml:space="preserve"> entered on that date, and accompanied with a corticosteroid prescription on the same or the subsequent date. Date of primary-care consultation for </w:t>
      </w:r>
      <w:r w:rsidR="0090352B">
        <w:rPr>
          <w:rFonts w:ascii="Arial" w:hAnsi="Arial" w:cs="Arial"/>
          <w:sz w:val="24"/>
          <w:szCs w:val="24"/>
        </w:rPr>
        <w:t>IBD</w:t>
      </w:r>
      <w:r w:rsidRPr="00021272">
        <w:rPr>
          <w:rFonts w:ascii="Arial" w:hAnsi="Arial" w:cs="Arial"/>
          <w:sz w:val="24"/>
          <w:szCs w:val="24"/>
        </w:rPr>
        <w:t xml:space="preserve"> flares was used to define the outcome date and participants</w:t>
      </w:r>
      <w:r w:rsidR="001A1C95">
        <w:rPr>
          <w:rFonts w:ascii="Arial" w:hAnsi="Arial" w:cs="Arial"/>
          <w:sz w:val="24"/>
          <w:szCs w:val="24"/>
        </w:rPr>
        <w:t xml:space="preserve"> could</w:t>
      </w:r>
      <w:r w:rsidRPr="00021272">
        <w:rPr>
          <w:rFonts w:ascii="Arial" w:hAnsi="Arial" w:cs="Arial"/>
          <w:sz w:val="24"/>
          <w:szCs w:val="24"/>
        </w:rPr>
        <w:t xml:space="preserve"> contribute</w:t>
      </w:r>
      <w:r w:rsidR="00557F78">
        <w:rPr>
          <w:rFonts w:ascii="Arial" w:hAnsi="Arial" w:cs="Arial"/>
          <w:sz w:val="24"/>
          <w:szCs w:val="24"/>
        </w:rPr>
        <w:t xml:space="preserve"> </w:t>
      </w:r>
      <w:r w:rsidRPr="00021272">
        <w:rPr>
          <w:rFonts w:ascii="Arial" w:hAnsi="Arial" w:cs="Arial"/>
          <w:sz w:val="24"/>
          <w:szCs w:val="24"/>
        </w:rPr>
        <w:t>data with multiple flares.</w:t>
      </w:r>
    </w:p>
    <w:p w14:paraId="13EE6A36" w14:textId="4DDA48AE" w:rsidR="00021272" w:rsidRPr="00021272" w:rsidRDefault="00021272" w:rsidP="00021272">
      <w:pPr>
        <w:spacing w:line="480" w:lineRule="auto"/>
        <w:rPr>
          <w:rFonts w:ascii="Arial" w:hAnsi="Arial" w:cs="Arial"/>
          <w:sz w:val="24"/>
          <w:szCs w:val="24"/>
        </w:rPr>
      </w:pPr>
      <w:r w:rsidRPr="00021272">
        <w:rPr>
          <w:rFonts w:ascii="Arial" w:hAnsi="Arial" w:cs="Arial"/>
          <w:sz w:val="24"/>
          <w:szCs w:val="24"/>
        </w:rPr>
        <w:t xml:space="preserve">Exposed and unexposed periods: The study period was divided into </w:t>
      </w:r>
      <w:r w:rsidR="0025665E">
        <w:rPr>
          <w:rFonts w:ascii="Arial" w:hAnsi="Arial" w:cs="Arial"/>
          <w:sz w:val="24"/>
          <w:szCs w:val="24"/>
        </w:rPr>
        <w:t xml:space="preserve">a </w:t>
      </w:r>
      <w:r w:rsidRPr="00021272">
        <w:rPr>
          <w:rFonts w:ascii="Arial" w:hAnsi="Arial" w:cs="Arial"/>
          <w:sz w:val="24"/>
          <w:szCs w:val="24"/>
        </w:rPr>
        <w:t>pre-vaccination</w:t>
      </w:r>
      <w:r w:rsidR="0025665E">
        <w:rPr>
          <w:rFonts w:ascii="Arial" w:hAnsi="Arial" w:cs="Arial"/>
          <w:sz w:val="24"/>
          <w:szCs w:val="24"/>
        </w:rPr>
        <w:t xml:space="preserve"> </w:t>
      </w:r>
      <w:r w:rsidR="0025665E" w:rsidRPr="0025665E">
        <w:rPr>
          <w:rFonts w:ascii="Arial" w:hAnsi="Arial" w:cs="Arial"/>
          <w:sz w:val="24"/>
          <w:szCs w:val="24"/>
          <w:lang w:val="en-US"/>
        </w:rPr>
        <w:t>period that immediately preceded vaccination, a vaccine-exposed period that immediately followed vaccination, and the remaining</w:t>
      </w:r>
      <w:r w:rsidRPr="00021272">
        <w:rPr>
          <w:rFonts w:ascii="Arial" w:hAnsi="Arial" w:cs="Arial"/>
          <w:sz w:val="24"/>
          <w:szCs w:val="24"/>
        </w:rPr>
        <w:t xml:space="preserve"> vaccine-unexposed</w:t>
      </w:r>
      <w:r w:rsidR="0025665E">
        <w:rPr>
          <w:rFonts w:ascii="Arial" w:hAnsi="Arial" w:cs="Arial"/>
          <w:sz w:val="24"/>
          <w:szCs w:val="24"/>
        </w:rPr>
        <w:t xml:space="preserve"> baseline period</w:t>
      </w:r>
      <w:r w:rsidRPr="00021272">
        <w:rPr>
          <w:rFonts w:ascii="Arial" w:hAnsi="Arial" w:cs="Arial"/>
          <w:sz w:val="24"/>
          <w:szCs w:val="24"/>
        </w:rPr>
        <w:t xml:space="preserve"> (Figure 1). The vaccine-exposed </w:t>
      </w:r>
      <w:r w:rsidRPr="00BD06E9">
        <w:rPr>
          <w:rFonts w:ascii="Arial" w:hAnsi="Arial" w:cs="Arial"/>
          <w:sz w:val="24"/>
          <w:szCs w:val="24"/>
        </w:rPr>
        <w:t xml:space="preserve">period was </w:t>
      </w:r>
      <w:r w:rsidR="0025665E" w:rsidRPr="00BD06E9">
        <w:rPr>
          <w:rFonts w:ascii="Arial" w:hAnsi="Arial" w:cs="Arial"/>
          <w:sz w:val="24"/>
          <w:szCs w:val="24"/>
          <w:lang w:val="en-US"/>
        </w:rPr>
        <w:t xml:space="preserve">defined as the date of </w:t>
      </w:r>
      <w:r w:rsidR="0025665E" w:rsidRPr="00BD06E9">
        <w:rPr>
          <w:rFonts w:ascii="Arial" w:hAnsi="Arial" w:cs="Arial"/>
          <w:sz w:val="24"/>
          <w:szCs w:val="24"/>
          <w:lang w:val="en-US"/>
        </w:rPr>
        <w:lastRenderedPageBreak/>
        <w:t>vaccination and the</w:t>
      </w:r>
      <w:r w:rsidR="0025665E" w:rsidRPr="00BD06E9">
        <w:rPr>
          <w:rFonts w:ascii="Arial" w:hAnsi="Arial" w:cs="Arial"/>
          <w:b/>
          <w:sz w:val="24"/>
          <w:szCs w:val="24"/>
          <w:lang w:val="en-US"/>
        </w:rPr>
        <w:t xml:space="preserve"> </w:t>
      </w:r>
      <w:r w:rsidRPr="00BD06E9">
        <w:rPr>
          <w:rFonts w:ascii="Arial" w:hAnsi="Arial" w:cs="Arial"/>
          <w:sz w:val="24"/>
          <w:szCs w:val="24"/>
        </w:rPr>
        <w:t xml:space="preserve">21-days </w:t>
      </w:r>
      <w:r w:rsidR="0025665E" w:rsidRPr="00BD06E9">
        <w:rPr>
          <w:rFonts w:ascii="Arial" w:hAnsi="Arial" w:cs="Arial"/>
          <w:sz w:val="24"/>
          <w:szCs w:val="24"/>
        </w:rPr>
        <w:t xml:space="preserve">immediately after the date of </w:t>
      </w:r>
      <w:r w:rsidRPr="004D5231">
        <w:rPr>
          <w:rFonts w:ascii="Arial" w:hAnsi="Arial" w:cs="Arial"/>
          <w:sz w:val="24"/>
          <w:szCs w:val="24"/>
        </w:rPr>
        <w:t xml:space="preserve">vaccination as it takes approximately 2-3 weeks for primary </w:t>
      </w:r>
      <w:r w:rsidR="0025665E" w:rsidRPr="00FE364A">
        <w:rPr>
          <w:rFonts w:ascii="Arial" w:hAnsi="Arial" w:cs="Arial"/>
          <w:sz w:val="24"/>
          <w:szCs w:val="24"/>
        </w:rPr>
        <w:t>COVID</w:t>
      </w:r>
      <w:r w:rsidRPr="00F15649">
        <w:rPr>
          <w:rFonts w:ascii="Arial" w:hAnsi="Arial" w:cs="Arial"/>
          <w:sz w:val="24"/>
          <w:szCs w:val="24"/>
        </w:rPr>
        <w:t>-19 immunization to induce an immunological response</w:t>
      </w:r>
      <w:r w:rsidR="00A81E01" w:rsidRPr="00BD06E9">
        <w:rPr>
          <w:rFonts w:ascii="Arial" w:hAnsi="Arial" w:cs="Arial"/>
          <w:sz w:val="24"/>
          <w:szCs w:val="24"/>
        </w:rPr>
        <w:fldChar w:fldCharType="begin" w:fldLock="1"/>
      </w:r>
      <w:r w:rsidR="00877691" w:rsidRPr="00F15649">
        <w:rPr>
          <w:rFonts w:ascii="Arial" w:hAnsi="Arial" w:cs="Arial"/>
          <w:sz w:val="24"/>
          <w:szCs w:val="24"/>
        </w:rPr>
        <w:instrText>ADDIN CSL_CITATION {"citationItems":[{"id":"ITEM-1","itemData":{"DOI":"10.1016/S0140-6736(20)31604-4","ISSN":"1474547X","PMID":"32702298","abstract":"Background: The pandemic of severe acute respiratory syndrome coronavirus 2 (SARS-CoV-2) might be curtailed by vaccination. We assessed the safety, reactogenicity, and immunogenicity of a viral vectored coronavirus vaccine that expresses the spike protein of SARS-CoV-2. Methods: We did a phase 1/2, single-blind, randomised controlled trial in five trial sites in the UK of a chimpanzee adenovirus-vectored vaccine (ChAdOx1 nCoV-19) expressing the SARS-CoV-2 spike protein compared with a meningococcal conjugate vaccine (MenACWY) as control. Healthy adults aged 18–55 years with no history of laboratory confirmed SARS-CoV-2 infection or of COVID-19-like symptoms were randomly assigned (1:1) to receive ChAdOx1 nCoV-19 at a dose of 5 × 1010 viral particles or MenACWY as a single intramuscular injection. A protocol amendment in two of the five sites allowed prophylactic paracetamol to be administered before vaccination. Ten participants assigned to a non-randomised, unblinded ChAdOx1 nCoV-19 prime-boost group received a two-dose schedule, with the booster vaccine administered 28 days after the first dose. Humoral responses at baseline and following vaccination were assessed using a standardised total IgG ELISA against trimeric SARS-CoV-2 spike protein, a muliplexed immunoassay, three live SARS-CoV-2 neutralisation assays (a 50% plaque reduction neutralisation assay [PRNT50]; a microneutralisation assay [MNA50, MNA80, and MNA90]; and Marburg VN), and a pseudovirus neutralisation assay. Cellular responses were assessed using an ex-vivo interferon-γ enzyme-linked immunospot assay. The co-primary outcomes are to assess efficacy, as measured by cases of symptomatic virologically confirmed COVID-19, and safety, as measured by the occurrence of serious adverse events. Analyses were done by group allocation in participants who received the vaccine. Safety was assessed over 28 days after vaccination. Here, we report the preliminary findings on safety, reactogenicity, and cellular and humoral immune responses. The study is ongoing, and was registered at ISRCTN, 15281137, and ClinicalTrials.gov, NCT04324606. Findings: Between April 23 and May 21, 2020, 1077 participants were enrolled and assigned to receive either ChAdOx1 nCoV-19 (n=543) or MenACWY (n=534), ten of whom were enrolled in the non-randomised ChAdOx1 nCoV-19 prime-boost group. Local and systemic reactions were more common in the ChAdOx1 nCoV-19 group and many were reduced by use of prophylactic paracetamol, in…","author":[{"dropping-particle":"","family":"Folegatti","given":"Pedro M.","non-dropping-particle":"","parse-names":false,"suffix":""},{"dropping-particle":"","family":"Ewer","given":"Katie J.","non-dropping-particle":"","parse-names":false,"suffix":""},{"dropping-particle":"","family":"Aley","given":"Parvinder K.","non-dropping-particle":"","parse-names":false,"suffix":""},{"dropping-particle":"","family":"Angus","given":"Brian","non-dropping-particle":"","parse-names":false,"suffix":""},{"dropping-particle":"","family":"Becker","given":"Stephan","non-dropping-particle":"","parse-names":false,"suffix":""},{"dropping-particle":"","family":"Belij-Rammerstorfer","given":"Sandra","non-dropping-particle":"","parse-names":false,"suffix":""},{"dropping-particle":"","family":"Bellamy","given":"Duncan","non-dropping-particle":"","parse-names":false,"suffix":""},{"dropping-particle":"","family":"Bibi","given":"Sagida","non-dropping-particle":"","parse-names":false,"suffix":""},{"dropping-particle":"","family":"Bittaye","given":"Mustapha","non-dropping-particle":"","parse-names":false,"suffix":""},{"dropping-particle":"","family":"Clutterbuck","given":"Elizabeth A.","non-dropping-particle":"","parse-names":false,"suffix":""},{"dropping-particle":"","family":"Dold","given":"Christina","non-dropping-particle":"","parse-names":false,"suffix":""},{"dropping-particle":"","family":"Faust","given":"Saul N.","non-dropping-particle":"","parse-names":false,"suffix":""},{"dropping-particle":"","family":"Finn","given":"Adam","non-dropping-particle":"","parse-names":false,"suffix":""},{"dropping-particle":"","family":"Flaxman","given":"Amy L.","non-dropping-particle":"","parse-names":false,"suffix":""},{"dropping-particle":"","family":"Hallis","given":"Bassam","non-dropping-particle":"","parse-names":false,"suffix":""},{"dropping-particle":"","family":"Heath","given":"Paul","non-dropping-particle":"","parse-names":false,"suffix":""},{"dropping-particle":"","family":"Jenkin","given":"Daniel","non-dropping-particle":"","parse-names":false,"suffix":""},{"dropping-particle":"","family":"Lazarus","given":"Rajeka","non-dropping-particle":"","parse-names":false,"suffix":""},{"dropping-particle":"","family":"Makinson","given":"Rebecca","non-dropping-particle":"","parse-names":false,"suffix":""},{"dropping-particle":"","family":"Minassian","given":"Angela M.","non-dropping-particle":"","parse-names":false,"suffix":""},{"dropping-particle":"","family":"Pollock","given":"Katrina M.","non-dropping-particle":"","parse-names":false,"suffix":""},{"dropping-particle":"","family":"Ramasamy","given":"Maheshi","non-dropping-particle":"","parse-names":false,"suffix":""},{"dropping-particle":"","family":"Robinson","given":"Hannah","non-dropping-particle":"","parse-names":false,"suffix":""},{"dropping-particle":"","family":"Snape","given":"Matthew","non-dropping-particle":"","parse-names":false,"suffix":""},{"dropping-particle":"","family":"Tarrant","given":"Richard","non-dropping-particle":"","parse-names":false,"suffix":""},{"dropping-particle":"","family":"Voysey","given":"Merryn","non-dropping-particle":"","parse-names":false,"suffix":""},{"dropping-particle":"","family":"Green","given":"Catherine","non-dropping-particle":"","parse-names":false,"suffix":""},{"dropping-particle":"","family":"Douglas","given":"Alexander D.","non-dropping-particle":"","parse-names":false,"suffix":""},{"dropping-particle":"","family":"Hill","given":"Adrian V.S.","non-dropping-particle":"","parse-names":false,"suffix":""},{"dropping-particle":"","family":"Lambe","given":"Teresa","non-dropping-particle":"","parse-names":false,"suffix":""},{"dropping-particle":"","family":"Gilbert","given":"Sarah C.","non-dropping-particle":"","parse-names":false,"suffix":""},{"dropping-particle":"","family":"Pollard","given":"Andrew J.","non-dropping-particle":"","parse-names":false,"suffix":""},{"dropping-particle":"","family":"Aboagye","given":"Jeremy","non-dropping-particle":"","parse-names":false,"suffix":""},{"dropping-particle":"","family":"Adams","given":"Kelly","non-dropping-particle":"","parse-names":false,"suffix":""},{"dropping-particle":"","family":"Ali","given":"Aabidah","non-dropping-particle":"","parse-names":false,"suffix":""},{"dropping-particle":"","family":"Allen","given":"Elizabeth","non-dropping-particle":"","parse-names":false,"suffix":""},{"dropping-particle":"","family":"Allison","given":"Jennifer L.","non-dropping-particle":"","parse-names":false,"suffix":""},{"dropping-particle":"","family":"Anslow","given":"Rachel","non-dropping-particle":"","parse-names":false,"suffix":""},{"dropping-particle":"","family":"Arbe-Barnes","given":"Edward H.","non-dropping-particle":"","parse-names":false,"suffix":""},{"dropping-particle":"","family":"Babbage","given":"Gavin","non-dropping-particle":"","parse-names":false,"suffix":""},{"dropping-particle":"","family":"Baillie","given":"Kenneth","non-dropping-particle":"","parse-names":false,"suffix":""},{"dropping-particle":"","family":"Baker","given":"Megan","non-dropping-particle":"","parse-names":false,"suffix":""},{"dropping-particle":"","family":"Baker","given":"Natalie","non-dropping-particle":"","parse-names":false,"suffix":""},{"dropping-particle":"","family":"Baker","given":"Philip","non-dropping-particle":"","parse-names":false,"suffix":""},{"dropping-particle":"","family":"Baleanu","given":"Ioana","non-dropping-particle":"","parse-names":false,"suffix":""},{"dropping-particle":"","family":"Ballaminut","given":"Juliana","non-dropping-particle":"","parse-names":false,"suffix":""},{"dropping-particle":"","family":"Barnes","given":"Eleanor","non-dropping-particle":"","parse-names":false,"suffix":""},{"dropping-particle":"","family":"Barrett","given":"Jordan","non-dropping-particle":"","parse-names":false,"suffix":""},{"dropping-particle":"","family":"Bates","given":"Louise","non-dropping-particle":"","parse-names":false,"suffix":""},{"dropping-particle":"","family":"Batten","given":"Alexander","non-dropping-particle":"","parse-names":false,"suffix":""},{"dropping-particle":"","family":"Beadon","given":"Kirsten","non-dropping-particle":"","parse-names":false,"suffix":""},{"dropping-particle":"","family":"Beckley","given":"Rebecca","non-dropping-particle":"","parse-names":false,"suffix":""},{"dropping-particle":"","family":"Berrie","given":"Eleanor","non-dropping-particle":"","parse-names":false,"suffix":""},{"dropping-particle":"","family":"Berry","given":"Lisa","non-dropping-particle":"","parse-names":false,"suffix":""},{"dropping-particle":"","family":"Beveridge","given":"Amy","non-dropping-particle":"","parse-names":false,"suffix":""},{"dropping-particle":"","family":"Bewley","given":"Kevin R.","non-dropping-particle":"","parse-names":false,"suffix":""},{"dropping-particle":"","family":"Bijker","given":"Else Margreet","non-dropping-particle":"","parse-names":false,"suffix":""},{"dropping-particle":"","family":"Bingham","given":"Tracey","non-dropping-particle":"","parse-names":false,"suffix":""},{"dropping-particle":"","family":"Blackwell","given":"Luke","non-dropping-particle":"","parse-names":false,"suffix":""},{"dropping-particle":"","family":"Blundell","given":"Caitlin L.","non-dropping-particle":"","parse-names":false,"suffix":""},{"dropping-particle":"","family":"Bolam","given":"Emma","non-dropping-particle":"","parse-names":false,"suffix":""},{"dropping-particle":"","family":"Boland","given":"Elena","non-dropping-particle":"","parse-names":false,"suffix":""},{"dropping-particle":"","family":"Borthwick","given":"Nicola","non-dropping-particle":"","parse-names":false,"suffix":""},{"dropping-particle":"","family":"Bower","given":"Thomas","non-dropping-particle":"","parse-names":false,"suffix":""},{"dropping-particle":"","family":"Boyd","given":"Amy","non-dropping-particle":"","parse-names":false,"suffix":""},{"dropping-particle":"","family":"Brenner","given":"Tanja","non-dropping-particle":"","parse-names":false,"suffix":""},{"dropping-particle":"","family":"Bright","given":"Philip D.","non-dropping-particle":"","parse-names":false,"suffix":""},{"dropping-particle":"","family":"Brown-O'Sullivan","given":"Charlie","non-dropping-particle":"","parse-names":false,"suffix":""},{"dropping-particle":"","family":"Brunt","given":"Emily","non-dropping-particle":"","parse-names":false,"suffix":""},{"dropping-particle":"","family":"Burbage","given":"Jamie","non-dropping-particle":"","parse-names":false,"suffix":""},{"dropping-particle":"","family":"Burge","given":"Sharon","non-dropping-particle":"","parse-names":false,"suffix":""},{"dropping-particle":"","family":"Buttigieg","given":"Karen R.","non-dropping-particle":"","parse-names":false,"suffix":""},{"dropping-particle":"","family":"Byard","given":"Nicholas","non-dropping-particle":"","parse-names":false,"suffix":""},{"dropping-particle":"","family":"Cabera Puig","given":"Ingrid","non-dropping-particle":"","parse-names":false,"suffix":""},{"dropping-particle":"","family":"Calvert","given":"Anna","non-dropping-particle":"","parse-names":false,"suffix":""},{"dropping-particle":"","family":"Camara","given":"Susana","non-dropping-particle":"","parse-names":false,"suffix":""},{"dropping-particle":"","family":"Cao","given":"Michelangelo","non-dropping-particle":"","parse-names":false,"suffix":""},{"dropping-particle":"","family":"Cappuccini","given":"Federica","non-dropping-particle":"","parse-names":false,"suffix":""},{"dropping-particle":"","family":"Carr","given":"Melanie","non-dropping-particle":"","parse-names":false,"suffix":""},{"dropping-particle":"","family":"Carroll","given":"Miles W.","non-dropping-particle":"","parse-names":false,"suffix":""},{"dropping-particle":"","family":"Carter","given":"Victoria","non-dropping-particle":"","parse-names":false,"suffix":""},{"dropping-particle":"","family":"Cathie","given":"Katrina","non-dropping-particle":"","parse-names":false,"suffix":""},{"dropping-particle":"","family":"Challis","given":"Ruth J.","non-dropping-particle":"","parse-names":false,"suffix":""},{"dropping-particle":"","family":"Charlton","given":"Sue","non-dropping-particle":"","parse-names":false,"suffix":""},{"dropping-particle":"","family":"Chelysheva","given":"Irina","non-dropping-particle":"","parse-names":false,"suffix":""},{"dropping-particle":"","family":"Cho","given":"Jee Sun","non-dropping-particle":"","parse-names":false,"suffix":""},{"dropping-particle":"","family":"Cicconi","given":"Paola","non-dropping-particle":"","parse-names":false,"suffix":""},{"dropping-particle":"","family":"Cifuentes","given":"Liliana","non-dropping-particle":"","parse-names":false,"suffix":""},{"dropping-particle":"","family":"Clark","given":"Helen","non-dropping-particle":"","parse-names":false,"suffix":""},{"dropping-particle":"","family":"Clark","given":"Elizabeth","non-dropping-particle":"","parse-names":false,"suffix":""},{"dropping-particle":"","family":"Cole","given":"Tom","non-dropping-particle":"","parse-names":false,"suffix":""},{"dropping-particle":"","family":"Colin-Jones","given":"Rachel","non-dropping-particle":"","parse-names":false,"suffix":""},{"dropping-particle":"","family":"Conlon","given":"Christopher P.","non-dropping-particle":"","parse-names":false,"suffix":""},{"dropping-particle":"","family":"Cook","given":"Aislinn","non-dropping-particle":"","parse-names":false,"suffix":""},{"dropping-particle":"","family":"Coombes","given":"Naomi S.","non-dropping-particle":"","parse-names":false,"suffix":""},{"dropping-particle":"","family":"Cooper","given":"Rachel","non-dropping-particle":"","parse-names":false,"suffix":""},{"dropping-particle":"","family":"Cosgrove","given":"Catherine A.","non-dropping-particle":"","parse-names":false,"suffix":""},{"dropping-particle":"","family":"Coy","given":"Karen","non-dropping-particle":"","parse-names":false,"suffix":""},{"dropping-particle":"","family":"Crocker","given":"Wendy E.M.","non-dropping-particle":"","parse-names":false,"suffix":""},{"dropping-particle":"","family":"Cunningham","given":"Christina J.","non-dropping-particle":"","parse-names":false,"suffix":""},{"dropping-particle":"","family":"Damratoski","given":"Brad E.","non-dropping-particle":"","parse-names":false,"suffix":""},{"dropping-particle":"","family":"Dando","given":"Lynne","non-dropping-particle":"","parse-names":false,"suffix":""},{"dropping-particle":"","family":"Datoo","given":"Mehreen S.","non-dropping-particle":"","parse-names":false,"suffix":""},{"dropping-particle":"","family":"Davies","given":"Hannah","non-dropping-particle":"","parse-names":false,"suffix":""},{"dropping-particle":"","family":"Graaf","given":"Hans","non-dropping-particle":"De","parse-names":false,"suffix":""},{"dropping-particle":"","family":"Demissie","given":"Tesfaye","non-dropping-particle":"","parse-names":false,"suffix":""},{"dropping-particle":"","family":"Maso","given":"Claudio","non-dropping-particle":"Di","parse-names":false,"suffix":""},{"dropping-particle":"","family":"Dietrich","given":"Isabelle","non-dropping-particle":"","parse-names":false,"suffix":""},{"dropping-particle":"","family":"Dong","given":"Tao","non-dropping-particle":"","parse-names":false,"suffix":""},{"dropping-particle":"","family":"Donnellan","given":"Francesca R.","non-dropping-particle":"","parse-names":false,"suffix":""},{"dropping-particle":"","family":"Douglas","given":"Naomi","non-dropping-particle":"","parse-names":false,"suffix":""},{"dropping-particle":"","family":"Downing","given":"Charlotte","non-dropping-particle":"","parse-names":false,"suffix":""},{"dropping-particle":"","family":"Drake","given":"Jonathan","non-dropping-particle":"","parse-names":false,"suffix":""},{"dropping-particle":"","family":"Drake-Brockman","given":"Rachael","non-dropping-particle":"","parse-names":false,"suffix":""},{"dropping-particle":"","family":"Drury","given":"Ruth Elizabeth","non-dropping-particle":"","parse-names":false,"suffix":""},{"dropping-particle":"","family":"Dunachie","given":"Susanna Jane","non-dropping-particle":"","parse-names":false,"suffix":""},{"dropping-particle":"","family":"Edwards","given":"Nick J.","non-dropping-particle":"","parse-names":false,"suffix":""},{"dropping-particle":"","family":"Edwards","given":"Frances D.L.","non-dropping-particle":"","parse-names":false,"suffix":""},{"dropping-particle":"","family":"Edwards","given":"Chris J.","non-dropping-particle":"","parse-names":false,"suffix":""},{"dropping-particle":"","family":"Elias","given":"Sean C.","non-dropping-particle":"","parse-names":false,"suffix":""},{"dropping-particle":"","family":"Elmore","given":"Michael J.","non-dropping-particle":"","parse-names":false,"suffix":""},{"dropping-particle":"","family":"Emary","given":"Katherine R.W.","non-dropping-particle":"","parse-names":false,"suffix":""},{"dropping-particle":"","family":"English","given":"Marcus Rex","non-dropping-particle":"","parse-names":false,"suffix":""},{"dropping-particle":"","family":"Fagerbrink","given":"Susanne","non-dropping-particle":"","parse-names":false,"suffix":""},{"dropping-particle":"","family":"Felle","given":"Sally","non-dropping-particle":"","parse-names":false,"suffix":""},{"dropping-particle":"","family":"Feng","given":"Shuo","non-dropping-particle":"","parse-names":false,"suffix":""},{"dropping-particle":"","family":"Field","given":"Samantha","non-dropping-particle":"","parse-names":false,"suffix":""},{"dropping-particle":"","family":"Fixmer","given":"Carine","non-dropping-particle":"","parse-names":false,"suffix":""},{"dropping-particle":"","family":"Fletcher","given":"Clare","non-dropping-particle":"","parse-names":false,"suffix":""},{"dropping-particle":"","family":"Ford","given":"Karen J.","non-dropping-particle":"","parse-names":false,"suffix":""},{"dropping-particle":"","family":"Fowler","given":"Jamie","non-dropping-particle":"","parse-names":false,"suffix":""},{"dropping-particle":"","family":"Fox","given":"Polly","non-dropping-particle":"","parse-names":false,"suffix":""},{"dropping-particle":"","family":"Francis","given":"Emma","non-dropping-particle":"","parse-names":false,"suffix":""},{"dropping-particle":"","family":"Frater","given":"John","non-dropping-particle":"","parse-names":false,"suffix":""},{"dropping-particle":"","family":"Furze","given":"Julie","non-dropping-particle":"","parse-names":false,"suffix":""},{"dropping-particle":"","family":"Fuskova","given":"Michelle","non-dropping-particle":"","parse-names":false,"suffix":""},{"dropping-particle":"","family":"Galiza","given":"Eva","non-dropping-particle":"","parse-names":false,"suffix":""},{"dropping-particle":"","family":"Gbesemete","given":"Diane","non-dropping-particle":"","parse-names":false,"suffix":""},{"dropping-particle":"","family":"Gilbride","given":"Ciaran","non-dropping-particle":"","parse-names":false,"suffix":""},{"dropping-particle":"","family":"Godwin","given":"Kerry","non-dropping-particle":"","parse-names":false,"suffix":""},{"dropping-particle":"","family":"Gorini","given":"Giacomo","non-dropping-particle":"","parse-names":false,"suffix":""},{"dropping-particle":"","family":"Goulston","given":"Lyndsey","non-dropping-particle":"","parse-names":false,"suffix":""},{"dropping-particle":"","family":"Grabau","given":"Caroline","non-dropping-particle":"","parse-names":false,"suffix":""},{"dropping-particle":"","family":"Gracie","given":"Lara","non-dropping-particle":"","parse-names":false,"suffix":""},{"dropping-particle":"","family":"Gray","given":"Zoe","non-dropping-particle":"","parse-names":false,"suffix":""},{"dropping-particle":"","family":"Guthrie","given":"Lucy Belle","non-dropping-particle":"","parse-names":false,"suffix":""},{"dropping-particle":"","family":"Hackett","given":"Mark","non-dropping-particle":"","parse-names":false,"suffix":""},{"dropping-particle":"","family":"Halwe","given":"Sandro","non-dropping-particle":"","parse-names":false,"suffix":""},{"dropping-particle":"","family":"Hamilton","given":"Elizabeth","non-dropping-particle":"","parse-names":false,"suffix":""},{"dropping-particle":"","family":"Hamlyn","given":"Joseph","non-dropping-particle":"","parse-names":false,"suffix":""},{"dropping-particle":"","family":"Hanumunthadu","given":"Brama","non-dropping-particle":"","parse-names":false,"suffix":""},{"dropping-particle":"","family":"Harding","given":"Irasha","non-dropping-particle":"","parse-names":false,"suffix":""},{"dropping-particle":"","family":"Harris","given":"Stephanie A.","non-dropping-particle":"","parse-names":false,"suffix":""},{"dropping-particle":"","family":"Harris","given":"Andrew","non-dropping-particle":"","parse-names":false,"suffix":""},{"dropping-particle":"","family":"Harrison","given":"Daisy","non-dropping-particle":"","parse-names":false,"suffix":""},{"dropping-particle":"","family":"Harrison","given":"Clare","non-dropping-particle":"","parse-names":false,"suffix":""},{"dropping-particle":"","family":"Hart","given":"Thomas C.","non-dropping-particle":"","parse-names":false,"suffix":""},{"dropping-particle":"","family":"Haskell","given":"Louise","non-dropping-particle":"","parse-names":false,"suffix":""},{"dropping-particle":"","family":"Hawkins","given":"Sophia","non-dropping-particle":"","parse-names":false,"suffix":""},{"dropping-particle":"","family":"Head","given":"Ian","non-dropping-particle":"","parse-names":false,"suffix":""},{"dropping-particle":"","family":"Henry","given":"John Aaron","non-dropping-particle":"","parse-names":false,"suffix":""},{"dropping-particle":"","family":"Hill","given":"Jennifer","non-dropping-particle":"","parse-names":false,"suffix":""},{"dropping-particle":"","family":"Hodgson","given":"Susanne H.C.","non-dropping-particle":"","parse-names":false,"suffix":""},{"dropping-particle":"","family":"Hou","given":"Mimi M.","non-dropping-particle":"","parse-names":false,"suffix":""},{"dropping-particle":"","family":"Howe","given":"Elizabeth","non-dropping-particle":"","parse-names":false,"suffix":""},{"dropping-particle":"","family":"Howell","given":"Nicola","non-dropping-particle":"","parse-names":false,"suffix":""},{"dropping-particle":"","family":"Hutlin","given":"Cecilia","non-dropping-particle":"","parse-names":false,"suffix":""},{"dropping-particle":"","family":"Ikram","given":"Sabina","non-dropping-particle":"","parse-names":false,"suffix":""},{"dropping-particle":"","family":"Isitt","given":"Catherine","non-dropping-particle":"","parse-names":false,"suffix":""},{"dropping-particle":"","family":"Iveson","given":"Poppy","non-dropping-particle":"","parse-names":false,"suffix":""},{"dropping-particle":"","family":"Jackson","given":"Susan","non-dropping-particle":"","parse-names":false,"suffix":""},{"dropping-particle":"","family":"Jackson","given":"Frederic","non-dropping-particle":"","parse-names":false,"suffix":""},{"dropping-particle":"","family":"James","given":"Sir William","non-dropping-particle":"","parse-names":false,"suffix":""},{"dropping-particle":"","family":"Jenkins","given":"Megan","non-dropping-particle":"","parse-names":false,"suffix":""},{"dropping-particle":"","family":"Jones","given":"Elizabeth","non-dropping-particle":"","parse-names":false,"suffix":""},{"dropping-particle":"","family":"Jones","given":"Kathryn","non-dropping-particle":"","parse-names":false,"suffix":""},{"dropping-particle":"","family":"Jones","given":"Christine E.","non-dropping-particle":"","parse-names":false,"suffix":""},{"dropping-particle":"","family":"Jones","given":"Bryony","non-dropping-particle":"","parse-names":false,"suffix":""},{"dropping-particle":"","family":"Kailath","given":"Reshma","non-dropping-particle":"","parse-names":false,"suffix":""},{"dropping-particle":"","family":"Karampatsas","given":"Konstantinos","non-dropping-particle":"","parse-names":false,"suffix":""},{"dropping-particle":"","family":"Keen","given":"Jade","non-dropping-particle":"","parse-names":false,"suffix":""},{"dropping-particle":"","family":"Kelly","given":"Sarah","non-dropping-particle":"","parse-names":false,"suffix":""},{"dropping-particle":"","family":"Kelly","given":"Dearbhla","non-dropping-particle":"","parse-names":false,"suffix":""},{"dropping-particle":"","family":"Kerr","given":"David","non-dropping-particle":"","parse-names":false,"suffix":""},{"dropping-particle":"","family":"Kerridge","given":"Simon","non-dropping-particle":"","parse-names":false,"suffix":""},{"dropping-particle":"","family":"Khan","given":"Liaquat","non-dropping-particle":"","parse-names":false,"suffix":""},{"dropping-particle":"","family":"Khan","given":"Uzma","non-dropping-particle":"","parse-names":false,"suffix":""},{"dropping-particle":"","family":"Killen","given":"Annabel","non-dropping-particle":"","parse-names":false,"suffix":""},{"dropping-particle":"","family":"Kinch","given":"Jasmin","non-dropping-particle":"","parse-names":false,"suffix":""},{"dropping-particle":"","family":"King","given":"Thomas B.","non-dropping-particle":"","parse-names":false,"suffix":""},{"dropping-particle":"","family":"King","given":"Lloyd","non-dropping-particle":"","parse-names":false,"suffix":""},{"dropping-particle":"","family":"King","given":"Jade","non-dropping-particle":"","parse-names":false,"suffix":""},{"dropping-particle":"","family":"Kingham-Page","given":"Lucy","non-dropping-particle":"","parse-names":false,"suffix":""},{"dropping-particle":"","family":"Klenerman","given":"Paul","non-dropping-particle":"","parse-names":false,"suffix":""},{"dropping-particle":"","family":"Knapper","given":"Francesca","non-dropping-particle":"","parse-names":false,"suffix":""},{"dropping-particle":"","family":"Knight","given":"Julian C.","non-dropping-particle":"","parse-names":false,"suffix":""},{"dropping-particle":"","family":"Knott","given":"Daniel","non-dropping-particle":"","parse-names":false,"suffix":""},{"dropping-particle":"","family":"Koleva","given":"Stanislava","non-dropping-particle":"","parse-names":false,"suffix":""},{"dropping-particle":"","family":"Kupke","given":"Alexandra","non-dropping-particle":"","parse-names":false,"suffix":""},{"dropping-particle":"","family":"Larkworthy","given":"Colin W.","non-dropping-particle":"","parse-names":false,"suffix":""},{"dropping-particle":"","family":"Larwood","given":"Jessica P.J.","non-dropping-particle":"","parse-names":false,"suffix":""},{"dropping-particle":"","family":"Laskey","given":"Anna","non-dropping-particle":"","parse-names":false,"suffix":""},{"dropping-particle":"","family":"Lawrie","given":"Alison M.","non-dropping-particle":"","parse-names":false,"suffix":""},{"dropping-particle":"","family":"Lee","given":"Arlene","non-dropping-particle":"","parse-names":false,"suffix":""},{"dropping-particle":"","family":"Ngan Lee","given":"Kim Yee","non-dropping-particle":"","parse-names":false,"suffix":""},{"dropping-particle":"","family":"Lees","given":"Emily A.","non-dropping-particle":"","parse-names":false,"suffix":""},{"dropping-particle":"","family":"Legge","given":"Helen","non-dropping-particle":"","parse-names":false,"suffix":""},{"dropping-particle":"","family":"Lelliott","given":"Alice","non-dropping-particle":"","parse-names":false,"suffix":""},{"dropping-particle":"","family":"Lemm","given":"Nana Marie","non-dropping-particle":"","parse-names":false,"suffix":""},{"dropping-particle":"","family":"Lias","given":"Amelia M.","non-dropping-particle":"","parse-names":false,"suffix":""},{"dropping-particle":"","family":"Linder","given":"Aline","non-dropping-particle":"","parse-names":false,"suffix":""},{"dropping-particle":"","family":"Lipworth","given":"Samuel","non-dropping-particle":"","parse-names":false,"suffix":""},{"dropping-particle":"","family":"Liu","given":"Xinxue","non-dropping-particle":"","parse-names":false,"suffix":""},{"dropping-particle":"","family":"Liu","given":"Shuchang","non-dropping-particle":"","parse-names":false,"suffix":""},{"dropping-particle":"","family":"Lopez Ramon","given":"Raquel","non-dropping-particle":"","parse-names":false,"suffix":""},{"dropping-particle":"","family":"Lwin","given":"May","non-dropping-particle":"","parse-names":false,"suffix":""},{"dropping-particle":"","family":"Mabesa","given":"Francesca","non-dropping-particle":"","parse-names":false,"suffix":""},{"dropping-particle":"","family":"Madhavan","given":"Meera","non-dropping-particle":"","parse-names":false,"suffix":""},{"dropping-particle":"","family":"Mallett","given":"Garry","non-dropping-particle":"","parse-names":false,"suffix":""},{"dropping-particle":"","family":"Mansatta","given":"Kushal","non-dropping-particle":"","parse-names":false,"suffix":""},{"dropping-particle":"","family":"Marcal","given":"Ines","non-dropping-particle":"","parse-names":false,"suffix":""},{"dropping-particle":"","family":"Marinou","given":"Spyridoula","non-dropping-particle":"","parse-names":false,"suffix":""},{"dropping-particle":"","family":"Marlow","given":"Emma","non-dropping-particle":"","parse-names":false,"suffix":""},{"dropping-particle":"","family":"Marshall","given":"Julia L.","non-dropping-particle":"","parse-names":false,"suffix":""},{"dropping-particle":"","family":"Martin","given":"Jane","non-dropping-particle":"","parse-names":false,"suffix":""},{"dropping-particle":"","family":"McEwan","given":"Joanne","non-dropping-particle":"","parse-names":false,"suffix":""},{"dropping-particle":"","family":"McInroy","given":"Lorna","non-dropping-particle":"","parse-names":false,"suffix":""},{"dropping-particle":"","family":"Meddaugh","given":"Gretchen","non-dropping-particle":"","parse-names":false,"suffix":""},{"dropping-particle":"","family":"Mentzer","given":"Alexander J.","non-dropping-particle":"","parse-names":false,"suffix":""},{"dropping-particle":"","family":"Mirtorabi","given":"Neginsadat","non-dropping-particle":"","parse-names":false,"suffix":""},{"dropping-particle":"","family":"Moore","given":"Maria","non-dropping-particle":"","parse-names":false,"suffix":""},{"dropping-particle":"","family":"Moran","given":"Edward","non-dropping-particle":"","parse-names":false,"suffix":""},{"dropping-particle":"","family":"Morey","given":"Ella","non-dropping-particle":"","parse-names":false,"suffix":""},{"dropping-particle":"","family":"Morgan","given":"Victoria","non-dropping-particle":"","parse-names":false,"suffix":""},{"dropping-particle":"","family":"Morris","given":"Susan Jane","non-dropping-particle":"","parse-names":false,"suffix":""},{"dropping-particle":"","family":"Morrison","given":"Hazel","non-dropping-particle":"","parse-names":false,"suffix":""},{"dropping-particle":"","family":"Morshead","given":"Gertraud","non-dropping-particle":"","parse-names":false,"suffix":""},{"dropping-particle":"","family":"Morter","given":"Richard","non-dropping-particle":"","parse-names":false,"suffix":""},{"dropping-particle":"","family":"Mujadidi","given":"Yama F.","non-dropping-particle":"","parse-names":false,"suffix":""},{"dropping-particle":"","family":"Muller","given":"Jilly","non-dropping-particle":"","parse-names":false,"suffix":""},{"dropping-particle":"","family":"Munera-Huertas","given":"Tatiana","non-dropping-particle":"","parse-names":false,"suffix":""},{"dropping-particle":"","family":"Munro","given":"Claire","non-dropping-particle":"","parse-names":false,"suffix":""},{"dropping-particle":"","family":"Munro","given":"Alasdair","non-dropping-particle":"","parse-names":false,"suffix":""},{"dropping-particle":"","family":"Murphy","given":"Sarah","non-dropping-particle":"","parse-names":false,"suffix":""},{"dropping-particle":"","family":"Munster","given":"Vincent J.","non-dropping-particle":"","parse-names":false,"suffix":""},{"dropping-particle":"","family":"Mweu","given":"Philomena","non-dropping-particle":"","parse-names":false,"suffix":""},{"dropping-particle":"","family":"Noé","given":"Andrés","non-dropping-particle":"","parse-names":false,"suffix":""},{"dropping-particle":"","family":"Nugent","given":"Fay L.","non-dropping-particle":"","parse-names":false,"suffix":""},{"dropping-particle":"","family":"Nuthall","given":"Elizabeth","non-dropping-particle":"","parse-names":false,"suffix":""},{"dropping-particle":"","family":"O'Brien","given":"Katie","non-dropping-particle":"","parse-names":false,"suffix":""},{"dropping-particle":"","family":"O'Connor","given":"Daniel","non-dropping-particle":"","parse-names":false,"suffix":""},{"dropping-particle":"","family":"Oguti","given":"Blanché","non-dropping-particle":"","parse-names":false,"suffix":""},{"dropping-particle":"","family":"Oliver","given":"Jennifer L.","non-dropping-particle":"","parse-names":false,"suffix":""},{"dropping-particle":"","family":"Oliveira","given":"Catarina","non-dropping-particle":"","parse-names":false,"suffix":""},{"dropping-particle":"","family":"O'Reilly","given":"Peter John","non-dropping-particle":"","parse-names":false,"suffix":""},{"dropping-particle":"","family":"Osborn","given":"Mairead","non-dropping-particle":"","parse-names":false,"suffix":""},{"dropping-particle":"","family":"Osborne","given":"Piper","non-dropping-particle":"","parse-names":false,"suffix":""},{"dropping-particle":"","family":"Owen","given":"Cathy","non-dropping-particle":"","parse-names":false,"suffix":""},{"dropping-particle":"","family":"Owens","given":"Daniel","non-dropping-particle":"","parse-names":false,"suffix":""},{"dropping-particle":"","family":"Owino","given":"Nelly","non-dropping-particle":"","parse-names":false,"suffix":""},{"dropping-particle":"","family":"Pacurar","given":"Mihaela","non-dropping-particle":"","parse-names":false,"suffix":""},{"dropping-particle":"","family":"Parker","given":"Kaye","non-dropping-particle":"","parse-names":false,"suffix":""},{"dropping-particle":"","family":"Parracho","given":"Helena","non-dropping-particle":"","parse-names":false,"suffix":""},{"dropping-particle":"","family":"Patrick-Smith","given":"Maia","non-dropping-particle":"","parse-names":false,"suffix":""},{"dropping-particle":"","family":"Payne","given":"Victoria","non-dropping-particle":"","parse-names":false,"suffix":""},{"dropping-particle":"","family":"Pearce","given":"Jennifer","non-dropping-particle":"","parse-names":false,"suffix":""},{"dropping-particle":"","family":"Peng","given":"Yanchun","non-dropping-particle":"","parse-names":false,"suffix":""},{"dropping-particle":"","family":"Peralta Alvarez","given":"Marco Polo","non-dropping-particle":"","parse-names":false,"suffix":""},{"dropping-particle":"","family":"Perring","given":"James","non-dropping-particle":"","parse-names":false,"suffix":""},{"dropping-particle":"","family":"Pfafferott","given":"Katja","non-dropping-particle":"","parse-names":false,"suffix":""},{"dropping-particle":"","family":"Pipini","given":"Dimitra","non-dropping-particle":"","parse-names":false,"suffix":""},{"dropping-particle":"","family":"Plested","given":"Emma","non-dropping-particle":"","parse-names":false,"suffix":""},{"dropping-particle":"","family":"Pluess-Hall","given":"Helen","non-dropping-particle":"","parse-names":false,"suffix":""},{"dropping-particle":"","family":"Pollock","given":"Katrina","non-dropping-particle":"","parse-names":false,"suffix":""},{"dropping-particle":"","family":"Poulton","given":"Ian","non-dropping-particle":"","parse-names":false,"suffix":""},{"dropping-particle":"","family":"Presland","given":"Laura","non-dropping-particle":"","parse-names":false,"suffix":""},{"dropping-particle":"","family":"Provstgaard-Morys","given":"Samuel","non-dropping-particle":"","parse-names":false,"suffix":""},{"dropping-particle":"","family":"Pulido","given":"David","non-dropping-particle":"","parse-names":false,"suffix":""},{"dropping-particle":"","family":"Radia","given":"Kajal","non-dropping-particle":"","parse-names":false,"suffix":""},{"dropping-particle":"","family":"Ramos Lopez","given":"Fernando","non-dropping-particle":"","parse-names":false,"suffix":""},{"dropping-particle":"","family":"Rand","given":"Jade","non-dropping-particle":"","parse-names":false,"suffix":""},{"dropping-particle":"","family":"Ratcliffe","given":"Helen","non-dropping-particle":"","parse-names":false,"suffix":""},{"dropping-particle":"","family":"Rawlinson","given":"Thomas","non-dropping-particle":"","parse-names":false,"suffix":""},{"dropping-particle":"","family":"Rhead","given":"Sarah","non-dropping-particle":"","parse-names":false,"suffix":""},{"dropping-particle":"","family":"Riddell","given":"Amy","non-dropping-particle":"","parse-names":false,"suffix":""},{"dropping-particle":"","family":"Ritchie","given":"Adam John","non-dropping-particle":"","parse-names":false,"suffix":""},{"dropping-particle":"","family":"Roberts","given":"Hannah","non-dropping-particle":"","parse-names":false,"suffix":""},{"dropping-particle":"","family":"Robson","given":"Joanna","non-dropping-particle":"","parse-names":false,"suffix":""},{"dropping-particle":"","family":"Roche","given":"Sophie","non-dropping-particle":"","parse-names":false,"suffix":""},{"dropping-particle":"","family":"Rohde","given":"Cornelius","non-dropping-particle":"","parse-names":false,"suffix":""},{"dropping-particle":"","family":"Rollier","given":"Christine S.","non-dropping-particle":"","parse-names":false,"suffix":""},{"dropping-particle":"","family":"Romani","given":"Rossana","non-dropping-particle":"","parse-names":false,"suffix":""},{"dropping-particle":"","family":"Rudiansyah","given":"Indra","non-dropping-particle":"","parse-names":false,"suffix":""},{"dropping-particle":"","family":"Saich","given":"Stephen","non-dropping-particle":"","parse-names":false,"suffix":""},{"dropping-particle":"","family":"Sajjad","given":"Sara","non-dropping-particle":"","parse-names":false,"suffix":""},{"dropping-particle":"","family":"Salvador","given":"Stephannie","non-dropping-particle":"","parse-names":false,"suffix":""},{"dropping-particle":"","family":"Sanchez Riera","given":"Lidia","non-dropping-particle":"","parse-names":false,"suffix":""},{"dropping-particle":"","family":"Sanders","given":"Helen","non-dropping-particle":"","parse-names":false,"suffix":""},{"dropping-particle":"","family":"Sanders","given":"Katherine","non-dropping-particle":"","parse-names":false,"suffix":""},{"dropping-particle":"","family":"Sapaun","given":"Shari","non-dropping-particle":"","parse-names":false,"suffix":""},{"dropping-particle":"","family":"Sayce","given":"Chloe","non-dropping-particle":"","parse-names":false,"suffix":""},{"dropping-particle":"","family":"Schofield","given":"Ella","non-dropping-particle":"","parse-names":false,"suffix":""},{"dropping-particle":"","family":"Screaton","given":"Gavin","non-dropping-particle":"","parse-names":false,"suffix":""},{"dropping-particle":"","family":"Selby","given":"Beatrice","non-dropping-particle":"","parse-names":false,"suffix":""},{"dropping-particle":"","family":"Semple","given":"Calum","non-dropping-particle":"","parse-names":false,"suffix":""},{"dropping-particle":"","family":"Sharpe","given":"Hannah R.","non-dropping-particle":"","parse-names":false,"suffix":""},{"dropping-particle":"","family":"Shaik","given":"Imam","non-dropping-particle":"","parse-names":false,"suffix":""},{"dropping-particle":"","family":"Shea","given":"Adam","non-dropping-particle":"","parse-names":false,"suffix":""},{"dropping-particle":"","family":"Shelton","given":"Holly","non-dropping-particle":"","parse-names":false,"suffix":""},{"dropping-particle":"","family":"Silk","given":"Sarah","non-dropping-particle":"","parse-names":false,"suffix":""},{"dropping-particle":"","family":"Silva-Reyes","given":"Laura","non-dropping-particle":"","parse-names":false,"suffix":""},{"dropping-particle":"","family":"Skelly","given":"Donal T.","non-dropping-particle":"","parse-names":false,"suffix":""},{"dropping-particle":"","family":"Smee","given":"Heather","non-dropping-particle":"","parse-names":false,"suffix":""},{"dropping-particle":"","family":"Smith","given":"Catherine C.","non-dropping-particle":"","parse-names":false,"suffix":""},{"dropping-particle":"","family":"Smith","given":"David J.","non-dropping-particle":"","parse-names":false,"suffix":""},{"dropping-particle":"","family":"Song","given":"Rinn","non-dropping-particle":"","parse-names":false,"suffix":""},{"dropping-particle":"","family":"Spencer","given":"Alexandra J.","non-dropping-particle":"","parse-names":false,"suffix":""},{"dropping-particle":"","family":"Stafford","given":"Elizabeth","non-dropping-particle":"","parse-names":false,"suffix":""},{"dropping-particle":"","family":"Steele","given":"Amy","non-dropping-particle":"","parse-names":false,"suffix":""},{"dropping-particle":"","family":"Stefanova","given":"Elena","non-dropping-particle":"","parse-names":false,"suffix":""},{"dropping-particle":"","family":"Stockdale","given":"Lisa","non-dropping-particle":"","parse-names":false,"suffix":""},{"dropping-particle":"","family":"Szigeti","given":"Anna","non-dropping-particle":"","parse-names":false,"suffix":""},{"dropping-particle":"","family":"Tahiri-Alaoui","given":"Abdessamad","non-dropping-particle":"","parse-names":false,"suffix":""},{"dropping-particle":"","family":"Tait","given":"Moira","non-dropping-particle":"","parse-names":false,"suffix":""},{"dropping-particle":"","family":"Talbot","given":"Helen","non-dropping-particle":"","parse-names":false,"suffix":""},{"dropping-particle":"","family":"Tanner","given":"Rachel","non-dropping-particle":"","parse-names":false,"suffix":""},{"dropping-particle":"","family":"Taylor","given":"Iona Jennifer","non-dropping-particle":"","parse-names":false,"suffix":""},{"dropping-particle":"","family":"Taylor","given":"Victoria","non-dropping-particle":"","parse-names":false,"suffix":""},{"dropping-particle":"","family":"Water Naude","given":"Rebecca","non-dropping-particle":"Te","parse-names":false,"suffix":""},{"dropping-particle":"","family":"Thakur","given":"Nazia","non-dropping-particle":"","parse-names":false,"suffix":""},{"dropping-particle":"","family":"Themistocleous","given":"Yrene","non-dropping-particle":"","parse-names":false,"suffix":""},{"dropping-particle":"","family":"Themistocleous","given":"Andreas","non-dropping-particle":"","parse-names":false,"suffix":""},{"dropping-particle":"","family":"Thomas","given":"Merin","non-dropping-particle":"","parse-names":false,"suffix":""},{"dropping-particle":"","family":"Thomas","given":"Tonia M.","non-dropping-particle":"","parse-names":false,"suffix":""},{"dropping-particle":"","family":"Thompson","given":"Amber","non-dropping-particle":"","parse-names":false,"suffix":""},{"dropping-particle":"","family":"Thomson-Hill","given":"Samantha","non-dropping-particle":"","parse-names":false,"suffix":""},{"dropping-particle":"","family":"Tomlins","given":"Jennifer","non-dropping-particle":"","parse-names":false,"suffix":""},{"dropping-particle":"","family":"Tonks","given":"Susan","non-dropping-particle":"","parse-names":false,"suffix":""},{"dropping-particle":"","family":"Towner","given":"James","non-dropping-particle":"","parse-names":false,"suffix":""},{"dropping-particle":"","family":"Tran","given":"Nguyen","non-dropping-particle":"","parse-names":false,"suffix":""},{"dropping-particle":"","family":"Tree","given":"Julia A.","non-dropping-particle":"","parse-names":false,"suffix":""},{"dropping-particle":"","family":"Truby","given":"Adam","non-dropping-particle":"","parse-names":false,"suffix":""},{"dropping-particle":"","family":"Turkentine","given":"Kate","non-dropping-particle":"","parse-names":false,"suffix":""},{"dropping-particle":"","family":"Turner","given":"Cheryl","non-dropping-particle":"","parse-names":false,"suffix":""},{"dropping-particle":"","family":"Turner","given":"Nicola","non-dropping-particle":"","parse-names":false,"suffix":""},{"dropping-particle":"","family":"Turner","given":"Sally","non-dropping-particle":"","parse-names":false,"suffix":""},{"dropping-particle":"","family":"Tuthill","given":"Toby","non-dropping-particle":"","parse-names":false,"suffix":""},{"dropping-particle":"","family":"Ulaszewska","given":"Marta","non-dropping-particle":"","parse-names":false,"suffix":""},{"dropping-particle":"","family":"Varughese","given":"Rachel","non-dropping-particle":"","parse-names":false,"suffix":""},{"dropping-particle":"","family":"Doremalen","given":"Neeltje","non-dropping-particle":"Van","parse-names":false,"suffix":""},{"dropping-particle":"","family":"Veighey","given":"Kristin","non-dropping-particle":"","parse-names":false,"suffix":""},{"dropping-particle":"","family":"Verheul","given":"Marije K.","non-dropping-particle":"","parse-names":false,"suffix":""},{"dropping-particle":"","family":"Vichos","given":"Iason","non-dropping-particle":"","parse-names":false,"suffix":""},{"dropping-particle":"","family":"Vitale","given":"Elia","non-dropping-particle":"","parse-names":false,"suffix":""},{"dropping-particle":"","family":"Walker","given":"Laura","non-dropping-particle":"","parse-names":false,"suffix":""},{"dropping-particle":"","family":"Watson","given":"Marion E.E.","non-dropping-particle":"","parse-names":false,"suffix":""},{"dropping-particle":"","family":"Welham","given":"Benjamin","non-dropping-particle":"","parse-names":false,"suffix":""},{"dropping-particle":"","family":"Wheat","given":"Julie","non-dropping-particle":"","parse-names":false,"suffix":""},{"dropping-particle":"","family":"White","given":"Caroline","non-dropping-particle":"","parse-names":false,"suffix":""},{"dropping-particle":"","family":"White","given":"Rachel","non-dropping-particle":"","parse-names":false,"suffix":""},{"dropping-particle":"","family":"Worth","given":"Andrew T.","non-dropping-particle":"","parse-names":false,"suffix":""},{"dropping-particle":"","family":"Wright","given":"Danny","non-dropping-particle":"","parse-names":false,"suffix":""},{"dropping-particle":"","family":"Wright","given":"Suzie","non-dropping-particle":"","parse-names":false,"suffix":""},{"dropping-particle":"","family":"Yao","given":"Xin Li","non-dropping-particle":"","parse-names":false,"suffix":""},{"dropping-particle":"","family":"Yau","given":"Yasmine","non-dropping-particle":"","parse-names":false,"suffix":""}],"container-title":"The Lancet","id":"ITEM-1","issue":"10249","issued":{"date-parts":[["2020"]]},"page":"467-478","title":"Safety and immunogenicity of the ChAdOx1 nCoV-19 vaccine against SARS-CoV-2: a preliminary report of a phase 1/2, single-blind, randomised controlled trial","type":"article-journal","volume":"396"},"uris":["http://www.mendeley.com/documents/?uuid=c5577078-4eda-445d-89cd-9b1c69510f62"]},{"id":"ITEM-2","itemData":{"DOI":"10.1038/s41586-020-2639-4","ISSN":"14764687","PMID":"32785213","abstract":"In March 2020, the World Health Organization (WHO) declared coronavirus disease 2019 (COVID-19), which is caused by severe acute respiratory syndrome coronavirus 2 (SARS-CoV-2)1, a pandemic. With rapidly accumulating numbers of cases and deaths reported globally2, a vaccine is urgently needed. Here we report the available safety, tolerability and immunogenicity data from an ongoing placebo-controlled, observer-blinded dose-escalation study (ClinicalTrials.gov identifier NCT04368728) among 45 healthy adults (18–55 years of age), who were randomized to receive 2 doses—separated by 21 days—of 10 μg, 30 μg or 100 μg of BNT162b1. BNT162b1 is a lipid-nanoparticle-formulated, nucleoside-modified mRNA vaccine that encodes the trimerized receptor-binding domain (RBD) of the spike glycoprotein of SARS-CoV-2. Local reactions and systemic events were dose-dependent, generally mild to moderate, and transient. A second vaccination with 100 μg was not administered because of the increased reactogenicity and a lack of meaningfully increased immunogenicity after a single dose compared with the 30-μg dose. RBD-binding IgG concentrations and SARS-CoV-2 neutralizing titres in sera increased with dose level and after a second dose. Geometric mean neutralizing titres reached 1.9–4.6-fold that of a panel of COVID-19 convalescent human sera, which were obtained at least 14 days after a positive SARS-CoV-2 PCR. These results support further evaluation of this mRNA vaccine candidate.","author":[{"dropping-particle":"","family":"Mulligan","given":"Mark J.","non-dropping-particle":"","parse-names":false,"suffix":""},{"dropping-particle":"","family":"Lyke","given":"Kirsten E.","non-dropping-particle":"","parse-names":false,"suffix":""},{"dropping-particle":"","family":"Kitchin","given":"Nicholas","non-dropping-particle":"","parse-names":false,"suffix":""},{"dropping-particle":"","family":"Absalon","given":"Judith","non-dropping-particle":"","parse-names":false,"suffix":""},{"dropping-particle":"","family":"Gurtman","given":"Alejandra","non-dropping-particle":"","parse-names":false,"suffix":""},{"dropping-particle":"","family":"Lockhart","given":"Stephen","non-dropping-particle":"","parse-names":false,"suffix":""},{"dropping-particle":"","family":"Neuzil","given":"Kathleen","non-dropping-particle":"","parse-names":false,"suffix":""},{"dropping-particle":"","family":"Raabe","given":"Vanessa","non-dropping-particle":"","parse-names":false,"suffix":""},{"dropping-particle":"","family":"Bailey","given":"Ruth","non-dropping-particle":"","parse-names":false,"suffix":""},{"dropping-particle":"","family":"Swanson","given":"Kena A.","non-dropping-particle":"","parse-names":false,"suffix":""},{"dropping-particle":"","family":"Li","given":"Ping","non-dropping-particle":"","parse-names":false,"suffix":""},{"dropping-particle":"","family":"Koury","given":"Kenneth","non-dropping-particle":"","parse-names":false,"suffix":""},{"dropping-particle":"","family":"Kalina","given":"Warren","non-dropping-particle":"","parse-names":false,"suffix":""},{"dropping-particle":"","family":"Cooper","given":"David","non-dropping-particle":"","parse-names":false,"suffix":""},{"dropping-particle":"","family":"Fontes-Garfias","given":"Camila","non-dropping-particle":"","parse-names":false,"suffix":""},{"dropping-particle":"","family":"Shi","given":"Pei Yong","non-dropping-particle":"","parse-names":false,"suffix":""},{"dropping-particle":"","family":"Türeci","given":"Özlem","non-dropping-particle":"","parse-names":false,"suffix":""},{"dropping-particle":"","family":"Tompkins","given":"Kristin R.","non-dropping-particle":"","parse-names":false,"suffix":""},{"dropping-particle":"","family":"Walsh","given":"Edward E.","non-dropping-particle":"","parse-names":false,"suffix":""},{"dropping-particle":"","family":"Frenck","given":"Robert","non-dropping-particle":"","parse-names":false,"suffix":""},{"dropping-particle":"","family":"Falsey","given":"Ann R.","non-dropping-particle":"","parse-names":false,"suffix":""},{"dropping-particle":"","family":"Dormitzer","given":"Philip R.","non-dropping-particle":"","parse-names":false,"suffix":""},{"dropping-particle":"","family":"Gruber","given":"William C.","non-dropping-particle":"","parse-names":false,"suffix":""},{"dropping-particle":"","family":"Şahin","given":"Uğur","non-dropping-particle":"","parse-names":false,"suffix":""},{"dropping-particle":"","family":"Jansen","given":"Kathrin U.","non-dropping-particle":"","parse-names":false,"suffix":""}],"container-title":"Nature","id":"ITEM-2","issue":"7830","issued":{"date-parts":[["2020"]]},"page":"589-593","publisher":"Springer US","title":"Phase I/II study of COVID-19 RNA vaccine BNT162b1 in adults","type":"article-journal","volume":"586"},"uris":["http://www.mendeley.com/documents/?uuid=089b061a-87bd-4ab3-864a-6950c53e9d65"]}],"mendeley":{"formattedCitation":"(24,25)","plainTextFormattedCitation":"(24,25)","previouslyFormattedCitation":"(24,25)"},"properties":{"noteIndex":0},"schema":"https://github.com/citation-style-language/schema/raw/master/csl-citation.json"}</w:instrText>
      </w:r>
      <w:r w:rsidR="00A81E01" w:rsidRPr="00F15649">
        <w:rPr>
          <w:rFonts w:ascii="Arial" w:hAnsi="Arial" w:cs="Arial"/>
          <w:sz w:val="24"/>
          <w:szCs w:val="24"/>
          <w:vertAlign w:val="superscript"/>
        </w:rPr>
        <w:fldChar w:fldCharType="separate"/>
      </w:r>
      <w:r w:rsidR="00EB18A3" w:rsidRPr="00BD06E9">
        <w:rPr>
          <w:rFonts w:ascii="Arial" w:hAnsi="Arial" w:cs="Arial"/>
          <w:noProof/>
          <w:sz w:val="24"/>
          <w:szCs w:val="24"/>
        </w:rPr>
        <w:t>(24,25)</w:t>
      </w:r>
      <w:r w:rsidR="00A81E01" w:rsidRPr="00BD06E9">
        <w:rPr>
          <w:rFonts w:ascii="Arial" w:hAnsi="Arial" w:cs="Arial"/>
          <w:sz w:val="24"/>
          <w:szCs w:val="24"/>
        </w:rPr>
        <w:fldChar w:fldCharType="end"/>
      </w:r>
      <w:r w:rsidRPr="00BD06E9">
        <w:rPr>
          <w:rFonts w:ascii="Arial" w:hAnsi="Arial" w:cs="Arial"/>
          <w:sz w:val="24"/>
          <w:szCs w:val="24"/>
        </w:rPr>
        <w:t>. We hypothesized that this period of immune reconstitution was most likely to be ass</w:t>
      </w:r>
      <w:r w:rsidRPr="004D5231">
        <w:rPr>
          <w:rFonts w:ascii="Arial" w:hAnsi="Arial" w:cs="Arial"/>
          <w:sz w:val="24"/>
          <w:szCs w:val="24"/>
        </w:rPr>
        <w:t xml:space="preserve">ociated with </w:t>
      </w:r>
      <w:r w:rsidR="0025665E" w:rsidRPr="004D5231">
        <w:rPr>
          <w:rFonts w:ascii="Arial" w:hAnsi="Arial" w:cs="Arial"/>
          <w:sz w:val="24"/>
          <w:szCs w:val="24"/>
        </w:rPr>
        <w:t xml:space="preserve">increased </w:t>
      </w:r>
      <w:r w:rsidRPr="00FE364A">
        <w:rPr>
          <w:rFonts w:ascii="Arial" w:hAnsi="Arial" w:cs="Arial"/>
          <w:sz w:val="24"/>
          <w:szCs w:val="24"/>
        </w:rPr>
        <w:t xml:space="preserve">disease activity. As patients with disease flare or acute illnesses may delay vaccination, the 7-days </w:t>
      </w:r>
      <w:r w:rsidR="0025665E" w:rsidRPr="00FE364A">
        <w:rPr>
          <w:rFonts w:ascii="Arial" w:hAnsi="Arial" w:cs="Arial"/>
          <w:sz w:val="24"/>
          <w:szCs w:val="24"/>
        </w:rPr>
        <w:t xml:space="preserve">immediately </w:t>
      </w:r>
      <w:r w:rsidRPr="00F15649">
        <w:rPr>
          <w:rFonts w:ascii="Arial" w:hAnsi="Arial" w:cs="Arial"/>
          <w:sz w:val="24"/>
          <w:szCs w:val="24"/>
        </w:rPr>
        <w:t xml:space="preserve">preceding vaccination was considered separate from the vaccine-unexposed </w:t>
      </w:r>
      <w:r w:rsidR="0025665E" w:rsidRPr="00F15649">
        <w:rPr>
          <w:rFonts w:ascii="Arial" w:hAnsi="Arial" w:cs="Arial"/>
          <w:sz w:val="24"/>
          <w:szCs w:val="24"/>
        </w:rPr>
        <w:t xml:space="preserve">baseline </w:t>
      </w:r>
      <w:r w:rsidRPr="00F15649">
        <w:rPr>
          <w:rFonts w:ascii="Arial" w:hAnsi="Arial" w:cs="Arial"/>
          <w:sz w:val="24"/>
          <w:szCs w:val="24"/>
        </w:rPr>
        <w:t xml:space="preserve">period to minimize potential confounding. The vaccine-unexposed </w:t>
      </w:r>
      <w:r w:rsidR="0025665E" w:rsidRPr="00F15649">
        <w:rPr>
          <w:rFonts w:ascii="Arial" w:hAnsi="Arial" w:cs="Arial"/>
          <w:sz w:val="24"/>
          <w:szCs w:val="24"/>
        </w:rPr>
        <w:t xml:space="preserve">baseline </w:t>
      </w:r>
      <w:r w:rsidRPr="00F15649">
        <w:rPr>
          <w:rFonts w:ascii="Arial" w:hAnsi="Arial" w:cs="Arial"/>
          <w:sz w:val="24"/>
          <w:szCs w:val="24"/>
        </w:rPr>
        <w:t>period comprised of the remaining follow-up time post cohort entry and prior to cohort exit.</w:t>
      </w:r>
      <w:r w:rsidR="0025665E" w:rsidRPr="00F15649">
        <w:rPr>
          <w:rFonts w:ascii="Arial" w:hAnsi="Arial" w:cs="Arial"/>
          <w:sz w:val="24"/>
          <w:szCs w:val="24"/>
        </w:rPr>
        <w:t xml:space="preserve"> As illustrated in Figure 1, the vaccine-unexposed baseline period comprised of follow-up time either before or after vaccination against COVID-19.</w:t>
      </w:r>
      <w:r w:rsidR="0025665E">
        <w:rPr>
          <w:b/>
        </w:rPr>
        <w:t xml:space="preserve"> </w:t>
      </w:r>
      <w:r w:rsidRPr="00021272">
        <w:rPr>
          <w:rFonts w:ascii="Arial" w:hAnsi="Arial" w:cs="Arial"/>
          <w:sz w:val="24"/>
          <w:szCs w:val="24"/>
        </w:rPr>
        <w:t xml:space="preserve">  </w:t>
      </w:r>
    </w:p>
    <w:p w14:paraId="3C6D655F" w14:textId="4A2324A2" w:rsidR="00021272" w:rsidRPr="00021272" w:rsidRDefault="00021272" w:rsidP="00021272">
      <w:pPr>
        <w:spacing w:line="480" w:lineRule="auto"/>
        <w:rPr>
          <w:rFonts w:ascii="Arial" w:hAnsi="Arial" w:cs="Arial"/>
          <w:sz w:val="24"/>
          <w:szCs w:val="24"/>
        </w:rPr>
      </w:pPr>
      <w:r w:rsidRPr="00021272">
        <w:rPr>
          <w:rFonts w:ascii="Arial" w:hAnsi="Arial" w:cs="Arial"/>
          <w:sz w:val="24"/>
          <w:szCs w:val="24"/>
        </w:rPr>
        <w:t xml:space="preserve">The study started on the 1st of December 2020, one week before the first </w:t>
      </w:r>
      <w:r w:rsidR="0025665E">
        <w:rPr>
          <w:rFonts w:ascii="Arial" w:hAnsi="Arial" w:cs="Arial"/>
          <w:sz w:val="24"/>
          <w:szCs w:val="24"/>
        </w:rPr>
        <w:t>COVID</w:t>
      </w:r>
      <w:r w:rsidRPr="00021272">
        <w:rPr>
          <w:rFonts w:ascii="Arial" w:hAnsi="Arial" w:cs="Arial"/>
          <w:sz w:val="24"/>
          <w:szCs w:val="24"/>
        </w:rPr>
        <w:t xml:space="preserve">-19 vaccine was administered outside of trial setting in the UK to allow each potential vaccinated participant to have 7 days pre-vaccination period. </w:t>
      </w:r>
    </w:p>
    <w:p w14:paraId="6D88C375" w14:textId="0A67B108" w:rsidR="00021272" w:rsidRDefault="00021272" w:rsidP="00021272">
      <w:pPr>
        <w:spacing w:line="480" w:lineRule="auto"/>
        <w:rPr>
          <w:rFonts w:ascii="Arial" w:hAnsi="Arial" w:cs="Arial"/>
          <w:sz w:val="24"/>
          <w:szCs w:val="24"/>
        </w:rPr>
      </w:pPr>
      <w:r w:rsidRPr="00021272">
        <w:rPr>
          <w:rFonts w:ascii="Arial" w:hAnsi="Arial" w:cs="Arial"/>
          <w:sz w:val="24"/>
          <w:szCs w:val="24"/>
        </w:rPr>
        <w:t>Statistical analyses</w:t>
      </w:r>
      <w:r w:rsidR="00D10EF2">
        <w:rPr>
          <w:rFonts w:ascii="Arial" w:hAnsi="Arial" w:cs="Arial"/>
          <w:sz w:val="24"/>
          <w:szCs w:val="24"/>
        </w:rPr>
        <w:t>:</w:t>
      </w:r>
      <w:r w:rsidRPr="00021272">
        <w:rPr>
          <w:rFonts w:ascii="Arial" w:hAnsi="Arial" w:cs="Arial"/>
          <w:sz w:val="24"/>
          <w:szCs w:val="24"/>
        </w:rPr>
        <w:t xml:space="preserve"> A </w:t>
      </w:r>
      <w:r w:rsidR="0025665E">
        <w:rPr>
          <w:rFonts w:ascii="Arial" w:hAnsi="Arial" w:cs="Arial"/>
          <w:sz w:val="24"/>
          <w:szCs w:val="24"/>
        </w:rPr>
        <w:t xml:space="preserve">multinomial </w:t>
      </w:r>
      <w:r w:rsidRPr="00021272">
        <w:rPr>
          <w:rFonts w:ascii="Arial" w:hAnsi="Arial" w:cs="Arial"/>
          <w:sz w:val="24"/>
          <w:szCs w:val="24"/>
        </w:rPr>
        <w:t xml:space="preserve">Poisson model conditioned on the number of events and adjusted for the four seasons </w:t>
      </w:r>
      <w:r w:rsidR="00575E16">
        <w:rPr>
          <w:rFonts w:ascii="Arial" w:hAnsi="Arial" w:cs="Arial"/>
          <w:sz w:val="24"/>
          <w:szCs w:val="24"/>
        </w:rPr>
        <w:t xml:space="preserve">as </w:t>
      </w:r>
      <w:r w:rsidR="009A16EB">
        <w:rPr>
          <w:rFonts w:ascii="Arial" w:hAnsi="Arial" w:cs="Arial"/>
          <w:sz w:val="24"/>
          <w:szCs w:val="24"/>
        </w:rPr>
        <w:t>categori</w:t>
      </w:r>
      <w:r w:rsidR="00575E16">
        <w:rPr>
          <w:rFonts w:ascii="Arial" w:hAnsi="Arial" w:cs="Arial"/>
          <w:sz w:val="24"/>
          <w:szCs w:val="24"/>
        </w:rPr>
        <w:t>es defined</w:t>
      </w:r>
      <w:r w:rsidR="009A16EB">
        <w:rPr>
          <w:rFonts w:ascii="Arial" w:hAnsi="Arial" w:cs="Arial"/>
          <w:sz w:val="24"/>
          <w:szCs w:val="24"/>
        </w:rPr>
        <w:t xml:space="preserve"> in line with</w:t>
      </w:r>
      <w:r w:rsidR="009A16EB" w:rsidRPr="00021272">
        <w:rPr>
          <w:rFonts w:ascii="Arial" w:hAnsi="Arial" w:cs="Arial"/>
          <w:sz w:val="24"/>
          <w:szCs w:val="24"/>
        </w:rPr>
        <w:t xml:space="preserve"> </w:t>
      </w:r>
      <w:r w:rsidRPr="00021272">
        <w:rPr>
          <w:rFonts w:ascii="Arial" w:hAnsi="Arial" w:cs="Arial"/>
          <w:sz w:val="24"/>
          <w:szCs w:val="24"/>
        </w:rPr>
        <w:t xml:space="preserve">the </w:t>
      </w:r>
      <w:r w:rsidR="0025665E">
        <w:rPr>
          <w:rFonts w:ascii="Arial" w:hAnsi="Arial" w:cs="Arial"/>
          <w:sz w:val="24"/>
          <w:szCs w:val="24"/>
        </w:rPr>
        <w:t>M</w:t>
      </w:r>
      <w:r w:rsidRPr="00021272">
        <w:rPr>
          <w:rFonts w:ascii="Arial" w:hAnsi="Arial" w:cs="Arial"/>
          <w:sz w:val="24"/>
          <w:szCs w:val="24"/>
        </w:rPr>
        <w:t xml:space="preserve">eteorological </w:t>
      </w:r>
      <w:r w:rsidR="0025665E">
        <w:rPr>
          <w:rFonts w:ascii="Arial" w:hAnsi="Arial" w:cs="Arial"/>
          <w:sz w:val="24"/>
          <w:szCs w:val="24"/>
        </w:rPr>
        <w:t>O</w:t>
      </w:r>
      <w:r w:rsidRPr="00021272">
        <w:rPr>
          <w:rFonts w:ascii="Arial" w:hAnsi="Arial" w:cs="Arial"/>
          <w:sz w:val="24"/>
          <w:szCs w:val="24"/>
        </w:rPr>
        <w:t>ffice</w:t>
      </w:r>
      <w:r w:rsidR="009A16EB">
        <w:rPr>
          <w:rFonts w:ascii="Arial" w:hAnsi="Arial" w:cs="Arial"/>
          <w:sz w:val="24"/>
          <w:szCs w:val="24"/>
        </w:rPr>
        <w:t xml:space="preserve"> description</w:t>
      </w:r>
      <w:r w:rsidR="009A16EB">
        <w:rPr>
          <w:rFonts w:ascii="Arial" w:hAnsi="Arial" w:cs="Arial"/>
          <w:sz w:val="24"/>
          <w:szCs w:val="24"/>
        </w:rPr>
        <w:fldChar w:fldCharType="begin" w:fldLock="1"/>
      </w:r>
      <w:r w:rsidR="00877691">
        <w:rPr>
          <w:rFonts w:ascii="Arial" w:hAnsi="Arial" w:cs="Arial"/>
          <w:sz w:val="24"/>
          <w:szCs w:val="24"/>
        </w:rPr>
        <w:instrText>ADDIN CSL_CITATION {"citationItems":[{"id":"ITEM-1","itemData":{"URL":"https://www.metoffice.gov.uk/weather/learn-about/met-office-for-schools/other-content/other-resources/our-seasons","author":[{"dropping-particle":"","family":"Met Office","given":"","non-dropping-particle":"","parse-names":false,"suffix":""}],"id":"ITEM-1","issued":{"date-parts":[["0"]]},"title":"Our seasons","type":"webpage"},"uris":["http://www.mendeley.com/documents/?uuid=54e73409-a763-48f4-bbaa-35d97f049e73"]}],"mendeley":{"formattedCitation":"(26)","plainTextFormattedCitation":"(26)","previouslyFormattedCitation":"(26)"},"properties":{"noteIndex":0},"schema":"https://github.com/citation-style-language/schema/raw/master/csl-citation.json"}</w:instrText>
      </w:r>
      <w:r w:rsidR="009A16EB">
        <w:rPr>
          <w:rFonts w:ascii="Arial" w:hAnsi="Arial" w:cs="Arial"/>
          <w:sz w:val="24"/>
          <w:szCs w:val="24"/>
          <w:vertAlign w:val="superscript"/>
        </w:rPr>
        <w:fldChar w:fldCharType="separate"/>
      </w:r>
      <w:r w:rsidR="00EB18A3" w:rsidRPr="00EB18A3">
        <w:rPr>
          <w:rFonts w:ascii="Arial" w:hAnsi="Arial" w:cs="Arial"/>
          <w:noProof/>
          <w:sz w:val="24"/>
          <w:szCs w:val="24"/>
        </w:rPr>
        <w:t>(26)</w:t>
      </w:r>
      <w:r w:rsidR="009A16EB">
        <w:rPr>
          <w:rFonts w:ascii="Arial" w:hAnsi="Arial" w:cs="Arial"/>
          <w:sz w:val="24"/>
          <w:szCs w:val="24"/>
        </w:rPr>
        <w:fldChar w:fldCharType="end"/>
      </w:r>
      <w:r w:rsidRPr="00021272">
        <w:rPr>
          <w:rFonts w:ascii="Arial" w:hAnsi="Arial" w:cs="Arial"/>
          <w:sz w:val="24"/>
          <w:szCs w:val="24"/>
        </w:rPr>
        <w:t xml:space="preserve"> was fitted to calculate the adjusted incidence rate ratios (aIRR) and 95% confidence interval (CI) for association between vaccination and </w:t>
      </w:r>
      <w:r w:rsidR="0025665E">
        <w:rPr>
          <w:rFonts w:ascii="Arial" w:hAnsi="Arial" w:cs="Arial"/>
          <w:sz w:val="24"/>
          <w:szCs w:val="24"/>
        </w:rPr>
        <w:t>IBD</w:t>
      </w:r>
      <w:r w:rsidRPr="00021272">
        <w:rPr>
          <w:rFonts w:ascii="Arial" w:hAnsi="Arial" w:cs="Arial"/>
          <w:sz w:val="24"/>
          <w:szCs w:val="24"/>
        </w:rPr>
        <w:t xml:space="preserve"> flares. </w:t>
      </w:r>
      <w:r w:rsidR="0025665E" w:rsidRPr="00F15649">
        <w:rPr>
          <w:rFonts w:ascii="Arial" w:hAnsi="Arial" w:cs="Arial"/>
          <w:sz w:val="24"/>
          <w:szCs w:val="24"/>
          <w:lang w:val="en-US"/>
        </w:rPr>
        <w:t>The analyses were adjusted for season as vaccination against COVID-19 predominantly occurred in the winter and spring months in the UK and there is a seasonal pattern to UC</w:t>
      </w:r>
      <w:r w:rsidR="003F3F75">
        <w:rPr>
          <w:rFonts w:ascii="Arial" w:hAnsi="Arial" w:cs="Arial"/>
          <w:sz w:val="24"/>
          <w:szCs w:val="24"/>
          <w:lang w:val="en-US"/>
        </w:rPr>
        <w:fldChar w:fldCharType="begin" w:fldLock="1"/>
      </w:r>
      <w:r w:rsidR="003F3F75">
        <w:rPr>
          <w:rFonts w:ascii="Arial" w:hAnsi="Arial" w:cs="Arial"/>
          <w:sz w:val="24"/>
          <w:szCs w:val="24"/>
          <w:lang w:val="en-US"/>
        </w:rPr>
        <w:instrText>ADDIN CSL_CITATION {"citationItems":[{"id":"ITEM-1","itemData":{"DOI":"10.1007/s00384-015-2250-6","ISSN":"14321262","PMID":"25976931","abstract":"Background: Previous research has yielded conflicting data as to whether the natural history of inflammatory bowel disease follows a seasonal pattern. The purpose of this study was (1) to determine whether the frequency of onset and relapse of inflammatory bowel disease follows a seasonal pattern and (2) to establish a model to predict the frequency of onset, relapse, and severity of inflammatory bowel disease (IBD) with meteorological data based on artificial neural network (ANN). Method: Patients with diagnosis of ulcerative colitis (UC) or Crohn’s disease (CD) between 2003 and 2011 were investigated according to the occurrence of onset and flares of symptoms. The expected onset or relapse was calculated on a monthly basis over the study period. For artificial neural network (ANN), patients from 2003 to 2010 were assigned as training cohort and patients in 2011 were assigned as validation cohort. Mean square error (MSE) and mean absolute percentage error (MAPE) were used to evaluate the predictive accuracy. Results: We found no seasonal pattern of onset (P = 0.248) and relapse (P = 0.394) among UC patients. But, the onset (P = 0.015) and relapse (P = 0.004) of CD were associated with seasonal pattern, with a peak in July and August. ANN had average accuracy to predict the frequency of onset (MSE = 0.076, MAPE = 37.58 %) and severity of IBD (MSE = 0.065, MAPE = 42.15 %) but high accuracy in predicting the frequency of relapse of IBD (MSE = 0.009, MAPE = 17.1 %). Conclusion: The frequency of onset and relapse in IBD showed seasonality only in CD, with a peak in July and August, but not in UC. ANN may have its value in predicting the frequency of relapse among patients with IBD.","author":[{"dropping-particle":"","family":"Peng","given":"Jiang Chen","non-dropping-particle":"","parse-names":false,"suffix":""},{"dropping-particle":"","family":"Ran","given":"Zhi Hua","non-dropping-particle":"","parse-names":false,"suffix":""},{"dropping-particle":"","family":"Shen","given":"Jun","non-dropping-particle":"","parse-names":false,"suffix":""}],"container-title":"International Journal of Colorectal Disease","id":"ITEM-1","issue":"9","issued":{"date-parts":[["2015"]]},"page":"1267-1273","title":"Seasonal variation in onset and relapse of IBD and a model to predict the frequency of onset, relapse, and severity of IBD based on artificial neural network","type":"article-journal","volume":"30"},"uris":["http://www.mendeley.com/documents/?uuid=7cfde01c-2d8d-452a-ac1d-af6c30f3491e"]},{"id":"ITEM-2","itemData":{"ISSN":"0016-5085","PMID":"14988820","abstract":"BACKGROUND &amp; AIMS: Previous research has yielded conflicting data as to whether the natural history of inflammatory bowel disease follows a seasonal pattern. The purpose of this study was to determine whether relapse of inflammatory bowel disease follows a seasonal pattern either across a cohort of patients or within individual patients. METHODS: We used 1988 to 1997 data from the General Practice Research Database to conduct a retrospective cohort study of 1587 patients with Crohn's disease (mean age at start of follow-up, 41 +/- 17 years) and 2773 patients with ulcerative colitis (mean age at start of follow-up, 48 +/- 16 years). Flares of disease were identified by receipt of a new prescription for either corticosteroids or 5-ASA medications following an interval of at least 4 months without prescriptions for either class of medication. Logistic regression was used to adjust the association of season of the year and flare of disease for potential confounding variables. RESULTS: There was no association between season of the year and flare of Crohn's disease (P = 0.66). Season of the year was only weakly associated with flares of ulcerative colitis (P = 0.02). Compared with winter, spring had very slightly higher rates of flares (OR = 1.13, 95% CI: 1.05-1.23). We did not observe seasonal patterns within individual patients experiencing multiple flares (P &gt; 0.05 for Crohn's disease and ulcerative colitis). CONCLUSIONS: Although we observed a slight increase in exacerbations of ulcerative colitis in the spring, in general, these data do not support an association between season of the year and flares.","author":[{"dropping-particle":"","family":"Lewis","given":"James D","non-dropping-particle":"","parse-names":false,"suffix":""},{"dropping-particle":"","family":"Aberra","given":"Faten N","non-dropping-particle":"","parse-names":false,"suffix":""},{"dropping-particle":"","family":"Lichtenstein","given":"Gary R","non-dropping-particle":"","parse-names":false,"suffix":""},{"dropping-particle":"","family":"Bilker","given":"Warren B","non-dropping-particle":"","parse-names":false,"suffix":""},{"dropping-particle":"","family":"Brensinger","given":"Colleen","non-dropping-particle":"","parse-names":false,"suffix":""},{"dropping-particle":"","family":"Strom","given":"Brian L","non-dropping-particle":"","parse-names":false,"suffix":""}],"container-title":"Gastroenterology","id":"ITEM-2","issue":"3","issued":{"date-parts":[["2004","3"]]},"note":"Journal Article","page":"665-73","title":"Seasonal variation in flares of inflammatory bowel disease.","type":"article-journal","volume":"126"},"uris":["http://www.mendeley.com/documents/?uuid=5c75c885-13b9-4ca3-a1f6-fef0ea9c57d2"]}],"mendeley":{"formattedCitation":"(27,28)","plainTextFormattedCitation":"(27,28)"},"properties":{"noteIndex":0},"schema":"https://github.com/citation-style-language/schema/raw/master/csl-citation.json"}</w:instrText>
      </w:r>
      <w:r w:rsidR="003F3F75">
        <w:rPr>
          <w:rFonts w:ascii="Arial" w:hAnsi="Arial" w:cs="Arial"/>
          <w:sz w:val="24"/>
          <w:szCs w:val="24"/>
          <w:lang w:val="en-US"/>
        </w:rPr>
        <w:fldChar w:fldCharType="separate"/>
      </w:r>
      <w:r w:rsidR="003F3F75" w:rsidRPr="003F3F75">
        <w:rPr>
          <w:rFonts w:ascii="Arial" w:hAnsi="Arial" w:cs="Arial"/>
          <w:noProof/>
          <w:sz w:val="24"/>
          <w:szCs w:val="24"/>
          <w:lang w:val="en-US"/>
        </w:rPr>
        <w:t>(27,28)</w:t>
      </w:r>
      <w:r w:rsidR="003F3F75">
        <w:rPr>
          <w:rFonts w:ascii="Arial" w:hAnsi="Arial" w:cs="Arial"/>
          <w:sz w:val="24"/>
          <w:szCs w:val="24"/>
          <w:lang w:val="en-US"/>
        </w:rPr>
        <w:fldChar w:fldCharType="end"/>
      </w:r>
      <w:r w:rsidR="0025665E" w:rsidRPr="00F15649">
        <w:rPr>
          <w:rFonts w:ascii="Arial" w:hAnsi="Arial" w:cs="Arial"/>
          <w:sz w:val="24"/>
          <w:szCs w:val="24"/>
          <w:lang w:val="en-US"/>
        </w:rPr>
        <w:t xml:space="preserve"> </w:t>
      </w:r>
      <w:r w:rsidR="0025665E">
        <w:rPr>
          <w:rFonts w:ascii="Arial" w:hAnsi="Arial" w:cs="Arial"/>
          <w:sz w:val="24"/>
          <w:szCs w:val="24"/>
        </w:rPr>
        <w:t xml:space="preserve"> The </w:t>
      </w:r>
      <w:r w:rsidRPr="00021272">
        <w:rPr>
          <w:rFonts w:ascii="Arial" w:hAnsi="Arial" w:cs="Arial"/>
          <w:sz w:val="24"/>
          <w:szCs w:val="24"/>
        </w:rPr>
        <w:t>7-day</w:t>
      </w:r>
      <w:r w:rsidR="00A37C78">
        <w:rPr>
          <w:rFonts w:ascii="Arial" w:hAnsi="Arial" w:cs="Arial"/>
          <w:sz w:val="24"/>
          <w:szCs w:val="24"/>
        </w:rPr>
        <w:t>s</w:t>
      </w:r>
      <w:r w:rsidRPr="00021272">
        <w:rPr>
          <w:rFonts w:ascii="Arial" w:hAnsi="Arial" w:cs="Arial"/>
          <w:sz w:val="24"/>
          <w:szCs w:val="24"/>
        </w:rPr>
        <w:t xml:space="preserve"> </w:t>
      </w:r>
      <w:r w:rsidR="00A37C78">
        <w:rPr>
          <w:rFonts w:ascii="Arial" w:hAnsi="Arial" w:cs="Arial"/>
          <w:sz w:val="24"/>
          <w:szCs w:val="24"/>
        </w:rPr>
        <w:t>before</w:t>
      </w:r>
      <w:r w:rsidRPr="00021272">
        <w:rPr>
          <w:rFonts w:ascii="Arial" w:hAnsi="Arial" w:cs="Arial"/>
          <w:sz w:val="24"/>
          <w:szCs w:val="24"/>
        </w:rPr>
        <w:t xml:space="preserve"> </w:t>
      </w:r>
      <w:r w:rsidR="00A37C78">
        <w:rPr>
          <w:rFonts w:ascii="Arial" w:hAnsi="Arial" w:cs="Arial"/>
          <w:sz w:val="24"/>
          <w:szCs w:val="24"/>
        </w:rPr>
        <w:t xml:space="preserve">and </w:t>
      </w:r>
      <w:r w:rsidRPr="00021272">
        <w:rPr>
          <w:rFonts w:ascii="Arial" w:hAnsi="Arial" w:cs="Arial"/>
          <w:sz w:val="24"/>
          <w:szCs w:val="24"/>
        </w:rPr>
        <w:t>21-day</w:t>
      </w:r>
      <w:r w:rsidR="00A37C78">
        <w:rPr>
          <w:rFonts w:ascii="Arial" w:hAnsi="Arial" w:cs="Arial"/>
          <w:sz w:val="24"/>
          <w:szCs w:val="24"/>
        </w:rPr>
        <w:t>s</w:t>
      </w:r>
      <w:r w:rsidRPr="00021272">
        <w:rPr>
          <w:rFonts w:ascii="Arial" w:hAnsi="Arial" w:cs="Arial"/>
          <w:sz w:val="24"/>
          <w:szCs w:val="24"/>
        </w:rPr>
        <w:t xml:space="preserve"> </w:t>
      </w:r>
      <w:r w:rsidR="00A37C78">
        <w:rPr>
          <w:rFonts w:ascii="Arial" w:hAnsi="Arial" w:cs="Arial"/>
          <w:sz w:val="24"/>
          <w:szCs w:val="24"/>
        </w:rPr>
        <w:t>after</w:t>
      </w:r>
      <w:r w:rsidRPr="00021272">
        <w:rPr>
          <w:rFonts w:ascii="Arial" w:hAnsi="Arial" w:cs="Arial"/>
          <w:sz w:val="24"/>
          <w:szCs w:val="24"/>
        </w:rPr>
        <w:t xml:space="preserve"> </w:t>
      </w:r>
      <w:r w:rsidR="0025665E">
        <w:rPr>
          <w:rFonts w:ascii="Arial" w:hAnsi="Arial" w:cs="Arial"/>
          <w:sz w:val="24"/>
          <w:szCs w:val="24"/>
        </w:rPr>
        <w:t>COVID</w:t>
      </w:r>
      <w:r w:rsidRPr="00021272">
        <w:rPr>
          <w:rFonts w:ascii="Arial" w:hAnsi="Arial" w:cs="Arial"/>
          <w:sz w:val="24"/>
          <w:szCs w:val="24"/>
        </w:rPr>
        <w:t xml:space="preserve">-19 vaccination </w:t>
      </w:r>
      <w:r w:rsidR="0025665E">
        <w:rPr>
          <w:rFonts w:ascii="Arial" w:hAnsi="Arial" w:cs="Arial"/>
          <w:sz w:val="24"/>
          <w:szCs w:val="24"/>
        </w:rPr>
        <w:t>were</w:t>
      </w:r>
      <w:r w:rsidR="00A37C78">
        <w:rPr>
          <w:rFonts w:ascii="Arial" w:hAnsi="Arial" w:cs="Arial"/>
          <w:sz w:val="24"/>
          <w:szCs w:val="24"/>
        </w:rPr>
        <w:t xml:space="preserve"> the pre-</w:t>
      </w:r>
      <w:r w:rsidR="0025665E">
        <w:rPr>
          <w:rFonts w:ascii="Arial" w:hAnsi="Arial" w:cs="Arial"/>
          <w:sz w:val="24"/>
          <w:szCs w:val="24"/>
        </w:rPr>
        <w:t>vaccination</w:t>
      </w:r>
      <w:r w:rsidR="00A37C78">
        <w:rPr>
          <w:rFonts w:ascii="Arial" w:hAnsi="Arial" w:cs="Arial"/>
          <w:sz w:val="24"/>
          <w:szCs w:val="24"/>
        </w:rPr>
        <w:t xml:space="preserve"> and </w:t>
      </w:r>
      <w:r w:rsidR="0025665E">
        <w:rPr>
          <w:rFonts w:ascii="Arial" w:hAnsi="Arial" w:cs="Arial"/>
          <w:sz w:val="24"/>
          <w:szCs w:val="24"/>
        </w:rPr>
        <w:t>vaccine-</w:t>
      </w:r>
      <w:r w:rsidR="00A37C78">
        <w:rPr>
          <w:rFonts w:ascii="Arial" w:hAnsi="Arial" w:cs="Arial"/>
          <w:sz w:val="24"/>
          <w:szCs w:val="24"/>
        </w:rPr>
        <w:t>exposed period respectively</w:t>
      </w:r>
      <w:r w:rsidR="0025665E">
        <w:rPr>
          <w:rFonts w:ascii="Arial" w:hAnsi="Arial" w:cs="Arial"/>
          <w:sz w:val="24"/>
          <w:szCs w:val="24"/>
        </w:rPr>
        <w:t>. T</w:t>
      </w:r>
      <w:r w:rsidRPr="00021272">
        <w:rPr>
          <w:rFonts w:ascii="Arial" w:hAnsi="Arial" w:cs="Arial"/>
          <w:sz w:val="24"/>
          <w:szCs w:val="24"/>
        </w:rPr>
        <w:t xml:space="preserve">he </w:t>
      </w:r>
      <w:r w:rsidR="007443DB">
        <w:rPr>
          <w:rFonts w:ascii="Arial" w:hAnsi="Arial" w:cs="Arial"/>
          <w:sz w:val="24"/>
          <w:szCs w:val="24"/>
        </w:rPr>
        <w:t xml:space="preserve">remaining study period was considered as the </w:t>
      </w:r>
      <w:r w:rsidRPr="00021272">
        <w:rPr>
          <w:rFonts w:ascii="Arial" w:hAnsi="Arial" w:cs="Arial"/>
          <w:sz w:val="24"/>
          <w:szCs w:val="24"/>
        </w:rPr>
        <w:t xml:space="preserve">vaccine-unexposed </w:t>
      </w:r>
      <w:r w:rsidR="007443DB">
        <w:rPr>
          <w:rFonts w:ascii="Arial" w:hAnsi="Arial" w:cs="Arial"/>
          <w:sz w:val="24"/>
          <w:szCs w:val="24"/>
        </w:rPr>
        <w:t xml:space="preserve">baseline </w:t>
      </w:r>
      <w:r w:rsidRPr="00021272">
        <w:rPr>
          <w:rFonts w:ascii="Arial" w:hAnsi="Arial" w:cs="Arial"/>
          <w:sz w:val="24"/>
          <w:szCs w:val="24"/>
        </w:rPr>
        <w:t xml:space="preserve">period. </w:t>
      </w:r>
      <w:r w:rsidR="007443DB" w:rsidRPr="007443DB">
        <w:rPr>
          <w:rFonts w:ascii="Arial" w:hAnsi="Arial" w:cs="Arial"/>
          <w:sz w:val="24"/>
          <w:szCs w:val="24"/>
        </w:rPr>
        <w:t xml:space="preserve">A sensitivity analysis to account for bias due to late presentation of IBD flares considered 6-week post-vaccination exposed period. Stratified analysis </w:t>
      </w:r>
      <w:r w:rsidR="007443DB" w:rsidRPr="007443DB">
        <w:rPr>
          <w:rFonts w:ascii="Arial" w:hAnsi="Arial" w:cs="Arial"/>
          <w:sz w:val="24"/>
          <w:szCs w:val="24"/>
        </w:rPr>
        <w:lastRenderedPageBreak/>
        <w:t>considered 1st, 2nd or 3rd vaccine doses; and IBD type in the entire dataset. Stratified analysis according to vaccine type (AZD1222 vs. BNT1262b2) and prior COVID-19 considered the first vaccination against COVID-19.</w:t>
      </w:r>
      <w:r w:rsidR="007443DB">
        <w:rPr>
          <w:b/>
        </w:rPr>
        <w:t xml:space="preserve"> </w:t>
      </w:r>
      <w:r w:rsidRPr="00021272">
        <w:rPr>
          <w:rFonts w:ascii="Arial" w:hAnsi="Arial" w:cs="Arial"/>
          <w:sz w:val="24"/>
          <w:szCs w:val="24"/>
        </w:rPr>
        <w:t>p&lt;0.05 (two sided) were considered as statistically significant. Data analyses were carried out using Stata v.16.</w:t>
      </w:r>
    </w:p>
    <w:p w14:paraId="717A0380" w14:textId="77777777" w:rsidR="00021272" w:rsidRDefault="00021272">
      <w:pPr>
        <w:rPr>
          <w:rFonts w:ascii="Arial" w:hAnsi="Arial" w:cs="Arial"/>
          <w:sz w:val="24"/>
          <w:szCs w:val="24"/>
        </w:rPr>
      </w:pPr>
      <w:r>
        <w:rPr>
          <w:rFonts w:ascii="Arial" w:hAnsi="Arial" w:cs="Arial"/>
          <w:sz w:val="24"/>
          <w:szCs w:val="24"/>
        </w:rPr>
        <w:br w:type="page"/>
      </w:r>
    </w:p>
    <w:p w14:paraId="17C0A250" w14:textId="2AF2E1FA" w:rsidR="00B70C48" w:rsidRPr="00B70C48" w:rsidRDefault="00021272" w:rsidP="00021272">
      <w:pPr>
        <w:rPr>
          <w:rFonts w:ascii="Arial" w:hAnsi="Arial" w:cs="Arial"/>
          <w:b/>
          <w:sz w:val="24"/>
          <w:szCs w:val="24"/>
        </w:rPr>
      </w:pPr>
      <w:r w:rsidRPr="00B70C48">
        <w:rPr>
          <w:rFonts w:ascii="Arial" w:hAnsi="Arial" w:cs="Arial"/>
          <w:b/>
          <w:sz w:val="24"/>
          <w:szCs w:val="24"/>
        </w:rPr>
        <w:lastRenderedPageBreak/>
        <w:t xml:space="preserve">Results </w:t>
      </w:r>
    </w:p>
    <w:p w14:paraId="1FEF7927" w14:textId="58CFA8E6" w:rsidR="00021272" w:rsidRPr="00021272" w:rsidRDefault="00021272" w:rsidP="00B70C48">
      <w:pPr>
        <w:spacing w:line="480" w:lineRule="auto"/>
        <w:rPr>
          <w:rFonts w:ascii="Arial" w:hAnsi="Arial" w:cs="Arial"/>
          <w:sz w:val="24"/>
          <w:szCs w:val="24"/>
        </w:rPr>
      </w:pPr>
      <w:r w:rsidRPr="00021272">
        <w:rPr>
          <w:rFonts w:ascii="Arial" w:hAnsi="Arial" w:cs="Arial"/>
          <w:sz w:val="24"/>
          <w:szCs w:val="24"/>
        </w:rPr>
        <w:t>Data for 1911 IBD cases were included (Figure 2). The majority were female (52%) and their mean (</w:t>
      </w:r>
      <w:r w:rsidR="007443DB">
        <w:rPr>
          <w:rFonts w:ascii="Arial" w:hAnsi="Arial" w:cs="Arial"/>
          <w:sz w:val="24"/>
          <w:szCs w:val="24"/>
        </w:rPr>
        <w:t>standard deviation</w:t>
      </w:r>
      <w:r w:rsidRPr="00021272">
        <w:rPr>
          <w:rFonts w:ascii="Arial" w:hAnsi="Arial" w:cs="Arial"/>
          <w:sz w:val="24"/>
          <w:szCs w:val="24"/>
        </w:rPr>
        <w:t xml:space="preserve">) age was 49 (17) years. 1209 (63%) had </w:t>
      </w:r>
      <w:r w:rsidR="00A37C78">
        <w:rPr>
          <w:rFonts w:ascii="Arial" w:hAnsi="Arial" w:cs="Arial"/>
          <w:sz w:val="24"/>
          <w:szCs w:val="24"/>
        </w:rPr>
        <w:t>UC</w:t>
      </w:r>
      <w:r w:rsidRPr="00021272">
        <w:rPr>
          <w:rFonts w:ascii="Arial" w:hAnsi="Arial" w:cs="Arial"/>
          <w:sz w:val="24"/>
          <w:szCs w:val="24"/>
        </w:rPr>
        <w:t xml:space="preserve">, 604 (32%) had Crohn’s disease, 98 (5%) had IBD without any specific coding for subtype. 754 (40%), 1132 (59%), and 23 (1%) participants received BNT162b2, AZD1222 and mRNA-1273 vaccines respectively as their first </w:t>
      </w:r>
      <w:r w:rsidR="007443DB">
        <w:rPr>
          <w:rFonts w:ascii="Arial" w:hAnsi="Arial" w:cs="Arial"/>
          <w:sz w:val="24"/>
          <w:szCs w:val="24"/>
        </w:rPr>
        <w:t xml:space="preserve">vaccine </w:t>
      </w:r>
      <w:r w:rsidRPr="00021272">
        <w:rPr>
          <w:rFonts w:ascii="Arial" w:hAnsi="Arial" w:cs="Arial"/>
          <w:sz w:val="24"/>
          <w:szCs w:val="24"/>
        </w:rPr>
        <w:t xml:space="preserve">dose. 134 (7%) participants had </w:t>
      </w:r>
      <w:r w:rsidR="0025665E">
        <w:rPr>
          <w:rFonts w:ascii="Arial" w:hAnsi="Arial" w:cs="Arial"/>
          <w:sz w:val="24"/>
          <w:szCs w:val="24"/>
        </w:rPr>
        <w:t>COVID</w:t>
      </w:r>
      <w:r w:rsidRPr="00021272">
        <w:rPr>
          <w:rFonts w:ascii="Arial" w:hAnsi="Arial" w:cs="Arial"/>
          <w:sz w:val="24"/>
          <w:szCs w:val="24"/>
        </w:rPr>
        <w:t xml:space="preserve">-19 prior to their first vaccine dose. 1005 (53%), 809 (42%), and 97 (5%) participants received three, two, and one vaccination against </w:t>
      </w:r>
      <w:r w:rsidR="0025665E">
        <w:rPr>
          <w:rFonts w:ascii="Arial" w:hAnsi="Arial" w:cs="Arial"/>
          <w:sz w:val="24"/>
          <w:szCs w:val="24"/>
        </w:rPr>
        <w:t>COVID</w:t>
      </w:r>
      <w:r w:rsidRPr="00021272">
        <w:rPr>
          <w:rFonts w:ascii="Arial" w:hAnsi="Arial" w:cs="Arial"/>
          <w:sz w:val="24"/>
          <w:szCs w:val="24"/>
        </w:rPr>
        <w:t xml:space="preserve">-19 respectively in the study period. 1754 (91.8%), 137 (7.2%) and 20 (1%) </w:t>
      </w:r>
      <w:r w:rsidR="00493E07">
        <w:rPr>
          <w:rFonts w:ascii="Arial" w:hAnsi="Arial" w:cs="Arial"/>
          <w:sz w:val="24"/>
          <w:szCs w:val="24"/>
        </w:rPr>
        <w:t xml:space="preserve">participants </w:t>
      </w:r>
      <w:r w:rsidRPr="00021272">
        <w:rPr>
          <w:rFonts w:ascii="Arial" w:hAnsi="Arial" w:cs="Arial"/>
          <w:sz w:val="24"/>
          <w:szCs w:val="24"/>
        </w:rPr>
        <w:t>had one, two, and more than two IBD flares</w:t>
      </w:r>
      <w:r w:rsidR="007443DB">
        <w:rPr>
          <w:rFonts w:ascii="Arial" w:hAnsi="Arial" w:cs="Arial"/>
          <w:sz w:val="24"/>
          <w:szCs w:val="24"/>
        </w:rPr>
        <w:t xml:space="preserve"> in the study period</w:t>
      </w:r>
      <w:r w:rsidRPr="00021272">
        <w:rPr>
          <w:rFonts w:ascii="Arial" w:hAnsi="Arial" w:cs="Arial"/>
          <w:sz w:val="24"/>
          <w:szCs w:val="24"/>
        </w:rPr>
        <w:t xml:space="preserve">. 74 participants (3.9%) did not contribute data for the entire follow-up period due to death (n = 16 (0.8%)) or transfer out of </w:t>
      </w:r>
      <w:r w:rsidR="007443DB">
        <w:rPr>
          <w:rFonts w:ascii="Arial" w:hAnsi="Arial" w:cs="Arial"/>
          <w:sz w:val="24"/>
          <w:szCs w:val="24"/>
        </w:rPr>
        <w:t>general</w:t>
      </w:r>
      <w:r w:rsidRPr="00021272">
        <w:rPr>
          <w:rFonts w:ascii="Arial" w:hAnsi="Arial" w:cs="Arial"/>
          <w:sz w:val="24"/>
          <w:szCs w:val="24"/>
        </w:rPr>
        <w:t xml:space="preserve"> practice </w:t>
      </w:r>
      <w:r w:rsidR="007443DB">
        <w:rPr>
          <w:rFonts w:ascii="Arial" w:hAnsi="Arial" w:cs="Arial"/>
          <w:sz w:val="24"/>
          <w:szCs w:val="24"/>
        </w:rPr>
        <w:t xml:space="preserve">surgery </w:t>
      </w:r>
      <w:r w:rsidRPr="00021272">
        <w:rPr>
          <w:rFonts w:ascii="Arial" w:hAnsi="Arial" w:cs="Arial"/>
          <w:sz w:val="24"/>
          <w:szCs w:val="24"/>
        </w:rPr>
        <w:t xml:space="preserve">(n = 58 (3%)). </w:t>
      </w:r>
      <w:r w:rsidR="007443DB" w:rsidRPr="00DE2605">
        <w:rPr>
          <w:rFonts w:ascii="Arial" w:hAnsi="Arial" w:cs="Arial"/>
          <w:sz w:val="24"/>
          <w:szCs w:val="24"/>
        </w:rPr>
        <w:t>101 of the 108 (93.5%) patients that had an IBD flare in the 3-week vaccine-exposed period immediately after their first vaccination against COVID-19, received another dose of a COVID-19 vaccine. Similarly, 1713 of the 1803 (95%) patients that did not have an IBD flare in the 3-week vaccine exposed period after their first vaccination against COVID-19 received another dose of a COVID-19 vaccine.</w:t>
      </w:r>
    </w:p>
    <w:p w14:paraId="68DB4D73" w14:textId="67E315A1" w:rsidR="00DE2605" w:rsidRDefault="00021272" w:rsidP="00B70C48">
      <w:pPr>
        <w:spacing w:line="480" w:lineRule="auto"/>
        <w:rPr>
          <w:rFonts w:ascii="Arial" w:hAnsi="Arial" w:cs="Arial"/>
          <w:sz w:val="24"/>
          <w:szCs w:val="24"/>
        </w:rPr>
      </w:pPr>
      <w:r w:rsidRPr="00021272">
        <w:rPr>
          <w:rFonts w:ascii="Arial" w:hAnsi="Arial" w:cs="Arial"/>
          <w:sz w:val="24"/>
          <w:szCs w:val="24"/>
        </w:rPr>
        <w:t>Vaccination</w:t>
      </w:r>
      <w:r w:rsidR="00493E07">
        <w:rPr>
          <w:rFonts w:ascii="Arial" w:hAnsi="Arial" w:cs="Arial"/>
          <w:sz w:val="24"/>
          <w:szCs w:val="24"/>
        </w:rPr>
        <w:t>s</w:t>
      </w:r>
      <w:r w:rsidRPr="00021272">
        <w:rPr>
          <w:rFonts w:ascii="Arial" w:hAnsi="Arial" w:cs="Arial"/>
          <w:sz w:val="24"/>
          <w:szCs w:val="24"/>
        </w:rPr>
        <w:t xml:space="preserve"> against </w:t>
      </w:r>
      <w:r w:rsidR="0025665E">
        <w:rPr>
          <w:rFonts w:ascii="Arial" w:hAnsi="Arial" w:cs="Arial"/>
          <w:sz w:val="24"/>
          <w:szCs w:val="24"/>
        </w:rPr>
        <w:t>COVID</w:t>
      </w:r>
      <w:r w:rsidRPr="00021272">
        <w:rPr>
          <w:rFonts w:ascii="Arial" w:hAnsi="Arial" w:cs="Arial"/>
          <w:sz w:val="24"/>
          <w:szCs w:val="24"/>
        </w:rPr>
        <w:t xml:space="preserve">-19 were not associated with IBD flares in the </w:t>
      </w:r>
      <w:r w:rsidR="007443DB">
        <w:rPr>
          <w:rFonts w:ascii="Arial" w:hAnsi="Arial" w:cs="Arial"/>
          <w:sz w:val="24"/>
          <w:szCs w:val="24"/>
        </w:rPr>
        <w:t xml:space="preserve">21-day </w:t>
      </w:r>
      <w:r w:rsidRPr="00021272">
        <w:rPr>
          <w:rFonts w:ascii="Arial" w:hAnsi="Arial" w:cs="Arial"/>
          <w:sz w:val="24"/>
          <w:szCs w:val="24"/>
        </w:rPr>
        <w:t xml:space="preserve">vaccine-exposed period when all vaccinations were analyzed together </w:t>
      </w:r>
      <w:r w:rsidR="007443DB">
        <w:rPr>
          <w:rFonts w:ascii="Arial" w:hAnsi="Arial" w:cs="Arial"/>
          <w:sz w:val="24"/>
          <w:szCs w:val="24"/>
        </w:rPr>
        <w:t xml:space="preserve">in a single dataset </w:t>
      </w:r>
      <w:r w:rsidRPr="00021272">
        <w:rPr>
          <w:rFonts w:ascii="Arial" w:hAnsi="Arial" w:cs="Arial"/>
          <w:sz w:val="24"/>
          <w:szCs w:val="24"/>
        </w:rPr>
        <w:t>or separately (Table 1). The aIRR (95%CI) for flare in the vaccin</w:t>
      </w:r>
      <w:r w:rsidR="007443DB">
        <w:rPr>
          <w:rFonts w:ascii="Arial" w:hAnsi="Arial" w:cs="Arial"/>
          <w:sz w:val="24"/>
          <w:szCs w:val="24"/>
        </w:rPr>
        <w:t>e</w:t>
      </w:r>
      <w:r w:rsidRPr="00021272">
        <w:rPr>
          <w:rFonts w:ascii="Arial" w:hAnsi="Arial" w:cs="Arial"/>
          <w:sz w:val="24"/>
          <w:szCs w:val="24"/>
        </w:rPr>
        <w:t>-exposed period in those with ulcerative colitis</w:t>
      </w:r>
      <w:r w:rsidR="007B3DE1">
        <w:rPr>
          <w:rFonts w:ascii="Arial" w:hAnsi="Arial" w:cs="Arial"/>
          <w:sz w:val="24"/>
          <w:szCs w:val="24"/>
        </w:rPr>
        <w:t xml:space="preserve"> </w:t>
      </w:r>
      <w:r w:rsidR="007443DB">
        <w:rPr>
          <w:rFonts w:ascii="Arial" w:hAnsi="Arial" w:cs="Arial"/>
          <w:sz w:val="24"/>
          <w:szCs w:val="24"/>
        </w:rPr>
        <w:t xml:space="preserve">(UC) </w:t>
      </w:r>
      <w:r w:rsidRPr="00021272">
        <w:rPr>
          <w:rFonts w:ascii="Arial" w:hAnsi="Arial" w:cs="Arial"/>
          <w:sz w:val="24"/>
          <w:szCs w:val="24"/>
        </w:rPr>
        <w:t xml:space="preserve">was </w:t>
      </w:r>
      <w:r w:rsidR="00C74F2F">
        <w:rPr>
          <w:rFonts w:ascii="Arial" w:hAnsi="Arial" w:cs="Arial"/>
          <w:sz w:val="24"/>
          <w:szCs w:val="24"/>
        </w:rPr>
        <w:t xml:space="preserve">significantly reduced </w:t>
      </w:r>
      <w:r w:rsidR="007B3DE1">
        <w:rPr>
          <w:rFonts w:ascii="Arial" w:hAnsi="Arial" w:cs="Arial"/>
          <w:sz w:val="24"/>
          <w:szCs w:val="24"/>
        </w:rPr>
        <w:t xml:space="preserve">at </w:t>
      </w:r>
      <w:r w:rsidRPr="00021272">
        <w:rPr>
          <w:rFonts w:ascii="Arial" w:hAnsi="Arial" w:cs="Arial"/>
          <w:sz w:val="24"/>
          <w:szCs w:val="24"/>
        </w:rPr>
        <w:t>0.79 (0.66-0.95),</w:t>
      </w:r>
      <w:r w:rsidR="007B3DE1">
        <w:rPr>
          <w:rFonts w:ascii="Arial" w:hAnsi="Arial" w:cs="Arial"/>
          <w:sz w:val="24"/>
          <w:szCs w:val="24"/>
        </w:rPr>
        <w:t xml:space="preserve"> whereas in Crohn’s disease it was unaltered</w:t>
      </w:r>
      <w:r w:rsidRPr="00021272">
        <w:rPr>
          <w:rFonts w:ascii="Arial" w:hAnsi="Arial" w:cs="Arial"/>
          <w:sz w:val="24"/>
          <w:szCs w:val="24"/>
        </w:rPr>
        <w:t xml:space="preserve"> </w:t>
      </w:r>
      <w:r w:rsidR="007B3DE1">
        <w:rPr>
          <w:rFonts w:ascii="Arial" w:hAnsi="Arial" w:cs="Arial"/>
          <w:sz w:val="24"/>
          <w:szCs w:val="24"/>
        </w:rPr>
        <w:t xml:space="preserve">(aIRR </w:t>
      </w:r>
      <w:r w:rsidRPr="00021272">
        <w:rPr>
          <w:rFonts w:ascii="Arial" w:hAnsi="Arial" w:cs="Arial"/>
          <w:sz w:val="24"/>
          <w:szCs w:val="24"/>
        </w:rPr>
        <w:t>1.00 (0.79-1.27)</w:t>
      </w:r>
      <w:r w:rsidR="007B3DE1">
        <w:rPr>
          <w:rFonts w:ascii="Arial" w:hAnsi="Arial" w:cs="Arial"/>
          <w:sz w:val="24"/>
          <w:szCs w:val="24"/>
        </w:rPr>
        <w:t>)</w:t>
      </w:r>
      <w:r w:rsidRPr="00021272">
        <w:rPr>
          <w:rFonts w:ascii="Arial" w:hAnsi="Arial" w:cs="Arial"/>
          <w:sz w:val="24"/>
          <w:szCs w:val="24"/>
        </w:rPr>
        <w:t xml:space="preserve"> (Table 2). Data for 98 patients that could only be classified as IBD were excluded from this analysis. </w:t>
      </w:r>
    </w:p>
    <w:p w14:paraId="4037331B" w14:textId="77777777" w:rsidR="00DE2605" w:rsidRPr="00F71331" w:rsidRDefault="00DE2605" w:rsidP="00F71331">
      <w:pPr>
        <w:spacing w:line="480" w:lineRule="auto"/>
        <w:rPr>
          <w:rFonts w:ascii="Arial" w:hAnsi="Arial" w:cs="Arial"/>
          <w:sz w:val="24"/>
          <w:szCs w:val="24"/>
        </w:rPr>
      </w:pPr>
      <w:r w:rsidRPr="00F71331">
        <w:rPr>
          <w:rFonts w:ascii="Arial" w:hAnsi="Arial" w:cs="Arial"/>
          <w:sz w:val="24"/>
          <w:szCs w:val="24"/>
        </w:rPr>
        <w:lastRenderedPageBreak/>
        <w:t xml:space="preserve">On sensitivity analysis that extended the vaccine-exposed period to 6-weeks immediately after vaccination, there was no association between vaccination against COVID-19 and IBD flare, or Crohn’s disease flare with aIRR (95% CI) </w:t>
      </w:r>
      <w:r w:rsidRPr="00F71331">
        <w:rPr>
          <w:rFonts w:ascii="Arial" w:hAnsi="Arial" w:cs="Arial"/>
          <w:bCs/>
          <w:sz w:val="24"/>
          <w:szCs w:val="24"/>
        </w:rPr>
        <w:t>0.89 (0.79-1.00) and 1.02 (0.83-1.26)</w:t>
      </w:r>
      <w:r w:rsidRPr="00F71331">
        <w:rPr>
          <w:rFonts w:ascii="Arial" w:hAnsi="Arial" w:cs="Arial"/>
          <w:sz w:val="24"/>
          <w:szCs w:val="24"/>
        </w:rPr>
        <w:t xml:space="preserve"> respectively, and </w:t>
      </w:r>
      <w:r w:rsidRPr="00F71331">
        <w:rPr>
          <w:rFonts w:ascii="Arial" w:hAnsi="Arial" w:cs="Arial"/>
          <w:bCs/>
          <w:sz w:val="24"/>
          <w:szCs w:val="24"/>
        </w:rPr>
        <w:t>a negative association with UC flare with aIRR (95% CI) 0.81(0.69-0.94))</w:t>
      </w:r>
      <w:r w:rsidRPr="00F71331">
        <w:rPr>
          <w:rFonts w:ascii="Arial" w:hAnsi="Arial" w:cs="Arial"/>
          <w:sz w:val="24"/>
          <w:szCs w:val="24"/>
        </w:rPr>
        <w:t>.</w:t>
      </w:r>
    </w:p>
    <w:p w14:paraId="42CD4612" w14:textId="75C470C0" w:rsidR="00A879C1" w:rsidRDefault="00021272" w:rsidP="00B70C48">
      <w:pPr>
        <w:spacing w:line="480" w:lineRule="auto"/>
        <w:rPr>
          <w:rFonts w:ascii="Arial" w:hAnsi="Arial" w:cs="Arial"/>
          <w:sz w:val="24"/>
          <w:szCs w:val="24"/>
        </w:rPr>
        <w:sectPr w:rsidR="00A879C1" w:rsidSect="00EB18A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lnNumType w:countBy="1"/>
          <w:cols w:space="708"/>
          <w:docGrid w:linePitch="360"/>
        </w:sectPr>
      </w:pPr>
      <w:r w:rsidRPr="00021272">
        <w:rPr>
          <w:rFonts w:ascii="Arial" w:hAnsi="Arial" w:cs="Arial"/>
          <w:sz w:val="24"/>
          <w:szCs w:val="24"/>
        </w:rPr>
        <w:t xml:space="preserve">After the first </w:t>
      </w:r>
      <w:r w:rsidR="0025665E">
        <w:rPr>
          <w:rFonts w:ascii="Arial" w:hAnsi="Arial" w:cs="Arial"/>
          <w:sz w:val="24"/>
          <w:szCs w:val="24"/>
        </w:rPr>
        <w:t>COVID</w:t>
      </w:r>
      <w:r w:rsidRPr="00021272">
        <w:rPr>
          <w:rFonts w:ascii="Arial" w:hAnsi="Arial" w:cs="Arial"/>
          <w:sz w:val="24"/>
          <w:szCs w:val="24"/>
        </w:rPr>
        <w:t xml:space="preserve">-19 vaccination, the adjusted rate ratios for IBD flare in the vaccination-exposed periods were comparable in those vaccinated with mRNA-BNT162b2 and vectored DNA vaccines with aIRR (95%CI) 0.81 (0.59-1.10) and 0.83 (0.64-1.08) (Table 2). </w:t>
      </w:r>
      <w:r w:rsidR="00102A53">
        <w:rPr>
          <w:rFonts w:ascii="Arial" w:hAnsi="Arial" w:cs="Arial"/>
          <w:sz w:val="24"/>
          <w:szCs w:val="24"/>
        </w:rPr>
        <w:t>In p</w:t>
      </w:r>
      <w:r w:rsidRPr="00021272">
        <w:rPr>
          <w:rFonts w:ascii="Arial" w:hAnsi="Arial" w:cs="Arial"/>
          <w:sz w:val="24"/>
          <w:szCs w:val="24"/>
        </w:rPr>
        <w:t xml:space="preserve">atients with previous </w:t>
      </w:r>
      <w:r w:rsidR="0025665E">
        <w:rPr>
          <w:rFonts w:ascii="Arial" w:hAnsi="Arial" w:cs="Arial"/>
          <w:sz w:val="24"/>
          <w:szCs w:val="24"/>
        </w:rPr>
        <w:t>COVID</w:t>
      </w:r>
      <w:r w:rsidRPr="00021272">
        <w:rPr>
          <w:rFonts w:ascii="Arial" w:hAnsi="Arial" w:cs="Arial"/>
          <w:sz w:val="24"/>
          <w:szCs w:val="24"/>
        </w:rPr>
        <w:t>-19</w:t>
      </w:r>
      <w:r w:rsidR="00102A53">
        <w:rPr>
          <w:rFonts w:ascii="Arial" w:hAnsi="Arial" w:cs="Arial"/>
          <w:sz w:val="24"/>
          <w:szCs w:val="24"/>
        </w:rPr>
        <w:t xml:space="preserve">, the first dose of </w:t>
      </w:r>
      <w:r w:rsidR="0025665E">
        <w:rPr>
          <w:rFonts w:ascii="Arial" w:hAnsi="Arial" w:cs="Arial"/>
          <w:sz w:val="24"/>
          <w:szCs w:val="24"/>
        </w:rPr>
        <w:t>COVID</w:t>
      </w:r>
      <w:r w:rsidR="00102A53">
        <w:rPr>
          <w:rFonts w:ascii="Arial" w:hAnsi="Arial" w:cs="Arial"/>
          <w:sz w:val="24"/>
          <w:szCs w:val="24"/>
        </w:rPr>
        <w:t>-19 vaccine</w:t>
      </w:r>
      <w:r w:rsidRPr="00021272">
        <w:rPr>
          <w:rFonts w:ascii="Arial" w:hAnsi="Arial" w:cs="Arial"/>
          <w:sz w:val="24"/>
          <w:szCs w:val="24"/>
        </w:rPr>
        <w:t xml:space="preserve"> </w:t>
      </w:r>
      <w:r w:rsidR="00102A53">
        <w:rPr>
          <w:rFonts w:ascii="Arial" w:hAnsi="Arial" w:cs="Arial"/>
          <w:sz w:val="24"/>
          <w:szCs w:val="24"/>
        </w:rPr>
        <w:t>was</w:t>
      </w:r>
      <w:r w:rsidRPr="00021272">
        <w:rPr>
          <w:rFonts w:ascii="Arial" w:hAnsi="Arial" w:cs="Arial"/>
          <w:sz w:val="24"/>
          <w:szCs w:val="24"/>
        </w:rPr>
        <w:t xml:space="preserve"> </w:t>
      </w:r>
      <w:r w:rsidR="00102A53">
        <w:rPr>
          <w:rFonts w:ascii="Arial" w:hAnsi="Arial" w:cs="Arial"/>
          <w:sz w:val="24"/>
          <w:szCs w:val="24"/>
        </w:rPr>
        <w:t>associated with a lower risk of</w:t>
      </w:r>
      <w:r w:rsidRPr="00021272">
        <w:rPr>
          <w:rFonts w:ascii="Arial" w:hAnsi="Arial" w:cs="Arial"/>
          <w:sz w:val="24"/>
          <w:szCs w:val="24"/>
        </w:rPr>
        <w:t xml:space="preserve"> IBD flare </w:t>
      </w:r>
      <w:r w:rsidR="00102A53">
        <w:rPr>
          <w:rFonts w:ascii="Arial" w:hAnsi="Arial" w:cs="Arial"/>
          <w:sz w:val="24"/>
          <w:szCs w:val="24"/>
        </w:rPr>
        <w:t xml:space="preserve">within </w:t>
      </w:r>
      <w:r w:rsidRPr="00021272">
        <w:rPr>
          <w:rFonts w:ascii="Arial" w:hAnsi="Arial" w:cs="Arial"/>
          <w:sz w:val="24"/>
          <w:szCs w:val="24"/>
        </w:rPr>
        <w:t>21-days with aIRR (95%CI) 0.58 (0.35-0.95).</w:t>
      </w:r>
      <w:bookmarkStart w:id="0" w:name="_GoBack"/>
      <w:bookmarkEnd w:id="0"/>
    </w:p>
    <w:p w14:paraId="1C181582" w14:textId="4F4C9EAC" w:rsidR="00A879C1" w:rsidRPr="0001788E" w:rsidRDefault="00A879C1" w:rsidP="00A879C1">
      <w:pPr>
        <w:tabs>
          <w:tab w:val="left" w:pos="944"/>
        </w:tabs>
        <w:rPr>
          <w:rFonts w:ascii="Arial" w:hAnsi="Arial" w:cs="Arial"/>
        </w:rPr>
      </w:pPr>
      <w:r w:rsidRPr="0001788E">
        <w:rPr>
          <w:rFonts w:ascii="Arial" w:hAnsi="Arial" w:cs="Arial"/>
        </w:rPr>
        <w:lastRenderedPageBreak/>
        <w:t xml:space="preserve">Table 1: The association between </w:t>
      </w:r>
      <w:r w:rsidR="0025665E">
        <w:rPr>
          <w:rFonts w:ascii="Arial" w:hAnsi="Arial" w:cs="Arial"/>
        </w:rPr>
        <w:t>COVID</w:t>
      </w:r>
      <w:r w:rsidRPr="0001788E">
        <w:rPr>
          <w:rFonts w:ascii="Arial" w:hAnsi="Arial" w:cs="Arial"/>
        </w:rPr>
        <w:t xml:space="preserve">-19 vaccination and </w:t>
      </w:r>
      <w:r w:rsidR="00DE2605">
        <w:rPr>
          <w:rFonts w:ascii="Arial" w:hAnsi="Arial" w:cs="Arial"/>
        </w:rPr>
        <w:t>inflammatory bowel disease (</w:t>
      </w:r>
      <w:r w:rsidRPr="0001788E">
        <w:rPr>
          <w:rFonts w:ascii="Arial" w:hAnsi="Arial" w:cs="Arial"/>
        </w:rPr>
        <w:t>IBD</w:t>
      </w:r>
      <w:r w:rsidR="00DE2605">
        <w:rPr>
          <w:rFonts w:ascii="Arial" w:hAnsi="Arial" w:cs="Arial"/>
        </w:rPr>
        <w:t>)</w:t>
      </w:r>
      <w:r w:rsidRPr="0001788E">
        <w:rPr>
          <w:rFonts w:ascii="Arial" w:hAnsi="Arial" w:cs="Arial"/>
        </w:rPr>
        <w:t xml:space="preserve"> flare </w:t>
      </w:r>
    </w:p>
    <w:tbl>
      <w:tblPr>
        <w:tblStyle w:val="TableGrid"/>
        <w:tblW w:w="5434" w:type="pct"/>
        <w:tblInd w:w="-851" w:type="dxa"/>
        <w:tblLook w:val="04A0" w:firstRow="1" w:lastRow="0" w:firstColumn="1" w:lastColumn="0" w:noHBand="0" w:noVBand="1"/>
      </w:tblPr>
      <w:tblGrid>
        <w:gridCol w:w="1807"/>
        <w:gridCol w:w="3896"/>
        <w:gridCol w:w="1322"/>
        <w:gridCol w:w="2007"/>
        <w:gridCol w:w="2407"/>
        <w:gridCol w:w="2407"/>
        <w:gridCol w:w="1313"/>
      </w:tblGrid>
      <w:tr w:rsidR="00A879C1" w:rsidRPr="0001788E" w14:paraId="497732E3" w14:textId="77777777" w:rsidTr="00A879C1">
        <w:tc>
          <w:tcPr>
            <w:tcW w:w="596" w:type="pct"/>
          </w:tcPr>
          <w:p w14:paraId="62FDDB77" w14:textId="497017DB" w:rsidR="00A879C1" w:rsidRPr="0001788E" w:rsidRDefault="0025665E" w:rsidP="00A879C1">
            <w:pPr>
              <w:rPr>
                <w:rFonts w:ascii="Arial" w:hAnsi="Arial" w:cs="Arial"/>
                <w:bCs/>
                <w:szCs w:val="20"/>
              </w:rPr>
            </w:pPr>
            <w:r>
              <w:rPr>
                <w:rFonts w:ascii="Arial" w:hAnsi="Arial" w:cs="Arial"/>
                <w:bCs/>
                <w:szCs w:val="20"/>
              </w:rPr>
              <w:t>COVID</w:t>
            </w:r>
            <w:r w:rsidR="00A879C1" w:rsidRPr="0001788E">
              <w:rPr>
                <w:rFonts w:ascii="Arial" w:hAnsi="Arial" w:cs="Arial"/>
                <w:bCs/>
                <w:szCs w:val="20"/>
              </w:rPr>
              <w:t>-19 vaccination</w:t>
            </w:r>
          </w:p>
        </w:tc>
        <w:tc>
          <w:tcPr>
            <w:tcW w:w="1285" w:type="pct"/>
          </w:tcPr>
          <w:p w14:paraId="3FD949C2" w14:textId="6C50118F" w:rsidR="00A879C1" w:rsidRPr="0001788E" w:rsidRDefault="00A879C1" w:rsidP="00A879C1">
            <w:pPr>
              <w:rPr>
                <w:rFonts w:ascii="Arial" w:hAnsi="Arial" w:cs="Arial"/>
                <w:bCs/>
                <w:szCs w:val="20"/>
              </w:rPr>
            </w:pPr>
            <w:r w:rsidRPr="0001788E">
              <w:rPr>
                <w:rFonts w:ascii="Arial" w:hAnsi="Arial" w:cs="Arial"/>
                <w:bCs/>
                <w:szCs w:val="20"/>
              </w:rPr>
              <w:t>Risk period</w:t>
            </w:r>
          </w:p>
        </w:tc>
        <w:tc>
          <w:tcPr>
            <w:tcW w:w="436" w:type="pct"/>
          </w:tcPr>
          <w:p w14:paraId="0DEF760A" w14:textId="77777777" w:rsidR="00A879C1" w:rsidRPr="0001788E" w:rsidRDefault="00A879C1" w:rsidP="00A879C1">
            <w:pPr>
              <w:jc w:val="center"/>
              <w:rPr>
                <w:rFonts w:ascii="Arial" w:hAnsi="Arial" w:cs="Arial"/>
                <w:bCs/>
                <w:szCs w:val="20"/>
              </w:rPr>
            </w:pPr>
            <w:r w:rsidRPr="0001788E">
              <w:rPr>
                <w:rFonts w:ascii="Arial" w:hAnsi="Arial" w:cs="Arial"/>
                <w:bCs/>
                <w:szCs w:val="20"/>
              </w:rPr>
              <w:t>Events</w:t>
            </w:r>
          </w:p>
          <w:p w14:paraId="369019F3" w14:textId="77777777" w:rsidR="00A879C1" w:rsidRPr="0001788E" w:rsidRDefault="00A879C1" w:rsidP="00A879C1">
            <w:pPr>
              <w:jc w:val="center"/>
              <w:rPr>
                <w:rFonts w:ascii="Arial" w:hAnsi="Arial" w:cs="Arial"/>
                <w:bCs/>
                <w:szCs w:val="20"/>
              </w:rPr>
            </w:pPr>
            <w:r w:rsidRPr="0001788E">
              <w:rPr>
                <w:rFonts w:ascii="Arial" w:hAnsi="Arial" w:cs="Arial"/>
                <w:bCs/>
                <w:szCs w:val="20"/>
              </w:rPr>
              <w:t>(n)</w:t>
            </w:r>
          </w:p>
        </w:tc>
        <w:tc>
          <w:tcPr>
            <w:tcW w:w="662" w:type="pct"/>
          </w:tcPr>
          <w:p w14:paraId="51406195" w14:textId="77777777" w:rsidR="00A879C1" w:rsidRPr="0001788E" w:rsidRDefault="00A879C1" w:rsidP="00A879C1">
            <w:pPr>
              <w:jc w:val="center"/>
              <w:rPr>
                <w:rFonts w:ascii="Arial" w:hAnsi="Arial" w:cs="Arial"/>
                <w:bCs/>
                <w:szCs w:val="20"/>
              </w:rPr>
            </w:pPr>
            <w:r w:rsidRPr="0001788E">
              <w:rPr>
                <w:rFonts w:ascii="Arial" w:hAnsi="Arial" w:cs="Arial"/>
                <w:bCs/>
                <w:szCs w:val="20"/>
              </w:rPr>
              <w:t>Person-time (days)</w:t>
            </w:r>
          </w:p>
        </w:tc>
        <w:tc>
          <w:tcPr>
            <w:tcW w:w="794" w:type="pct"/>
          </w:tcPr>
          <w:p w14:paraId="2DEC76F5" w14:textId="77777777" w:rsidR="00A879C1" w:rsidRPr="0001788E" w:rsidRDefault="00A879C1" w:rsidP="00A879C1">
            <w:pPr>
              <w:jc w:val="center"/>
              <w:rPr>
                <w:rFonts w:ascii="Arial" w:hAnsi="Arial" w:cs="Arial"/>
                <w:bCs/>
                <w:szCs w:val="20"/>
              </w:rPr>
            </w:pPr>
            <w:r w:rsidRPr="0001788E">
              <w:rPr>
                <w:rFonts w:ascii="Arial" w:hAnsi="Arial" w:cs="Arial"/>
                <w:bCs/>
                <w:szCs w:val="20"/>
              </w:rPr>
              <w:t>Incidence Rate Ratio (95%CI)</w:t>
            </w:r>
          </w:p>
        </w:tc>
        <w:tc>
          <w:tcPr>
            <w:tcW w:w="794" w:type="pct"/>
          </w:tcPr>
          <w:p w14:paraId="639C6912" w14:textId="77777777" w:rsidR="00A879C1" w:rsidRPr="0001788E" w:rsidRDefault="00A879C1" w:rsidP="00A879C1">
            <w:pPr>
              <w:jc w:val="center"/>
              <w:rPr>
                <w:rFonts w:ascii="Arial" w:hAnsi="Arial" w:cs="Arial"/>
                <w:bCs/>
                <w:szCs w:val="20"/>
              </w:rPr>
            </w:pPr>
            <w:r w:rsidRPr="0001788E">
              <w:rPr>
                <w:rFonts w:ascii="Arial" w:hAnsi="Arial" w:cs="Arial"/>
                <w:bCs/>
                <w:szCs w:val="20"/>
              </w:rPr>
              <w:t>Adjusted IRR (95%CI) *</w:t>
            </w:r>
          </w:p>
        </w:tc>
        <w:tc>
          <w:tcPr>
            <w:tcW w:w="433" w:type="pct"/>
          </w:tcPr>
          <w:p w14:paraId="0277D01A" w14:textId="77777777" w:rsidR="00A879C1" w:rsidRPr="0001788E" w:rsidRDefault="00A879C1" w:rsidP="00A879C1">
            <w:pPr>
              <w:jc w:val="center"/>
              <w:rPr>
                <w:rFonts w:ascii="Arial" w:hAnsi="Arial" w:cs="Arial"/>
                <w:bCs/>
                <w:szCs w:val="20"/>
              </w:rPr>
            </w:pPr>
            <w:r w:rsidRPr="0001788E">
              <w:rPr>
                <w:rFonts w:ascii="Arial" w:hAnsi="Arial" w:cs="Arial"/>
                <w:bCs/>
                <w:szCs w:val="20"/>
              </w:rPr>
              <w:t>p-value</w:t>
            </w:r>
          </w:p>
        </w:tc>
      </w:tr>
      <w:tr w:rsidR="00A879C1" w:rsidRPr="0001788E" w14:paraId="0BBB8DA8" w14:textId="77777777" w:rsidTr="00A879C1">
        <w:tc>
          <w:tcPr>
            <w:tcW w:w="596" w:type="pct"/>
            <w:vMerge w:val="restart"/>
          </w:tcPr>
          <w:p w14:paraId="7CE80634" w14:textId="77777777" w:rsidR="00A879C1" w:rsidRPr="0001788E" w:rsidRDefault="00A879C1" w:rsidP="00A879C1">
            <w:pPr>
              <w:rPr>
                <w:rFonts w:ascii="Arial" w:hAnsi="Arial" w:cs="Arial"/>
                <w:szCs w:val="20"/>
              </w:rPr>
            </w:pPr>
            <w:r w:rsidRPr="0001788E">
              <w:rPr>
                <w:rFonts w:ascii="Arial" w:hAnsi="Arial" w:cs="Arial"/>
                <w:szCs w:val="20"/>
              </w:rPr>
              <w:t>All 3 doses</w:t>
            </w:r>
          </w:p>
        </w:tc>
        <w:tc>
          <w:tcPr>
            <w:tcW w:w="1285" w:type="pct"/>
          </w:tcPr>
          <w:p w14:paraId="6C4304A1" w14:textId="56BE9575" w:rsidR="00A879C1" w:rsidRPr="0001788E" w:rsidRDefault="00DE2605" w:rsidP="00A879C1">
            <w:pPr>
              <w:rPr>
                <w:rFonts w:ascii="Arial" w:hAnsi="Arial" w:cs="Arial"/>
                <w:szCs w:val="20"/>
              </w:rPr>
            </w:pPr>
            <w:r>
              <w:rPr>
                <w:rFonts w:ascii="Arial"/>
                <w:spacing w:val="-2"/>
              </w:rPr>
              <w:t>Vaccine unexposed b</w:t>
            </w:r>
            <w:r w:rsidR="00A879C1" w:rsidRPr="0001788E">
              <w:rPr>
                <w:rFonts w:ascii="Arial" w:hAnsi="Arial" w:cs="Arial"/>
                <w:szCs w:val="20"/>
              </w:rPr>
              <w:t>aseline</w:t>
            </w:r>
          </w:p>
        </w:tc>
        <w:tc>
          <w:tcPr>
            <w:tcW w:w="436" w:type="pct"/>
          </w:tcPr>
          <w:p w14:paraId="62158B8C" w14:textId="77777777" w:rsidR="00A879C1" w:rsidRPr="0001788E" w:rsidRDefault="00A879C1" w:rsidP="00A879C1">
            <w:pPr>
              <w:jc w:val="center"/>
              <w:rPr>
                <w:rFonts w:ascii="Arial" w:hAnsi="Arial" w:cs="Arial"/>
                <w:szCs w:val="20"/>
              </w:rPr>
            </w:pPr>
            <w:r w:rsidRPr="0001788E">
              <w:rPr>
                <w:rFonts w:ascii="Arial" w:hAnsi="Arial" w:cs="Arial"/>
                <w:szCs w:val="20"/>
              </w:rPr>
              <w:t>1701</w:t>
            </w:r>
          </w:p>
        </w:tc>
        <w:tc>
          <w:tcPr>
            <w:tcW w:w="662" w:type="pct"/>
          </w:tcPr>
          <w:p w14:paraId="6F976BD3" w14:textId="77777777" w:rsidR="00A879C1" w:rsidRPr="0001788E" w:rsidRDefault="00A879C1" w:rsidP="00A879C1">
            <w:pPr>
              <w:jc w:val="center"/>
              <w:rPr>
                <w:rFonts w:ascii="Arial" w:hAnsi="Arial" w:cs="Arial"/>
                <w:szCs w:val="20"/>
              </w:rPr>
            </w:pPr>
            <w:r w:rsidRPr="0001788E">
              <w:rPr>
                <w:rFonts w:ascii="Arial" w:hAnsi="Arial" w:cs="Arial"/>
                <w:szCs w:val="20"/>
              </w:rPr>
              <w:t>621626</w:t>
            </w:r>
          </w:p>
        </w:tc>
        <w:tc>
          <w:tcPr>
            <w:tcW w:w="794" w:type="pct"/>
            <w:vAlign w:val="center"/>
          </w:tcPr>
          <w:p w14:paraId="1F10620F" w14:textId="77777777" w:rsidR="00A879C1" w:rsidRPr="0001788E" w:rsidRDefault="00A879C1" w:rsidP="00A879C1">
            <w:pPr>
              <w:jc w:val="center"/>
              <w:rPr>
                <w:rFonts w:ascii="Arial" w:hAnsi="Arial" w:cs="Arial"/>
                <w:szCs w:val="20"/>
              </w:rPr>
            </w:pPr>
            <w:r w:rsidRPr="0001788E">
              <w:rPr>
                <w:rFonts w:ascii="Arial" w:hAnsi="Arial" w:cs="Arial"/>
                <w:szCs w:val="20"/>
              </w:rPr>
              <w:t>1</w:t>
            </w:r>
          </w:p>
        </w:tc>
        <w:tc>
          <w:tcPr>
            <w:tcW w:w="794" w:type="pct"/>
            <w:vAlign w:val="center"/>
          </w:tcPr>
          <w:p w14:paraId="528E9C36" w14:textId="77777777" w:rsidR="00A879C1" w:rsidRPr="0001788E" w:rsidRDefault="00A879C1" w:rsidP="00A879C1">
            <w:pPr>
              <w:jc w:val="center"/>
              <w:rPr>
                <w:rFonts w:ascii="Arial" w:hAnsi="Arial" w:cs="Arial"/>
                <w:szCs w:val="20"/>
              </w:rPr>
            </w:pPr>
            <w:r w:rsidRPr="0001788E">
              <w:rPr>
                <w:rFonts w:ascii="Arial" w:hAnsi="Arial" w:cs="Arial"/>
                <w:szCs w:val="20"/>
              </w:rPr>
              <w:t>1</w:t>
            </w:r>
          </w:p>
        </w:tc>
        <w:tc>
          <w:tcPr>
            <w:tcW w:w="433" w:type="pct"/>
            <w:vAlign w:val="center"/>
          </w:tcPr>
          <w:p w14:paraId="440B9763" w14:textId="77777777" w:rsidR="00A879C1" w:rsidRPr="0001788E" w:rsidRDefault="00A879C1" w:rsidP="00A879C1">
            <w:pPr>
              <w:jc w:val="center"/>
              <w:rPr>
                <w:rFonts w:ascii="Arial" w:hAnsi="Arial" w:cs="Arial"/>
                <w:szCs w:val="20"/>
              </w:rPr>
            </w:pPr>
            <w:r w:rsidRPr="0001788E">
              <w:rPr>
                <w:rFonts w:ascii="Arial" w:hAnsi="Arial" w:cs="Arial"/>
                <w:szCs w:val="20"/>
              </w:rPr>
              <w:t>-/-</w:t>
            </w:r>
          </w:p>
        </w:tc>
      </w:tr>
      <w:tr w:rsidR="00A879C1" w:rsidRPr="0001788E" w14:paraId="6AC4AB08" w14:textId="77777777" w:rsidTr="00A879C1">
        <w:tc>
          <w:tcPr>
            <w:tcW w:w="596" w:type="pct"/>
            <w:vMerge/>
            <w:vAlign w:val="center"/>
          </w:tcPr>
          <w:p w14:paraId="35360D98" w14:textId="77777777" w:rsidR="00A879C1" w:rsidRPr="0001788E" w:rsidRDefault="00A879C1" w:rsidP="00A879C1">
            <w:pPr>
              <w:rPr>
                <w:rFonts w:ascii="Arial" w:hAnsi="Arial" w:cs="Arial"/>
                <w:szCs w:val="20"/>
              </w:rPr>
            </w:pPr>
          </w:p>
        </w:tc>
        <w:tc>
          <w:tcPr>
            <w:tcW w:w="1285" w:type="pct"/>
          </w:tcPr>
          <w:p w14:paraId="75B45675" w14:textId="723C99AC" w:rsidR="00A879C1" w:rsidRPr="0001788E" w:rsidRDefault="00DE2605" w:rsidP="00A879C1">
            <w:pPr>
              <w:rPr>
                <w:rFonts w:ascii="Arial" w:hAnsi="Arial" w:cs="Arial"/>
                <w:szCs w:val="20"/>
              </w:rPr>
            </w:pPr>
            <w:r>
              <w:rPr>
                <w:rFonts w:ascii="Arial" w:hAnsi="Arial" w:cs="Arial"/>
                <w:szCs w:val="20"/>
              </w:rPr>
              <w:t>P</w:t>
            </w:r>
            <w:r w:rsidR="00A879C1" w:rsidRPr="0001788E">
              <w:rPr>
                <w:rFonts w:ascii="Arial" w:hAnsi="Arial" w:cs="Arial"/>
                <w:szCs w:val="20"/>
              </w:rPr>
              <w:t xml:space="preserve">re-vaccinations </w:t>
            </w:r>
          </w:p>
        </w:tc>
        <w:tc>
          <w:tcPr>
            <w:tcW w:w="436" w:type="pct"/>
          </w:tcPr>
          <w:p w14:paraId="2265C955" w14:textId="77777777" w:rsidR="00A879C1" w:rsidRPr="0001788E" w:rsidRDefault="00A879C1" w:rsidP="00A879C1">
            <w:pPr>
              <w:jc w:val="center"/>
              <w:rPr>
                <w:rFonts w:ascii="Arial" w:hAnsi="Arial" w:cs="Arial"/>
                <w:szCs w:val="20"/>
              </w:rPr>
            </w:pPr>
            <w:r w:rsidRPr="0001788E">
              <w:rPr>
                <w:rFonts w:ascii="Arial" w:hAnsi="Arial" w:cs="Arial"/>
                <w:szCs w:val="20"/>
              </w:rPr>
              <w:t>103</w:t>
            </w:r>
          </w:p>
        </w:tc>
        <w:tc>
          <w:tcPr>
            <w:tcW w:w="662" w:type="pct"/>
          </w:tcPr>
          <w:p w14:paraId="35E97B0D" w14:textId="77777777" w:rsidR="00A879C1" w:rsidRPr="0001788E" w:rsidRDefault="00A879C1" w:rsidP="00A879C1">
            <w:pPr>
              <w:jc w:val="center"/>
              <w:rPr>
                <w:rFonts w:ascii="Arial" w:hAnsi="Arial" w:cs="Arial"/>
                <w:szCs w:val="20"/>
              </w:rPr>
            </w:pPr>
            <w:r w:rsidRPr="0001788E">
              <w:rPr>
                <w:rFonts w:ascii="Arial" w:hAnsi="Arial" w:cs="Arial"/>
                <w:szCs w:val="20"/>
              </w:rPr>
              <w:t>36183</w:t>
            </w:r>
          </w:p>
        </w:tc>
        <w:tc>
          <w:tcPr>
            <w:tcW w:w="794" w:type="pct"/>
          </w:tcPr>
          <w:p w14:paraId="59226BE7" w14:textId="77777777" w:rsidR="00A879C1" w:rsidRPr="0001788E" w:rsidRDefault="00A879C1" w:rsidP="00A879C1">
            <w:pPr>
              <w:jc w:val="center"/>
              <w:rPr>
                <w:rFonts w:ascii="Arial" w:hAnsi="Arial" w:cs="Arial"/>
                <w:szCs w:val="20"/>
              </w:rPr>
            </w:pPr>
            <w:r w:rsidRPr="0001788E">
              <w:rPr>
                <w:rFonts w:ascii="Arial" w:hAnsi="Arial" w:cs="Arial"/>
                <w:szCs w:val="20"/>
              </w:rPr>
              <w:t>1.04 (0.85-1.26)</w:t>
            </w:r>
          </w:p>
        </w:tc>
        <w:tc>
          <w:tcPr>
            <w:tcW w:w="794" w:type="pct"/>
          </w:tcPr>
          <w:p w14:paraId="18925004" w14:textId="77777777" w:rsidR="00A879C1" w:rsidRPr="0001788E" w:rsidRDefault="00A879C1" w:rsidP="00A879C1">
            <w:pPr>
              <w:jc w:val="center"/>
              <w:rPr>
                <w:rFonts w:ascii="Arial" w:hAnsi="Arial" w:cs="Arial"/>
                <w:szCs w:val="20"/>
              </w:rPr>
            </w:pPr>
            <w:r w:rsidRPr="0001788E">
              <w:rPr>
                <w:rFonts w:ascii="Arial" w:hAnsi="Arial" w:cs="Arial"/>
                <w:szCs w:val="20"/>
              </w:rPr>
              <w:t>1.00 (0.82-1.23)</w:t>
            </w:r>
          </w:p>
        </w:tc>
        <w:tc>
          <w:tcPr>
            <w:tcW w:w="433" w:type="pct"/>
          </w:tcPr>
          <w:p w14:paraId="40146DCA" w14:textId="77777777" w:rsidR="00A879C1" w:rsidRPr="0001788E" w:rsidRDefault="00A879C1" w:rsidP="00A879C1">
            <w:pPr>
              <w:jc w:val="center"/>
              <w:rPr>
                <w:rFonts w:ascii="Arial" w:hAnsi="Arial" w:cs="Arial"/>
                <w:szCs w:val="20"/>
              </w:rPr>
            </w:pPr>
            <w:r w:rsidRPr="0001788E">
              <w:rPr>
                <w:rFonts w:ascii="Arial" w:hAnsi="Arial" w:cs="Arial"/>
                <w:szCs w:val="20"/>
              </w:rPr>
              <w:t>0.978</w:t>
            </w:r>
          </w:p>
        </w:tc>
      </w:tr>
      <w:tr w:rsidR="00A879C1" w:rsidRPr="0001788E" w14:paraId="4225BBDB" w14:textId="77777777" w:rsidTr="00A879C1">
        <w:tc>
          <w:tcPr>
            <w:tcW w:w="596" w:type="pct"/>
            <w:vMerge/>
          </w:tcPr>
          <w:p w14:paraId="15E24B25" w14:textId="77777777" w:rsidR="00A879C1" w:rsidRPr="0001788E" w:rsidRDefault="00A879C1" w:rsidP="00A879C1">
            <w:pPr>
              <w:rPr>
                <w:rFonts w:ascii="Arial" w:hAnsi="Arial" w:cs="Arial"/>
                <w:szCs w:val="20"/>
              </w:rPr>
            </w:pPr>
          </w:p>
        </w:tc>
        <w:tc>
          <w:tcPr>
            <w:tcW w:w="1285" w:type="pct"/>
          </w:tcPr>
          <w:p w14:paraId="256979DF" w14:textId="4E4A0AC5" w:rsidR="00A879C1" w:rsidRPr="0001788E" w:rsidRDefault="00DE2605" w:rsidP="00A879C1">
            <w:pPr>
              <w:rPr>
                <w:rFonts w:ascii="Arial" w:hAnsi="Arial" w:cs="Arial"/>
                <w:szCs w:val="20"/>
              </w:rPr>
            </w:pPr>
            <w:r>
              <w:rPr>
                <w:rFonts w:ascii="Arial" w:hAnsi="Arial" w:cs="Arial"/>
                <w:szCs w:val="20"/>
              </w:rPr>
              <w:t>V</w:t>
            </w:r>
            <w:r w:rsidR="00A879C1" w:rsidRPr="0001788E">
              <w:rPr>
                <w:rFonts w:ascii="Arial" w:hAnsi="Arial" w:cs="Arial"/>
                <w:szCs w:val="20"/>
              </w:rPr>
              <w:t>accin</w:t>
            </w:r>
            <w:r>
              <w:rPr>
                <w:rFonts w:ascii="Arial" w:hAnsi="Arial" w:cs="Arial"/>
                <w:szCs w:val="20"/>
              </w:rPr>
              <w:t>e exposed</w:t>
            </w:r>
            <w:r w:rsidR="00A879C1" w:rsidRPr="0001788E">
              <w:rPr>
                <w:rFonts w:ascii="Arial" w:hAnsi="Arial" w:cs="Arial"/>
                <w:szCs w:val="20"/>
              </w:rPr>
              <w:t xml:space="preserve"> </w:t>
            </w:r>
          </w:p>
        </w:tc>
        <w:tc>
          <w:tcPr>
            <w:tcW w:w="436" w:type="pct"/>
          </w:tcPr>
          <w:p w14:paraId="5A753906" w14:textId="77777777" w:rsidR="00A879C1" w:rsidRPr="0001788E" w:rsidRDefault="00A879C1" w:rsidP="00A879C1">
            <w:pPr>
              <w:jc w:val="center"/>
              <w:rPr>
                <w:rFonts w:ascii="Arial" w:hAnsi="Arial" w:cs="Arial"/>
                <w:szCs w:val="20"/>
              </w:rPr>
            </w:pPr>
          </w:p>
        </w:tc>
        <w:tc>
          <w:tcPr>
            <w:tcW w:w="662" w:type="pct"/>
          </w:tcPr>
          <w:p w14:paraId="5E19934A" w14:textId="77777777" w:rsidR="00A879C1" w:rsidRPr="0001788E" w:rsidRDefault="00A879C1" w:rsidP="00A879C1">
            <w:pPr>
              <w:jc w:val="center"/>
              <w:rPr>
                <w:rFonts w:ascii="Arial" w:hAnsi="Arial" w:cs="Arial"/>
                <w:szCs w:val="20"/>
              </w:rPr>
            </w:pPr>
          </w:p>
        </w:tc>
        <w:tc>
          <w:tcPr>
            <w:tcW w:w="794" w:type="pct"/>
          </w:tcPr>
          <w:p w14:paraId="16345E3E" w14:textId="77777777" w:rsidR="00A879C1" w:rsidRPr="0001788E" w:rsidRDefault="00A879C1" w:rsidP="00A879C1">
            <w:pPr>
              <w:jc w:val="center"/>
              <w:rPr>
                <w:rFonts w:ascii="Arial" w:hAnsi="Arial" w:cs="Arial"/>
                <w:szCs w:val="20"/>
              </w:rPr>
            </w:pPr>
          </w:p>
        </w:tc>
        <w:tc>
          <w:tcPr>
            <w:tcW w:w="794" w:type="pct"/>
          </w:tcPr>
          <w:p w14:paraId="72103AA0" w14:textId="77777777" w:rsidR="00A879C1" w:rsidRPr="0001788E" w:rsidRDefault="00A879C1" w:rsidP="00A879C1">
            <w:pPr>
              <w:jc w:val="center"/>
              <w:rPr>
                <w:rFonts w:ascii="Arial" w:hAnsi="Arial" w:cs="Arial"/>
                <w:szCs w:val="20"/>
              </w:rPr>
            </w:pPr>
          </w:p>
        </w:tc>
        <w:tc>
          <w:tcPr>
            <w:tcW w:w="433" w:type="pct"/>
          </w:tcPr>
          <w:p w14:paraId="73A5FE9D" w14:textId="77777777" w:rsidR="00A879C1" w:rsidRPr="0001788E" w:rsidRDefault="00A879C1" w:rsidP="00A879C1">
            <w:pPr>
              <w:jc w:val="center"/>
              <w:rPr>
                <w:rFonts w:ascii="Arial" w:hAnsi="Arial" w:cs="Arial"/>
                <w:szCs w:val="20"/>
              </w:rPr>
            </w:pPr>
          </w:p>
        </w:tc>
      </w:tr>
      <w:tr w:rsidR="00A879C1" w:rsidRPr="0001788E" w14:paraId="6110BB9D" w14:textId="77777777" w:rsidTr="00A879C1">
        <w:tc>
          <w:tcPr>
            <w:tcW w:w="596" w:type="pct"/>
            <w:vMerge/>
            <w:vAlign w:val="center"/>
          </w:tcPr>
          <w:p w14:paraId="3CA48CE9" w14:textId="77777777" w:rsidR="00A879C1" w:rsidRPr="0001788E" w:rsidRDefault="00A879C1" w:rsidP="00A879C1">
            <w:pPr>
              <w:rPr>
                <w:rFonts w:ascii="Arial" w:hAnsi="Arial" w:cs="Arial"/>
                <w:szCs w:val="20"/>
              </w:rPr>
            </w:pPr>
          </w:p>
        </w:tc>
        <w:tc>
          <w:tcPr>
            <w:tcW w:w="1285" w:type="pct"/>
          </w:tcPr>
          <w:p w14:paraId="0FBEA402" w14:textId="77777777" w:rsidR="00A879C1" w:rsidRPr="0001788E" w:rsidRDefault="00A879C1" w:rsidP="00A879C1">
            <w:pPr>
              <w:rPr>
                <w:rFonts w:ascii="Arial" w:hAnsi="Arial" w:cs="Arial"/>
                <w:szCs w:val="20"/>
              </w:rPr>
            </w:pPr>
            <w:r w:rsidRPr="0001788E">
              <w:rPr>
                <w:rFonts w:ascii="Arial" w:hAnsi="Arial" w:cs="Arial"/>
                <w:szCs w:val="20"/>
              </w:rPr>
              <w:t>0 - 21 days</w:t>
            </w:r>
          </w:p>
        </w:tc>
        <w:tc>
          <w:tcPr>
            <w:tcW w:w="436" w:type="pct"/>
          </w:tcPr>
          <w:p w14:paraId="1FA6A0A5" w14:textId="77777777" w:rsidR="00A879C1" w:rsidRPr="0001788E" w:rsidRDefault="00A879C1" w:rsidP="00A879C1">
            <w:pPr>
              <w:jc w:val="center"/>
              <w:rPr>
                <w:rFonts w:ascii="Arial" w:hAnsi="Arial" w:cs="Arial"/>
                <w:szCs w:val="20"/>
              </w:rPr>
            </w:pPr>
            <w:r w:rsidRPr="0001788E">
              <w:rPr>
                <w:rFonts w:ascii="Arial" w:hAnsi="Arial" w:cs="Arial"/>
                <w:szCs w:val="20"/>
              </w:rPr>
              <w:t>269</w:t>
            </w:r>
          </w:p>
        </w:tc>
        <w:tc>
          <w:tcPr>
            <w:tcW w:w="662" w:type="pct"/>
          </w:tcPr>
          <w:p w14:paraId="566D8B18" w14:textId="77777777" w:rsidR="00A879C1" w:rsidRPr="0001788E" w:rsidRDefault="00A879C1" w:rsidP="00A879C1">
            <w:pPr>
              <w:jc w:val="center"/>
              <w:rPr>
                <w:rFonts w:ascii="Arial" w:hAnsi="Arial" w:cs="Arial"/>
                <w:szCs w:val="20"/>
              </w:rPr>
            </w:pPr>
            <w:r w:rsidRPr="0001788E">
              <w:rPr>
                <w:rFonts w:ascii="Arial" w:hAnsi="Arial" w:cs="Arial"/>
                <w:szCs w:val="20"/>
              </w:rPr>
              <w:t>105221</w:t>
            </w:r>
          </w:p>
        </w:tc>
        <w:tc>
          <w:tcPr>
            <w:tcW w:w="794" w:type="pct"/>
          </w:tcPr>
          <w:p w14:paraId="437DF78D" w14:textId="77777777" w:rsidR="00A879C1" w:rsidRPr="0001788E" w:rsidRDefault="00A879C1" w:rsidP="00A879C1">
            <w:pPr>
              <w:jc w:val="center"/>
              <w:rPr>
                <w:rFonts w:ascii="Arial" w:hAnsi="Arial" w:cs="Arial"/>
                <w:szCs w:val="20"/>
              </w:rPr>
            </w:pPr>
            <w:r w:rsidRPr="0001788E">
              <w:rPr>
                <w:rFonts w:ascii="Arial" w:hAnsi="Arial" w:cs="Arial"/>
                <w:szCs w:val="20"/>
              </w:rPr>
              <w:t>0.93 (0.82-1.06)</w:t>
            </w:r>
          </w:p>
        </w:tc>
        <w:tc>
          <w:tcPr>
            <w:tcW w:w="794" w:type="pct"/>
          </w:tcPr>
          <w:p w14:paraId="528EC246" w14:textId="77777777" w:rsidR="00A879C1" w:rsidRPr="0001788E" w:rsidRDefault="00A879C1" w:rsidP="00A879C1">
            <w:pPr>
              <w:jc w:val="center"/>
              <w:rPr>
                <w:rFonts w:ascii="Arial" w:hAnsi="Arial" w:cs="Arial"/>
                <w:szCs w:val="20"/>
              </w:rPr>
            </w:pPr>
            <w:r w:rsidRPr="0001788E">
              <w:rPr>
                <w:rFonts w:ascii="Arial" w:hAnsi="Arial" w:cs="Arial"/>
                <w:szCs w:val="20"/>
              </w:rPr>
              <w:t>0.89 (0.77-1.02)</w:t>
            </w:r>
          </w:p>
        </w:tc>
        <w:tc>
          <w:tcPr>
            <w:tcW w:w="433" w:type="pct"/>
          </w:tcPr>
          <w:p w14:paraId="49BFE067" w14:textId="77777777" w:rsidR="00A879C1" w:rsidRPr="0001788E" w:rsidRDefault="00A879C1" w:rsidP="00A879C1">
            <w:pPr>
              <w:jc w:val="center"/>
              <w:rPr>
                <w:rFonts w:ascii="Arial" w:hAnsi="Arial" w:cs="Arial"/>
                <w:szCs w:val="20"/>
              </w:rPr>
            </w:pPr>
            <w:r w:rsidRPr="0001788E">
              <w:rPr>
                <w:rFonts w:ascii="Arial" w:hAnsi="Arial" w:cs="Arial"/>
                <w:szCs w:val="20"/>
              </w:rPr>
              <w:t>0.09</w:t>
            </w:r>
          </w:p>
        </w:tc>
      </w:tr>
      <w:tr w:rsidR="00A879C1" w:rsidRPr="0001788E" w14:paraId="1DE4F41E" w14:textId="77777777" w:rsidTr="00A879C1">
        <w:tc>
          <w:tcPr>
            <w:tcW w:w="596" w:type="pct"/>
            <w:vMerge/>
            <w:vAlign w:val="center"/>
          </w:tcPr>
          <w:p w14:paraId="59FA5AF6" w14:textId="77777777" w:rsidR="00A879C1" w:rsidRPr="0001788E" w:rsidRDefault="00A879C1" w:rsidP="00A879C1">
            <w:pPr>
              <w:rPr>
                <w:rFonts w:ascii="Arial" w:hAnsi="Arial" w:cs="Arial"/>
                <w:szCs w:val="20"/>
              </w:rPr>
            </w:pPr>
          </w:p>
        </w:tc>
        <w:tc>
          <w:tcPr>
            <w:tcW w:w="1285" w:type="pct"/>
          </w:tcPr>
          <w:p w14:paraId="748082E7" w14:textId="77777777" w:rsidR="00A879C1" w:rsidRPr="0001788E" w:rsidRDefault="00A879C1" w:rsidP="00A879C1">
            <w:pPr>
              <w:jc w:val="right"/>
              <w:rPr>
                <w:rFonts w:ascii="Arial" w:hAnsi="Arial" w:cs="Arial"/>
                <w:szCs w:val="20"/>
              </w:rPr>
            </w:pPr>
            <w:r w:rsidRPr="0001788E">
              <w:rPr>
                <w:rFonts w:ascii="Arial" w:hAnsi="Arial" w:cs="Arial"/>
                <w:szCs w:val="20"/>
              </w:rPr>
              <w:t>0 - 7 days</w:t>
            </w:r>
          </w:p>
        </w:tc>
        <w:tc>
          <w:tcPr>
            <w:tcW w:w="436" w:type="pct"/>
          </w:tcPr>
          <w:p w14:paraId="012ADB92" w14:textId="77777777" w:rsidR="00A879C1" w:rsidRPr="0001788E" w:rsidRDefault="00A879C1" w:rsidP="00A879C1">
            <w:pPr>
              <w:jc w:val="center"/>
              <w:rPr>
                <w:rFonts w:ascii="Arial" w:hAnsi="Arial" w:cs="Arial"/>
                <w:szCs w:val="20"/>
              </w:rPr>
            </w:pPr>
            <w:r w:rsidRPr="0001788E">
              <w:rPr>
                <w:rFonts w:ascii="Arial" w:hAnsi="Arial" w:cs="Arial"/>
                <w:szCs w:val="20"/>
              </w:rPr>
              <w:t>105</w:t>
            </w:r>
          </w:p>
        </w:tc>
        <w:tc>
          <w:tcPr>
            <w:tcW w:w="662" w:type="pct"/>
          </w:tcPr>
          <w:p w14:paraId="6436290F" w14:textId="77777777" w:rsidR="00A879C1" w:rsidRPr="0001788E" w:rsidRDefault="00A879C1" w:rsidP="00A879C1">
            <w:pPr>
              <w:jc w:val="center"/>
              <w:rPr>
                <w:rFonts w:ascii="Arial" w:hAnsi="Arial" w:cs="Arial"/>
                <w:szCs w:val="20"/>
              </w:rPr>
            </w:pPr>
            <w:r w:rsidRPr="0001788E">
              <w:rPr>
                <w:rFonts w:ascii="Arial" w:hAnsi="Arial" w:cs="Arial"/>
                <w:szCs w:val="20"/>
              </w:rPr>
              <w:t>35873</w:t>
            </w:r>
          </w:p>
        </w:tc>
        <w:tc>
          <w:tcPr>
            <w:tcW w:w="794" w:type="pct"/>
          </w:tcPr>
          <w:p w14:paraId="0CD2070F" w14:textId="77777777" w:rsidR="00A879C1" w:rsidRPr="0001788E" w:rsidRDefault="00A879C1" w:rsidP="00A879C1">
            <w:pPr>
              <w:jc w:val="center"/>
              <w:rPr>
                <w:rFonts w:ascii="Arial" w:hAnsi="Arial" w:cs="Arial"/>
                <w:szCs w:val="20"/>
              </w:rPr>
            </w:pPr>
            <w:r w:rsidRPr="0001788E">
              <w:rPr>
                <w:rFonts w:ascii="Arial" w:hAnsi="Arial" w:cs="Arial"/>
                <w:szCs w:val="20"/>
              </w:rPr>
              <w:t>1.07 (0.87-1.30)</w:t>
            </w:r>
          </w:p>
        </w:tc>
        <w:tc>
          <w:tcPr>
            <w:tcW w:w="794" w:type="pct"/>
          </w:tcPr>
          <w:p w14:paraId="70658AE3" w14:textId="77777777" w:rsidR="00A879C1" w:rsidRPr="0001788E" w:rsidRDefault="00A879C1" w:rsidP="00A879C1">
            <w:pPr>
              <w:jc w:val="center"/>
              <w:rPr>
                <w:rFonts w:ascii="Arial" w:hAnsi="Arial" w:cs="Arial"/>
                <w:szCs w:val="20"/>
              </w:rPr>
            </w:pPr>
            <w:r w:rsidRPr="0001788E">
              <w:rPr>
                <w:rFonts w:ascii="Arial" w:hAnsi="Arial" w:cs="Arial"/>
                <w:szCs w:val="20"/>
              </w:rPr>
              <w:t>1.02 (0.84-1.25)</w:t>
            </w:r>
          </w:p>
        </w:tc>
        <w:tc>
          <w:tcPr>
            <w:tcW w:w="433" w:type="pct"/>
          </w:tcPr>
          <w:p w14:paraId="028E0866" w14:textId="77777777" w:rsidR="00A879C1" w:rsidRPr="0001788E" w:rsidRDefault="00A879C1" w:rsidP="00A879C1">
            <w:pPr>
              <w:jc w:val="center"/>
              <w:rPr>
                <w:rFonts w:ascii="Arial" w:hAnsi="Arial" w:cs="Arial"/>
                <w:szCs w:val="20"/>
              </w:rPr>
            </w:pPr>
            <w:r w:rsidRPr="0001788E">
              <w:rPr>
                <w:rFonts w:ascii="Arial" w:hAnsi="Arial" w:cs="Arial"/>
                <w:szCs w:val="20"/>
              </w:rPr>
              <w:t>0.839</w:t>
            </w:r>
          </w:p>
        </w:tc>
      </w:tr>
      <w:tr w:rsidR="00A879C1" w:rsidRPr="0001788E" w14:paraId="2C766353" w14:textId="77777777" w:rsidTr="00A879C1">
        <w:trPr>
          <w:trHeight w:val="367"/>
        </w:trPr>
        <w:tc>
          <w:tcPr>
            <w:tcW w:w="596" w:type="pct"/>
            <w:vMerge/>
          </w:tcPr>
          <w:p w14:paraId="7375EC2E" w14:textId="77777777" w:rsidR="00A879C1" w:rsidRPr="0001788E" w:rsidRDefault="00A879C1" w:rsidP="00A879C1">
            <w:pPr>
              <w:rPr>
                <w:rFonts w:ascii="Arial" w:hAnsi="Arial" w:cs="Arial"/>
                <w:szCs w:val="20"/>
              </w:rPr>
            </w:pPr>
          </w:p>
        </w:tc>
        <w:tc>
          <w:tcPr>
            <w:tcW w:w="1285" w:type="pct"/>
          </w:tcPr>
          <w:p w14:paraId="0DF283EB" w14:textId="77777777" w:rsidR="00A879C1" w:rsidRPr="0001788E" w:rsidRDefault="00A879C1" w:rsidP="00A879C1">
            <w:pPr>
              <w:jc w:val="right"/>
              <w:rPr>
                <w:rFonts w:ascii="Arial" w:hAnsi="Arial" w:cs="Arial"/>
                <w:szCs w:val="20"/>
              </w:rPr>
            </w:pPr>
            <w:r w:rsidRPr="0001788E">
              <w:rPr>
                <w:rFonts w:ascii="Arial" w:hAnsi="Arial" w:cs="Arial"/>
                <w:szCs w:val="20"/>
              </w:rPr>
              <w:t xml:space="preserve">8 - 14 days  </w:t>
            </w:r>
          </w:p>
        </w:tc>
        <w:tc>
          <w:tcPr>
            <w:tcW w:w="436" w:type="pct"/>
          </w:tcPr>
          <w:p w14:paraId="2BBB94BB" w14:textId="77777777" w:rsidR="00A879C1" w:rsidRPr="0001788E" w:rsidRDefault="00A879C1" w:rsidP="00A879C1">
            <w:pPr>
              <w:jc w:val="center"/>
              <w:rPr>
                <w:rFonts w:ascii="Arial" w:hAnsi="Arial" w:cs="Arial"/>
                <w:szCs w:val="20"/>
              </w:rPr>
            </w:pPr>
            <w:r w:rsidRPr="0001788E">
              <w:rPr>
                <w:rFonts w:ascii="Arial" w:hAnsi="Arial" w:cs="Arial"/>
                <w:szCs w:val="20"/>
              </w:rPr>
              <w:t>77</w:t>
            </w:r>
          </w:p>
        </w:tc>
        <w:tc>
          <w:tcPr>
            <w:tcW w:w="662" w:type="pct"/>
          </w:tcPr>
          <w:p w14:paraId="564592EA" w14:textId="77777777" w:rsidR="00A879C1" w:rsidRPr="0001788E" w:rsidRDefault="00A879C1" w:rsidP="00A879C1">
            <w:pPr>
              <w:jc w:val="center"/>
              <w:rPr>
                <w:rFonts w:ascii="Arial" w:hAnsi="Arial" w:cs="Arial"/>
                <w:szCs w:val="20"/>
              </w:rPr>
            </w:pPr>
            <w:r w:rsidRPr="0001788E">
              <w:rPr>
                <w:rFonts w:ascii="Arial" w:hAnsi="Arial" w:cs="Arial"/>
                <w:szCs w:val="20"/>
              </w:rPr>
              <w:t>35091</w:t>
            </w:r>
          </w:p>
        </w:tc>
        <w:tc>
          <w:tcPr>
            <w:tcW w:w="794" w:type="pct"/>
          </w:tcPr>
          <w:p w14:paraId="4621F1B3" w14:textId="77777777" w:rsidR="00A879C1" w:rsidRPr="0001788E" w:rsidRDefault="00A879C1" w:rsidP="00A879C1">
            <w:pPr>
              <w:jc w:val="center"/>
              <w:rPr>
                <w:rFonts w:ascii="Arial" w:hAnsi="Arial" w:cs="Arial"/>
                <w:szCs w:val="20"/>
              </w:rPr>
            </w:pPr>
            <w:r w:rsidRPr="0001788E">
              <w:rPr>
                <w:rFonts w:ascii="Arial" w:hAnsi="Arial" w:cs="Arial"/>
                <w:szCs w:val="20"/>
              </w:rPr>
              <w:t>0.80 (0.64-1.00)</w:t>
            </w:r>
          </w:p>
        </w:tc>
        <w:tc>
          <w:tcPr>
            <w:tcW w:w="794" w:type="pct"/>
          </w:tcPr>
          <w:p w14:paraId="1F423FF0" w14:textId="77777777" w:rsidR="00A879C1" w:rsidRPr="0001788E" w:rsidRDefault="00A879C1" w:rsidP="00A879C1">
            <w:pPr>
              <w:jc w:val="center"/>
              <w:rPr>
                <w:rFonts w:ascii="Arial" w:hAnsi="Arial" w:cs="Arial"/>
                <w:szCs w:val="20"/>
              </w:rPr>
            </w:pPr>
            <w:r w:rsidRPr="0001788E">
              <w:rPr>
                <w:rFonts w:ascii="Arial" w:hAnsi="Arial" w:cs="Arial"/>
                <w:szCs w:val="20"/>
              </w:rPr>
              <w:t>0.76 (0.60-0.96)</w:t>
            </w:r>
          </w:p>
        </w:tc>
        <w:tc>
          <w:tcPr>
            <w:tcW w:w="433" w:type="pct"/>
          </w:tcPr>
          <w:p w14:paraId="4B9BA0D8" w14:textId="77777777" w:rsidR="00A879C1" w:rsidRPr="0001788E" w:rsidRDefault="00A879C1" w:rsidP="00A879C1">
            <w:pPr>
              <w:jc w:val="center"/>
              <w:rPr>
                <w:rFonts w:ascii="Arial" w:hAnsi="Arial" w:cs="Arial"/>
                <w:szCs w:val="20"/>
              </w:rPr>
            </w:pPr>
            <w:r w:rsidRPr="0001788E">
              <w:rPr>
                <w:rFonts w:ascii="Arial" w:hAnsi="Arial" w:cs="Arial"/>
                <w:szCs w:val="20"/>
              </w:rPr>
              <w:t>0.02</w:t>
            </w:r>
          </w:p>
        </w:tc>
      </w:tr>
      <w:tr w:rsidR="00A879C1" w:rsidRPr="0001788E" w14:paraId="6F105447" w14:textId="77777777" w:rsidTr="00A879C1">
        <w:trPr>
          <w:trHeight w:val="343"/>
        </w:trPr>
        <w:tc>
          <w:tcPr>
            <w:tcW w:w="596" w:type="pct"/>
            <w:vMerge/>
            <w:vAlign w:val="center"/>
          </w:tcPr>
          <w:p w14:paraId="54CD2D5C" w14:textId="77777777" w:rsidR="00A879C1" w:rsidRPr="0001788E" w:rsidRDefault="00A879C1" w:rsidP="00A879C1">
            <w:pPr>
              <w:rPr>
                <w:rFonts w:ascii="Arial" w:hAnsi="Arial" w:cs="Arial"/>
                <w:szCs w:val="20"/>
              </w:rPr>
            </w:pPr>
          </w:p>
        </w:tc>
        <w:tc>
          <w:tcPr>
            <w:tcW w:w="1285" w:type="pct"/>
          </w:tcPr>
          <w:p w14:paraId="5E5203D4" w14:textId="77777777" w:rsidR="00A879C1" w:rsidRPr="0001788E" w:rsidRDefault="00A879C1" w:rsidP="00A879C1">
            <w:pPr>
              <w:jc w:val="right"/>
              <w:rPr>
                <w:rFonts w:ascii="Arial" w:hAnsi="Arial" w:cs="Arial"/>
                <w:szCs w:val="20"/>
              </w:rPr>
            </w:pPr>
            <w:r w:rsidRPr="0001788E">
              <w:rPr>
                <w:rFonts w:ascii="Arial" w:hAnsi="Arial" w:cs="Arial"/>
                <w:szCs w:val="20"/>
              </w:rPr>
              <w:t>15 - 21 days</w:t>
            </w:r>
          </w:p>
        </w:tc>
        <w:tc>
          <w:tcPr>
            <w:tcW w:w="436" w:type="pct"/>
          </w:tcPr>
          <w:p w14:paraId="0B69BAF4" w14:textId="77777777" w:rsidR="00A879C1" w:rsidRPr="0001788E" w:rsidRDefault="00A879C1" w:rsidP="00A879C1">
            <w:pPr>
              <w:jc w:val="center"/>
              <w:rPr>
                <w:rFonts w:ascii="Arial" w:hAnsi="Arial" w:cs="Arial"/>
                <w:szCs w:val="20"/>
              </w:rPr>
            </w:pPr>
            <w:r w:rsidRPr="0001788E">
              <w:rPr>
                <w:rFonts w:ascii="Arial" w:hAnsi="Arial" w:cs="Arial"/>
                <w:szCs w:val="20"/>
              </w:rPr>
              <w:t>87</w:t>
            </w:r>
          </w:p>
        </w:tc>
        <w:tc>
          <w:tcPr>
            <w:tcW w:w="662" w:type="pct"/>
          </w:tcPr>
          <w:p w14:paraId="7235DB6F" w14:textId="77777777" w:rsidR="00A879C1" w:rsidRPr="0001788E" w:rsidRDefault="00A879C1" w:rsidP="00A879C1">
            <w:pPr>
              <w:jc w:val="center"/>
              <w:rPr>
                <w:rFonts w:ascii="Arial" w:hAnsi="Arial" w:cs="Arial"/>
                <w:szCs w:val="20"/>
              </w:rPr>
            </w:pPr>
            <w:r w:rsidRPr="0001788E">
              <w:rPr>
                <w:rFonts w:ascii="Arial" w:hAnsi="Arial" w:cs="Arial"/>
                <w:szCs w:val="20"/>
              </w:rPr>
              <w:t>34257</w:t>
            </w:r>
          </w:p>
        </w:tc>
        <w:tc>
          <w:tcPr>
            <w:tcW w:w="794" w:type="pct"/>
          </w:tcPr>
          <w:p w14:paraId="17302564" w14:textId="77777777" w:rsidR="00A879C1" w:rsidRPr="0001788E" w:rsidRDefault="00A879C1" w:rsidP="00A879C1">
            <w:pPr>
              <w:jc w:val="center"/>
              <w:rPr>
                <w:rFonts w:ascii="Arial" w:hAnsi="Arial" w:cs="Arial"/>
                <w:szCs w:val="20"/>
              </w:rPr>
            </w:pPr>
            <w:r w:rsidRPr="0001788E">
              <w:rPr>
                <w:rFonts w:ascii="Arial" w:hAnsi="Arial" w:cs="Arial"/>
                <w:szCs w:val="20"/>
              </w:rPr>
              <w:t>0.92 (0.74-1.15)</w:t>
            </w:r>
          </w:p>
        </w:tc>
        <w:tc>
          <w:tcPr>
            <w:tcW w:w="794" w:type="pct"/>
          </w:tcPr>
          <w:p w14:paraId="2D172EBE" w14:textId="77777777" w:rsidR="00A879C1" w:rsidRPr="0001788E" w:rsidRDefault="00A879C1" w:rsidP="00A879C1">
            <w:pPr>
              <w:jc w:val="center"/>
              <w:rPr>
                <w:rFonts w:ascii="Arial" w:hAnsi="Arial" w:cs="Arial"/>
                <w:szCs w:val="20"/>
              </w:rPr>
            </w:pPr>
            <w:r w:rsidRPr="0001788E">
              <w:rPr>
                <w:rFonts w:ascii="Arial" w:hAnsi="Arial" w:cs="Arial"/>
                <w:szCs w:val="20"/>
              </w:rPr>
              <w:t>0.87 (0.70-1.09)</w:t>
            </w:r>
          </w:p>
        </w:tc>
        <w:tc>
          <w:tcPr>
            <w:tcW w:w="433" w:type="pct"/>
          </w:tcPr>
          <w:p w14:paraId="6D68F873" w14:textId="77777777" w:rsidR="00A879C1" w:rsidRPr="0001788E" w:rsidRDefault="00A879C1" w:rsidP="00A879C1">
            <w:pPr>
              <w:jc w:val="center"/>
              <w:rPr>
                <w:rFonts w:ascii="Arial" w:hAnsi="Arial" w:cs="Arial"/>
                <w:szCs w:val="20"/>
              </w:rPr>
            </w:pPr>
            <w:r w:rsidRPr="0001788E">
              <w:rPr>
                <w:rFonts w:ascii="Arial" w:hAnsi="Arial" w:cs="Arial"/>
                <w:szCs w:val="20"/>
              </w:rPr>
              <w:t>0.231</w:t>
            </w:r>
          </w:p>
        </w:tc>
      </w:tr>
      <w:tr w:rsidR="00A879C1" w:rsidRPr="0001788E" w14:paraId="4D06618C" w14:textId="77777777" w:rsidTr="00A879C1">
        <w:tc>
          <w:tcPr>
            <w:tcW w:w="596" w:type="pct"/>
            <w:vMerge w:val="restart"/>
          </w:tcPr>
          <w:p w14:paraId="607E1569" w14:textId="77777777" w:rsidR="00A879C1" w:rsidRPr="0001788E" w:rsidRDefault="00A879C1" w:rsidP="00A879C1">
            <w:pPr>
              <w:rPr>
                <w:rFonts w:ascii="Arial" w:hAnsi="Arial" w:cs="Arial"/>
                <w:szCs w:val="20"/>
              </w:rPr>
            </w:pPr>
            <w:r w:rsidRPr="0001788E">
              <w:rPr>
                <w:rFonts w:ascii="Arial" w:hAnsi="Arial" w:cs="Arial"/>
                <w:szCs w:val="20"/>
              </w:rPr>
              <w:t>1</w:t>
            </w:r>
            <w:r w:rsidRPr="0001788E">
              <w:rPr>
                <w:rFonts w:ascii="Arial" w:hAnsi="Arial" w:cs="Arial"/>
                <w:szCs w:val="20"/>
                <w:vertAlign w:val="superscript"/>
              </w:rPr>
              <w:t>st</w:t>
            </w:r>
            <w:r w:rsidRPr="0001788E">
              <w:rPr>
                <w:rFonts w:ascii="Arial" w:hAnsi="Arial" w:cs="Arial"/>
                <w:szCs w:val="20"/>
              </w:rPr>
              <w:t xml:space="preserve"> dose</w:t>
            </w:r>
          </w:p>
        </w:tc>
        <w:tc>
          <w:tcPr>
            <w:tcW w:w="1285" w:type="pct"/>
          </w:tcPr>
          <w:p w14:paraId="60085374" w14:textId="098C1677" w:rsidR="00A879C1" w:rsidRPr="0001788E" w:rsidRDefault="00DE2605" w:rsidP="00A879C1">
            <w:pPr>
              <w:rPr>
                <w:rFonts w:ascii="Arial" w:hAnsi="Arial" w:cs="Arial"/>
                <w:szCs w:val="20"/>
              </w:rPr>
            </w:pPr>
            <w:r>
              <w:rPr>
                <w:rFonts w:ascii="Arial"/>
                <w:spacing w:val="-2"/>
              </w:rPr>
              <w:t>Vaccine unexposed b</w:t>
            </w:r>
            <w:r w:rsidR="00A879C1" w:rsidRPr="0001788E">
              <w:rPr>
                <w:rFonts w:ascii="Arial" w:hAnsi="Arial" w:cs="Arial"/>
                <w:szCs w:val="20"/>
              </w:rPr>
              <w:t>aseline</w:t>
            </w:r>
          </w:p>
        </w:tc>
        <w:tc>
          <w:tcPr>
            <w:tcW w:w="436" w:type="pct"/>
          </w:tcPr>
          <w:p w14:paraId="3A768213" w14:textId="77777777" w:rsidR="00A879C1" w:rsidRPr="0001788E" w:rsidRDefault="00A879C1" w:rsidP="00A879C1">
            <w:pPr>
              <w:jc w:val="center"/>
              <w:rPr>
                <w:rFonts w:ascii="Arial" w:hAnsi="Arial" w:cs="Arial"/>
                <w:szCs w:val="20"/>
              </w:rPr>
            </w:pPr>
            <w:r w:rsidRPr="0001788E">
              <w:rPr>
                <w:rFonts w:ascii="Arial" w:hAnsi="Arial" w:cs="Arial"/>
                <w:szCs w:val="20"/>
              </w:rPr>
              <w:t>1701</w:t>
            </w:r>
          </w:p>
        </w:tc>
        <w:tc>
          <w:tcPr>
            <w:tcW w:w="662" w:type="pct"/>
          </w:tcPr>
          <w:p w14:paraId="6F68F32F" w14:textId="77777777" w:rsidR="00A879C1" w:rsidRPr="0001788E" w:rsidRDefault="00A879C1" w:rsidP="00A879C1">
            <w:pPr>
              <w:jc w:val="center"/>
              <w:rPr>
                <w:rFonts w:ascii="Arial" w:hAnsi="Arial" w:cs="Arial"/>
                <w:szCs w:val="20"/>
              </w:rPr>
            </w:pPr>
            <w:r w:rsidRPr="0001788E">
              <w:rPr>
                <w:rFonts w:ascii="Arial" w:hAnsi="Arial" w:cs="Arial"/>
                <w:szCs w:val="20"/>
              </w:rPr>
              <w:t>621626</w:t>
            </w:r>
          </w:p>
        </w:tc>
        <w:tc>
          <w:tcPr>
            <w:tcW w:w="794" w:type="pct"/>
            <w:vAlign w:val="center"/>
          </w:tcPr>
          <w:p w14:paraId="28463B93" w14:textId="77777777" w:rsidR="00A879C1" w:rsidRPr="0001788E" w:rsidRDefault="00A879C1" w:rsidP="00A879C1">
            <w:pPr>
              <w:jc w:val="center"/>
              <w:rPr>
                <w:rFonts w:ascii="Arial" w:hAnsi="Arial" w:cs="Arial"/>
                <w:szCs w:val="20"/>
              </w:rPr>
            </w:pPr>
            <w:r w:rsidRPr="0001788E">
              <w:rPr>
                <w:rFonts w:ascii="Arial" w:hAnsi="Arial" w:cs="Arial"/>
                <w:szCs w:val="20"/>
              </w:rPr>
              <w:t>1</w:t>
            </w:r>
          </w:p>
        </w:tc>
        <w:tc>
          <w:tcPr>
            <w:tcW w:w="794" w:type="pct"/>
            <w:vAlign w:val="center"/>
          </w:tcPr>
          <w:p w14:paraId="296846A7" w14:textId="77777777" w:rsidR="00A879C1" w:rsidRPr="0001788E" w:rsidRDefault="00A879C1" w:rsidP="00A879C1">
            <w:pPr>
              <w:jc w:val="center"/>
              <w:rPr>
                <w:rFonts w:ascii="Arial" w:hAnsi="Arial" w:cs="Arial"/>
                <w:szCs w:val="20"/>
              </w:rPr>
            </w:pPr>
            <w:r w:rsidRPr="0001788E">
              <w:rPr>
                <w:rFonts w:ascii="Arial" w:hAnsi="Arial" w:cs="Arial"/>
                <w:szCs w:val="20"/>
              </w:rPr>
              <w:t>1</w:t>
            </w:r>
          </w:p>
        </w:tc>
        <w:tc>
          <w:tcPr>
            <w:tcW w:w="433" w:type="pct"/>
            <w:vAlign w:val="center"/>
          </w:tcPr>
          <w:p w14:paraId="206B3CC0" w14:textId="77777777" w:rsidR="00A879C1" w:rsidRPr="0001788E" w:rsidRDefault="00A879C1" w:rsidP="00A879C1">
            <w:pPr>
              <w:jc w:val="center"/>
              <w:rPr>
                <w:rFonts w:ascii="Arial" w:hAnsi="Arial" w:cs="Arial"/>
                <w:szCs w:val="20"/>
              </w:rPr>
            </w:pPr>
            <w:r w:rsidRPr="0001788E">
              <w:rPr>
                <w:rFonts w:ascii="Arial" w:hAnsi="Arial" w:cs="Arial"/>
                <w:szCs w:val="20"/>
              </w:rPr>
              <w:t>-/-</w:t>
            </w:r>
          </w:p>
        </w:tc>
      </w:tr>
      <w:tr w:rsidR="00A879C1" w:rsidRPr="0001788E" w14:paraId="39BD6D5A" w14:textId="77777777" w:rsidTr="00A879C1">
        <w:tc>
          <w:tcPr>
            <w:tcW w:w="596" w:type="pct"/>
            <w:vMerge/>
          </w:tcPr>
          <w:p w14:paraId="08D922DC" w14:textId="77777777" w:rsidR="00A879C1" w:rsidRPr="0001788E" w:rsidRDefault="00A879C1" w:rsidP="00A879C1">
            <w:pPr>
              <w:rPr>
                <w:rFonts w:ascii="Arial" w:hAnsi="Arial" w:cs="Arial"/>
                <w:szCs w:val="20"/>
              </w:rPr>
            </w:pPr>
          </w:p>
        </w:tc>
        <w:tc>
          <w:tcPr>
            <w:tcW w:w="1285" w:type="pct"/>
          </w:tcPr>
          <w:p w14:paraId="0D1B1416" w14:textId="5E46801C" w:rsidR="00A879C1" w:rsidRPr="0001788E" w:rsidRDefault="00DE2605" w:rsidP="00A879C1">
            <w:pPr>
              <w:rPr>
                <w:rFonts w:ascii="Arial" w:hAnsi="Arial" w:cs="Arial"/>
                <w:szCs w:val="20"/>
              </w:rPr>
            </w:pPr>
            <w:r>
              <w:rPr>
                <w:rFonts w:ascii="Arial" w:hAnsi="Arial" w:cs="Arial"/>
                <w:szCs w:val="20"/>
              </w:rPr>
              <w:t>P</w:t>
            </w:r>
            <w:r w:rsidR="00A879C1" w:rsidRPr="0001788E">
              <w:rPr>
                <w:rFonts w:ascii="Arial" w:hAnsi="Arial" w:cs="Arial"/>
                <w:szCs w:val="20"/>
              </w:rPr>
              <w:t xml:space="preserve">re-vaccination </w:t>
            </w:r>
          </w:p>
        </w:tc>
        <w:tc>
          <w:tcPr>
            <w:tcW w:w="436" w:type="pct"/>
          </w:tcPr>
          <w:p w14:paraId="62DE5260" w14:textId="77777777" w:rsidR="00A879C1" w:rsidRPr="0001788E" w:rsidRDefault="00A879C1" w:rsidP="00A879C1">
            <w:pPr>
              <w:jc w:val="center"/>
              <w:rPr>
                <w:rFonts w:ascii="Arial" w:hAnsi="Arial" w:cs="Arial"/>
                <w:szCs w:val="20"/>
              </w:rPr>
            </w:pPr>
            <w:r w:rsidRPr="0001788E">
              <w:rPr>
                <w:rFonts w:ascii="Arial" w:hAnsi="Arial" w:cs="Arial"/>
                <w:szCs w:val="20"/>
              </w:rPr>
              <w:t>41</w:t>
            </w:r>
          </w:p>
        </w:tc>
        <w:tc>
          <w:tcPr>
            <w:tcW w:w="662" w:type="pct"/>
          </w:tcPr>
          <w:p w14:paraId="060B2A89" w14:textId="77777777" w:rsidR="00A879C1" w:rsidRPr="0001788E" w:rsidRDefault="00A879C1" w:rsidP="00A879C1">
            <w:pPr>
              <w:jc w:val="center"/>
              <w:rPr>
                <w:rFonts w:ascii="Arial" w:hAnsi="Arial" w:cs="Arial"/>
                <w:szCs w:val="20"/>
              </w:rPr>
            </w:pPr>
            <w:r w:rsidRPr="0001788E">
              <w:rPr>
                <w:rFonts w:ascii="Arial" w:hAnsi="Arial" w:cs="Arial"/>
                <w:szCs w:val="20"/>
              </w:rPr>
              <w:t>14637</w:t>
            </w:r>
          </w:p>
        </w:tc>
        <w:tc>
          <w:tcPr>
            <w:tcW w:w="794" w:type="pct"/>
          </w:tcPr>
          <w:p w14:paraId="756B6E55" w14:textId="77777777" w:rsidR="00A879C1" w:rsidRPr="0001788E" w:rsidRDefault="00A879C1" w:rsidP="00A879C1">
            <w:pPr>
              <w:jc w:val="center"/>
              <w:rPr>
                <w:rFonts w:ascii="Arial" w:hAnsi="Arial" w:cs="Arial"/>
                <w:szCs w:val="20"/>
              </w:rPr>
            </w:pPr>
            <w:r w:rsidRPr="0001788E">
              <w:rPr>
                <w:rFonts w:ascii="Arial" w:hAnsi="Arial" w:cs="Arial"/>
                <w:szCs w:val="20"/>
              </w:rPr>
              <w:t>1.01 (0.74-1.38)</w:t>
            </w:r>
          </w:p>
        </w:tc>
        <w:tc>
          <w:tcPr>
            <w:tcW w:w="794" w:type="pct"/>
          </w:tcPr>
          <w:p w14:paraId="3574A54C" w14:textId="77777777" w:rsidR="00A879C1" w:rsidRPr="0001788E" w:rsidRDefault="00A879C1" w:rsidP="00A879C1">
            <w:pPr>
              <w:jc w:val="center"/>
              <w:rPr>
                <w:rFonts w:ascii="Arial" w:hAnsi="Arial" w:cs="Arial"/>
                <w:szCs w:val="20"/>
              </w:rPr>
            </w:pPr>
            <w:r w:rsidRPr="0001788E">
              <w:rPr>
                <w:rFonts w:ascii="Arial" w:hAnsi="Arial" w:cs="Arial"/>
                <w:szCs w:val="20"/>
              </w:rPr>
              <w:t>0.92 (0.67-1.26)</w:t>
            </w:r>
          </w:p>
        </w:tc>
        <w:tc>
          <w:tcPr>
            <w:tcW w:w="433" w:type="pct"/>
          </w:tcPr>
          <w:p w14:paraId="56F6162C" w14:textId="77777777" w:rsidR="00A879C1" w:rsidRPr="0001788E" w:rsidRDefault="00A879C1" w:rsidP="00A879C1">
            <w:pPr>
              <w:jc w:val="center"/>
              <w:rPr>
                <w:rFonts w:ascii="Arial" w:hAnsi="Arial" w:cs="Arial"/>
                <w:szCs w:val="20"/>
              </w:rPr>
            </w:pPr>
            <w:r w:rsidRPr="0001788E">
              <w:rPr>
                <w:rFonts w:ascii="Arial" w:hAnsi="Arial" w:cs="Arial"/>
                <w:szCs w:val="20"/>
              </w:rPr>
              <w:t>0.604</w:t>
            </w:r>
          </w:p>
        </w:tc>
      </w:tr>
      <w:tr w:rsidR="00A879C1" w:rsidRPr="0001788E" w14:paraId="5DE980CB" w14:textId="77777777" w:rsidTr="00A879C1">
        <w:tc>
          <w:tcPr>
            <w:tcW w:w="596" w:type="pct"/>
            <w:vMerge/>
            <w:vAlign w:val="center"/>
          </w:tcPr>
          <w:p w14:paraId="3318E798" w14:textId="77777777" w:rsidR="00A879C1" w:rsidRPr="0001788E" w:rsidRDefault="00A879C1" w:rsidP="00A879C1">
            <w:pPr>
              <w:rPr>
                <w:rFonts w:ascii="Arial" w:hAnsi="Arial" w:cs="Arial"/>
                <w:szCs w:val="20"/>
              </w:rPr>
            </w:pPr>
          </w:p>
        </w:tc>
        <w:tc>
          <w:tcPr>
            <w:tcW w:w="1285" w:type="pct"/>
          </w:tcPr>
          <w:p w14:paraId="5D797A26" w14:textId="0E7E8B9D" w:rsidR="00A879C1" w:rsidRPr="0001788E" w:rsidRDefault="00630573" w:rsidP="00A879C1">
            <w:pPr>
              <w:rPr>
                <w:rFonts w:ascii="Arial" w:hAnsi="Arial" w:cs="Arial"/>
                <w:szCs w:val="20"/>
              </w:rPr>
            </w:pPr>
            <w:r>
              <w:rPr>
                <w:rFonts w:ascii="Arial" w:hAnsi="Arial" w:cs="Arial"/>
                <w:szCs w:val="20"/>
              </w:rPr>
              <w:t>V</w:t>
            </w:r>
            <w:r w:rsidR="00A879C1" w:rsidRPr="0001788E">
              <w:rPr>
                <w:rFonts w:ascii="Arial" w:hAnsi="Arial" w:cs="Arial"/>
                <w:szCs w:val="20"/>
              </w:rPr>
              <w:t>accin</w:t>
            </w:r>
            <w:r>
              <w:rPr>
                <w:rFonts w:ascii="Arial" w:hAnsi="Arial" w:cs="Arial"/>
                <w:szCs w:val="20"/>
              </w:rPr>
              <w:t>e exposed</w:t>
            </w:r>
            <w:r w:rsidR="00A879C1" w:rsidRPr="0001788E">
              <w:rPr>
                <w:rFonts w:ascii="Arial" w:hAnsi="Arial" w:cs="Arial"/>
                <w:szCs w:val="20"/>
              </w:rPr>
              <w:t xml:space="preserve"> </w:t>
            </w:r>
          </w:p>
        </w:tc>
        <w:tc>
          <w:tcPr>
            <w:tcW w:w="436" w:type="pct"/>
          </w:tcPr>
          <w:p w14:paraId="184FEC08" w14:textId="77777777" w:rsidR="00A879C1" w:rsidRPr="0001788E" w:rsidRDefault="00A879C1" w:rsidP="00A879C1">
            <w:pPr>
              <w:jc w:val="center"/>
              <w:rPr>
                <w:rFonts w:ascii="Arial" w:hAnsi="Arial" w:cs="Arial"/>
                <w:szCs w:val="20"/>
              </w:rPr>
            </w:pPr>
          </w:p>
        </w:tc>
        <w:tc>
          <w:tcPr>
            <w:tcW w:w="662" w:type="pct"/>
          </w:tcPr>
          <w:p w14:paraId="4D1EBBC8" w14:textId="77777777" w:rsidR="00A879C1" w:rsidRPr="0001788E" w:rsidRDefault="00A879C1" w:rsidP="00A879C1">
            <w:pPr>
              <w:jc w:val="center"/>
              <w:rPr>
                <w:rFonts w:ascii="Arial" w:hAnsi="Arial" w:cs="Arial"/>
                <w:szCs w:val="20"/>
              </w:rPr>
            </w:pPr>
          </w:p>
        </w:tc>
        <w:tc>
          <w:tcPr>
            <w:tcW w:w="794" w:type="pct"/>
          </w:tcPr>
          <w:p w14:paraId="2F16CF6F" w14:textId="77777777" w:rsidR="00A879C1" w:rsidRPr="0001788E" w:rsidRDefault="00A879C1" w:rsidP="00A879C1">
            <w:pPr>
              <w:jc w:val="center"/>
              <w:rPr>
                <w:rFonts w:ascii="Arial" w:hAnsi="Arial" w:cs="Arial"/>
                <w:szCs w:val="20"/>
              </w:rPr>
            </w:pPr>
          </w:p>
        </w:tc>
        <w:tc>
          <w:tcPr>
            <w:tcW w:w="794" w:type="pct"/>
          </w:tcPr>
          <w:p w14:paraId="19209EC2" w14:textId="77777777" w:rsidR="00A879C1" w:rsidRPr="0001788E" w:rsidRDefault="00A879C1" w:rsidP="00A879C1">
            <w:pPr>
              <w:jc w:val="center"/>
              <w:rPr>
                <w:rFonts w:ascii="Arial" w:hAnsi="Arial" w:cs="Arial"/>
                <w:szCs w:val="20"/>
              </w:rPr>
            </w:pPr>
          </w:p>
        </w:tc>
        <w:tc>
          <w:tcPr>
            <w:tcW w:w="433" w:type="pct"/>
          </w:tcPr>
          <w:p w14:paraId="13772C41" w14:textId="77777777" w:rsidR="00A879C1" w:rsidRPr="0001788E" w:rsidRDefault="00A879C1" w:rsidP="00A879C1">
            <w:pPr>
              <w:jc w:val="center"/>
              <w:rPr>
                <w:rFonts w:ascii="Arial" w:hAnsi="Arial" w:cs="Arial"/>
                <w:szCs w:val="20"/>
              </w:rPr>
            </w:pPr>
          </w:p>
        </w:tc>
      </w:tr>
      <w:tr w:rsidR="00A879C1" w:rsidRPr="0001788E" w14:paraId="2F52DCCB" w14:textId="77777777" w:rsidTr="00A879C1">
        <w:tc>
          <w:tcPr>
            <w:tcW w:w="596" w:type="pct"/>
            <w:vMerge/>
            <w:vAlign w:val="center"/>
          </w:tcPr>
          <w:p w14:paraId="61FEDB03" w14:textId="77777777" w:rsidR="00A879C1" w:rsidRPr="0001788E" w:rsidRDefault="00A879C1" w:rsidP="00A879C1">
            <w:pPr>
              <w:rPr>
                <w:rFonts w:ascii="Arial" w:hAnsi="Arial" w:cs="Arial"/>
                <w:b/>
                <w:bCs/>
                <w:szCs w:val="20"/>
              </w:rPr>
            </w:pPr>
          </w:p>
        </w:tc>
        <w:tc>
          <w:tcPr>
            <w:tcW w:w="1285" w:type="pct"/>
          </w:tcPr>
          <w:p w14:paraId="0924F82E" w14:textId="77777777" w:rsidR="00A879C1" w:rsidRPr="0001788E" w:rsidRDefault="00A879C1" w:rsidP="00A879C1">
            <w:pPr>
              <w:rPr>
                <w:rFonts w:ascii="Arial" w:hAnsi="Arial" w:cs="Arial"/>
                <w:szCs w:val="20"/>
              </w:rPr>
            </w:pPr>
            <w:r w:rsidRPr="0001788E">
              <w:rPr>
                <w:rFonts w:ascii="Arial" w:hAnsi="Arial" w:cs="Arial"/>
                <w:szCs w:val="20"/>
              </w:rPr>
              <w:t>0 - 21 days</w:t>
            </w:r>
          </w:p>
        </w:tc>
        <w:tc>
          <w:tcPr>
            <w:tcW w:w="436" w:type="pct"/>
          </w:tcPr>
          <w:p w14:paraId="6A51BA60" w14:textId="77777777" w:rsidR="00A879C1" w:rsidRPr="0001788E" w:rsidRDefault="00A879C1" w:rsidP="00A879C1">
            <w:pPr>
              <w:jc w:val="center"/>
              <w:rPr>
                <w:rFonts w:ascii="Arial" w:hAnsi="Arial" w:cs="Arial"/>
                <w:szCs w:val="20"/>
                <w:highlight w:val="yellow"/>
              </w:rPr>
            </w:pPr>
            <w:r w:rsidRPr="0001788E">
              <w:rPr>
                <w:rFonts w:ascii="Arial" w:hAnsi="Arial" w:cs="Arial"/>
                <w:szCs w:val="20"/>
              </w:rPr>
              <w:t>114</w:t>
            </w:r>
          </w:p>
        </w:tc>
        <w:tc>
          <w:tcPr>
            <w:tcW w:w="662" w:type="pct"/>
          </w:tcPr>
          <w:p w14:paraId="5C67E185" w14:textId="77777777" w:rsidR="00A879C1" w:rsidRPr="0001788E" w:rsidRDefault="00A879C1" w:rsidP="00A879C1">
            <w:pPr>
              <w:jc w:val="center"/>
              <w:rPr>
                <w:rFonts w:ascii="Arial" w:hAnsi="Arial" w:cs="Arial"/>
                <w:szCs w:val="20"/>
              </w:rPr>
            </w:pPr>
            <w:r w:rsidRPr="0001788E">
              <w:rPr>
                <w:rFonts w:ascii="Arial" w:hAnsi="Arial" w:cs="Arial"/>
                <w:szCs w:val="20"/>
              </w:rPr>
              <w:t>43853</w:t>
            </w:r>
          </w:p>
        </w:tc>
        <w:tc>
          <w:tcPr>
            <w:tcW w:w="794" w:type="pct"/>
          </w:tcPr>
          <w:p w14:paraId="184393B2" w14:textId="77777777" w:rsidR="00A879C1" w:rsidRPr="0001788E" w:rsidRDefault="00A879C1" w:rsidP="00A879C1">
            <w:pPr>
              <w:jc w:val="center"/>
              <w:rPr>
                <w:rFonts w:ascii="Arial" w:hAnsi="Arial" w:cs="Arial"/>
                <w:szCs w:val="20"/>
              </w:rPr>
            </w:pPr>
            <w:r w:rsidRPr="0001788E">
              <w:rPr>
                <w:rFonts w:ascii="Arial" w:hAnsi="Arial" w:cs="Arial"/>
                <w:szCs w:val="20"/>
              </w:rPr>
              <w:t>0.94 (0.77-1.13)</w:t>
            </w:r>
          </w:p>
        </w:tc>
        <w:tc>
          <w:tcPr>
            <w:tcW w:w="794" w:type="pct"/>
          </w:tcPr>
          <w:p w14:paraId="7385C81C" w14:textId="77777777" w:rsidR="00A879C1" w:rsidRPr="0001788E" w:rsidRDefault="00A879C1" w:rsidP="00A879C1">
            <w:pPr>
              <w:jc w:val="center"/>
              <w:rPr>
                <w:rFonts w:ascii="Arial" w:hAnsi="Arial" w:cs="Arial"/>
                <w:szCs w:val="20"/>
              </w:rPr>
            </w:pPr>
            <w:r w:rsidRPr="0001788E">
              <w:rPr>
                <w:rFonts w:ascii="Arial" w:hAnsi="Arial" w:cs="Arial"/>
                <w:szCs w:val="20"/>
              </w:rPr>
              <w:t>0.87 (0.71-1.06)</w:t>
            </w:r>
          </w:p>
        </w:tc>
        <w:tc>
          <w:tcPr>
            <w:tcW w:w="433" w:type="pct"/>
          </w:tcPr>
          <w:p w14:paraId="6E5AE011" w14:textId="77777777" w:rsidR="00A879C1" w:rsidRPr="0001788E" w:rsidRDefault="00A879C1" w:rsidP="00A879C1">
            <w:pPr>
              <w:jc w:val="center"/>
              <w:rPr>
                <w:rFonts w:ascii="Arial" w:hAnsi="Arial" w:cs="Arial"/>
                <w:szCs w:val="20"/>
              </w:rPr>
            </w:pPr>
            <w:r w:rsidRPr="0001788E">
              <w:rPr>
                <w:rFonts w:ascii="Arial" w:hAnsi="Arial" w:cs="Arial"/>
                <w:szCs w:val="20"/>
              </w:rPr>
              <w:t>0.159</w:t>
            </w:r>
          </w:p>
        </w:tc>
      </w:tr>
      <w:tr w:rsidR="00A879C1" w:rsidRPr="0001788E" w14:paraId="14F13C68" w14:textId="77777777" w:rsidTr="00A879C1">
        <w:tc>
          <w:tcPr>
            <w:tcW w:w="596" w:type="pct"/>
            <w:vMerge/>
            <w:vAlign w:val="center"/>
          </w:tcPr>
          <w:p w14:paraId="18ED31E3" w14:textId="77777777" w:rsidR="00A879C1" w:rsidRPr="0001788E" w:rsidRDefault="00A879C1" w:rsidP="00A879C1">
            <w:pPr>
              <w:rPr>
                <w:rFonts w:ascii="Arial" w:hAnsi="Arial" w:cs="Arial"/>
                <w:b/>
                <w:bCs/>
                <w:szCs w:val="20"/>
              </w:rPr>
            </w:pPr>
          </w:p>
        </w:tc>
        <w:tc>
          <w:tcPr>
            <w:tcW w:w="1285" w:type="pct"/>
          </w:tcPr>
          <w:p w14:paraId="5E9F98A5" w14:textId="77777777" w:rsidR="00A879C1" w:rsidRPr="0001788E" w:rsidRDefault="00A879C1" w:rsidP="00A879C1">
            <w:pPr>
              <w:jc w:val="right"/>
              <w:rPr>
                <w:rFonts w:ascii="Arial" w:hAnsi="Arial" w:cs="Arial"/>
                <w:szCs w:val="20"/>
              </w:rPr>
            </w:pPr>
            <w:r w:rsidRPr="0001788E">
              <w:rPr>
                <w:rFonts w:ascii="Arial" w:hAnsi="Arial" w:cs="Arial"/>
                <w:szCs w:val="20"/>
              </w:rPr>
              <w:t>0 - 7 days</w:t>
            </w:r>
          </w:p>
        </w:tc>
        <w:tc>
          <w:tcPr>
            <w:tcW w:w="436" w:type="pct"/>
          </w:tcPr>
          <w:p w14:paraId="2BAFE136" w14:textId="77777777" w:rsidR="00A879C1" w:rsidRPr="0001788E" w:rsidRDefault="00A879C1" w:rsidP="00A879C1">
            <w:pPr>
              <w:jc w:val="center"/>
              <w:rPr>
                <w:rFonts w:ascii="Arial" w:hAnsi="Arial" w:cs="Arial"/>
                <w:szCs w:val="20"/>
              </w:rPr>
            </w:pPr>
            <w:r w:rsidRPr="0001788E">
              <w:rPr>
                <w:rFonts w:ascii="Arial" w:hAnsi="Arial" w:cs="Arial"/>
                <w:szCs w:val="20"/>
              </w:rPr>
              <w:t>48</w:t>
            </w:r>
          </w:p>
        </w:tc>
        <w:tc>
          <w:tcPr>
            <w:tcW w:w="662" w:type="pct"/>
          </w:tcPr>
          <w:p w14:paraId="155FA458" w14:textId="77777777" w:rsidR="00A879C1" w:rsidRPr="0001788E" w:rsidRDefault="00A879C1" w:rsidP="00A879C1">
            <w:pPr>
              <w:jc w:val="center"/>
              <w:rPr>
                <w:rFonts w:ascii="Arial" w:hAnsi="Arial" w:cs="Arial"/>
                <w:szCs w:val="20"/>
              </w:rPr>
            </w:pPr>
            <w:r w:rsidRPr="0001788E">
              <w:rPr>
                <w:rFonts w:ascii="Arial" w:hAnsi="Arial" w:cs="Arial"/>
                <w:szCs w:val="20"/>
              </w:rPr>
              <w:t>14635</w:t>
            </w:r>
          </w:p>
        </w:tc>
        <w:tc>
          <w:tcPr>
            <w:tcW w:w="794" w:type="pct"/>
          </w:tcPr>
          <w:p w14:paraId="113081A3" w14:textId="77777777" w:rsidR="00A879C1" w:rsidRPr="0001788E" w:rsidRDefault="00A879C1" w:rsidP="00A879C1">
            <w:pPr>
              <w:jc w:val="center"/>
              <w:rPr>
                <w:rFonts w:ascii="Arial" w:hAnsi="Arial" w:cs="Arial"/>
                <w:szCs w:val="20"/>
              </w:rPr>
            </w:pPr>
            <w:r w:rsidRPr="0001788E">
              <w:rPr>
                <w:rFonts w:ascii="Arial" w:hAnsi="Arial" w:cs="Arial"/>
                <w:szCs w:val="20"/>
              </w:rPr>
              <w:t>1.18 (0.89-1.57)</w:t>
            </w:r>
          </w:p>
        </w:tc>
        <w:tc>
          <w:tcPr>
            <w:tcW w:w="794" w:type="pct"/>
          </w:tcPr>
          <w:p w14:paraId="0CEA1080" w14:textId="77777777" w:rsidR="00A879C1" w:rsidRPr="0001788E" w:rsidRDefault="00A879C1" w:rsidP="00A879C1">
            <w:pPr>
              <w:jc w:val="center"/>
              <w:rPr>
                <w:rFonts w:ascii="Arial" w:hAnsi="Arial" w:cs="Arial"/>
                <w:szCs w:val="20"/>
              </w:rPr>
            </w:pPr>
            <w:r w:rsidRPr="0001788E">
              <w:rPr>
                <w:rFonts w:ascii="Arial" w:hAnsi="Arial" w:cs="Arial"/>
                <w:szCs w:val="20"/>
              </w:rPr>
              <w:t>1.08 (0.81-1.45)</w:t>
            </w:r>
          </w:p>
        </w:tc>
        <w:tc>
          <w:tcPr>
            <w:tcW w:w="433" w:type="pct"/>
          </w:tcPr>
          <w:p w14:paraId="0A87C084" w14:textId="77777777" w:rsidR="00A879C1" w:rsidRPr="0001788E" w:rsidRDefault="00A879C1" w:rsidP="00A879C1">
            <w:pPr>
              <w:jc w:val="center"/>
              <w:rPr>
                <w:rFonts w:ascii="Arial" w:hAnsi="Arial" w:cs="Arial"/>
                <w:szCs w:val="20"/>
              </w:rPr>
            </w:pPr>
            <w:r w:rsidRPr="0001788E">
              <w:rPr>
                <w:rFonts w:ascii="Arial" w:hAnsi="Arial" w:cs="Arial"/>
                <w:szCs w:val="20"/>
              </w:rPr>
              <w:t>0.584</w:t>
            </w:r>
          </w:p>
        </w:tc>
      </w:tr>
      <w:tr w:rsidR="00A879C1" w:rsidRPr="0001788E" w14:paraId="627C777E" w14:textId="77777777" w:rsidTr="00A879C1">
        <w:tc>
          <w:tcPr>
            <w:tcW w:w="596" w:type="pct"/>
            <w:vMerge/>
          </w:tcPr>
          <w:p w14:paraId="05A71AF5" w14:textId="77777777" w:rsidR="00A879C1" w:rsidRPr="0001788E" w:rsidRDefault="00A879C1" w:rsidP="00A879C1">
            <w:pPr>
              <w:rPr>
                <w:rFonts w:ascii="Arial" w:hAnsi="Arial" w:cs="Arial"/>
                <w:b/>
                <w:bCs/>
                <w:szCs w:val="20"/>
              </w:rPr>
            </w:pPr>
          </w:p>
        </w:tc>
        <w:tc>
          <w:tcPr>
            <w:tcW w:w="1285" w:type="pct"/>
          </w:tcPr>
          <w:p w14:paraId="76C1CCD1" w14:textId="77777777" w:rsidR="00A879C1" w:rsidRPr="0001788E" w:rsidRDefault="00A879C1" w:rsidP="00A879C1">
            <w:pPr>
              <w:jc w:val="right"/>
              <w:rPr>
                <w:rFonts w:ascii="Arial" w:hAnsi="Arial" w:cs="Arial"/>
                <w:szCs w:val="20"/>
              </w:rPr>
            </w:pPr>
            <w:r w:rsidRPr="0001788E">
              <w:rPr>
                <w:rFonts w:ascii="Arial" w:hAnsi="Arial" w:cs="Arial"/>
                <w:szCs w:val="20"/>
              </w:rPr>
              <w:t xml:space="preserve">8 - 14 days  </w:t>
            </w:r>
          </w:p>
        </w:tc>
        <w:tc>
          <w:tcPr>
            <w:tcW w:w="436" w:type="pct"/>
          </w:tcPr>
          <w:p w14:paraId="03DB6763" w14:textId="77777777" w:rsidR="00A879C1" w:rsidRPr="0001788E" w:rsidRDefault="00A879C1" w:rsidP="00A879C1">
            <w:pPr>
              <w:jc w:val="center"/>
              <w:rPr>
                <w:rFonts w:ascii="Arial" w:hAnsi="Arial" w:cs="Arial"/>
                <w:szCs w:val="20"/>
              </w:rPr>
            </w:pPr>
            <w:r w:rsidRPr="0001788E">
              <w:rPr>
                <w:rFonts w:ascii="Arial" w:hAnsi="Arial" w:cs="Arial"/>
                <w:szCs w:val="20"/>
              </w:rPr>
              <w:t>30</w:t>
            </w:r>
          </w:p>
        </w:tc>
        <w:tc>
          <w:tcPr>
            <w:tcW w:w="662" w:type="pct"/>
          </w:tcPr>
          <w:p w14:paraId="131A0561" w14:textId="77777777" w:rsidR="00A879C1" w:rsidRPr="0001788E" w:rsidRDefault="00A879C1" w:rsidP="00A879C1">
            <w:pPr>
              <w:jc w:val="center"/>
              <w:rPr>
                <w:rFonts w:ascii="Arial" w:hAnsi="Arial" w:cs="Arial"/>
                <w:szCs w:val="20"/>
              </w:rPr>
            </w:pPr>
            <w:r w:rsidRPr="0001788E">
              <w:rPr>
                <w:rFonts w:ascii="Arial" w:hAnsi="Arial" w:cs="Arial"/>
                <w:szCs w:val="20"/>
              </w:rPr>
              <w:t>14629</w:t>
            </w:r>
          </w:p>
        </w:tc>
        <w:tc>
          <w:tcPr>
            <w:tcW w:w="794" w:type="pct"/>
          </w:tcPr>
          <w:p w14:paraId="684D077E" w14:textId="77777777" w:rsidR="00A879C1" w:rsidRPr="0001788E" w:rsidRDefault="00A879C1" w:rsidP="00A879C1">
            <w:pPr>
              <w:jc w:val="center"/>
              <w:rPr>
                <w:rFonts w:ascii="Arial" w:hAnsi="Arial" w:cs="Arial"/>
                <w:szCs w:val="20"/>
              </w:rPr>
            </w:pPr>
            <w:r w:rsidRPr="0001788E">
              <w:rPr>
                <w:rFonts w:ascii="Arial" w:hAnsi="Arial" w:cs="Arial"/>
                <w:szCs w:val="20"/>
              </w:rPr>
              <w:t>0.74 (0.51-1.06)</w:t>
            </w:r>
          </w:p>
        </w:tc>
        <w:tc>
          <w:tcPr>
            <w:tcW w:w="794" w:type="pct"/>
          </w:tcPr>
          <w:p w14:paraId="6E2561E2" w14:textId="77777777" w:rsidR="00A879C1" w:rsidRPr="0001788E" w:rsidRDefault="00A879C1" w:rsidP="00A879C1">
            <w:pPr>
              <w:jc w:val="center"/>
              <w:rPr>
                <w:rFonts w:ascii="Arial" w:hAnsi="Arial" w:cs="Arial"/>
                <w:szCs w:val="20"/>
              </w:rPr>
            </w:pPr>
            <w:r w:rsidRPr="0001788E">
              <w:rPr>
                <w:rFonts w:ascii="Arial" w:hAnsi="Arial" w:cs="Arial"/>
                <w:szCs w:val="20"/>
              </w:rPr>
              <w:t>0.68 (0.47-0.98)</w:t>
            </w:r>
          </w:p>
        </w:tc>
        <w:tc>
          <w:tcPr>
            <w:tcW w:w="433" w:type="pct"/>
          </w:tcPr>
          <w:p w14:paraId="2B2917A2" w14:textId="77777777" w:rsidR="00A879C1" w:rsidRPr="0001788E" w:rsidRDefault="00A879C1" w:rsidP="00A879C1">
            <w:pPr>
              <w:jc w:val="center"/>
              <w:rPr>
                <w:rFonts w:ascii="Arial" w:hAnsi="Arial" w:cs="Arial"/>
                <w:szCs w:val="20"/>
              </w:rPr>
            </w:pPr>
            <w:r w:rsidRPr="0001788E">
              <w:rPr>
                <w:rFonts w:ascii="Arial" w:hAnsi="Arial" w:cs="Arial"/>
                <w:szCs w:val="20"/>
              </w:rPr>
              <w:t>0.038</w:t>
            </w:r>
          </w:p>
        </w:tc>
      </w:tr>
      <w:tr w:rsidR="00A879C1" w:rsidRPr="0001788E" w14:paraId="01E8A211" w14:textId="77777777" w:rsidTr="00A879C1">
        <w:trPr>
          <w:trHeight w:val="211"/>
        </w:trPr>
        <w:tc>
          <w:tcPr>
            <w:tcW w:w="596" w:type="pct"/>
            <w:vMerge/>
          </w:tcPr>
          <w:p w14:paraId="5C010E37" w14:textId="77777777" w:rsidR="00A879C1" w:rsidRPr="0001788E" w:rsidRDefault="00A879C1" w:rsidP="00A879C1">
            <w:pPr>
              <w:rPr>
                <w:rFonts w:ascii="Arial" w:hAnsi="Arial" w:cs="Arial"/>
                <w:b/>
                <w:bCs/>
                <w:szCs w:val="20"/>
              </w:rPr>
            </w:pPr>
          </w:p>
        </w:tc>
        <w:tc>
          <w:tcPr>
            <w:tcW w:w="1285" w:type="pct"/>
          </w:tcPr>
          <w:p w14:paraId="2F8B2DF8" w14:textId="77777777" w:rsidR="00A879C1" w:rsidRPr="0001788E" w:rsidRDefault="00A879C1" w:rsidP="00A879C1">
            <w:pPr>
              <w:jc w:val="right"/>
              <w:rPr>
                <w:rFonts w:ascii="Arial" w:hAnsi="Arial" w:cs="Arial"/>
                <w:szCs w:val="20"/>
              </w:rPr>
            </w:pPr>
            <w:r w:rsidRPr="0001788E">
              <w:rPr>
                <w:rFonts w:ascii="Arial" w:hAnsi="Arial" w:cs="Arial"/>
                <w:szCs w:val="20"/>
              </w:rPr>
              <w:t>15 - 21 days</w:t>
            </w:r>
          </w:p>
        </w:tc>
        <w:tc>
          <w:tcPr>
            <w:tcW w:w="436" w:type="pct"/>
          </w:tcPr>
          <w:p w14:paraId="096F62B5" w14:textId="77777777" w:rsidR="00A879C1" w:rsidRPr="0001788E" w:rsidRDefault="00A879C1" w:rsidP="00A879C1">
            <w:pPr>
              <w:jc w:val="center"/>
              <w:rPr>
                <w:rFonts w:ascii="Arial" w:hAnsi="Arial" w:cs="Arial"/>
                <w:szCs w:val="20"/>
              </w:rPr>
            </w:pPr>
            <w:r w:rsidRPr="0001788E">
              <w:rPr>
                <w:rFonts w:ascii="Arial" w:hAnsi="Arial" w:cs="Arial"/>
                <w:szCs w:val="20"/>
              </w:rPr>
              <w:t>36</w:t>
            </w:r>
          </w:p>
        </w:tc>
        <w:tc>
          <w:tcPr>
            <w:tcW w:w="662" w:type="pct"/>
          </w:tcPr>
          <w:p w14:paraId="112A648B" w14:textId="77777777" w:rsidR="00A879C1" w:rsidRPr="0001788E" w:rsidRDefault="00A879C1" w:rsidP="00A879C1">
            <w:pPr>
              <w:jc w:val="center"/>
              <w:rPr>
                <w:rFonts w:ascii="Arial" w:hAnsi="Arial" w:cs="Arial"/>
                <w:szCs w:val="20"/>
              </w:rPr>
            </w:pPr>
            <w:r w:rsidRPr="0001788E">
              <w:rPr>
                <w:rFonts w:ascii="Arial" w:hAnsi="Arial" w:cs="Arial"/>
                <w:szCs w:val="20"/>
              </w:rPr>
              <w:t>14589</w:t>
            </w:r>
          </w:p>
        </w:tc>
        <w:tc>
          <w:tcPr>
            <w:tcW w:w="794" w:type="pct"/>
          </w:tcPr>
          <w:p w14:paraId="225FD11C" w14:textId="77777777" w:rsidR="00A879C1" w:rsidRPr="0001788E" w:rsidRDefault="00A879C1" w:rsidP="00A879C1">
            <w:pPr>
              <w:jc w:val="center"/>
              <w:rPr>
                <w:rFonts w:ascii="Arial" w:hAnsi="Arial" w:cs="Arial"/>
                <w:szCs w:val="20"/>
              </w:rPr>
            </w:pPr>
            <w:r w:rsidRPr="0001788E">
              <w:rPr>
                <w:rFonts w:ascii="Arial" w:hAnsi="Arial" w:cs="Arial"/>
                <w:szCs w:val="20"/>
              </w:rPr>
              <w:t>0.89 (0.64-1.24)</w:t>
            </w:r>
          </w:p>
        </w:tc>
        <w:tc>
          <w:tcPr>
            <w:tcW w:w="794" w:type="pct"/>
          </w:tcPr>
          <w:p w14:paraId="50E5E3E1" w14:textId="77777777" w:rsidR="00A879C1" w:rsidRPr="0001788E" w:rsidRDefault="00A879C1" w:rsidP="00A879C1">
            <w:pPr>
              <w:jc w:val="center"/>
              <w:rPr>
                <w:rFonts w:ascii="Arial" w:hAnsi="Arial" w:cs="Arial"/>
                <w:szCs w:val="20"/>
              </w:rPr>
            </w:pPr>
            <w:r w:rsidRPr="0001788E">
              <w:rPr>
                <w:rFonts w:ascii="Arial" w:hAnsi="Arial" w:cs="Arial"/>
                <w:szCs w:val="20"/>
              </w:rPr>
              <w:t>0.83 (0.59-1.15)</w:t>
            </w:r>
          </w:p>
        </w:tc>
        <w:tc>
          <w:tcPr>
            <w:tcW w:w="433" w:type="pct"/>
          </w:tcPr>
          <w:p w14:paraId="1E641E3C" w14:textId="77777777" w:rsidR="00A879C1" w:rsidRPr="0001788E" w:rsidRDefault="00A879C1" w:rsidP="00A879C1">
            <w:pPr>
              <w:jc w:val="center"/>
              <w:rPr>
                <w:rFonts w:ascii="Arial" w:hAnsi="Arial" w:cs="Arial"/>
                <w:szCs w:val="20"/>
              </w:rPr>
            </w:pPr>
            <w:r w:rsidRPr="0001788E">
              <w:rPr>
                <w:rFonts w:ascii="Arial" w:hAnsi="Arial" w:cs="Arial"/>
                <w:szCs w:val="20"/>
              </w:rPr>
              <w:t>0.264</w:t>
            </w:r>
          </w:p>
        </w:tc>
      </w:tr>
      <w:tr w:rsidR="00A879C1" w:rsidRPr="0001788E" w14:paraId="08B11CE8" w14:textId="77777777" w:rsidTr="00A879C1">
        <w:tc>
          <w:tcPr>
            <w:tcW w:w="596" w:type="pct"/>
            <w:vMerge w:val="restart"/>
          </w:tcPr>
          <w:p w14:paraId="549E177A" w14:textId="77777777" w:rsidR="00A879C1" w:rsidRPr="0001788E" w:rsidRDefault="00A879C1" w:rsidP="00A879C1">
            <w:pPr>
              <w:rPr>
                <w:rFonts w:ascii="Arial" w:hAnsi="Arial" w:cs="Arial"/>
                <w:b/>
                <w:bCs/>
                <w:szCs w:val="20"/>
              </w:rPr>
            </w:pPr>
            <w:r w:rsidRPr="0001788E">
              <w:rPr>
                <w:rFonts w:ascii="Arial" w:hAnsi="Arial" w:cs="Arial"/>
                <w:szCs w:val="20"/>
              </w:rPr>
              <w:t>2</w:t>
            </w:r>
            <w:r w:rsidRPr="0001788E">
              <w:rPr>
                <w:rFonts w:ascii="Arial" w:hAnsi="Arial" w:cs="Arial"/>
                <w:szCs w:val="20"/>
                <w:vertAlign w:val="superscript"/>
              </w:rPr>
              <w:t>nd</w:t>
            </w:r>
            <w:r w:rsidRPr="0001788E">
              <w:rPr>
                <w:rFonts w:ascii="Arial" w:hAnsi="Arial" w:cs="Arial"/>
                <w:szCs w:val="20"/>
              </w:rPr>
              <w:t xml:space="preserve"> dose</w:t>
            </w:r>
          </w:p>
          <w:p w14:paraId="4FF79118" w14:textId="77777777" w:rsidR="00A879C1" w:rsidRPr="0001788E" w:rsidRDefault="00A879C1" w:rsidP="00A879C1">
            <w:pPr>
              <w:rPr>
                <w:rFonts w:ascii="Arial" w:hAnsi="Arial" w:cs="Arial"/>
                <w:szCs w:val="20"/>
              </w:rPr>
            </w:pPr>
            <w:r w:rsidRPr="0001788E">
              <w:rPr>
                <w:rFonts w:ascii="Arial" w:hAnsi="Arial" w:cs="Arial"/>
                <w:b/>
                <w:bCs/>
                <w:szCs w:val="20"/>
              </w:rPr>
              <w:t xml:space="preserve"> </w:t>
            </w:r>
          </w:p>
        </w:tc>
        <w:tc>
          <w:tcPr>
            <w:tcW w:w="1285" w:type="pct"/>
          </w:tcPr>
          <w:p w14:paraId="6786142B" w14:textId="27BEB34B" w:rsidR="00A879C1" w:rsidRPr="0001788E" w:rsidRDefault="00630573" w:rsidP="00A879C1">
            <w:pPr>
              <w:rPr>
                <w:rFonts w:ascii="Arial" w:hAnsi="Arial" w:cs="Arial"/>
                <w:szCs w:val="20"/>
              </w:rPr>
            </w:pPr>
            <w:r>
              <w:rPr>
                <w:rFonts w:ascii="Arial"/>
                <w:spacing w:val="-2"/>
              </w:rPr>
              <w:t>Vaccine unexposed b</w:t>
            </w:r>
            <w:r w:rsidR="00A879C1" w:rsidRPr="0001788E">
              <w:rPr>
                <w:rFonts w:ascii="Arial" w:hAnsi="Arial" w:cs="Arial"/>
                <w:szCs w:val="20"/>
              </w:rPr>
              <w:t>aseline</w:t>
            </w:r>
          </w:p>
        </w:tc>
        <w:tc>
          <w:tcPr>
            <w:tcW w:w="436" w:type="pct"/>
          </w:tcPr>
          <w:p w14:paraId="1DC09648" w14:textId="77777777" w:rsidR="00A879C1" w:rsidRPr="0001788E" w:rsidRDefault="00A879C1" w:rsidP="00A879C1">
            <w:pPr>
              <w:jc w:val="center"/>
              <w:rPr>
                <w:rFonts w:ascii="Arial" w:hAnsi="Arial" w:cs="Arial"/>
                <w:szCs w:val="20"/>
              </w:rPr>
            </w:pPr>
            <w:r w:rsidRPr="0001788E">
              <w:rPr>
                <w:rFonts w:ascii="Arial" w:hAnsi="Arial" w:cs="Arial"/>
                <w:szCs w:val="20"/>
              </w:rPr>
              <w:t>1701</w:t>
            </w:r>
          </w:p>
        </w:tc>
        <w:tc>
          <w:tcPr>
            <w:tcW w:w="662" w:type="pct"/>
          </w:tcPr>
          <w:p w14:paraId="005207C6" w14:textId="77777777" w:rsidR="00A879C1" w:rsidRPr="0001788E" w:rsidRDefault="00A879C1" w:rsidP="00A879C1">
            <w:pPr>
              <w:jc w:val="center"/>
              <w:rPr>
                <w:rFonts w:ascii="Arial" w:hAnsi="Arial" w:cs="Arial"/>
                <w:szCs w:val="20"/>
              </w:rPr>
            </w:pPr>
            <w:r w:rsidRPr="0001788E">
              <w:rPr>
                <w:rFonts w:ascii="Arial" w:hAnsi="Arial" w:cs="Arial"/>
                <w:szCs w:val="20"/>
              </w:rPr>
              <w:t>621626</w:t>
            </w:r>
          </w:p>
        </w:tc>
        <w:tc>
          <w:tcPr>
            <w:tcW w:w="794" w:type="pct"/>
            <w:vAlign w:val="center"/>
          </w:tcPr>
          <w:p w14:paraId="6600F292" w14:textId="77777777" w:rsidR="00A879C1" w:rsidRPr="0001788E" w:rsidRDefault="00A879C1" w:rsidP="00A879C1">
            <w:pPr>
              <w:jc w:val="center"/>
              <w:rPr>
                <w:rFonts w:ascii="Arial" w:hAnsi="Arial" w:cs="Arial"/>
                <w:szCs w:val="20"/>
              </w:rPr>
            </w:pPr>
            <w:r w:rsidRPr="0001788E">
              <w:rPr>
                <w:rFonts w:ascii="Arial" w:hAnsi="Arial" w:cs="Arial"/>
                <w:szCs w:val="20"/>
              </w:rPr>
              <w:t>1</w:t>
            </w:r>
          </w:p>
        </w:tc>
        <w:tc>
          <w:tcPr>
            <w:tcW w:w="794" w:type="pct"/>
            <w:vAlign w:val="center"/>
          </w:tcPr>
          <w:p w14:paraId="4D66BB5C" w14:textId="77777777" w:rsidR="00A879C1" w:rsidRPr="0001788E" w:rsidRDefault="00A879C1" w:rsidP="00A879C1">
            <w:pPr>
              <w:jc w:val="center"/>
              <w:rPr>
                <w:rFonts w:ascii="Arial" w:hAnsi="Arial" w:cs="Arial"/>
                <w:szCs w:val="20"/>
              </w:rPr>
            </w:pPr>
            <w:r w:rsidRPr="0001788E">
              <w:rPr>
                <w:rFonts w:ascii="Arial" w:hAnsi="Arial" w:cs="Arial"/>
                <w:szCs w:val="20"/>
              </w:rPr>
              <w:t>1</w:t>
            </w:r>
          </w:p>
        </w:tc>
        <w:tc>
          <w:tcPr>
            <w:tcW w:w="433" w:type="pct"/>
            <w:vAlign w:val="center"/>
          </w:tcPr>
          <w:p w14:paraId="792E84FF" w14:textId="77777777" w:rsidR="00A879C1" w:rsidRPr="0001788E" w:rsidRDefault="00A879C1" w:rsidP="00A879C1">
            <w:pPr>
              <w:jc w:val="center"/>
              <w:rPr>
                <w:rFonts w:ascii="Arial" w:hAnsi="Arial" w:cs="Arial"/>
                <w:szCs w:val="20"/>
              </w:rPr>
            </w:pPr>
            <w:r w:rsidRPr="0001788E">
              <w:rPr>
                <w:rFonts w:ascii="Arial" w:hAnsi="Arial" w:cs="Arial"/>
                <w:szCs w:val="20"/>
              </w:rPr>
              <w:t>-/-</w:t>
            </w:r>
          </w:p>
        </w:tc>
      </w:tr>
      <w:tr w:rsidR="00A879C1" w:rsidRPr="0001788E" w14:paraId="6D8CAB88" w14:textId="77777777" w:rsidTr="00A879C1">
        <w:tc>
          <w:tcPr>
            <w:tcW w:w="596" w:type="pct"/>
            <w:vMerge/>
          </w:tcPr>
          <w:p w14:paraId="0DAEA3E9" w14:textId="77777777" w:rsidR="00A879C1" w:rsidRPr="0001788E" w:rsidRDefault="00A879C1" w:rsidP="00A879C1">
            <w:pPr>
              <w:rPr>
                <w:rFonts w:ascii="Arial" w:hAnsi="Arial" w:cs="Arial"/>
                <w:b/>
                <w:bCs/>
                <w:szCs w:val="20"/>
              </w:rPr>
            </w:pPr>
          </w:p>
        </w:tc>
        <w:tc>
          <w:tcPr>
            <w:tcW w:w="1285" w:type="pct"/>
          </w:tcPr>
          <w:p w14:paraId="7FD2DAE3" w14:textId="59F112FF" w:rsidR="00A879C1" w:rsidRPr="0001788E" w:rsidRDefault="00630573" w:rsidP="00A879C1">
            <w:pPr>
              <w:rPr>
                <w:rFonts w:ascii="Arial" w:hAnsi="Arial" w:cs="Arial"/>
                <w:szCs w:val="20"/>
              </w:rPr>
            </w:pPr>
            <w:r>
              <w:rPr>
                <w:rFonts w:ascii="Arial" w:hAnsi="Arial" w:cs="Arial"/>
                <w:szCs w:val="20"/>
              </w:rPr>
              <w:t>P</w:t>
            </w:r>
            <w:r w:rsidR="00A879C1" w:rsidRPr="0001788E">
              <w:rPr>
                <w:rFonts w:ascii="Arial" w:hAnsi="Arial" w:cs="Arial"/>
                <w:szCs w:val="20"/>
              </w:rPr>
              <w:t xml:space="preserve">re-vaccination </w:t>
            </w:r>
          </w:p>
        </w:tc>
        <w:tc>
          <w:tcPr>
            <w:tcW w:w="436" w:type="pct"/>
          </w:tcPr>
          <w:p w14:paraId="57242DF9" w14:textId="77777777" w:rsidR="00A879C1" w:rsidRPr="0001788E" w:rsidRDefault="00A879C1" w:rsidP="00A879C1">
            <w:pPr>
              <w:jc w:val="center"/>
              <w:rPr>
                <w:rFonts w:ascii="Arial" w:hAnsi="Arial" w:cs="Arial"/>
                <w:szCs w:val="20"/>
              </w:rPr>
            </w:pPr>
            <w:r w:rsidRPr="0001788E">
              <w:rPr>
                <w:rFonts w:ascii="Arial" w:hAnsi="Arial" w:cs="Arial"/>
                <w:szCs w:val="20"/>
              </w:rPr>
              <w:t>42</w:t>
            </w:r>
          </w:p>
        </w:tc>
        <w:tc>
          <w:tcPr>
            <w:tcW w:w="662" w:type="pct"/>
          </w:tcPr>
          <w:p w14:paraId="22049EDF" w14:textId="77777777" w:rsidR="00A879C1" w:rsidRPr="0001788E" w:rsidRDefault="00A879C1" w:rsidP="00A879C1">
            <w:pPr>
              <w:jc w:val="center"/>
              <w:rPr>
                <w:rFonts w:ascii="Arial" w:hAnsi="Arial" w:cs="Arial"/>
                <w:szCs w:val="20"/>
              </w:rPr>
            </w:pPr>
            <w:r w:rsidRPr="0001788E">
              <w:rPr>
                <w:rFonts w:ascii="Arial" w:hAnsi="Arial" w:cs="Arial"/>
                <w:szCs w:val="20"/>
              </w:rPr>
              <w:t>13867</w:t>
            </w:r>
          </w:p>
        </w:tc>
        <w:tc>
          <w:tcPr>
            <w:tcW w:w="794" w:type="pct"/>
          </w:tcPr>
          <w:p w14:paraId="264F9CB1" w14:textId="77777777" w:rsidR="00A879C1" w:rsidRPr="0001788E" w:rsidRDefault="00A879C1" w:rsidP="00A879C1">
            <w:pPr>
              <w:jc w:val="center"/>
              <w:rPr>
                <w:rFonts w:ascii="Arial" w:hAnsi="Arial" w:cs="Arial"/>
                <w:szCs w:val="20"/>
              </w:rPr>
            </w:pPr>
            <w:r w:rsidRPr="0001788E">
              <w:rPr>
                <w:rFonts w:ascii="Arial" w:hAnsi="Arial" w:cs="Arial"/>
                <w:szCs w:val="20"/>
              </w:rPr>
              <w:t>1.11(0.81-1.50)</w:t>
            </w:r>
          </w:p>
        </w:tc>
        <w:tc>
          <w:tcPr>
            <w:tcW w:w="794" w:type="pct"/>
          </w:tcPr>
          <w:p w14:paraId="573AF74F" w14:textId="77777777" w:rsidR="00A879C1" w:rsidRPr="0001788E" w:rsidRDefault="00A879C1" w:rsidP="00A879C1">
            <w:pPr>
              <w:jc w:val="center"/>
              <w:rPr>
                <w:rFonts w:ascii="Arial" w:hAnsi="Arial" w:cs="Arial"/>
                <w:szCs w:val="20"/>
              </w:rPr>
            </w:pPr>
            <w:r w:rsidRPr="0001788E">
              <w:rPr>
                <w:rFonts w:ascii="Arial" w:hAnsi="Arial" w:cs="Arial"/>
                <w:szCs w:val="20"/>
              </w:rPr>
              <w:t>1.06 (0.77-1.45)</w:t>
            </w:r>
          </w:p>
        </w:tc>
        <w:tc>
          <w:tcPr>
            <w:tcW w:w="433" w:type="pct"/>
          </w:tcPr>
          <w:p w14:paraId="0C2E76B5" w14:textId="77777777" w:rsidR="00A879C1" w:rsidRPr="0001788E" w:rsidRDefault="00A879C1" w:rsidP="00A879C1">
            <w:pPr>
              <w:jc w:val="center"/>
              <w:rPr>
                <w:rFonts w:ascii="Arial" w:hAnsi="Arial" w:cs="Arial"/>
                <w:szCs w:val="20"/>
              </w:rPr>
            </w:pPr>
            <w:r w:rsidRPr="0001788E">
              <w:rPr>
                <w:rFonts w:ascii="Arial" w:hAnsi="Arial" w:cs="Arial"/>
                <w:szCs w:val="20"/>
              </w:rPr>
              <w:t>0.732</w:t>
            </w:r>
          </w:p>
        </w:tc>
      </w:tr>
      <w:tr w:rsidR="00A879C1" w:rsidRPr="0001788E" w14:paraId="06284A35" w14:textId="77777777" w:rsidTr="00A879C1">
        <w:tc>
          <w:tcPr>
            <w:tcW w:w="596" w:type="pct"/>
            <w:vMerge/>
            <w:vAlign w:val="center"/>
          </w:tcPr>
          <w:p w14:paraId="489D7FEF" w14:textId="77777777" w:rsidR="00A879C1" w:rsidRPr="0001788E" w:rsidRDefault="00A879C1" w:rsidP="00A879C1">
            <w:pPr>
              <w:rPr>
                <w:rFonts w:ascii="Arial" w:hAnsi="Arial" w:cs="Arial"/>
                <w:b/>
                <w:bCs/>
                <w:szCs w:val="20"/>
              </w:rPr>
            </w:pPr>
          </w:p>
        </w:tc>
        <w:tc>
          <w:tcPr>
            <w:tcW w:w="1285" w:type="pct"/>
          </w:tcPr>
          <w:p w14:paraId="5D41D3A8" w14:textId="17103255" w:rsidR="00A879C1" w:rsidRPr="0001788E" w:rsidRDefault="00630573" w:rsidP="00A879C1">
            <w:pPr>
              <w:rPr>
                <w:rFonts w:ascii="Arial" w:hAnsi="Arial" w:cs="Arial"/>
                <w:szCs w:val="20"/>
              </w:rPr>
            </w:pPr>
            <w:r>
              <w:rPr>
                <w:rFonts w:ascii="Arial" w:hAnsi="Arial" w:cs="Arial"/>
                <w:szCs w:val="20"/>
              </w:rPr>
              <w:t>V</w:t>
            </w:r>
            <w:r w:rsidR="00A879C1" w:rsidRPr="0001788E">
              <w:rPr>
                <w:rFonts w:ascii="Arial" w:hAnsi="Arial" w:cs="Arial"/>
                <w:szCs w:val="20"/>
              </w:rPr>
              <w:t>accin</w:t>
            </w:r>
            <w:r>
              <w:rPr>
                <w:rFonts w:ascii="Arial" w:hAnsi="Arial" w:cs="Arial"/>
                <w:szCs w:val="20"/>
              </w:rPr>
              <w:t>e exposed</w:t>
            </w:r>
            <w:r w:rsidR="00A879C1" w:rsidRPr="0001788E">
              <w:rPr>
                <w:rFonts w:ascii="Arial" w:hAnsi="Arial" w:cs="Arial"/>
                <w:szCs w:val="20"/>
              </w:rPr>
              <w:t xml:space="preserve"> </w:t>
            </w:r>
          </w:p>
        </w:tc>
        <w:tc>
          <w:tcPr>
            <w:tcW w:w="436" w:type="pct"/>
          </w:tcPr>
          <w:p w14:paraId="4161BA15" w14:textId="77777777" w:rsidR="00A879C1" w:rsidRPr="0001788E" w:rsidRDefault="00A879C1" w:rsidP="00A879C1">
            <w:pPr>
              <w:jc w:val="center"/>
              <w:rPr>
                <w:rFonts w:ascii="Arial" w:hAnsi="Arial" w:cs="Arial"/>
                <w:szCs w:val="20"/>
              </w:rPr>
            </w:pPr>
          </w:p>
        </w:tc>
        <w:tc>
          <w:tcPr>
            <w:tcW w:w="662" w:type="pct"/>
          </w:tcPr>
          <w:p w14:paraId="5D2CA09A" w14:textId="77777777" w:rsidR="00A879C1" w:rsidRPr="0001788E" w:rsidRDefault="00A879C1" w:rsidP="00A879C1">
            <w:pPr>
              <w:jc w:val="center"/>
              <w:rPr>
                <w:rFonts w:ascii="Arial" w:hAnsi="Arial" w:cs="Arial"/>
                <w:szCs w:val="20"/>
              </w:rPr>
            </w:pPr>
          </w:p>
        </w:tc>
        <w:tc>
          <w:tcPr>
            <w:tcW w:w="794" w:type="pct"/>
          </w:tcPr>
          <w:p w14:paraId="141A2025" w14:textId="77777777" w:rsidR="00A879C1" w:rsidRPr="0001788E" w:rsidRDefault="00A879C1" w:rsidP="00A879C1">
            <w:pPr>
              <w:jc w:val="center"/>
              <w:rPr>
                <w:rFonts w:ascii="Arial" w:hAnsi="Arial" w:cs="Arial"/>
                <w:szCs w:val="20"/>
              </w:rPr>
            </w:pPr>
          </w:p>
        </w:tc>
        <w:tc>
          <w:tcPr>
            <w:tcW w:w="794" w:type="pct"/>
          </w:tcPr>
          <w:p w14:paraId="494FEA02" w14:textId="77777777" w:rsidR="00A879C1" w:rsidRPr="0001788E" w:rsidRDefault="00A879C1" w:rsidP="00A879C1">
            <w:pPr>
              <w:jc w:val="center"/>
              <w:rPr>
                <w:rFonts w:ascii="Arial" w:hAnsi="Arial" w:cs="Arial"/>
                <w:szCs w:val="20"/>
              </w:rPr>
            </w:pPr>
          </w:p>
        </w:tc>
        <w:tc>
          <w:tcPr>
            <w:tcW w:w="433" w:type="pct"/>
          </w:tcPr>
          <w:p w14:paraId="19D11BE8" w14:textId="77777777" w:rsidR="00A879C1" w:rsidRPr="0001788E" w:rsidRDefault="00A879C1" w:rsidP="00A879C1">
            <w:pPr>
              <w:jc w:val="center"/>
              <w:rPr>
                <w:rFonts w:ascii="Arial" w:hAnsi="Arial" w:cs="Arial"/>
                <w:szCs w:val="20"/>
              </w:rPr>
            </w:pPr>
          </w:p>
        </w:tc>
      </w:tr>
      <w:tr w:rsidR="00A879C1" w:rsidRPr="0001788E" w14:paraId="32C904C4" w14:textId="77777777" w:rsidTr="00A879C1">
        <w:tc>
          <w:tcPr>
            <w:tcW w:w="596" w:type="pct"/>
            <w:vMerge/>
          </w:tcPr>
          <w:p w14:paraId="52B38C33" w14:textId="77777777" w:rsidR="00A879C1" w:rsidRPr="0001788E" w:rsidRDefault="00A879C1" w:rsidP="00A879C1">
            <w:pPr>
              <w:rPr>
                <w:rFonts w:ascii="Arial" w:hAnsi="Arial" w:cs="Arial"/>
                <w:szCs w:val="20"/>
              </w:rPr>
            </w:pPr>
          </w:p>
        </w:tc>
        <w:tc>
          <w:tcPr>
            <w:tcW w:w="1285" w:type="pct"/>
          </w:tcPr>
          <w:p w14:paraId="4D165C2A" w14:textId="77777777" w:rsidR="00A879C1" w:rsidRPr="0001788E" w:rsidRDefault="00A879C1" w:rsidP="00A879C1">
            <w:pPr>
              <w:rPr>
                <w:rFonts w:ascii="Arial" w:hAnsi="Arial" w:cs="Arial"/>
                <w:szCs w:val="20"/>
              </w:rPr>
            </w:pPr>
            <w:r w:rsidRPr="0001788E">
              <w:rPr>
                <w:rFonts w:ascii="Arial" w:hAnsi="Arial" w:cs="Arial"/>
                <w:szCs w:val="20"/>
              </w:rPr>
              <w:t>0 - 21 days</w:t>
            </w:r>
          </w:p>
        </w:tc>
        <w:tc>
          <w:tcPr>
            <w:tcW w:w="436" w:type="pct"/>
          </w:tcPr>
          <w:p w14:paraId="6DDA96B7" w14:textId="77777777" w:rsidR="00A879C1" w:rsidRPr="0001788E" w:rsidRDefault="00A879C1" w:rsidP="00A879C1">
            <w:pPr>
              <w:jc w:val="center"/>
              <w:rPr>
                <w:rFonts w:ascii="Arial" w:hAnsi="Arial" w:cs="Arial"/>
                <w:szCs w:val="20"/>
              </w:rPr>
            </w:pPr>
            <w:r w:rsidRPr="0001788E">
              <w:rPr>
                <w:rFonts w:ascii="Arial" w:hAnsi="Arial" w:cs="Arial"/>
                <w:szCs w:val="20"/>
              </w:rPr>
              <w:t>111</w:t>
            </w:r>
          </w:p>
        </w:tc>
        <w:tc>
          <w:tcPr>
            <w:tcW w:w="662" w:type="pct"/>
          </w:tcPr>
          <w:p w14:paraId="75D4D40D" w14:textId="77777777" w:rsidR="00A879C1" w:rsidRPr="0001788E" w:rsidRDefault="00A879C1" w:rsidP="00A879C1">
            <w:pPr>
              <w:jc w:val="center"/>
              <w:rPr>
                <w:rFonts w:ascii="Arial" w:hAnsi="Arial" w:cs="Arial"/>
                <w:szCs w:val="20"/>
              </w:rPr>
            </w:pPr>
            <w:r w:rsidRPr="0001788E">
              <w:rPr>
                <w:rFonts w:ascii="Arial" w:hAnsi="Arial" w:cs="Arial"/>
                <w:szCs w:val="20"/>
              </w:rPr>
              <w:t>41375</w:t>
            </w:r>
          </w:p>
        </w:tc>
        <w:tc>
          <w:tcPr>
            <w:tcW w:w="794" w:type="pct"/>
          </w:tcPr>
          <w:p w14:paraId="00D7F462" w14:textId="77777777" w:rsidR="00A879C1" w:rsidRPr="0001788E" w:rsidRDefault="00A879C1" w:rsidP="00A879C1">
            <w:pPr>
              <w:jc w:val="center"/>
              <w:rPr>
                <w:rFonts w:ascii="Arial" w:hAnsi="Arial" w:cs="Arial"/>
                <w:szCs w:val="20"/>
              </w:rPr>
            </w:pPr>
            <w:r w:rsidRPr="0001788E">
              <w:rPr>
                <w:rFonts w:ascii="Arial" w:hAnsi="Arial" w:cs="Arial"/>
                <w:szCs w:val="20"/>
              </w:rPr>
              <w:t>0.98 (0.81-1.50)</w:t>
            </w:r>
          </w:p>
        </w:tc>
        <w:tc>
          <w:tcPr>
            <w:tcW w:w="794" w:type="pct"/>
          </w:tcPr>
          <w:p w14:paraId="77C6F83D" w14:textId="77777777" w:rsidR="00A879C1" w:rsidRPr="0001788E" w:rsidRDefault="00A879C1" w:rsidP="00A879C1">
            <w:pPr>
              <w:jc w:val="center"/>
              <w:rPr>
                <w:rFonts w:ascii="Arial" w:hAnsi="Arial" w:cs="Arial"/>
                <w:szCs w:val="20"/>
              </w:rPr>
            </w:pPr>
            <w:r w:rsidRPr="0001788E">
              <w:rPr>
                <w:rFonts w:ascii="Arial" w:hAnsi="Arial" w:cs="Arial"/>
                <w:szCs w:val="20"/>
              </w:rPr>
              <w:t>0.93 (0.75-1.15)</w:t>
            </w:r>
          </w:p>
        </w:tc>
        <w:tc>
          <w:tcPr>
            <w:tcW w:w="433" w:type="pct"/>
          </w:tcPr>
          <w:p w14:paraId="272E358C" w14:textId="77777777" w:rsidR="00A879C1" w:rsidRPr="0001788E" w:rsidRDefault="00A879C1" w:rsidP="00A879C1">
            <w:pPr>
              <w:jc w:val="center"/>
              <w:rPr>
                <w:rFonts w:ascii="Arial" w:hAnsi="Arial" w:cs="Arial"/>
                <w:szCs w:val="20"/>
              </w:rPr>
            </w:pPr>
            <w:r w:rsidRPr="0001788E">
              <w:rPr>
                <w:rFonts w:ascii="Arial" w:hAnsi="Arial" w:cs="Arial"/>
                <w:szCs w:val="20"/>
              </w:rPr>
              <w:t>0.507</w:t>
            </w:r>
          </w:p>
        </w:tc>
      </w:tr>
      <w:tr w:rsidR="00A879C1" w:rsidRPr="0001788E" w14:paraId="3844BA9F" w14:textId="77777777" w:rsidTr="00A879C1">
        <w:tc>
          <w:tcPr>
            <w:tcW w:w="596" w:type="pct"/>
            <w:vMerge/>
          </w:tcPr>
          <w:p w14:paraId="64C8A2ED" w14:textId="77777777" w:rsidR="00A879C1" w:rsidRPr="0001788E" w:rsidRDefault="00A879C1" w:rsidP="00A879C1">
            <w:pPr>
              <w:rPr>
                <w:rFonts w:ascii="Arial" w:hAnsi="Arial" w:cs="Arial"/>
                <w:szCs w:val="20"/>
              </w:rPr>
            </w:pPr>
          </w:p>
        </w:tc>
        <w:tc>
          <w:tcPr>
            <w:tcW w:w="1285" w:type="pct"/>
          </w:tcPr>
          <w:p w14:paraId="001F4222" w14:textId="77777777" w:rsidR="00A879C1" w:rsidRPr="0001788E" w:rsidRDefault="00A879C1" w:rsidP="00A879C1">
            <w:pPr>
              <w:jc w:val="right"/>
              <w:rPr>
                <w:rFonts w:ascii="Arial" w:hAnsi="Arial" w:cs="Arial"/>
                <w:szCs w:val="20"/>
              </w:rPr>
            </w:pPr>
            <w:r w:rsidRPr="0001788E">
              <w:rPr>
                <w:rFonts w:ascii="Arial" w:hAnsi="Arial" w:cs="Arial"/>
                <w:szCs w:val="20"/>
              </w:rPr>
              <w:t>0 - 7 days</w:t>
            </w:r>
          </w:p>
        </w:tc>
        <w:tc>
          <w:tcPr>
            <w:tcW w:w="436" w:type="pct"/>
          </w:tcPr>
          <w:p w14:paraId="4A38B245" w14:textId="77777777" w:rsidR="00A879C1" w:rsidRPr="0001788E" w:rsidRDefault="00A879C1" w:rsidP="00A879C1">
            <w:pPr>
              <w:jc w:val="center"/>
              <w:rPr>
                <w:rFonts w:ascii="Arial" w:hAnsi="Arial" w:cs="Arial"/>
                <w:szCs w:val="20"/>
              </w:rPr>
            </w:pPr>
            <w:r w:rsidRPr="0001788E">
              <w:rPr>
                <w:rFonts w:ascii="Arial" w:hAnsi="Arial" w:cs="Arial"/>
                <w:szCs w:val="20"/>
              </w:rPr>
              <w:t>40</w:t>
            </w:r>
          </w:p>
        </w:tc>
        <w:tc>
          <w:tcPr>
            <w:tcW w:w="662" w:type="pct"/>
          </w:tcPr>
          <w:p w14:paraId="7C1BE971" w14:textId="77777777" w:rsidR="00A879C1" w:rsidRPr="0001788E" w:rsidRDefault="00A879C1" w:rsidP="00A879C1">
            <w:pPr>
              <w:jc w:val="center"/>
              <w:rPr>
                <w:rFonts w:ascii="Arial" w:hAnsi="Arial" w:cs="Arial"/>
                <w:szCs w:val="20"/>
              </w:rPr>
            </w:pPr>
            <w:r w:rsidRPr="0001788E">
              <w:rPr>
                <w:rFonts w:ascii="Arial" w:hAnsi="Arial" w:cs="Arial"/>
                <w:szCs w:val="20"/>
              </w:rPr>
              <w:t>13840</w:t>
            </w:r>
          </w:p>
        </w:tc>
        <w:tc>
          <w:tcPr>
            <w:tcW w:w="794" w:type="pct"/>
          </w:tcPr>
          <w:p w14:paraId="55D77D40" w14:textId="77777777" w:rsidR="00A879C1" w:rsidRPr="0001788E" w:rsidRDefault="00A879C1" w:rsidP="00A879C1">
            <w:pPr>
              <w:jc w:val="center"/>
              <w:rPr>
                <w:rFonts w:ascii="Arial" w:hAnsi="Arial" w:cs="Arial"/>
                <w:szCs w:val="20"/>
              </w:rPr>
            </w:pPr>
            <w:r w:rsidRPr="0001788E">
              <w:rPr>
                <w:rFonts w:ascii="Arial" w:hAnsi="Arial" w:cs="Arial"/>
                <w:szCs w:val="20"/>
              </w:rPr>
              <w:t>1.06 (0.77-1.44)</w:t>
            </w:r>
          </w:p>
        </w:tc>
        <w:tc>
          <w:tcPr>
            <w:tcW w:w="794" w:type="pct"/>
          </w:tcPr>
          <w:p w14:paraId="46ECDAFD" w14:textId="77777777" w:rsidR="00A879C1" w:rsidRPr="0001788E" w:rsidRDefault="00A879C1" w:rsidP="00A879C1">
            <w:pPr>
              <w:jc w:val="center"/>
              <w:rPr>
                <w:rFonts w:ascii="Arial" w:hAnsi="Arial" w:cs="Arial"/>
                <w:szCs w:val="20"/>
              </w:rPr>
            </w:pPr>
            <w:r w:rsidRPr="0001788E">
              <w:rPr>
                <w:rFonts w:ascii="Arial" w:hAnsi="Arial" w:cs="Arial"/>
                <w:szCs w:val="20"/>
              </w:rPr>
              <w:t>1.00 (0.72-1.38)</w:t>
            </w:r>
          </w:p>
        </w:tc>
        <w:tc>
          <w:tcPr>
            <w:tcW w:w="433" w:type="pct"/>
          </w:tcPr>
          <w:p w14:paraId="0799F47B" w14:textId="77777777" w:rsidR="00A879C1" w:rsidRPr="0001788E" w:rsidRDefault="00A879C1" w:rsidP="00A879C1">
            <w:pPr>
              <w:jc w:val="center"/>
              <w:rPr>
                <w:rFonts w:ascii="Arial" w:hAnsi="Arial" w:cs="Arial"/>
                <w:szCs w:val="20"/>
              </w:rPr>
            </w:pPr>
            <w:r w:rsidRPr="0001788E">
              <w:rPr>
                <w:rFonts w:ascii="Arial" w:hAnsi="Arial" w:cs="Arial"/>
                <w:szCs w:val="20"/>
              </w:rPr>
              <w:t>0.999</w:t>
            </w:r>
          </w:p>
        </w:tc>
      </w:tr>
      <w:tr w:rsidR="00A879C1" w:rsidRPr="0001788E" w14:paraId="7D6F9070" w14:textId="77777777" w:rsidTr="00A879C1">
        <w:tc>
          <w:tcPr>
            <w:tcW w:w="596" w:type="pct"/>
            <w:vMerge/>
            <w:vAlign w:val="center"/>
          </w:tcPr>
          <w:p w14:paraId="3FB8387C" w14:textId="77777777" w:rsidR="00A879C1" w:rsidRPr="0001788E" w:rsidRDefault="00A879C1" w:rsidP="00A879C1">
            <w:pPr>
              <w:rPr>
                <w:rFonts w:ascii="Arial" w:hAnsi="Arial" w:cs="Arial"/>
                <w:szCs w:val="20"/>
              </w:rPr>
            </w:pPr>
          </w:p>
        </w:tc>
        <w:tc>
          <w:tcPr>
            <w:tcW w:w="1285" w:type="pct"/>
          </w:tcPr>
          <w:p w14:paraId="195BB4E8" w14:textId="77777777" w:rsidR="00A879C1" w:rsidRPr="0001788E" w:rsidRDefault="00A879C1" w:rsidP="00A879C1">
            <w:pPr>
              <w:jc w:val="right"/>
              <w:rPr>
                <w:rFonts w:ascii="Arial" w:hAnsi="Arial" w:cs="Arial"/>
                <w:szCs w:val="20"/>
              </w:rPr>
            </w:pPr>
            <w:r w:rsidRPr="0001788E">
              <w:rPr>
                <w:rFonts w:ascii="Arial" w:hAnsi="Arial" w:cs="Arial"/>
                <w:szCs w:val="20"/>
              </w:rPr>
              <w:t xml:space="preserve">8 - 14 days  </w:t>
            </w:r>
          </w:p>
        </w:tc>
        <w:tc>
          <w:tcPr>
            <w:tcW w:w="436" w:type="pct"/>
          </w:tcPr>
          <w:p w14:paraId="6E37E32C" w14:textId="77777777" w:rsidR="00A879C1" w:rsidRPr="0001788E" w:rsidRDefault="00A879C1" w:rsidP="00A879C1">
            <w:pPr>
              <w:jc w:val="center"/>
              <w:rPr>
                <w:rFonts w:ascii="Arial" w:hAnsi="Arial" w:cs="Arial"/>
                <w:szCs w:val="20"/>
              </w:rPr>
            </w:pPr>
            <w:r w:rsidRPr="0001788E">
              <w:rPr>
                <w:rFonts w:ascii="Arial" w:hAnsi="Arial" w:cs="Arial"/>
                <w:szCs w:val="20"/>
              </w:rPr>
              <w:t>38</w:t>
            </w:r>
          </w:p>
        </w:tc>
        <w:tc>
          <w:tcPr>
            <w:tcW w:w="662" w:type="pct"/>
          </w:tcPr>
          <w:p w14:paraId="71130658" w14:textId="77777777" w:rsidR="00A879C1" w:rsidRPr="0001788E" w:rsidRDefault="00A879C1" w:rsidP="00A879C1">
            <w:pPr>
              <w:jc w:val="center"/>
              <w:rPr>
                <w:rFonts w:ascii="Arial" w:hAnsi="Arial" w:cs="Arial"/>
                <w:szCs w:val="20"/>
              </w:rPr>
            </w:pPr>
            <w:r w:rsidRPr="0001788E">
              <w:rPr>
                <w:rFonts w:ascii="Arial" w:hAnsi="Arial" w:cs="Arial"/>
                <w:szCs w:val="20"/>
              </w:rPr>
              <w:t>13796</w:t>
            </w:r>
          </w:p>
        </w:tc>
        <w:tc>
          <w:tcPr>
            <w:tcW w:w="794" w:type="pct"/>
          </w:tcPr>
          <w:p w14:paraId="01E74573" w14:textId="77777777" w:rsidR="00A879C1" w:rsidRPr="0001788E" w:rsidRDefault="00A879C1" w:rsidP="00A879C1">
            <w:pPr>
              <w:jc w:val="center"/>
              <w:rPr>
                <w:rFonts w:ascii="Arial" w:hAnsi="Arial" w:cs="Arial"/>
                <w:szCs w:val="20"/>
              </w:rPr>
            </w:pPr>
            <w:r w:rsidRPr="0001788E">
              <w:rPr>
                <w:rFonts w:ascii="Arial" w:hAnsi="Arial" w:cs="Arial"/>
                <w:szCs w:val="20"/>
              </w:rPr>
              <w:t>1.01 (0.73-1.39)</w:t>
            </w:r>
          </w:p>
        </w:tc>
        <w:tc>
          <w:tcPr>
            <w:tcW w:w="794" w:type="pct"/>
          </w:tcPr>
          <w:p w14:paraId="205FFA69" w14:textId="77777777" w:rsidR="00A879C1" w:rsidRPr="0001788E" w:rsidRDefault="00A879C1" w:rsidP="00A879C1">
            <w:pPr>
              <w:jc w:val="center"/>
              <w:rPr>
                <w:rFonts w:ascii="Arial" w:hAnsi="Arial" w:cs="Arial"/>
                <w:szCs w:val="20"/>
              </w:rPr>
            </w:pPr>
            <w:r w:rsidRPr="0001788E">
              <w:rPr>
                <w:rFonts w:ascii="Arial" w:hAnsi="Arial" w:cs="Arial"/>
                <w:szCs w:val="20"/>
              </w:rPr>
              <w:t>0.94 (0.68-1.31)</w:t>
            </w:r>
          </w:p>
        </w:tc>
        <w:tc>
          <w:tcPr>
            <w:tcW w:w="433" w:type="pct"/>
          </w:tcPr>
          <w:p w14:paraId="1D165961" w14:textId="77777777" w:rsidR="00A879C1" w:rsidRPr="0001788E" w:rsidRDefault="00A879C1" w:rsidP="00A879C1">
            <w:pPr>
              <w:jc w:val="center"/>
              <w:rPr>
                <w:rFonts w:ascii="Arial" w:hAnsi="Arial" w:cs="Arial"/>
                <w:szCs w:val="20"/>
              </w:rPr>
            </w:pPr>
            <w:r w:rsidRPr="0001788E">
              <w:rPr>
                <w:rFonts w:ascii="Arial" w:hAnsi="Arial" w:cs="Arial"/>
                <w:szCs w:val="20"/>
              </w:rPr>
              <w:t>0.726</w:t>
            </w:r>
          </w:p>
        </w:tc>
      </w:tr>
      <w:tr w:rsidR="00A879C1" w:rsidRPr="0001788E" w14:paraId="22B04E1C" w14:textId="77777777" w:rsidTr="00A879C1">
        <w:trPr>
          <w:trHeight w:val="249"/>
        </w:trPr>
        <w:tc>
          <w:tcPr>
            <w:tcW w:w="596" w:type="pct"/>
            <w:vMerge/>
            <w:vAlign w:val="center"/>
          </w:tcPr>
          <w:p w14:paraId="3C050D5A" w14:textId="77777777" w:rsidR="00A879C1" w:rsidRPr="0001788E" w:rsidRDefault="00A879C1" w:rsidP="00A879C1">
            <w:pPr>
              <w:rPr>
                <w:rFonts w:ascii="Arial" w:hAnsi="Arial" w:cs="Arial"/>
                <w:szCs w:val="20"/>
              </w:rPr>
            </w:pPr>
          </w:p>
        </w:tc>
        <w:tc>
          <w:tcPr>
            <w:tcW w:w="1285" w:type="pct"/>
          </w:tcPr>
          <w:p w14:paraId="28DE087E" w14:textId="77777777" w:rsidR="00A879C1" w:rsidRPr="0001788E" w:rsidRDefault="00A879C1" w:rsidP="00A879C1">
            <w:pPr>
              <w:jc w:val="right"/>
              <w:rPr>
                <w:rFonts w:ascii="Arial" w:hAnsi="Arial" w:cs="Arial"/>
                <w:szCs w:val="20"/>
              </w:rPr>
            </w:pPr>
            <w:r w:rsidRPr="0001788E">
              <w:rPr>
                <w:rFonts w:ascii="Arial" w:hAnsi="Arial" w:cs="Arial"/>
                <w:szCs w:val="20"/>
              </w:rPr>
              <w:t>15 - 21 days</w:t>
            </w:r>
          </w:p>
        </w:tc>
        <w:tc>
          <w:tcPr>
            <w:tcW w:w="436" w:type="pct"/>
          </w:tcPr>
          <w:p w14:paraId="68F89899" w14:textId="77777777" w:rsidR="00A879C1" w:rsidRPr="0001788E" w:rsidRDefault="00A879C1" w:rsidP="00A879C1">
            <w:pPr>
              <w:jc w:val="center"/>
              <w:rPr>
                <w:rFonts w:ascii="Arial" w:hAnsi="Arial" w:cs="Arial"/>
                <w:szCs w:val="20"/>
              </w:rPr>
            </w:pPr>
            <w:r w:rsidRPr="0001788E">
              <w:rPr>
                <w:rFonts w:ascii="Arial" w:hAnsi="Arial" w:cs="Arial"/>
                <w:szCs w:val="20"/>
              </w:rPr>
              <w:t>33</w:t>
            </w:r>
          </w:p>
        </w:tc>
        <w:tc>
          <w:tcPr>
            <w:tcW w:w="662" w:type="pct"/>
          </w:tcPr>
          <w:p w14:paraId="240302B8" w14:textId="77777777" w:rsidR="00A879C1" w:rsidRPr="0001788E" w:rsidRDefault="00A879C1" w:rsidP="00A879C1">
            <w:pPr>
              <w:jc w:val="center"/>
              <w:rPr>
                <w:rFonts w:ascii="Arial" w:hAnsi="Arial" w:cs="Arial"/>
                <w:szCs w:val="20"/>
              </w:rPr>
            </w:pPr>
            <w:r w:rsidRPr="0001788E">
              <w:rPr>
                <w:rFonts w:ascii="Arial" w:hAnsi="Arial" w:cs="Arial"/>
                <w:szCs w:val="20"/>
              </w:rPr>
              <w:t>13739</w:t>
            </w:r>
          </w:p>
        </w:tc>
        <w:tc>
          <w:tcPr>
            <w:tcW w:w="794" w:type="pct"/>
          </w:tcPr>
          <w:p w14:paraId="228C1E38" w14:textId="77777777" w:rsidR="00A879C1" w:rsidRPr="0001788E" w:rsidRDefault="00A879C1" w:rsidP="00A879C1">
            <w:pPr>
              <w:jc w:val="center"/>
              <w:rPr>
                <w:rFonts w:ascii="Arial" w:hAnsi="Arial" w:cs="Arial"/>
                <w:szCs w:val="20"/>
              </w:rPr>
            </w:pPr>
            <w:r w:rsidRPr="0001788E">
              <w:rPr>
                <w:rFonts w:ascii="Arial" w:hAnsi="Arial" w:cs="Arial"/>
                <w:szCs w:val="20"/>
              </w:rPr>
              <w:t>0.88 (0.62-1.24)</w:t>
            </w:r>
          </w:p>
        </w:tc>
        <w:tc>
          <w:tcPr>
            <w:tcW w:w="794" w:type="pct"/>
          </w:tcPr>
          <w:p w14:paraId="747007DB" w14:textId="77777777" w:rsidR="00A879C1" w:rsidRPr="0001788E" w:rsidRDefault="00A879C1" w:rsidP="00A879C1">
            <w:pPr>
              <w:jc w:val="center"/>
              <w:rPr>
                <w:rFonts w:ascii="Arial" w:hAnsi="Arial" w:cs="Arial"/>
                <w:szCs w:val="20"/>
              </w:rPr>
            </w:pPr>
            <w:r w:rsidRPr="0001788E">
              <w:rPr>
                <w:rFonts w:ascii="Arial" w:hAnsi="Arial" w:cs="Arial"/>
                <w:szCs w:val="20"/>
              </w:rPr>
              <w:t>0.81 (0.57-1.16)</w:t>
            </w:r>
          </w:p>
        </w:tc>
        <w:tc>
          <w:tcPr>
            <w:tcW w:w="433" w:type="pct"/>
          </w:tcPr>
          <w:p w14:paraId="08EA61A3" w14:textId="77777777" w:rsidR="00A879C1" w:rsidRPr="0001788E" w:rsidRDefault="00A879C1" w:rsidP="00A879C1">
            <w:pPr>
              <w:jc w:val="center"/>
              <w:rPr>
                <w:rFonts w:ascii="Arial" w:hAnsi="Arial" w:cs="Arial"/>
                <w:szCs w:val="20"/>
              </w:rPr>
            </w:pPr>
            <w:r w:rsidRPr="0001788E">
              <w:rPr>
                <w:rFonts w:ascii="Arial" w:hAnsi="Arial" w:cs="Arial"/>
                <w:szCs w:val="20"/>
              </w:rPr>
              <w:t>0.245</w:t>
            </w:r>
          </w:p>
        </w:tc>
      </w:tr>
      <w:tr w:rsidR="00A879C1" w:rsidRPr="0001788E" w14:paraId="441152CB" w14:textId="77777777" w:rsidTr="00A879C1">
        <w:tc>
          <w:tcPr>
            <w:tcW w:w="596" w:type="pct"/>
            <w:vMerge w:val="restart"/>
            <w:vAlign w:val="center"/>
          </w:tcPr>
          <w:p w14:paraId="60B13BDF" w14:textId="77777777" w:rsidR="00A879C1" w:rsidRPr="0001788E" w:rsidRDefault="00A879C1" w:rsidP="00A879C1">
            <w:pPr>
              <w:rPr>
                <w:rFonts w:ascii="Arial" w:hAnsi="Arial" w:cs="Arial"/>
                <w:szCs w:val="20"/>
              </w:rPr>
            </w:pPr>
            <w:r w:rsidRPr="0001788E">
              <w:rPr>
                <w:rFonts w:ascii="Arial" w:hAnsi="Arial" w:cs="Arial"/>
                <w:szCs w:val="20"/>
              </w:rPr>
              <w:t>3</w:t>
            </w:r>
            <w:r w:rsidRPr="0001788E">
              <w:rPr>
                <w:rFonts w:ascii="Arial" w:hAnsi="Arial" w:cs="Arial"/>
                <w:szCs w:val="20"/>
                <w:vertAlign w:val="superscript"/>
              </w:rPr>
              <w:t>rd</w:t>
            </w:r>
            <w:r w:rsidRPr="0001788E">
              <w:rPr>
                <w:rFonts w:ascii="Arial" w:hAnsi="Arial" w:cs="Arial"/>
                <w:szCs w:val="20"/>
              </w:rPr>
              <w:t xml:space="preserve"> dose</w:t>
            </w:r>
          </w:p>
        </w:tc>
        <w:tc>
          <w:tcPr>
            <w:tcW w:w="1285" w:type="pct"/>
          </w:tcPr>
          <w:p w14:paraId="0A52C098" w14:textId="6367A405" w:rsidR="00A879C1" w:rsidRPr="0001788E" w:rsidRDefault="00630573" w:rsidP="00A879C1">
            <w:pPr>
              <w:rPr>
                <w:rFonts w:ascii="Arial" w:hAnsi="Arial" w:cs="Arial"/>
                <w:szCs w:val="20"/>
              </w:rPr>
            </w:pPr>
            <w:r>
              <w:rPr>
                <w:rFonts w:ascii="Arial" w:hAnsi="Arial" w:cs="Arial"/>
                <w:szCs w:val="20"/>
              </w:rPr>
              <w:t>Vaccine unexposed b</w:t>
            </w:r>
            <w:r w:rsidR="00A879C1" w:rsidRPr="0001788E">
              <w:rPr>
                <w:rFonts w:ascii="Arial" w:hAnsi="Arial" w:cs="Arial"/>
                <w:szCs w:val="20"/>
              </w:rPr>
              <w:t>aseline</w:t>
            </w:r>
          </w:p>
        </w:tc>
        <w:tc>
          <w:tcPr>
            <w:tcW w:w="436" w:type="pct"/>
          </w:tcPr>
          <w:p w14:paraId="23B32DE2" w14:textId="77777777" w:rsidR="00A879C1" w:rsidRPr="0001788E" w:rsidRDefault="00A879C1" w:rsidP="00A879C1">
            <w:pPr>
              <w:jc w:val="center"/>
              <w:rPr>
                <w:rFonts w:ascii="Arial" w:hAnsi="Arial" w:cs="Arial"/>
                <w:szCs w:val="20"/>
              </w:rPr>
            </w:pPr>
            <w:r w:rsidRPr="0001788E">
              <w:rPr>
                <w:rFonts w:ascii="Arial" w:hAnsi="Arial" w:cs="Arial"/>
                <w:szCs w:val="20"/>
              </w:rPr>
              <w:t>1701</w:t>
            </w:r>
          </w:p>
        </w:tc>
        <w:tc>
          <w:tcPr>
            <w:tcW w:w="662" w:type="pct"/>
          </w:tcPr>
          <w:p w14:paraId="2BF40674" w14:textId="77777777" w:rsidR="00A879C1" w:rsidRPr="0001788E" w:rsidRDefault="00A879C1" w:rsidP="00A879C1">
            <w:pPr>
              <w:jc w:val="center"/>
              <w:rPr>
                <w:rFonts w:ascii="Arial" w:hAnsi="Arial" w:cs="Arial"/>
                <w:szCs w:val="20"/>
              </w:rPr>
            </w:pPr>
            <w:r w:rsidRPr="0001788E">
              <w:rPr>
                <w:rFonts w:ascii="Arial" w:hAnsi="Arial" w:cs="Arial"/>
                <w:szCs w:val="20"/>
              </w:rPr>
              <w:t>621626</w:t>
            </w:r>
          </w:p>
        </w:tc>
        <w:tc>
          <w:tcPr>
            <w:tcW w:w="794" w:type="pct"/>
            <w:vAlign w:val="center"/>
          </w:tcPr>
          <w:p w14:paraId="4BA85154" w14:textId="77777777" w:rsidR="00A879C1" w:rsidRPr="0001788E" w:rsidRDefault="00A879C1" w:rsidP="00A879C1">
            <w:pPr>
              <w:jc w:val="center"/>
              <w:rPr>
                <w:rFonts w:ascii="Arial" w:hAnsi="Arial" w:cs="Arial"/>
                <w:szCs w:val="20"/>
              </w:rPr>
            </w:pPr>
            <w:r w:rsidRPr="0001788E">
              <w:rPr>
                <w:rFonts w:ascii="Arial" w:hAnsi="Arial" w:cs="Arial"/>
                <w:szCs w:val="20"/>
              </w:rPr>
              <w:t>1</w:t>
            </w:r>
          </w:p>
        </w:tc>
        <w:tc>
          <w:tcPr>
            <w:tcW w:w="794" w:type="pct"/>
            <w:vAlign w:val="center"/>
          </w:tcPr>
          <w:p w14:paraId="1344DE68" w14:textId="77777777" w:rsidR="00A879C1" w:rsidRPr="0001788E" w:rsidRDefault="00A879C1" w:rsidP="00A879C1">
            <w:pPr>
              <w:jc w:val="center"/>
              <w:rPr>
                <w:rFonts w:ascii="Arial" w:hAnsi="Arial" w:cs="Arial"/>
                <w:szCs w:val="20"/>
              </w:rPr>
            </w:pPr>
            <w:r w:rsidRPr="0001788E">
              <w:rPr>
                <w:rFonts w:ascii="Arial" w:hAnsi="Arial" w:cs="Arial"/>
                <w:szCs w:val="20"/>
              </w:rPr>
              <w:t>1</w:t>
            </w:r>
          </w:p>
        </w:tc>
        <w:tc>
          <w:tcPr>
            <w:tcW w:w="433" w:type="pct"/>
            <w:vAlign w:val="center"/>
          </w:tcPr>
          <w:p w14:paraId="5414FBEB" w14:textId="77777777" w:rsidR="00A879C1" w:rsidRPr="0001788E" w:rsidRDefault="00A879C1" w:rsidP="00A879C1">
            <w:pPr>
              <w:jc w:val="center"/>
              <w:rPr>
                <w:rFonts w:ascii="Arial" w:hAnsi="Arial" w:cs="Arial"/>
                <w:szCs w:val="20"/>
              </w:rPr>
            </w:pPr>
            <w:r w:rsidRPr="0001788E">
              <w:rPr>
                <w:rFonts w:ascii="Arial" w:hAnsi="Arial" w:cs="Arial"/>
                <w:szCs w:val="20"/>
              </w:rPr>
              <w:t>-/-</w:t>
            </w:r>
          </w:p>
        </w:tc>
      </w:tr>
      <w:tr w:rsidR="00A879C1" w:rsidRPr="0001788E" w14:paraId="41D6543F" w14:textId="77777777" w:rsidTr="00A879C1">
        <w:tc>
          <w:tcPr>
            <w:tcW w:w="596" w:type="pct"/>
            <w:vMerge/>
            <w:vAlign w:val="center"/>
          </w:tcPr>
          <w:p w14:paraId="67A20937" w14:textId="77777777" w:rsidR="00A879C1" w:rsidRPr="0001788E" w:rsidRDefault="00A879C1" w:rsidP="00A879C1">
            <w:pPr>
              <w:rPr>
                <w:rFonts w:ascii="Arial" w:hAnsi="Arial" w:cs="Arial"/>
                <w:szCs w:val="20"/>
              </w:rPr>
            </w:pPr>
          </w:p>
        </w:tc>
        <w:tc>
          <w:tcPr>
            <w:tcW w:w="1285" w:type="pct"/>
          </w:tcPr>
          <w:p w14:paraId="4E486A28" w14:textId="1A0C360D" w:rsidR="00A879C1" w:rsidRPr="0001788E" w:rsidRDefault="00D52282" w:rsidP="00A879C1">
            <w:pPr>
              <w:rPr>
                <w:rFonts w:ascii="Arial" w:hAnsi="Arial" w:cs="Arial"/>
                <w:szCs w:val="20"/>
              </w:rPr>
            </w:pPr>
            <w:r>
              <w:rPr>
                <w:rFonts w:ascii="Arial" w:hAnsi="Arial" w:cs="Arial"/>
                <w:szCs w:val="20"/>
              </w:rPr>
              <w:t>P</w:t>
            </w:r>
            <w:r w:rsidR="00A879C1" w:rsidRPr="0001788E">
              <w:rPr>
                <w:rFonts w:ascii="Arial" w:hAnsi="Arial" w:cs="Arial"/>
                <w:szCs w:val="20"/>
              </w:rPr>
              <w:t xml:space="preserve">re-vaccination </w:t>
            </w:r>
          </w:p>
        </w:tc>
        <w:tc>
          <w:tcPr>
            <w:tcW w:w="436" w:type="pct"/>
          </w:tcPr>
          <w:p w14:paraId="4B1D5EF1" w14:textId="77777777" w:rsidR="00A879C1" w:rsidRPr="0001788E" w:rsidRDefault="00A879C1" w:rsidP="00A879C1">
            <w:pPr>
              <w:jc w:val="center"/>
              <w:rPr>
                <w:rFonts w:ascii="Arial" w:hAnsi="Arial" w:cs="Arial"/>
                <w:szCs w:val="20"/>
              </w:rPr>
            </w:pPr>
            <w:r w:rsidRPr="0001788E">
              <w:rPr>
                <w:rFonts w:ascii="Arial" w:hAnsi="Arial" w:cs="Arial"/>
                <w:szCs w:val="20"/>
              </w:rPr>
              <w:t>20</w:t>
            </w:r>
          </w:p>
        </w:tc>
        <w:tc>
          <w:tcPr>
            <w:tcW w:w="662" w:type="pct"/>
          </w:tcPr>
          <w:p w14:paraId="40D0184C" w14:textId="77777777" w:rsidR="00A879C1" w:rsidRPr="0001788E" w:rsidRDefault="00A879C1" w:rsidP="00A879C1">
            <w:pPr>
              <w:jc w:val="center"/>
              <w:rPr>
                <w:rFonts w:ascii="Arial" w:hAnsi="Arial" w:cs="Arial"/>
                <w:szCs w:val="20"/>
              </w:rPr>
            </w:pPr>
            <w:r w:rsidRPr="0001788E">
              <w:rPr>
                <w:rFonts w:ascii="Arial" w:hAnsi="Arial" w:cs="Arial"/>
                <w:szCs w:val="20"/>
              </w:rPr>
              <w:t>7679</w:t>
            </w:r>
          </w:p>
        </w:tc>
        <w:tc>
          <w:tcPr>
            <w:tcW w:w="794" w:type="pct"/>
          </w:tcPr>
          <w:p w14:paraId="0A40DFCC" w14:textId="77777777" w:rsidR="00A879C1" w:rsidRPr="0001788E" w:rsidRDefault="00A879C1" w:rsidP="00A879C1">
            <w:pPr>
              <w:jc w:val="center"/>
              <w:rPr>
                <w:rFonts w:ascii="Arial" w:hAnsi="Arial" w:cs="Arial"/>
                <w:szCs w:val="20"/>
              </w:rPr>
            </w:pPr>
            <w:r w:rsidRPr="0001788E">
              <w:rPr>
                <w:rFonts w:ascii="Arial" w:hAnsi="Arial" w:cs="Arial"/>
                <w:szCs w:val="20"/>
              </w:rPr>
              <w:t>0.96 (0.61-1.49)</w:t>
            </w:r>
          </w:p>
        </w:tc>
        <w:tc>
          <w:tcPr>
            <w:tcW w:w="794" w:type="pct"/>
          </w:tcPr>
          <w:p w14:paraId="75D653D2" w14:textId="77777777" w:rsidR="00A879C1" w:rsidRPr="0001788E" w:rsidRDefault="00A879C1" w:rsidP="00A879C1">
            <w:pPr>
              <w:jc w:val="center"/>
              <w:rPr>
                <w:rFonts w:ascii="Arial" w:hAnsi="Arial" w:cs="Arial"/>
                <w:szCs w:val="20"/>
              </w:rPr>
            </w:pPr>
            <w:r w:rsidRPr="0001788E">
              <w:rPr>
                <w:rFonts w:ascii="Arial" w:hAnsi="Arial" w:cs="Arial"/>
                <w:szCs w:val="20"/>
              </w:rPr>
              <w:t>1.10 (0.63-1.72)</w:t>
            </w:r>
          </w:p>
        </w:tc>
        <w:tc>
          <w:tcPr>
            <w:tcW w:w="433" w:type="pct"/>
          </w:tcPr>
          <w:p w14:paraId="3A5AA0C4" w14:textId="77777777" w:rsidR="00A879C1" w:rsidRPr="0001788E" w:rsidRDefault="00A879C1" w:rsidP="00A879C1">
            <w:pPr>
              <w:jc w:val="center"/>
              <w:rPr>
                <w:rFonts w:ascii="Arial" w:hAnsi="Arial" w:cs="Arial"/>
                <w:szCs w:val="20"/>
              </w:rPr>
            </w:pPr>
            <w:r w:rsidRPr="0001788E">
              <w:rPr>
                <w:rFonts w:ascii="Arial" w:hAnsi="Arial" w:cs="Arial"/>
                <w:szCs w:val="20"/>
              </w:rPr>
              <w:t>0.678</w:t>
            </w:r>
          </w:p>
        </w:tc>
      </w:tr>
      <w:tr w:rsidR="00A879C1" w:rsidRPr="0001788E" w14:paraId="63967926" w14:textId="77777777" w:rsidTr="00A879C1">
        <w:tc>
          <w:tcPr>
            <w:tcW w:w="596" w:type="pct"/>
            <w:vMerge/>
          </w:tcPr>
          <w:p w14:paraId="566AD4F2" w14:textId="77777777" w:rsidR="00A879C1" w:rsidRPr="0001788E" w:rsidRDefault="00A879C1" w:rsidP="00A879C1">
            <w:pPr>
              <w:rPr>
                <w:rFonts w:ascii="Arial" w:hAnsi="Arial" w:cs="Arial"/>
                <w:szCs w:val="20"/>
              </w:rPr>
            </w:pPr>
          </w:p>
        </w:tc>
        <w:tc>
          <w:tcPr>
            <w:tcW w:w="1285" w:type="pct"/>
          </w:tcPr>
          <w:p w14:paraId="5B781C82" w14:textId="5E3FC188" w:rsidR="00A879C1" w:rsidRPr="0001788E" w:rsidRDefault="00D52282" w:rsidP="00A879C1">
            <w:pPr>
              <w:rPr>
                <w:rFonts w:ascii="Arial" w:hAnsi="Arial" w:cs="Arial"/>
                <w:szCs w:val="20"/>
              </w:rPr>
            </w:pPr>
            <w:r>
              <w:rPr>
                <w:rFonts w:ascii="Arial" w:hAnsi="Arial" w:cs="Arial"/>
                <w:szCs w:val="20"/>
              </w:rPr>
              <w:t>V</w:t>
            </w:r>
            <w:r w:rsidR="00A879C1" w:rsidRPr="0001788E">
              <w:rPr>
                <w:rFonts w:ascii="Arial" w:hAnsi="Arial" w:cs="Arial"/>
                <w:szCs w:val="20"/>
              </w:rPr>
              <w:t>accin</w:t>
            </w:r>
            <w:r>
              <w:rPr>
                <w:rFonts w:ascii="Arial" w:hAnsi="Arial" w:cs="Arial"/>
                <w:szCs w:val="20"/>
              </w:rPr>
              <w:t>e exposed</w:t>
            </w:r>
          </w:p>
        </w:tc>
        <w:tc>
          <w:tcPr>
            <w:tcW w:w="436" w:type="pct"/>
          </w:tcPr>
          <w:p w14:paraId="29EA83D7" w14:textId="77777777" w:rsidR="00A879C1" w:rsidRPr="0001788E" w:rsidRDefault="00A879C1" w:rsidP="00A879C1">
            <w:pPr>
              <w:jc w:val="center"/>
              <w:rPr>
                <w:rFonts w:ascii="Arial" w:hAnsi="Arial" w:cs="Arial"/>
                <w:szCs w:val="20"/>
              </w:rPr>
            </w:pPr>
          </w:p>
        </w:tc>
        <w:tc>
          <w:tcPr>
            <w:tcW w:w="662" w:type="pct"/>
          </w:tcPr>
          <w:p w14:paraId="24D09611" w14:textId="77777777" w:rsidR="00A879C1" w:rsidRPr="0001788E" w:rsidRDefault="00A879C1" w:rsidP="00A879C1">
            <w:pPr>
              <w:jc w:val="center"/>
              <w:rPr>
                <w:rFonts w:ascii="Arial" w:hAnsi="Arial" w:cs="Arial"/>
                <w:szCs w:val="20"/>
              </w:rPr>
            </w:pPr>
          </w:p>
        </w:tc>
        <w:tc>
          <w:tcPr>
            <w:tcW w:w="794" w:type="pct"/>
          </w:tcPr>
          <w:p w14:paraId="7119BE2C" w14:textId="77777777" w:rsidR="00A879C1" w:rsidRPr="0001788E" w:rsidRDefault="00A879C1" w:rsidP="00A879C1">
            <w:pPr>
              <w:jc w:val="center"/>
              <w:rPr>
                <w:rFonts w:ascii="Arial" w:hAnsi="Arial" w:cs="Arial"/>
                <w:szCs w:val="20"/>
              </w:rPr>
            </w:pPr>
          </w:p>
        </w:tc>
        <w:tc>
          <w:tcPr>
            <w:tcW w:w="794" w:type="pct"/>
          </w:tcPr>
          <w:p w14:paraId="03A1A070" w14:textId="77777777" w:rsidR="00A879C1" w:rsidRPr="0001788E" w:rsidRDefault="00A879C1" w:rsidP="00A879C1">
            <w:pPr>
              <w:jc w:val="center"/>
              <w:rPr>
                <w:rFonts w:ascii="Arial" w:hAnsi="Arial" w:cs="Arial"/>
                <w:szCs w:val="20"/>
              </w:rPr>
            </w:pPr>
          </w:p>
        </w:tc>
        <w:tc>
          <w:tcPr>
            <w:tcW w:w="433" w:type="pct"/>
          </w:tcPr>
          <w:p w14:paraId="6A94A54D" w14:textId="77777777" w:rsidR="00A879C1" w:rsidRPr="0001788E" w:rsidRDefault="00A879C1" w:rsidP="00A879C1">
            <w:pPr>
              <w:jc w:val="center"/>
              <w:rPr>
                <w:rFonts w:ascii="Arial" w:hAnsi="Arial" w:cs="Arial"/>
                <w:szCs w:val="20"/>
              </w:rPr>
            </w:pPr>
          </w:p>
        </w:tc>
      </w:tr>
      <w:tr w:rsidR="00A879C1" w:rsidRPr="0001788E" w14:paraId="29BB6113" w14:textId="77777777" w:rsidTr="00A879C1">
        <w:tc>
          <w:tcPr>
            <w:tcW w:w="596" w:type="pct"/>
            <w:vMerge/>
            <w:vAlign w:val="center"/>
          </w:tcPr>
          <w:p w14:paraId="1EB2A283" w14:textId="77777777" w:rsidR="00A879C1" w:rsidRPr="0001788E" w:rsidRDefault="00A879C1" w:rsidP="00A879C1">
            <w:pPr>
              <w:rPr>
                <w:rFonts w:ascii="Arial" w:hAnsi="Arial" w:cs="Arial"/>
                <w:szCs w:val="20"/>
              </w:rPr>
            </w:pPr>
          </w:p>
        </w:tc>
        <w:tc>
          <w:tcPr>
            <w:tcW w:w="1285" w:type="pct"/>
          </w:tcPr>
          <w:p w14:paraId="46115128" w14:textId="77777777" w:rsidR="00A879C1" w:rsidRPr="0001788E" w:rsidRDefault="00A879C1" w:rsidP="00A879C1">
            <w:pPr>
              <w:rPr>
                <w:rFonts w:ascii="Arial" w:hAnsi="Arial" w:cs="Arial"/>
                <w:szCs w:val="20"/>
              </w:rPr>
            </w:pPr>
            <w:r w:rsidRPr="0001788E">
              <w:rPr>
                <w:rFonts w:ascii="Arial" w:hAnsi="Arial" w:cs="Arial"/>
                <w:szCs w:val="20"/>
              </w:rPr>
              <w:t>0 - 21 days</w:t>
            </w:r>
          </w:p>
        </w:tc>
        <w:tc>
          <w:tcPr>
            <w:tcW w:w="436" w:type="pct"/>
          </w:tcPr>
          <w:p w14:paraId="21635602" w14:textId="77777777" w:rsidR="00A879C1" w:rsidRPr="0001788E" w:rsidRDefault="00A879C1" w:rsidP="00A879C1">
            <w:pPr>
              <w:jc w:val="center"/>
              <w:rPr>
                <w:rFonts w:ascii="Arial" w:hAnsi="Arial" w:cs="Arial"/>
                <w:szCs w:val="20"/>
              </w:rPr>
            </w:pPr>
            <w:r w:rsidRPr="0001788E">
              <w:rPr>
                <w:rFonts w:ascii="Arial" w:hAnsi="Arial" w:cs="Arial"/>
                <w:szCs w:val="20"/>
              </w:rPr>
              <w:t>44</w:t>
            </w:r>
          </w:p>
        </w:tc>
        <w:tc>
          <w:tcPr>
            <w:tcW w:w="662" w:type="pct"/>
          </w:tcPr>
          <w:p w14:paraId="7AE74278" w14:textId="77777777" w:rsidR="00A879C1" w:rsidRPr="0001788E" w:rsidRDefault="00A879C1" w:rsidP="00A879C1">
            <w:pPr>
              <w:jc w:val="center"/>
              <w:rPr>
                <w:rFonts w:ascii="Arial" w:hAnsi="Arial" w:cs="Arial"/>
                <w:szCs w:val="20"/>
              </w:rPr>
            </w:pPr>
            <w:r w:rsidRPr="0001788E">
              <w:rPr>
                <w:rFonts w:ascii="Arial" w:hAnsi="Arial" w:cs="Arial"/>
                <w:szCs w:val="20"/>
              </w:rPr>
              <w:t>19993</w:t>
            </w:r>
          </w:p>
        </w:tc>
        <w:tc>
          <w:tcPr>
            <w:tcW w:w="794" w:type="pct"/>
          </w:tcPr>
          <w:p w14:paraId="14EDFB32" w14:textId="77777777" w:rsidR="00A879C1" w:rsidRPr="0001788E" w:rsidRDefault="00A879C1" w:rsidP="00A879C1">
            <w:pPr>
              <w:jc w:val="center"/>
              <w:rPr>
                <w:rFonts w:ascii="Arial" w:hAnsi="Arial" w:cs="Arial"/>
                <w:szCs w:val="20"/>
              </w:rPr>
            </w:pPr>
            <w:r w:rsidRPr="0001788E">
              <w:rPr>
                <w:rFonts w:ascii="Arial" w:hAnsi="Arial" w:cs="Arial"/>
                <w:szCs w:val="20"/>
              </w:rPr>
              <w:t>0.81 (0.60-1.09)</w:t>
            </w:r>
          </w:p>
        </w:tc>
        <w:tc>
          <w:tcPr>
            <w:tcW w:w="794" w:type="pct"/>
          </w:tcPr>
          <w:p w14:paraId="08CA5B8C" w14:textId="77777777" w:rsidR="00A879C1" w:rsidRPr="0001788E" w:rsidRDefault="00A879C1" w:rsidP="00A879C1">
            <w:pPr>
              <w:jc w:val="center"/>
              <w:rPr>
                <w:rFonts w:ascii="Arial" w:hAnsi="Arial" w:cs="Arial"/>
                <w:szCs w:val="20"/>
              </w:rPr>
            </w:pPr>
            <w:r w:rsidRPr="0001788E">
              <w:rPr>
                <w:rFonts w:ascii="Arial" w:hAnsi="Arial" w:cs="Arial"/>
                <w:szCs w:val="20"/>
              </w:rPr>
              <w:t>0.86 (0.63-1.17)</w:t>
            </w:r>
          </w:p>
        </w:tc>
        <w:tc>
          <w:tcPr>
            <w:tcW w:w="433" w:type="pct"/>
          </w:tcPr>
          <w:p w14:paraId="5626CE0B" w14:textId="77777777" w:rsidR="00A879C1" w:rsidRPr="0001788E" w:rsidRDefault="00A879C1" w:rsidP="00A879C1">
            <w:pPr>
              <w:jc w:val="center"/>
              <w:rPr>
                <w:rFonts w:ascii="Arial" w:hAnsi="Arial" w:cs="Arial"/>
                <w:szCs w:val="20"/>
              </w:rPr>
            </w:pPr>
            <w:r w:rsidRPr="0001788E">
              <w:rPr>
                <w:rFonts w:ascii="Arial" w:hAnsi="Arial" w:cs="Arial"/>
                <w:szCs w:val="20"/>
              </w:rPr>
              <w:t>0.335</w:t>
            </w:r>
          </w:p>
        </w:tc>
      </w:tr>
      <w:tr w:rsidR="00A879C1" w:rsidRPr="0001788E" w14:paraId="451CF5AF" w14:textId="77777777" w:rsidTr="00A879C1">
        <w:tc>
          <w:tcPr>
            <w:tcW w:w="596" w:type="pct"/>
            <w:vMerge/>
            <w:vAlign w:val="center"/>
          </w:tcPr>
          <w:p w14:paraId="1487F105" w14:textId="77777777" w:rsidR="00A879C1" w:rsidRPr="0001788E" w:rsidRDefault="00A879C1" w:rsidP="00A879C1">
            <w:pPr>
              <w:rPr>
                <w:rFonts w:ascii="Arial" w:hAnsi="Arial" w:cs="Arial"/>
                <w:szCs w:val="20"/>
              </w:rPr>
            </w:pPr>
          </w:p>
        </w:tc>
        <w:tc>
          <w:tcPr>
            <w:tcW w:w="1285" w:type="pct"/>
          </w:tcPr>
          <w:p w14:paraId="3E35FB7F" w14:textId="77777777" w:rsidR="00A879C1" w:rsidRPr="0001788E" w:rsidRDefault="00A879C1" w:rsidP="00A879C1">
            <w:pPr>
              <w:jc w:val="right"/>
              <w:rPr>
                <w:rFonts w:ascii="Arial" w:hAnsi="Arial" w:cs="Arial"/>
                <w:szCs w:val="20"/>
              </w:rPr>
            </w:pPr>
            <w:r w:rsidRPr="0001788E">
              <w:rPr>
                <w:rFonts w:ascii="Arial" w:hAnsi="Arial" w:cs="Arial"/>
                <w:szCs w:val="20"/>
              </w:rPr>
              <w:t>0 - 7 days</w:t>
            </w:r>
          </w:p>
        </w:tc>
        <w:tc>
          <w:tcPr>
            <w:tcW w:w="436" w:type="pct"/>
          </w:tcPr>
          <w:p w14:paraId="37FE1732" w14:textId="77777777" w:rsidR="00A879C1" w:rsidRPr="0001788E" w:rsidRDefault="00A879C1" w:rsidP="00A879C1">
            <w:pPr>
              <w:jc w:val="center"/>
              <w:rPr>
                <w:rFonts w:ascii="Arial" w:hAnsi="Arial" w:cs="Arial"/>
                <w:szCs w:val="20"/>
              </w:rPr>
            </w:pPr>
            <w:r w:rsidRPr="0001788E">
              <w:rPr>
                <w:rFonts w:ascii="Arial" w:hAnsi="Arial" w:cs="Arial"/>
                <w:szCs w:val="20"/>
              </w:rPr>
              <w:t>17</w:t>
            </w:r>
          </w:p>
        </w:tc>
        <w:tc>
          <w:tcPr>
            <w:tcW w:w="662" w:type="pct"/>
          </w:tcPr>
          <w:p w14:paraId="29CCADC3" w14:textId="77777777" w:rsidR="00A879C1" w:rsidRPr="0001788E" w:rsidRDefault="00A879C1" w:rsidP="00A879C1">
            <w:pPr>
              <w:jc w:val="center"/>
              <w:rPr>
                <w:rFonts w:ascii="Arial" w:hAnsi="Arial" w:cs="Arial"/>
                <w:szCs w:val="20"/>
              </w:rPr>
            </w:pPr>
            <w:r w:rsidRPr="0001788E">
              <w:rPr>
                <w:rFonts w:ascii="Arial" w:hAnsi="Arial" w:cs="Arial"/>
                <w:szCs w:val="20"/>
              </w:rPr>
              <w:t>7398</w:t>
            </w:r>
          </w:p>
        </w:tc>
        <w:tc>
          <w:tcPr>
            <w:tcW w:w="794" w:type="pct"/>
          </w:tcPr>
          <w:p w14:paraId="2C32C817" w14:textId="77777777" w:rsidR="00A879C1" w:rsidRPr="0001788E" w:rsidRDefault="00A879C1" w:rsidP="00A879C1">
            <w:pPr>
              <w:jc w:val="center"/>
              <w:rPr>
                <w:rFonts w:ascii="Arial" w:hAnsi="Arial" w:cs="Arial"/>
                <w:szCs w:val="20"/>
              </w:rPr>
            </w:pPr>
            <w:r w:rsidRPr="0001788E">
              <w:rPr>
                <w:rFonts w:ascii="Arial" w:hAnsi="Arial" w:cs="Arial"/>
                <w:szCs w:val="20"/>
              </w:rPr>
              <w:t>0.84 (0.52-1.36)</w:t>
            </w:r>
          </w:p>
        </w:tc>
        <w:tc>
          <w:tcPr>
            <w:tcW w:w="794" w:type="pct"/>
          </w:tcPr>
          <w:p w14:paraId="3332E150" w14:textId="77777777" w:rsidR="00A879C1" w:rsidRPr="0001788E" w:rsidRDefault="00A879C1" w:rsidP="00A879C1">
            <w:pPr>
              <w:jc w:val="center"/>
              <w:rPr>
                <w:rFonts w:ascii="Arial" w:hAnsi="Arial" w:cs="Arial"/>
                <w:szCs w:val="20"/>
              </w:rPr>
            </w:pPr>
            <w:r w:rsidRPr="0001788E">
              <w:rPr>
                <w:rFonts w:ascii="Arial" w:hAnsi="Arial" w:cs="Arial"/>
                <w:szCs w:val="20"/>
              </w:rPr>
              <w:t>0.93 (0.57-1.50)</w:t>
            </w:r>
          </w:p>
        </w:tc>
        <w:tc>
          <w:tcPr>
            <w:tcW w:w="433" w:type="pct"/>
          </w:tcPr>
          <w:p w14:paraId="41FA946D" w14:textId="77777777" w:rsidR="00A879C1" w:rsidRPr="0001788E" w:rsidRDefault="00A879C1" w:rsidP="00A879C1">
            <w:pPr>
              <w:jc w:val="center"/>
              <w:rPr>
                <w:rFonts w:ascii="Arial" w:hAnsi="Arial" w:cs="Arial"/>
                <w:szCs w:val="20"/>
              </w:rPr>
            </w:pPr>
            <w:r w:rsidRPr="0001788E">
              <w:rPr>
                <w:rFonts w:ascii="Arial" w:hAnsi="Arial" w:cs="Arial"/>
                <w:szCs w:val="20"/>
              </w:rPr>
              <w:t>0.751</w:t>
            </w:r>
          </w:p>
        </w:tc>
      </w:tr>
      <w:tr w:rsidR="00A879C1" w:rsidRPr="0001788E" w14:paraId="525B9D8B" w14:textId="77777777" w:rsidTr="00A879C1">
        <w:tc>
          <w:tcPr>
            <w:tcW w:w="596" w:type="pct"/>
            <w:vMerge/>
          </w:tcPr>
          <w:p w14:paraId="030A1D7C" w14:textId="77777777" w:rsidR="00A879C1" w:rsidRPr="0001788E" w:rsidRDefault="00A879C1" w:rsidP="00A879C1">
            <w:pPr>
              <w:rPr>
                <w:rFonts w:ascii="Arial" w:hAnsi="Arial" w:cs="Arial"/>
                <w:szCs w:val="20"/>
              </w:rPr>
            </w:pPr>
          </w:p>
        </w:tc>
        <w:tc>
          <w:tcPr>
            <w:tcW w:w="1285" w:type="pct"/>
          </w:tcPr>
          <w:p w14:paraId="3619C888" w14:textId="77777777" w:rsidR="00A879C1" w:rsidRPr="0001788E" w:rsidRDefault="00A879C1" w:rsidP="00A879C1">
            <w:pPr>
              <w:jc w:val="right"/>
              <w:rPr>
                <w:rFonts w:ascii="Arial" w:hAnsi="Arial" w:cs="Arial"/>
                <w:szCs w:val="20"/>
              </w:rPr>
            </w:pPr>
            <w:r w:rsidRPr="0001788E">
              <w:rPr>
                <w:rFonts w:ascii="Arial" w:hAnsi="Arial" w:cs="Arial"/>
                <w:szCs w:val="20"/>
              </w:rPr>
              <w:t xml:space="preserve">8 - 14 days  </w:t>
            </w:r>
          </w:p>
        </w:tc>
        <w:tc>
          <w:tcPr>
            <w:tcW w:w="436" w:type="pct"/>
          </w:tcPr>
          <w:p w14:paraId="162EE2E0" w14:textId="77777777" w:rsidR="00A879C1" w:rsidRPr="0001788E" w:rsidRDefault="00A879C1" w:rsidP="00A879C1">
            <w:pPr>
              <w:jc w:val="center"/>
              <w:rPr>
                <w:rFonts w:ascii="Arial" w:hAnsi="Arial" w:cs="Arial"/>
                <w:szCs w:val="20"/>
              </w:rPr>
            </w:pPr>
            <w:r w:rsidRPr="0001788E">
              <w:rPr>
                <w:rFonts w:ascii="Arial" w:hAnsi="Arial" w:cs="Arial"/>
                <w:szCs w:val="20"/>
              </w:rPr>
              <w:t>9</w:t>
            </w:r>
          </w:p>
        </w:tc>
        <w:tc>
          <w:tcPr>
            <w:tcW w:w="662" w:type="pct"/>
          </w:tcPr>
          <w:p w14:paraId="1FC27136" w14:textId="77777777" w:rsidR="00A879C1" w:rsidRPr="0001788E" w:rsidRDefault="00A879C1" w:rsidP="00A879C1">
            <w:pPr>
              <w:jc w:val="center"/>
              <w:rPr>
                <w:rFonts w:ascii="Arial" w:hAnsi="Arial" w:cs="Arial"/>
                <w:szCs w:val="20"/>
              </w:rPr>
            </w:pPr>
            <w:r w:rsidRPr="0001788E">
              <w:rPr>
                <w:rFonts w:ascii="Arial" w:hAnsi="Arial" w:cs="Arial"/>
                <w:szCs w:val="20"/>
              </w:rPr>
              <w:t>6666</w:t>
            </w:r>
          </w:p>
        </w:tc>
        <w:tc>
          <w:tcPr>
            <w:tcW w:w="794" w:type="pct"/>
          </w:tcPr>
          <w:p w14:paraId="017DE330" w14:textId="77777777" w:rsidR="00A879C1" w:rsidRPr="0001788E" w:rsidRDefault="00A879C1" w:rsidP="00A879C1">
            <w:pPr>
              <w:jc w:val="center"/>
              <w:rPr>
                <w:rFonts w:ascii="Arial" w:hAnsi="Arial" w:cs="Arial"/>
                <w:szCs w:val="20"/>
              </w:rPr>
            </w:pPr>
            <w:r w:rsidRPr="0001788E">
              <w:rPr>
                <w:rFonts w:ascii="Arial" w:hAnsi="Arial" w:cs="Arial"/>
                <w:szCs w:val="20"/>
              </w:rPr>
              <w:t>0.50 (0.26-0.96)</w:t>
            </w:r>
          </w:p>
        </w:tc>
        <w:tc>
          <w:tcPr>
            <w:tcW w:w="794" w:type="pct"/>
          </w:tcPr>
          <w:p w14:paraId="55814F40" w14:textId="77777777" w:rsidR="00A879C1" w:rsidRPr="0001788E" w:rsidRDefault="00A879C1" w:rsidP="00A879C1">
            <w:pPr>
              <w:jc w:val="center"/>
              <w:rPr>
                <w:rFonts w:ascii="Arial" w:hAnsi="Arial" w:cs="Arial"/>
                <w:szCs w:val="20"/>
              </w:rPr>
            </w:pPr>
            <w:r w:rsidRPr="0001788E">
              <w:rPr>
                <w:rFonts w:ascii="Arial" w:hAnsi="Arial" w:cs="Arial"/>
                <w:szCs w:val="20"/>
              </w:rPr>
              <w:t>0.54 (0.28-1.05)</w:t>
            </w:r>
          </w:p>
        </w:tc>
        <w:tc>
          <w:tcPr>
            <w:tcW w:w="433" w:type="pct"/>
          </w:tcPr>
          <w:p w14:paraId="5CCA2789" w14:textId="77777777" w:rsidR="00A879C1" w:rsidRPr="0001788E" w:rsidRDefault="00A879C1" w:rsidP="00A879C1">
            <w:pPr>
              <w:jc w:val="center"/>
              <w:rPr>
                <w:rFonts w:ascii="Arial" w:hAnsi="Arial" w:cs="Arial"/>
                <w:szCs w:val="20"/>
              </w:rPr>
            </w:pPr>
            <w:r w:rsidRPr="0001788E">
              <w:rPr>
                <w:rFonts w:ascii="Arial" w:hAnsi="Arial" w:cs="Arial"/>
                <w:szCs w:val="20"/>
              </w:rPr>
              <w:t>0.067</w:t>
            </w:r>
          </w:p>
        </w:tc>
      </w:tr>
      <w:tr w:rsidR="00A879C1" w:rsidRPr="0001788E" w14:paraId="408390B7" w14:textId="77777777" w:rsidTr="00A879C1">
        <w:trPr>
          <w:trHeight w:val="273"/>
        </w:trPr>
        <w:tc>
          <w:tcPr>
            <w:tcW w:w="596" w:type="pct"/>
            <w:vMerge/>
            <w:vAlign w:val="center"/>
          </w:tcPr>
          <w:p w14:paraId="1FB7B11E" w14:textId="77777777" w:rsidR="00A879C1" w:rsidRPr="0001788E" w:rsidRDefault="00A879C1" w:rsidP="00A879C1">
            <w:pPr>
              <w:rPr>
                <w:rFonts w:ascii="Arial" w:hAnsi="Arial" w:cs="Arial"/>
                <w:szCs w:val="20"/>
              </w:rPr>
            </w:pPr>
          </w:p>
        </w:tc>
        <w:tc>
          <w:tcPr>
            <w:tcW w:w="1285" w:type="pct"/>
          </w:tcPr>
          <w:p w14:paraId="65129AA5" w14:textId="77777777" w:rsidR="00A879C1" w:rsidRPr="0001788E" w:rsidRDefault="00A879C1" w:rsidP="00A879C1">
            <w:pPr>
              <w:jc w:val="right"/>
              <w:rPr>
                <w:rFonts w:ascii="Arial" w:hAnsi="Arial" w:cs="Arial"/>
                <w:szCs w:val="20"/>
              </w:rPr>
            </w:pPr>
            <w:r w:rsidRPr="0001788E">
              <w:rPr>
                <w:rFonts w:ascii="Arial" w:hAnsi="Arial" w:cs="Arial"/>
                <w:szCs w:val="20"/>
              </w:rPr>
              <w:t>15 - 21 days</w:t>
            </w:r>
          </w:p>
        </w:tc>
        <w:tc>
          <w:tcPr>
            <w:tcW w:w="436" w:type="pct"/>
          </w:tcPr>
          <w:p w14:paraId="15C3A87A" w14:textId="77777777" w:rsidR="00A879C1" w:rsidRPr="0001788E" w:rsidRDefault="00A879C1" w:rsidP="00A879C1">
            <w:pPr>
              <w:jc w:val="center"/>
              <w:rPr>
                <w:rFonts w:ascii="Arial" w:hAnsi="Arial" w:cs="Arial"/>
                <w:szCs w:val="20"/>
              </w:rPr>
            </w:pPr>
            <w:r w:rsidRPr="0001788E">
              <w:rPr>
                <w:rFonts w:ascii="Arial" w:hAnsi="Arial" w:cs="Arial"/>
                <w:szCs w:val="20"/>
              </w:rPr>
              <w:t>18</w:t>
            </w:r>
          </w:p>
        </w:tc>
        <w:tc>
          <w:tcPr>
            <w:tcW w:w="662" w:type="pct"/>
          </w:tcPr>
          <w:p w14:paraId="0E22FF74" w14:textId="77777777" w:rsidR="00A879C1" w:rsidRPr="0001788E" w:rsidRDefault="00A879C1" w:rsidP="00A879C1">
            <w:pPr>
              <w:jc w:val="center"/>
              <w:rPr>
                <w:rFonts w:ascii="Arial" w:hAnsi="Arial" w:cs="Arial"/>
                <w:szCs w:val="20"/>
              </w:rPr>
            </w:pPr>
            <w:r w:rsidRPr="0001788E">
              <w:rPr>
                <w:rFonts w:ascii="Arial" w:hAnsi="Arial" w:cs="Arial"/>
                <w:szCs w:val="20"/>
              </w:rPr>
              <w:t>5929</w:t>
            </w:r>
          </w:p>
        </w:tc>
        <w:tc>
          <w:tcPr>
            <w:tcW w:w="794" w:type="pct"/>
          </w:tcPr>
          <w:p w14:paraId="6FAEC248" w14:textId="77777777" w:rsidR="00A879C1" w:rsidRPr="0001788E" w:rsidRDefault="00A879C1" w:rsidP="00A879C1">
            <w:pPr>
              <w:jc w:val="center"/>
              <w:rPr>
                <w:rFonts w:ascii="Arial" w:hAnsi="Arial" w:cs="Arial"/>
                <w:szCs w:val="20"/>
              </w:rPr>
            </w:pPr>
            <w:r w:rsidRPr="0001788E">
              <w:rPr>
                <w:rFonts w:ascii="Arial" w:hAnsi="Arial" w:cs="Arial"/>
                <w:szCs w:val="20"/>
              </w:rPr>
              <w:t>1.12 (0.70-1.78)</w:t>
            </w:r>
          </w:p>
        </w:tc>
        <w:tc>
          <w:tcPr>
            <w:tcW w:w="794" w:type="pct"/>
          </w:tcPr>
          <w:p w14:paraId="1E602664" w14:textId="77777777" w:rsidR="00A879C1" w:rsidRPr="0001788E" w:rsidRDefault="00A879C1" w:rsidP="00A879C1">
            <w:pPr>
              <w:jc w:val="center"/>
              <w:rPr>
                <w:rFonts w:ascii="Arial" w:hAnsi="Arial" w:cs="Arial"/>
                <w:szCs w:val="20"/>
              </w:rPr>
            </w:pPr>
            <w:r w:rsidRPr="0001788E">
              <w:rPr>
                <w:rFonts w:ascii="Arial" w:hAnsi="Arial" w:cs="Arial"/>
                <w:szCs w:val="20"/>
              </w:rPr>
              <w:t>1.20 (0.72-1.93)</w:t>
            </w:r>
          </w:p>
        </w:tc>
        <w:tc>
          <w:tcPr>
            <w:tcW w:w="433" w:type="pct"/>
          </w:tcPr>
          <w:p w14:paraId="69AD82E6" w14:textId="77777777" w:rsidR="00A879C1" w:rsidRPr="0001788E" w:rsidRDefault="00A879C1" w:rsidP="00A879C1">
            <w:pPr>
              <w:jc w:val="center"/>
              <w:rPr>
                <w:rFonts w:ascii="Arial" w:hAnsi="Arial" w:cs="Arial"/>
                <w:szCs w:val="20"/>
              </w:rPr>
            </w:pPr>
            <w:r w:rsidRPr="0001788E">
              <w:rPr>
                <w:rFonts w:ascii="Arial" w:hAnsi="Arial" w:cs="Arial"/>
                <w:szCs w:val="20"/>
              </w:rPr>
              <w:t>0.437</w:t>
            </w:r>
          </w:p>
        </w:tc>
      </w:tr>
    </w:tbl>
    <w:p w14:paraId="12538A2F" w14:textId="4EF07697" w:rsidR="00A879C1" w:rsidRPr="0001788E" w:rsidRDefault="00A879C1" w:rsidP="00A879C1">
      <w:pPr>
        <w:rPr>
          <w:rFonts w:ascii="Arial" w:hAnsi="Arial" w:cs="Arial"/>
          <w:szCs w:val="20"/>
        </w:rPr>
      </w:pPr>
      <w:r w:rsidRPr="0001788E">
        <w:rPr>
          <w:rFonts w:ascii="Arial" w:hAnsi="Arial" w:cs="Arial"/>
          <w:szCs w:val="20"/>
        </w:rPr>
        <w:t xml:space="preserve">*Adjusted for seasons </w:t>
      </w:r>
      <w:r w:rsidR="00DE2605">
        <w:rPr>
          <w:rFonts w:ascii="Arial"/>
          <w:spacing w:val="-2"/>
        </w:rPr>
        <w:t>as per the Meteorological Office</w:t>
      </w:r>
    </w:p>
    <w:p w14:paraId="29E8EE6A" w14:textId="77777777" w:rsidR="00A879C1" w:rsidRPr="0001788E" w:rsidRDefault="00A879C1" w:rsidP="00A879C1">
      <w:pPr>
        <w:rPr>
          <w:rFonts w:ascii="Arial" w:hAnsi="Arial" w:cs="Arial"/>
          <w:szCs w:val="20"/>
        </w:rPr>
      </w:pPr>
      <w:r w:rsidRPr="0001788E">
        <w:rPr>
          <w:rFonts w:ascii="Arial" w:hAnsi="Arial" w:cs="Arial"/>
          <w:szCs w:val="20"/>
        </w:rPr>
        <w:br w:type="page"/>
      </w:r>
    </w:p>
    <w:p w14:paraId="680F1AF8" w14:textId="7A02662E" w:rsidR="00A879C1" w:rsidRPr="0001788E" w:rsidRDefault="00A879C1" w:rsidP="00A879C1">
      <w:pPr>
        <w:rPr>
          <w:rFonts w:ascii="Arial" w:hAnsi="Arial" w:cs="Arial"/>
        </w:rPr>
      </w:pPr>
      <w:r w:rsidRPr="0001788E">
        <w:rPr>
          <w:rFonts w:ascii="Arial" w:hAnsi="Arial" w:cs="Arial"/>
        </w:rPr>
        <w:lastRenderedPageBreak/>
        <w:t xml:space="preserve">Table 2: The association between </w:t>
      </w:r>
      <w:r w:rsidR="0025665E">
        <w:rPr>
          <w:rFonts w:ascii="Arial" w:hAnsi="Arial" w:cs="Arial"/>
        </w:rPr>
        <w:t>COVID</w:t>
      </w:r>
      <w:r w:rsidRPr="0001788E">
        <w:rPr>
          <w:rFonts w:ascii="Arial" w:hAnsi="Arial" w:cs="Arial"/>
        </w:rPr>
        <w:t xml:space="preserve">-19 vaccination and </w:t>
      </w:r>
      <w:r w:rsidR="00DE2605">
        <w:rPr>
          <w:rFonts w:ascii="Arial" w:hAnsi="Arial" w:cs="Arial"/>
        </w:rPr>
        <w:t>inflammatory bowel disease (</w:t>
      </w:r>
      <w:r w:rsidRPr="0001788E">
        <w:rPr>
          <w:rFonts w:ascii="Arial" w:hAnsi="Arial" w:cs="Arial"/>
        </w:rPr>
        <w:t>IBD</w:t>
      </w:r>
      <w:r w:rsidR="00DE2605">
        <w:rPr>
          <w:rFonts w:ascii="Arial" w:hAnsi="Arial" w:cs="Arial"/>
        </w:rPr>
        <w:t>)</w:t>
      </w:r>
      <w:r w:rsidRPr="0001788E">
        <w:rPr>
          <w:rFonts w:ascii="Arial" w:hAnsi="Arial" w:cs="Arial"/>
        </w:rPr>
        <w:t xml:space="preserve"> flare: stratified analysis </w:t>
      </w:r>
    </w:p>
    <w:tbl>
      <w:tblPr>
        <w:tblStyle w:val="TableGrid"/>
        <w:tblpPr w:leftFromText="180" w:rightFromText="180" w:vertAnchor="text" w:horzAnchor="page" w:tblpX="832" w:tblpY="328"/>
        <w:tblOverlap w:val="never"/>
        <w:tblW w:w="5097" w:type="pct"/>
        <w:tblLook w:val="04A0" w:firstRow="1" w:lastRow="0" w:firstColumn="1" w:lastColumn="0" w:noHBand="0" w:noVBand="1"/>
      </w:tblPr>
      <w:tblGrid>
        <w:gridCol w:w="2753"/>
        <w:gridCol w:w="3034"/>
        <w:gridCol w:w="1243"/>
        <w:gridCol w:w="1789"/>
        <w:gridCol w:w="2485"/>
        <w:gridCol w:w="1931"/>
        <w:gridCol w:w="984"/>
      </w:tblGrid>
      <w:tr w:rsidR="006D45F3" w:rsidRPr="0001788E" w14:paraId="4CBB7737" w14:textId="77777777" w:rsidTr="006D45F3">
        <w:trPr>
          <w:trHeight w:val="474"/>
        </w:trPr>
        <w:tc>
          <w:tcPr>
            <w:tcW w:w="968" w:type="pct"/>
          </w:tcPr>
          <w:p w14:paraId="0EA42287" w14:textId="77777777" w:rsidR="006D45F3" w:rsidRPr="0001788E" w:rsidRDefault="006D45F3" w:rsidP="006D45F3">
            <w:pPr>
              <w:rPr>
                <w:rFonts w:ascii="Arial" w:hAnsi="Arial" w:cs="Arial"/>
                <w:bCs/>
                <w:szCs w:val="20"/>
              </w:rPr>
            </w:pPr>
          </w:p>
        </w:tc>
        <w:tc>
          <w:tcPr>
            <w:tcW w:w="1067" w:type="pct"/>
          </w:tcPr>
          <w:p w14:paraId="49CD5961" w14:textId="4916DF0F" w:rsidR="006D45F3" w:rsidRPr="0001788E" w:rsidRDefault="006D45F3" w:rsidP="006D45F3">
            <w:pPr>
              <w:rPr>
                <w:rFonts w:ascii="Arial" w:hAnsi="Arial" w:cs="Arial"/>
                <w:bCs/>
                <w:szCs w:val="20"/>
              </w:rPr>
            </w:pPr>
            <w:r w:rsidRPr="0001788E">
              <w:rPr>
                <w:rFonts w:ascii="Arial" w:hAnsi="Arial" w:cs="Arial"/>
                <w:bCs/>
                <w:szCs w:val="20"/>
              </w:rPr>
              <w:t>Risk period</w:t>
            </w:r>
          </w:p>
        </w:tc>
        <w:tc>
          <w:tcPr>
            <w:tcW w:w="437" w:type="pct"/>
          </w:tcPr>
          <w:p w14:paraId="65EAAAE3" w14:textId="77777777" w:rsidR="006D45F3" w:rsidRPr="0001788E" w:rsidRDefault="006D45F3" w:rsidP="006D45F3">
            <w:pPr>
              <w:jc w:val="center"/>
              <w:rPr>
                <w:rFonts w:ascii="Arial" w:hAnsi="Arial" w:cs="Arial"/>
                <w:bCs/>
                <w:szCs w:val="20"/>
              </w:rPr>
            </w:pPr>
            <w:r w:rsidRPr="0001788E">
              <w:rPr>
                <w:rFonts w:ascii="Arial" w:hAnsi="Arial" w:cs="Arial"/>
                <w:bCs/>
                <w:szCs w:val="20"/>
              </w:rPr>
              <w:t>Events (n)</w:t>
            </w:r>
          </w:p>
        </w:tc>
        <w:tc>
          <w:tcPr>
            <w:tcW w:w="629" w:type="pct"/>
          </w:tcPr>
          <w:p w14:paraId="76AABFB2" w14:textId="77777777" w:rsidR="006D45F3" w:rsidRPr="0001788E" w:rsidRDefault="006D45F3" w:rsidP="006D45F3">
            <w:pPr>
              <w:jc w:val="center"/>
              <w:rPr>
                <w:rFonts w:ascii="Arial" w:hAnsi="Arial" w:cs="Arial"/>
                <w:bCs/>
                <w:szCs w:val="20"/>
              </w:rPr>
            </w:pPr>
            <w:r w:rsidRPr="0001788E">
              <w:rPr>
                <w:rFonts w:ascii="Arial" w:hAnsi="Arial" w:cs="Arial"/>
                <w:bCs/>
                <w:szCs w:val="20"/>
              </w:rPr>
              <w:t>Person-time (days)</w:t>
            </w:r>
          </w:p>
        </w:tc>
        <w:tc>
          <w:tcPr>
            <w:tcW w:w="874" w:type="pct"/>
          </w:tcPr>
          <w:p w14:paraId="0F890BD3" w14:textId="77777777" w:rsidR="006D45F3" w:rsidRPr="0001788E" w:rsidRDefault="006D45F3" w:rsidP="006D45F3">
            <w:pPr>
              <w:jc w:val="center"/>
              <w:rPr>
                <w:rFonts w:ascii="Arial" w:hAnsi="Arial" w:cs="Arial"/>
                <w:bCs/>
                <w:szCs w:val="20"/>
              </w:rPr>
            </w:pPr>
            <w:r w:rsidRPr="0001788E">
              <w:rPr>
                <w:rFonts w:ascii="Arial" w:hAnsi="Arial" w:cs="Arial"/>
                <w:bCs/>
                <w:szCs w:val="20"/>
              </w:rPr>
              <w:t>Incidence Rate Ratio (95%CI)</w:t>
            </w:r>
          </w:p>
        </w:tc>
        <w:tc>
          <w:tcPr>
            <w:tcW w:w="679" w:type="pct"/>
          </w:tcPr>
          <w:p w14:paraId="17975062" w14:textId="77777777" w:rsidR="006D45F3" w:rsidRPr="0001788E" w:rsidRDefault="006D45F3" w:rsidP="006D45F3">
            <w:pPr>
              <w:jc w:val="center"/>
              <w:rPr>
                <w:rFonts w:ascii="Arial" w:hAnsi="Arial" w:cs="Arial"/>
                <w:bCs/>
                <w:szCs w:val="20"/>
              </w:rPr>
            </w:pPr>
            <w:r w:rsidRPr="0001788E">
              <w:rPr>
                <w:rFonts w:ascii="Arial" w:hAnsi="Arial" w:cs="Arial"/>
                <w:bCs/>
                <w:szCs w:val="20"/>
              </w:rPr>
              <w:t xml:space="preserve">Adj IRR </w:t>
            </w:r>
          </w:p>
          <w:p w14:paraId="22F371F5" w14:textId="77777777" w:rsidR="006D45F3" w:rsidRPr="0001788E" w:rsidRDefault="006D45F3" w:rsidP="006D45F3">
            <w:pPr>
              <w:jc w:val="center"/>
              <w:rPr>
                <w:rFonts w:ascii="Arial" w:hAnsi="Arial" w:cs="Arial"/>
                <w:bCs/>
                <w:szCs w:val="20"/>
              </w:rPr>
            </w:pPr>
            <w:r w:rsidRPr="0001788E">
              <w:rPr>
                <w:rFonts w:ascii="Arial" w:hAnsi="Arial" w:cs="Arial"/>
                <w:bCs/>
                <w:szCs w:val="20"/>
              </w:rPr>
              <w:t>(95%CI)*</w:t>
            </w:r>
          </w:p>
        </w:tc>
        <w:tc>
          <w:tcPr>
            <w:tcW w:w="346" w:type="pct"/>
          </w:tcPr>
          <w:p w14:paraId="706779E0" w14:textId="77777777" w:rsidR="006D45F3" w:rsidRPr="0001788E" w:rsidRDefault="006D45F3" w:rsidP="006D45F3">
            <w:pPr>
              <w:jc w:val="center"/>
              <w:rPr>
                <w:rFonts w:ascii="Arial" w:hAnsi="Arial" w:cs="Arial"/>
                <w:bCs/>
                <w:szCs w:val="20"/>
              </w:rPr>
            </w:pPr>
            <w:r w:rsidRPr="0001788E">
              <w:rPr>
                <w:rFonts w:ascii="Arial" w:hAnsi="Arial" w:cs="Arial"/>
                <w:bCs/>
                <w:szCs w:val="20"/>
              </w:rPr>
              <w:t>p-value</w:t>
            </w:r>
          </w:p>
        </w:tc>
      </w:tr>
      <w:tr w:rsidR="006D45F3" w:rsidRPr="0001788E" w14:paraId="6B6716B4" w14:textId="77777777" w:rsidTr="006D45F3">
        <w:trPr>
          <w:trHeight w:val="237"/>
        </w:trPr>
        <w:tc>
          <w:tcPr>
            <w:tcW w:w="968" w:type="pct"/>
          </w:tcPr>
          <w:p w14:paraId="4ED96819" w14:textId="77777777" w:rsidR="006D45F3" w:rsidRPr="0001788E" w:rsidRDefault="006D45F3" w:rsidP="006D45F3">
            <w:pPr>
              <w:rPr>
                <w:rFonts w:ascii="Arial" w:hAnsi="Arial" w:cs="Arial"/>
                <w:bCs/>
                <w:szCs w:val="20"/>
              </w:rPr>
            </w:pPr>
          </w:p>
        </w:tc>
        <w:tc>
          <w:tcPr>
            <w:tcW w:w="4032" w:type="pct"/>
            <w:gridSpan w:val="6"/>
          </w:tcPr>
          <w:p w14:paraId="057B6F3C" w14:textId="77777777" w:rsidR="006D45F3" w:rsidRPr="0001788E" w:rsidRDefault="006D45F3" w:rsidP="006D45F3">
            <w:pPr>
              <w:jc w:val="center"/>
              <w:rPr>
                <w:rFonts w:ascii="Arial" w:hAnsi="Arial" w:cs="Arial"/>
                <w:bCs/>
                <w:szCs w:val="20"/>
              </w:rPr>
            </w:pPr>
            <w:r w:rsidRPr="0001788E">
              <w:rPr>
                <w:rFonts w:ascii="Arial" w:hAnsi="Arial" w:cs="Arial"/>
                <w:b/>
                <w:szCs w:val="20"/>
              </w:rPr>
              <w:t>Vaccine type</w:t>
            </w:r>
            <w:r w:rsidRPr="0001788E">
              <w:rPr>
                <w:rFonts w:ascii="Arial" w:hAnsi="Arial" w:cs="Arial"/>
                <w:b/>
                <w:szCs w:val="20"/>
                <w:vertAlign w:val="superscript"/>
              </w:rPr>
              <w:t>‡</w:t>
            </w:r>
          </w:p>
        </w:tc>
      </w:tr>
      <w:tr w:rsidR="006D45F3" w:rsidRPr="0001788E" w14:paraId="0D7099A0" w14:textId="77777777" w:rsidTr="006D45F3">
        <w:trPr>
          <w:trHeight w:val="237"/>
        </w:trPr>
        <w:tc>
          <w:tcPr>
            <w:tcW w:w="968" w:type="pct"/>
            <w:vMerge w:val="restart"/>
          </w:tcPr>
          <w:p w14:paraId="6CDEE349" w14:textId="0D780F1B" w:rsidR="006D45F3" w:rsidRPr="0001788E" w:rsidRDefault="00D52282" w:rsidP="006D45F3">
            <w:pPr>
              <w:rPr>
                <w:rFonts w:ascii="Arial" w:hAnsi="Arial" w:cs="Arial"/>
                <w:bCs/>
                <w:szCs w:val="20"/>
              </w:rPr>
            </w:pPr>
            <w:r w:rsidRPr="00541BBB">
              <w:rPr>
                <w:rFonts w:ascii="Arial"/>
                <w:spacing w:val="-2"/>
              </w:rPr>
              <w:t>BNT1262b2</w:t>
            </w:r>
          </w:p>
        </w:tc>
        <w:tc>
          <w:tcPr>
            <w:tcW w:w="1067" w:type="pct"/>
          </w:tcPr>
          <w:p w14:paraId="3DC256F0" w14:textId="51E82B51" w:rsidR="006D45F3" w:rsidRPr="0001788E" w:rsidRDefault="00D52282" w:rsidP="006D45F3">
            <w:pPr>
              <w:rPr>
                <w:rFonts w:ascii="Arial" w:hAnsi="Arial" w:cs="Arial"/>
                <w:szCs w:val="20"/>
              </w:rPr>
            </w:pPr>
            <w:r>
              <w:rPr>
                <w:rFonts w:ascii="Arial" w:hAnsi="Arial" w:cs="Arial"/>
                <w:szCs w:val="20"/>
              </w:rPr>
              <w:t>Vaccine unexposed b</w:t>
            </w:r>
            <w:r w:rsidR="006D45F3" w:rsidRPr="0001788E">
              <w:rPr>
                <w:rFonts w:ascii="Arial" w:hAnsi="Arial" w:cs="Arial"/>
                <w:szCs w:val="20"/>
              </w:rPr>
              <w:t xml:space="preserve">aseline </w:t>
            </w:r>
          </w:p>
        </w:tc>
        <w:tc>
          <w:tcPr>
            <w:tcW w:w="437" w:type="pct"/>
          </w:tcPr>
          <w:p w14:paraId="638E12EC" w14:textId="77777777" w:rsidR="006D45F3" w:rsidRPr="0001788E" w:rsidRDefault="006D45F3" w:rsidP="006D45F3">
            <w:pPr>
              <w:jc w:val="center"/>
              <w:rPr>
                <w:rFonts w:ascii="Arial" w:hAnsi="Arial" w:cs="Arial"/>
                <w:szCs w:val="20"/>
              </w:rPr>
            </w:pPr>
            <w:r w:rsidRPr="0001788E">
              <w:rPr>
                <w:rFonts w:ascii="Arial" w:hAnsi="Arial" w:cs="Arial"/>
                <w:szCs w:val="20"/>
              </w:rPr>
              <w:t>377</w:t>
            </w:r>
          </w:p>
        </w:tc>
        <w:tc>
          <w:tcPr>
            <w:tcW w:w="629" w:type="pct"/>
          </w:tcPr>
          <w:p w14:paraId="5C78CA7D" w14:textId="77777777" w:rsidR="006D45F3" w:rsidRPr="0001788E" w:rsidRDefault="006D45F3" w:rsidP="006D45F3">
            <w:pPr>
              <w:jc w:val="center"/>
              <w:rPr>
                <w:rFonts w:ascii="Arial" w:hAnsi="Arial" w:cs="Arial"/>
                <w:szCs w:val="20"/>
              </w:rPr>
            </w:pPr>
            <w:r w:rsidRPr="0001788E">
              <w:rPr>
                <w:rFonts w:ascii="Arial" w:hAnsi="Arial" w:cs="Arial"/>
                <w:szCs w:val="20"/>
              </w:rPr>
              <w:t>126741</w:t>
            </w:r>
          </w:p>
        </w:tc>
        <w:tc>
          <w:tcPr>
            <w:tcW w:w="874" w:type="pct"/>
          </w:tcPr>
          <w:p w14:paraId="20FD06B0" w14:textId="77777777" w:rsidR="006D45F3" w:rsidRPr="0001788E" w:rsidRDefault="006D45F3" w:rsidP="006D45F3">
            <w:pPr>
              <w:jc w:val="center"/>
              <w:rPr>
                <w:rFonts w:ascii="Arial" w:hAnsi="Arial" w:cs="Arial"/>
                <w:szCs w:val="20"/>
              </w:rPr>
            </w:pPr>
            <w:r w:rsidRPr="0001788E">
              <w:rPr>
                <w:rFonts w:ascii="Arial" w:hAnsi="Arial" w:cs="Arial"/>
                <w:szCs w:val="20"/>
              </w:rPr>
              <w:t>1</w:t>
            </w:r>
          </w:p>
        </w:tc>
        <w:tc>
          <w:tcPr>
            <w:tcW w:w="679" w:type="pct"/>
          </w:tcPr>
          <w:p w14:paraId="25F64948" w14:textId="77777777" w:rsidR="006D45F3" w:rsidRPr="0001788E" w:rsidRDefault="006D45F3" w:rsidP="006D45F3">
            <w:pPr>
              <w:jc w:val="center"/>
              <w:rPr>
                <w:rFonts w:ascii="Arial" w:hAnsi="Arial" w:cs="Arial"/>
                <w:szCs w:val="20"/>
              </w:rPr>
            </w:pPr>
            <w:r w:rsidRPr="0001788E">
              <w:rPr>
                <w:rFonts w:ascii="Arial" w:hAnsi="Arial" w:cs="Arial"/>
                <w:szCs w:val="20"/>
              </w:rPr>
              <w:t>1</w:t>
            </w:r>
          </w:p>
        </w:tc>
        <w:tc>
          <w:tcPr>
            <w:tcW w:w="346" w:type="pct"/>
          </w:tcPr>
          <w:p w14:paraId="74662399" w14:textId="77777777" w:rsidR="006D45F3" w:rsidRPr="0001788E" w:rsidRDefault="006D45F3" w:rsidP="006D45F3">
            <w:pPr>
              <w:jc w:val="center"/>
              <w:rPr>
                <w:rFonts w:ascii="Arial" w:hAnsi="Arial" w:cs="Arial"/>
                <w:szCs w:val="20"/>
              </w:rPr>
            </w:pPr>
            <w:r w:rsidRPr="0001788E">
              <w:rPr>
                <w:rFonts w:ascii="Arial" w:hAnsi="Arial" w:cs="Arial"/>
                <w:szCs w:val="20"/>
              </w:rPr>
              <w:t>-/-</w:t>
            </w:r>
          </w:p>
        </w:tc>
      </w:tr>
      <w:tr w:rsidR="006D45F3" w:rsidRPr="0001788E" w14:paraId="6423E290" w14:textId="77777777" w:rsidTr="006D45F3">
        <w:trPr>
          <w:trHeight w:val="253"/>
        </w:trPr>
        <w:tc>
          <w:tcPr>
            <w:tcW w:w="968" w:type="pct"/>
            <w:vMerge/>
            <w:vAlign w:val="center"/>
          </w:tcPr>
          <w:p w14:paraId="33C2381D" w14:textId="77777777" w:rsidR="006D45F3" w:rsidRPr="0001788E" w:rsidRDefault="006D45F3" w:rsidP="006D45F3">
            <w:pPr>
              <w:rPr>
                <w:rFonts w:ascii="Arial" w:hAnsi="Arial" w:cs="Arial"/>
                <w:bCs/>
                <w:szCs w:val="20"/>
              </w:rPr>
            </w:pPr>
          </w:p>
        </w:tc>
        <w:tc>
          <w:tcPr>
            <w:tcW w:w="1067" w:type="pct"/>
          </w:tcPr>
          <w:p w14:paraId="3CEF71B9" w14:textId="52D29838" w:rsidR="006D45F3" w:rsidRPr="0001788E" w:rsidRDefault="00D52282" w:rsidP="006D45F3">
            <w:pPr>
              <w:rPr>
                <w:rFonts w:ascii="Arial" w:hAnsi="Arial" w:cs="Arial"/>
                <w:szCs w:val="20"/>
              </w:rPr>
            </w:pPr>
            <w:r>
              <w:rPr>
                <w:rFonts w:ascii="Arial" w:hAnsi="Arial" w:cs="Arial"/>
                <w:szCs w:val="20"/>
              </w:rPr>
              <w:t>P</w:t>
            </w:r>
            <w:r w:rsidR="006D45F3" w:rsidRPr="0001788E">
              <w:rPr>
                <w:rFonts w:ascii="Arial" w:hAnsi="Arial" w:cs="Arial"/>
                <w:szCs w:val="20"/>
              </w:rPr>
              <w:t>re-vaccination</w:t>
            </w:r>
          </w:p>
        </w:tc>
        <w:tc>
          <w:tcPr>
            <w:tcW w:w="437" w:type="pct"/>
          </w:tcPr>
          <w:p w14:paraId="48EAA118" w14:textId="77777777" w:rsidR="006D45F3" w:rsidRPr="0001788E" w:rsidRDefault="006D45F3" w:rsidP="006D45F3">
            <w:pPr>
              <w:jc w:val="center"/>
              <w:rPr>
                <w:rFonts w:ascii="Arial" w:hAnsi="Arial" w:cs="Arial"/>
                <w:szCs w:val="20"/>
              </w:rPr>
            </w:pPr>
            <w:r w:rsidRPr="0001788E">
              <w:rPr>
                <w:rFonts w:ascii="Arial" w:hAnsi="Arial" w:cs="Arial"/>
                <w:szCs w:val="20"/>
              </w:rPr>
              <w:t>19</w:t>
            </w:r>
          </w:p>
        </w:tc>
        <w:tc>
          <w:tcPr>
            <w:tcW w:w="629" w:type="pct"/>
          </w:tcPr>
          <w:p w14:paraId="6C32FC38" w14:textId="77777777" w:rsidR="006D45F3" w:rsidRPr="0001788E" w:rsidRDefault="006D45F3" w:rsidP="006D45F3">
            <w:pPr>
              <w:jc w:val="center"/>
              <w:rPr>
                <w:rFonts w:ascii="Arial" w:hAnsi="Arial" w:cs="Arial"/>
                <w:szCs w:val="20"/>
              </w:rPr>
            </w:pPr>
            <w:r w:rsidRPr="0001788E">
              <w:rPr>
                <w:rFonts w:ascii="Arial" w:hAnsi="Arial" w:cs="Arial"/>
                <w:szCs w:val="20"/>
              </w:rPr>
              <w:t>5831</w:t>
            </w:r>
          </w:p>
        </w:tc>
        <w:tc>
          <w:tcPr>
            <w:tcW w:w="874" w:type="pct"/>
          </w:tcPr>
          <w:p w14:paraId="7B02DCC3" w14:textId="77777777" w:rsidR="006D45F3" w:rsidRPr="0001788E" w:rsidRDefault="006D45F3" w:rsidP="006D45F3">
            <w:pPr>
              <w:jc w:val="center"/>
              <w:rPr>
                <w:rFonts w:ascii="Arial" w:hAnsi="Arial" w:cs="Arial"/>
                <w:szCs w:val="20"/>
              </w:rPr>
            </w:pPr>
            <w:r w:rsidRPr="0001788E">
              <w:rPr>
                <w:rFonts w:ascii="Arial" w:hAnsi="Arial" w:cs="Arial"/>
                <w:szCs w:val="20"/>
              </w:rPr>
              <w:t>1.05 (0.66-1.67)</w:t>
            </w:r>
          </w:p>
        </w:tc>
        <w:tc>
          <w:tcPr>
            <w:tcW w:w="679" w:type="pct"/>
          </w:tcPr>
          <w:p w14:paraId="37DC1EC0" w14:textId="77777777" w:rsidR="006D45F3" w:rsidRPr="0001788E" w:rsidRDefault="006D45F3" w:rsidP="006D45F3">
            <w:pPr>
              <w:jc w:val="center"/>
              <w:rPr>
                <w:rFonts w:ascii="Arial" w:hAnsi="Arial" w:cs="Arial"/>
                <w:szCs w:val="20"/>
              </w:rPr>
            </w:pPr>
            <w:r w:rsidRPr="0001788E">
              <w:rPr>
                <w:rFonts w:ascii="Arial" w:hAnsi="Arial" w:cs="Arial"/>
                <w:szCs w:val="20"/>
              </w:rPr>
              <w:t>0.91 (0.57-1.45)</w:t>
            </w:r>
          </w:p>
        </w:tc>
        <w:tc>
          <w:tcPr>
            <w:tcW w:w="346" w:type="pct"/>
          </w:tcPr>
          <w:p w14:paraId="1294739C" w14:textId="77777777" w:rsidR="006D45F3" w:rsidRPr="0001788E" w:rsidRDefault="006D45F3" w:rsidP="006D45F3">
            <w:pPr>
              <w:jc w:val="center"/>
              <w:rPr>
                <w:rFonts w:ascii="Arial" w:hAnsi="Arial" w:cs="Arial"/>
                <w:szCs w:val="20"/>
              </w:rPr>
            </w:pPr>
            <w:r w:rsidRPr="0001788E">
              <w:rPr>
                <w:rFonts w:ascii="Arial" w:hAnsi="Arial" w:cs="Arial"/>
                <w:szCs w:val="20"/>
              </w:rPr>
              <w:t>0.685</w:t>
            </w:r>
          </w:p>
        </w:tc>
      </w:tr>
      <w:tr w:rsidR="006D45F3" w:rsidRPr="0001788E" w14:paraId="663B312D" w14:textId="77777777" w:rsidTr="006D45F3">
        <w:trPr>
          <w:trHeight w:val="253"/>
        </w:trPr>
        <w:tc>
          <w:tcPr>
            <w:tcW w:w="968" w:type="pct"/>
            <w:vMerge/>
          </w:tcPr>
          <w:p w14:paraId="4FB7A5AC" w14:textId="77777777" w:rsidR="006D45F3" w:rsidRPr="0001788E" w:rsidRDefault="006D45F3" w:rsidP="006D45F3">
            <w:pPr>
              <w:rPr>
                <w:rFonts w:ascii="Arial" w:hAnsi="Arial" w:cs="Arial"/>
                <w:bCs/>
                <w:szCs w:val="20"/>
              </w:rPr>
            </w:pPr>
          </w:p>
        </w:tc>
        <w:tc>
          <w:tcPr>
            <w:tcW w:w="1067" w:type="pct"/>
          </w:tcPr>
          <w:p w14:paraId="535B9EE2" w14:textId="02711C2C" w:rsidR="006D45F3" w:rsidRPr="0001788E" w:rsidRDefault="00D52282" w:rsidP="006D45F3">
            <w:pPr>
              <w:rPr>
                <w:rFonts w:ascii="Arial" w:hAnsi="Arial" w:cs="Arial"/>
                <w:szCs w:val="20"/>
              </w:rPr>
            </w:pPr>
            <w:r>
              <w:rPr>
                <w:rFonts w:ascii="Arial" w:hAnsi="Arial" w:cs="Arial"/>
                <w:szCs w:val="20"/>
              </w:rPr>
              <w:t>V</w:t>
            </w:r>
            <w:r w:rsidR="006D45F3" w:rsidRPr="0001788E">
              <w:rPr>
                <w:rFonts w:ascii="Arial" w:hAnsi="Arial" w:cs="Arial"/>
                <w:szCs w:val="20"/>
              </w:rPr>
              <w:t>accin</w:t>
            </w:r>
            <w:r>
              <w:rPr>
                <w:rFonts w:ascii="Arial" w:hAnsi="Arial" w:cs="Arial"/>
                <w:szCs w:val="20"/>
              </w:rPr>
              <w:t>e exposed</w:t>
            </w:r>
          </w:p>
        </w:tc>
        <w:tc>
          <w:tcPr>
            <w:tcW w:w="437" w:type="pct"/>
          </w:tcPr>
          <w:p w14:paraId="7CEB376A" w14:textId="77777777" w:rsidR="006D45F3" w:rsidRPr="0001788E" w:rsidRDefault="006D45F3" w:rsidP="006D45F3">
            <w:pPr>
              <w:jc w:val="center"/>
              <w:rPr>
                <w:rFonts w:ascii="Arial" w:hAnsi="Arial" w:cs="Arial"/>
                <w:szCs w:val="20"/>
              </w:rPr>
            </w:pPr>
          </w:p>
        </w:tc>
        <w:tc>
          <w:tcPr>
            <w:tcW w:w="629" w:type="pct"/>
          </w:tcPr>
          <w:p w14:paraId="66B9CC40" w14:textId="77777777" w:rsidR="006D45F3" w:rsidRPr="0001788E" w:rsidRDefault="006D45F3" w:rsidP="006D45F3">
            <w:pPr>
              <w:jc w:val="center"/>
              <w:rPr>
                <w:rFonts w:ascii="Arial" w:hAnsi="Arial" w:cs="Arial"/>
                <w:szCs w:val="20"/>
              </w:rPr>
            </w:pPr>
          </w:p>
        </w:tc>
        <w:tc>
          <w:tcPr>
            <w:tcW w:w="874" w:type="pct"/>
          </w:tcPr>
          <w:p w14:paraId="00DD9F13" w14:textId="77777777" w:rsidR="006D45F3" w:rsidRPr="0001788E" w:rsidRDefault="006D45F3" w:rsidP="006D45F3">
            <w:pPr>
              <w:jc w:val="center"/>
              <w:rPr>
                <w:rFonts w:ascii="Arial" w:hAnsi="Arial" w:cs="Arial"/>
                <w:szCs w:val="20"/>
              </w:rPr>
            </w:pPr>
          </w:p>
        </w:tc>
        <w:tc>
          <w:tcPr>
            <w:tcW w:w="679" w:type="pct"/>
          </w:tcPr>
          <w:p w14:paraId="512C5DFD" w14:textId="77777777" w:rsidR="006D45F3" w:rsidRPr="0001788E" w:rsidRDefault="006D45F3" w:rsidP="006D45F3">
            <w:pPr>
              <w:jc w:val="center"/>
              <w:rPr>
                <w:rFonts w:ascii="Arial" w:hAnsi="Arial" w:cs="Arial"/>
                <w:szCs w:val="20"/>
              </w:rPr>
            </w:pPr>
          </w:p>
        </w:tc>
        <w:tc>
          <w:tcPr>
            <w:tcW w:w="346" w:type="pct"/>
          </w:tcPr>
          <w:p w14:paraId="2E1E94B2" w14:textId="77777777" w:rsidR="006D45F3" w:rsidRPr="0001788E" w:rsidRDefault="006D45F3" w:rsidP="006D45F3">
            <w:pPr>
              <w:jc w:val="center"/>
              <w:rPr>
                <w:rFonts w:ascii="Arial" w:hAnsi="Arial" w:cs="Arial"/>
                <w:szCs w:val="20"/>
              </w:rPr>
            </w:pPr>
          </w:p>
        </w:tc>
      </w:tr>
      <w:tr w:rsidR="006D45F3" w:rsidRPr="0001788E" w14:paraId="1B630FE4" w14:textId="77777777" w:rsidTr="006D45F3">
        <w:trPr>
          <w:trHeight w:val="253"/>
        </w:trPr>
        <w:tc>
          <w:tcPr>
            <w:tcW w:w="968" w:type="pct"/>
            <w:vMerge/>
          </w:tcPr>
          <w:p w14:paraId="07DA7440" w14:textId="77777777" w:rsidR="006D45F3" w:rsidRPr="0001788E" w:rsidRDefault="006D45F3" w:rsidP="006D45F3">
            <w:pPr>
              <w:rPr>
                <w:rFonts w:ascii="Arial" w:hAnsi="Arial" w:cs="Arial"/>
                <w:bCs/>
                <w:szCs w:val="20"/>
              </w:rPr>
            </w:pPr>
          </w:p>
        </w:tc>
        <w:tc>
          <w:tcPr>
            <w:tcW w:w="1067" w:type="pct"/>
          </w:tcPr>
          <w:p w14:paraId="62AA7A1D" w14:textId="77777777" w:rsidR="006D45F3" w:rsidRPr="0001788E" w:rsidRDefault="006D45F3" w:rsidP="006D45F3">
            <w:pPr>
              <w:rPr>
                <w:rFonts w:ascii="Arial" w:hAnsi="Arial" w:cs="Arial"/>
                <w:szCs w:val="20"/>
              </w:rPr>
            </w:pPr>
            <w:r w:rsidRPr="0001788E">
              <w:rPr>
                <w:rFonts w:ascii="Arial" w:hAnsi="Arial" w:cs="Arial"/>
                <w:szCs w:val="20"/>
              </w:rPr>
              <w:t>0 - 21 days</w:t>
            </w:r>
          </w:p>
        </w:tc>
        <w:tc>
          <w:tcPr>
            <w:tcW w:w="437" w:type="pct"/>
          </w:tcPr>
          <w:p w14:paraId="411B9396" w14:textId="77777777" w:rsidR="006D45F3" w:rsidRPr="0001788E" w:rsidRDefault="006D45F3" w:rsidP="006D45F3">
            <w:pPr>
              <w:jc w:val="center"/>
              <w:rPr>
                <w:rFonts w:ascii="Arial" w:hAnsi="Arial" w:cs="Arial"/>
                <w:szCs w:val="20"/>
              </w:rPr>
            </w:pPr>
            <w:r w:rsidRPr="0001788E">
              <w:rPr>
                <w:rFonts w:ascii="Arial" w:hAnsi="Arial" w:cs="Arial"/>
                <w:szCs w:val="20"/>
              </w:rPr>
              <w:t>47</w:t>
            </w:r>
          </w:p>
        </w:tc>
        <w:tc>
          <w:tcPr>
            <w:tcW w:w="629" w:type="pct"/>
          </w:tcPr>
          <w:p w14:paraId="59F9AE4B" w14:textId="77777777" w:rsidR="006D45F3" w:rsidRPr="0001788E" w:rsidRDefault="006D45F3" w:rsidP="006D45F3">
            <w:pPr>
              <w:jc w:val="center"/>
              <w:rPr>
                <w:rFonts w:ascii="Arial" w:hAnsi="Arial" w:cs="Arial"/>
                <w:szCs w:val="20"/>
              </w:rPr>
            </w:pPr>
            <w:r w:rsidRPr="0001788E">
              <w:rPr>
                <w:rFonts w:ascii="Arial" w:hAnsi="Arial" w:cs="Arial"/>
                <w:szCs w:val="20"/>
              </w:rPr>
              <w:t>17450</w:t>
            </w:r>
          </w:p>
        </w:tc>
        <w:tc>
          <w:tcPr>
            <w:tcW w:w="874" w:type="pct"/>
          </w:tcPr>
          <w:p w14:paraId="5AA0540D" w14:textId="77777777" w:rsidR="006D45F3" w:rsidRPr="0001788E" w:rsidRDefault="006D45F3" w:rsidP="006D45F3">
            <w:pPr>
              <w:jc w:val="center"/>
              <w:rPr>
                <w:rFonts w:ascii="Arial" w:hAnsi="Arial" w:cs="Arial"/>
                <w:szCs w:val="20"/>
              </w:rPr>
            </w:pPr>
            <w:r w:rsidRPr="0001788E">
              <w:rPr>
                <w:rFonts w:ascii="Arial" w:hAnsi="Arial" w:cs="Arial"/>
                <w:szCs w:val="20"/>
              </w:rPr>
              <w:t>0.87 (0.64-1.18)</w:t>
            </w:r>
          </w:p>
        </w:tc>
        <w:tc>
          <w:tcPr>
            <w:tcW w:w="679" w:type="pct"/>
          </w:tcPr>
          <w:p w14:paraId="53C56AA3" w14:textId="77777777" w:rsidR="006D45F3" w:rsidRPr="0001788E" w:rsidRDefault="006D45F3" w:rsidP="006D45F3">
            <w:pPr>
              <w:jc w:val="center"/>
              <w:rPr>
                <w:rFonts w:ascii="Arial" w:hAnsi="Arial" w:cs="Arial"/>
                <w:szCs w:val="20"/>
              </w:rPr>
            </w:pPr>
            <w:r w:rsidRPr="0001788E">
              <w:rPr>
                <w:rFonts w:ascii="Arial" w:hAnsi="Arial" w:cs="Arial"/>
                <w:szCs w:val="20"/>
              </w:rPr>
              <w:t>0.81 (0.59-1.10)</w:t>
            </w:r>
          </w:p>
        </w:tc>
        <w:tc>
          <w:tcPr>
            <w:tcW w:w="346" w:type="pct"/>
          </w:tcPr>
          <w:p w14:paraId="5798C8FA" w14:textId="77777777" w:rsidR="006D45F3" w:rsidRPr="0001788E" w:rsidRDefault="006D45F3" w:rsidP="006D45F3">
            <w:pPr>
              <w:jc w:val="center"/>
              <w:rPr>
                <w:rFonts w:ascii="Arial" w:hAnsi="Arial" w:cs="Arial"/>
                <w:szCs w:val="20"/>
              </w:rPr>
            </w:pPr>
            <w:r w:rsidRPr="0001788E">
              <w:rPr>
                <w:rFonts w:ascii="Arial" w:hAnsi="Arial" w:cs="Arial"/>
                <w:szCs w:val="20"/>
              </w:rPr>
              <w:t>0.176</w:t>
            </w:r>
          </w:p>
        </w:tc>
      </w:tr>
      <w:tr w:rsidR="006D45F3" w:rsidRPr="0001788E" w14:paraId="1359E3E9" w14:textId="77777777" w:rsidTr="006D45F3">
        <w:trPr>
          <w:trHeight w:val="253"/>
        </w:trPr>
        <w:tc>
          <w:tcPr>
            <w:tcW w:w="968" w:type="pct"/>
            <w:vMerge/>
          </w:tcPr>
          <w:p w14:paraId="426554FA" w14:textId="77777777" w:rsidR="006D45F3" w:rsidRPr="0001788E" w:rsidRDefault="006D45F3" w:rsidP="006D45F3">
            <w:pPr>
              <w:rPr>
                <w:rFonts w:ascii="Arial" w:hAnsi="Arial" w:cs="Arial"/>
                <w:bCs/>
                <w:szCs w:val="20"/>
              </w:rPr>
            </w:pPr>
          </w:p>
        </w:tc>
        <w:tc>
          <w:tcPr>
            <w:tcW w:w="1067" w:type="pct"/>
          </w:tcPr>
          <w:p w14:paraId="4479C8AC" w14:textId="77777777" w:rsidR="006D45F3" w:rsidRPr="0001788E" w:rsidRDefault="006D45F3" w:rsidP="006D45F3">
            <w:pPr>
              <w:jc w:val="right"/>
              <w:rPr>
                <w:rFonts w:ascii="Arial" w:hAnsi="Arial" w:cs="Arial"/>
                <w:szCs w:val="20"/>
              </w:rPr>
            </w:pPr>
            <w:r w:rsidRPr="0001788E">
              <w:rPr>
                <w:rFonts w:ascii="Arial" w:hAnsi="Arial" w:cs="Arial"/>
                <w:szCs w:val="20"/>
              </w:rPr>
              <w:t>0 – 7 days</w:t>
            </w:r>
          </w:p>
        </w:tc>
        <w:tc>
          <w:tcPr>
            <w:tcW w:w="437" w:type="pct"/>
          </w:tcPr>
          <w:p w14:paraId="0F143DC3" w14:textId="77777777" w:rsidR="006D45F3" w:rsidRPr="0001788E" w:rsidRDefault="006D45F3" w:rsidP="006D45F3">
            <w:pPr>
              <w:jc w:val="center"/>
              <w:rPr>
                <w:rFonts w:ascii="Arial" w:hAnsi="Arial" w:cs="Arial"/>
                <w:szCs w:val="20"/>
              </w:rPr>
            </w:pPr>
            <w:r w:rsidRPr="0001788E">
              <w:rPr>
                <w:rFonts w:ascii="Arial" w:hAnsi="Arial" w:cs="Arial"/>
                <w:szCs w:val="20"/>
              </w:rPr>
              <w:t>21</w:t>
            </w:r>
          </w:p>
        </w:tc>
        <w:tc>
          <w:tcPr>
            <w:tcW w:w="629" w:type="pct"/>
          </w:tcPr>
          <w:p w14:paraId="16921C10" w14:textId="77777777" w:rsidR="006D45F3" w:rsidRPr="0001788E" w:rsidRDefault="006D45F3" w:rsidP="006D45F3">
            <w:pPr>
              <w:jc w:val="center"/>
              <w:rPr>
                <w:rFonts w:ascii="Arial" w:hAnsi="Arial" w:cs="Arial"/>
                <w:szCs w:val="20"/>
              </w:rPr>
            </w:pPr>
            <w:r w:rsidRPr="0001788E">
              <w:rPr>
                <w:rFonts w:ascii="Arial" w:hAnsi="Arial" w:cs="Arial"/>
                <w:szCs w:val="20"/>
              </w:rPr>
              <w:t>5829</w:t>
            </w:r>
          </w:p>
        </w:tc>
        <w:tc>
          <w:tcPr>
            <w:tcW w:w="874" w:type="pct"/>
          </w:tcPr>
          <w:p w14:paraId="7E4B4A74" w14:textId="77777777" w:rsidR="006D45F3" w:rsidRPr="0001788E" w:rsidRDefault="006D45F3" w:rsidP="006D45F3">
            <w:pPr>
              <w:jc w:val="center"/>
              <w:rPr>
                <w:rFonts w:ascii="Arial" w:hAnsi="Arial" w:cs="Arial"/>
                <w:szCs w:val="20"/>
              </w:rPr>
            </w:pPr>
            <w:r w:rsidRPr="0001788E">
              <w:rPr>
                <w:rFonts w:ascii="Arial" w:hAnsi="Arial" w:cs="Arial"/>
                <w:szCs w:val="20"/>
              </w:rPr>
              <w:t>1.16 (0.75-1.81)</w:t>
            </w:r>
          </w:p>
        </w:tc>
        <w:tc>
          <w:tcPr>
            <w:tcW w:w="679" w:type="pct"/>
          </w:tcPr>
          <w:p w14:paraId="297450A2" w14:textId="77777777" w:rsidR="006D45F3" w:rsidRPr="0001788E" w:rsidRDefault="006D45F3" w:rsidP="006D45F3">
            <w:pPr>
              <w:jc w:val="center"/>
              <w:rPr>
                <w:rFonts w:ascii="Arial" w:hAnsi="Arial" w:cs="Arial"/>
                <w:szCs w:val="20"/>
              </w:rPr>
            </w:pPr>
            <w:r w:rsidRPr="0001788E">
              <w:rPr>
                <w:rFonts w:ascii="Arial" w:hAnsi="Arial" w:cs="Arial"/>
                <w:szCs w:val="20"/>
              </w:rPr>
              <w:t>1.04 (0.66-1.62)</w:t>
            </w:r>
          </w:p>
        </w:tc>
        <w:tc>
          <w:tcPr>
            <w:tcW w:w="346" w:type="pct"/>
          </w:tcPr>
          <w:p w14:paraId="6E462081" w14:textId="77777777" w:rsidR="006D45F3" w:rsidRPr="0001788E" w:rsidRDefault="006D45F3" w:rsidP="006D45F3">
            <w:pPr>
              <w:jc w:val="center"/>
              <w:rPr>
                <w:rFonts w:ascii="Arial" w:hAnsi="Arial" w:cs="Arial"/>
                <w:szCs w:val="20"/>
              </w:rPr>
            </w:pPr>
            <w:r w:rsidRPr="0001788E">
              <w:rPr>
                <w:rFonts w:ascii="Arial" w:hAnsi="Arial" w:cs="Arial"/>
                <w:szCs w:val="20"/>
              </w:rPr>
              <w:t>0.870</w:t>
            </w:r>
          </w:p>
        </w:tc>
      </w:tr>
      <w:tr w:rsidR="006D45F3" w:rsidRPr="0001788E" w14:paraId="014D3760" w14:textId="77777777" w:rsidTr="006D45F3">
        <w:trPr>
          <w:trHeight w:val="253"/>
        </w:trPr>
        <w:tc>
          <w:tcPr>
            <w:tcW w:w="968" w:type="pct"/>
            <w:vMerge/>
          </w:tcPr>
          <w:p w14:paraId="7A891C9C" w14:textId="77777777" w:rsidR="006D45F3" w:rsidRPr="0001788E" w:rsidRDefault="006D45F3" w:rsidP="006D45F3">
            <w:pPr>
              <w:rPr>
                <w:rFonts w:ascii="Arial" w:hAnsi="Arial" w:cs="Arial"/>
                <w:bCs/>
                <w:szCs w:val="20"/>
              </w:rPr>
            </w:pPr>
          </w:p>
        </w:tc>
        <w:tc>
          <w:tcPr>
            <w:tcW w:w="1067" w:type="pct"/>
          </w:tcPr>
          <w:p w14:paraId="791B8AFF" w14:textId="77777777" w:rsidR="006D45F3" w:rsidRPr="0001788E" w:rsidRDefault="006D45F3" w:rsidP="006D45F3">
            <w:pPr>
              <w:jc w:val="right"/>
              <w:rPr>
                <w:rFonts w:ascii="Arial" w:hAnsi="Arial" w:cs="Arial"/>
                <w:szCs w:val="20"/>
              </w:rPr>
            </w:pPr>
            <w:r w:rsidRPr="0001788E">
              <w:rPr>
                <w:rFonts w:ascii="Arial" w:hAnsi="Arial" w:cs="Arial"/>
                <w:szCs w:val="20"/>
              </w:rPr>
              <w:t>8 – 14 days</w:t>
            </w:r>
          </w:p>
        </w:tc>
        <w:tc>
          <w:tcPr>
            <w:tcW w:w="437" w:type="pct"/>
          </w:tcPr>
          <w:p w14:paraId="30B0626E" w14:textId="77777777" w:rsidR="006D45F3" w:rsidRPr="0001788E" w:rsidRDefault="006D45F3" w:rsidP="006D45F3">
            <w:pPr>
              <w:jc w:val="center"/>
              <w:rPr>
                <w:rFonts w:ascii="Arial" w:hAnsi="Arial" w:cs="Arial"/>
                <w:szCs w:val="20"/>
              </w:rPr>
            </w:pPr>
            <w:r w:rsidRPr="0001788E">
              <w:rPr>
                <w:rFonts w:ascii="Arial" w:hAnsi="Arial" w:cs="Arial"/>
                <w:szCs w:val="20"/>
              </w:rPr>
              <w:t>11</w:t>
            </w:r>
          </w:p>
        </w:tc>
        <w:tc>
          <w:tcPr>
            <w:tcW w:w="629" w:type="pct"/>
          </w:tcPr>
          <w:p w14:paraId="79BCF14C" w14:textId="77777777" w:rsidR="006D45F3" w:rsidRPr="0001788E" w:rsidRDefault="006D45F3" w:rsidP="006D45F3">
            <w:pPr>
              <w:jc w:val="center"/>
              <w:rPr>
                <w:rFonts w:ascii="Arial" w:hAnsi="Arial" w:cs="Arial"/>
                <w:szCs w:val="20"/>
              </w:rPr>
            </w:pPr>
            <w:r w:rsidRPr="0001788E">
              <w:rPr>
                <w:rFonts w:ascii="Arial" w:hAnsi="Arial" w:cs="Arial"/>
                <w:szCs w:val="20"/>
              </w:rPr>
              <w:t>5823</w:t>
            </w:r>
          </w:p>
        </w:tc>
        <w:tc>
          <w:tcPr>
            <w:tcW w:w="874" w:type="pct"/>
          </w:tcPr>
          <w:p w14:paraId="6081DA8E" w14:textId="77777777" w:rsidR="006D45F3" w:rsidRPr="0001788E" w:rsidRDefault="006D45F3" w:rsidP="006D45F3">
            <w:pPr>
              <w:jc w:val="center"/>
              <w:rPr>
                <w:rFonts w:ascii="Arial" w:hAnsi="Arial" w:cs="Arial"/>
                <w:szCs w:val="20"/>
              </w:rPr>
            </w:pPr>
            <w:r w:rsidRPr="0001788E">
              <w:rPr>
                <w:rFonts w:ascii="Arial" w:hAnsi="Arial" w:cs="Arial"/>
                <w:szCs w:val="20"/>
              </w:rPr>
              <w:t>0.61 (0.33-1.11)</w:t>
            </w:r>
          </w:p>
        </w:tc>
        <w:tc>
          <w:tcPr>
            <w:tcW w:w="679" w:type="pct"/>
          </w:tcPr>
          <w:p w14:paraId="70AA73CB" w14:textId="77777777" w:rsidR="006D45F3" w:rsidRPr="0001788E" w:rsidRDefault="006D45F3" w:rsidP="006D45F3">
            <w:pPr>
              <w:jc w:val="center"/>
              <w:rPr>
                <w:rFonts w:ascii="Arial" w:hAnsi="Arial" w:cs="Arial"/>
                <w:szCs w:val="20"/>
              </w:rPr>
            </w:pPr>
            <w:r w:rsidRPr="0001788E">
              <w:rPr>
                <w:rFonts w:ascii="Arial" w:hAnsi="Arial" w:cs="Arial"/>
                <w:szCs w:val="20"/>
              </w:rPr>
              <w:t>0.55 (0.30-1.01)</w:t>
            </w:r>
          </w:p>
        </w:tc>
        <w:tc>
          <w:tcPr>
            <w:tcW w:w="346" w:type="pct"/>
          </w:tcPr>
          <w:p w14:paraId="56291666" w14:textId="77777777" w:rsidR="006D45F3" w:rsidRPr="0001788E" w:rsidRDefault="006D45F3" w:rsidP="006D45F3">
            <w:pPr>
              <w:jc w:val="center"/>
              <w:rPr>
                <w:rFonts w:ascii="Arial" w:hAnsi="Arial" w:cs="Arial"/>
                <w:szCs w:val="20"/>
              </w:rPr>
            </w:pPr>
            <w:r w:rsidRPr="0001788E">
              <w:rPr>
                <w:rFonts w:ascii="Arial" w:hAnsi="Arial" w:cs="Arial"/>
                <w:szCs w:val="20"/>
              </w:rPr>
              <w:t>0.055</w:t>
            </w:r>
          </w:p>
        </w:tc>
      </w:tr>
      <w:tr w:rsidR="006D45F3" w:rsidRPr="0001788E" w14:paraId="35BF3E09" w14:textId="77777777" w:rsidTr="006D45F3">
        <w:trPr>
          <w:trHeight w:val="318"/>
        </w:trPr>
        <w:tc>
          <w:tcPr>
            <w:tcW w:w="968" w:type="pct"/>
            <w:vMerge/>
          </w:tcPr>
          <w:p w14:paraId="0A521C12" w14:textId="77777777" w:rsidR="006D45F3" w:rsidRPr="0001788E" w:rsidRDefault="006D45F3" w:rsidP="006D45F3">
            <w:pPr>
              <w:rPr>
                <w:rFonts w:ascii="Arial" w:hAnsi="Arial" w:cs="Arial"/>
                <w:bCs/>
                <w:szCs w:val="20"/>
              </w:rPr>
            </w:pPr>
          </w:p>
        </w:tc>
        <w:tc>
          <w:tcPr>
            <w:tcW w:w="1067" w:type="pct"/>
          </w:tcPr>
          <w:p w14:paraId="0B0B88E1" w14:textId="77777777" w:rsidR="006D45F3" w:rsidRPr="0001788E" w:rsidRDefault="006D45F3" w:rsidP="006D45F3">
            <w:pPr>
              <w:jc w:val="right"/>
              <w:rPr>
                <w:rFonts w:ascii="Arial" w:hAnsi="Arial" w:cs="Arial"/>
                <w:szCs w:val="20"/>
              </w:rPr>
            </w:pPr>
            <w:r w:rsidRPr="0001788E">
              <w:rPr>
                <w:rFonts w:ascii="Arial" w:hAnsi="Arial" w:cs="Arial"/>
                <w:szCs w:val="20"/>
              </w:rPr>
              <w:t>15 – 21 days</w:t>
            </w:r>
          </w:p>
        </w:tc>
        <w:tc>
          <w:tcPr>
            <w:tcW w:w="437" w:type="pct"/>
          </w:tcPr>
          <w:p w14:paraId="548ED067" w14:textId="77777777" w:rsidR="006D45F3" w:rsidRPr="0001788E" w:rsidRDefault="006D45F3" w:rsidP="006D45F3">
            <w:pPr>
              <w:jc w:val="center"/>
              <w:rPr>
                <w:rFonts w:ascii="Arial" w:hAnsi="Arial" w:cs="Arial"/>
                <w:szCs w:val="20"/>
              </w:rPr>
            </w:pPr>
            <w:r w:rsidRPr="0001788E">
              <w:rPr>
                <w:rFonts w:ascii="Arial" w:hAnsi="Arial" w:cs="Arial"/>
                <w:szCs w:val="20"/>
              </w:rPr>
              <w:t>15</w:t>
            </w:r>
          </w:p>
        </w:tc>
        <w:tc>
          <w:tcPr>
            <w:tcW w:w="629" w:type="pct"/>
          </w:tcPr>
          <w:p w14:paraId="05DDEB82" w14:textId="77777777" w:rsidR="006D45F3" w:rsidRPr="0001788E" w:rsidRDefault="006D45F3" w:rsidP="006D45F3">
            <w:pPr>
              <w:jc w:val="center"/>
              <w:rPr>
                <w:rFonts w:ascii="Arial" w:hAnsi="Arial" w:cs="Arial"/>
                <w:szCs w:val="20"/>
              </w:rPr>
            </w:pPr>
            <w:r w:rsidRPr="0001788E">
              <w:rPr>
                <w:rFonts w:ascii="Arial" w:hAnsi="Arial" w:cs="Arial"/>
                <w:szCs w:val="20"/>
              </w:rPr>
              <w:t>5798</w:t>
            </w:r>
          </w:p>
        </w:tc>
        <w:tc>
          <w:tcPr>
            <w:tcW w:w="874" w:type="pct"/>
          </w:tcPr>
          <w:p w14:paraId="2DA07B32" w14:textId="77777777" w:rsidR="006D45F3" w:rsidRPr="0001788E" w:rsidRDefault="006D45F3" w:rsidP="006D45F3">
            <w:pPr>
              <w:jc w:val="center"/>
              <w:rPr>
                <w:rFonts w:ascii="Arial" w:hAnsi="Arial" w:cs="Arial"/>
                <w:szCs w:val="20"/>
              </w:rPr>
            </w:pPr>
            <w:r w:rsidRPr="0001788E">
              <w:rPr>
                <w:rFonts w:ascii="Arial" w:hAnsi="Arial" w:cs="Arial"/>
                <w:szCs w:val="20"/>
              </w:rPr>
              <w:t>0.84 (0.50-1.40)</w:t>
            </w:r>
          </w:p>
        </w:tc>
        <w:tc>
          <w:tcPr>
            <w:tcW w:w="679" w:type="pct"/>
          </w:tcPr>
          <w:p w14:paraId="00A30403" w14:textId="77777777" w:rsidR="006D45F3" w:rsidRPr="0001788E" w:rsidRDefault="006D45F3" w:rsidP="006D45F3">
            <w:pPr>
              <w:jc w:val="center"/>
              <w:rPr>
                <w:rFonts w:ascii="Arial" w:hAnsi="Arial" w:cs="Arial"/>
                <w:szCs w:val="20"/>
              </w:rPr>
            </w:pPr>
            <w:r w:rsidRPr="0001788E">
              <w:rPr>
                <w:rFonts w:ascii="Arial" w:hAnsi="Arial" w:cs="Arial"/>
                <w:szCs w:val="20"/>
              </w:rPr>
              <w:t>0.77 (0.46-1.30)</w:t>
            </w:r>
          </w:p>
        </w:tc>
        <w:tc>
          <w:tcPr>
            <w:tcW w:w="346" w:type="pct"/>
          </w:tcPr>
          <w:p w14:paraId="08DD8836" w14:textId="77777777" w:rsidR="006D45F3" w:rsidRPr="0001788E" w:rsidRDefault="006D45F3" w:rsidP="006D45F3">
            <w:pPr>
              <w:jc w:val="center"/>
              <w:rPr>
                <w:rFonts w:ascii="Arial" w:hAnsi="Arial" w:cs="Arial"/>
                <w:szCs w:val="20"/>
              </w:rPr>
            </w:pPr>
            <w:r w:rsidRPr="0001788E">
              <w:rPr>
                <w:rFonts w:ascii="Arial" w:hAnsi="Arial" w:cs="Arial"/>
                <w:szCs w:val="20"/>
              </w:rPr>
              <w:t>0.325</w:t>
            </w:r>
          </w:p>
        </w:tc>
      </w:tr>
      <w:tr w:rsidR="006D45F3" w:rsidRPr="0001788E" w14:paraId="57E46FA0" w14:textId="77777777" w:rsidTr="006D45F3">
        <w:trPr>
          <w:trHeight w:val="237"/>
        </w:trPr>
        <w:tc>
          <w:tcPr>
            <w:tcW w:w="968" w:type="pct"/>
            <w:vMerge w:val="restart"/>
          </w:tcPr>
          <w:p w14:paraId="04BBAA04" w14:textId="77777777" w:rsidR="006D45F3" w:rsidRPr="0001788E" w:rsidRDefault="006D45F3" w:rsidP="006D45F3">
            <w:pPr>
              <w:rPr>
                <w:rFonts w:ascii="Arial" w:hAnsi="Arial" w:cs="Arial"/>
                <w:szCs w:val="20"/>
              </w:rPr>
            </w:pPr>
            <w:r w:rsidRPr="0001788E">
              <w:rPr>
                <w:rFonts w:ascii="Arial" w:hAnsi="Arial" w:cs="Arial"/>
                <w:szCs w:val="20"/>
              </w:rPr>
              <w:t>Vectored DNA vaccine</w:t>
            </w:r>
          </w:p>
        </w:tc>
        <w:tc>
          <w:tcPr>
            <w:tcW w:w="1067" w:type="pct"/>
          </w:tcPr>
          <w:p w14:paraId="2E7602DE" w14:textId="48527E0E" w:rsidR="006D45F3" w:rsidRPr="0001788E" w:rsidRDefault="00D52282" w:rsidP="006D45F3">
            <w:pPr>
              <w:rPr>
                <w:rFonts w:ascii="Arial" w:hAnsi="Arial" w:cs="Arial"/>
                <w:szCs w:val="20"/>
              </w:rPr>
            </w:pPr>
            <w:r>
              <w:rPr>
                <w:rFonts w:ascii="Arial" w:hAnsi="Arial" w:cs="Arial"/>
                <w:szCs w:val="20"/>
              </w:rPr>
              <w:t>Vaccine unexposed b</w:t>
            </w:r>
            <w:r w:rsidR="006D45F3" w:rsidRPr="0001788E">
              <w:rPr>
                <w:rFonts w:ascii="Arial" w:hAnsi="Arial" w:cs="Arial"/>
                <w:szCs w:val="20"/>
              </w:rPr>
              <w:t xml:space="preserve">aseline </w:t>
            </w:r>
          </w:p>
        </w:tc>
        <w:tc>
          <w:tcPr>
            <w:tcW w:w="437" w:type="pct"/>
          </w:tcPr>
          <w:p w14:paraId="0058C6F5" w14:textId="77777777" w:rsidR="006D45F3" w:rsidRPr="0001788E" w:rsidRDefault="006D45F3" w:rsidP="006D45F3">
            <w:pPr>
              <w:jc w:val="center"/>
              <w:rPr>
                <w:rFonts w:ascii="Arial" w:hAnsi="Arial" w:cs="Arial"/>
                <w:szCs w:val="20"/>
              </w:rPr>
            </w:pPr>
            <w:r w:rsidRPr="0001788E">
              <w:rPr>
                <w:rFonts w:ascii="Arial" w:hAnsi="Arial" w:cs="Arial"/>
                <w:szCs w:val="20"/>
              </w:rPr>
              <w:t>545</w:t>
            </w:r>
          </w:p>
        </w:tc>
        <w:tc>
          <w:tcPr>
            <w:tcW w:w="629" w:type="pct"/>
          </w:tcPr>
          <w:p w14:paraId="68D56358" w14:textId="77777777" w:rsidR="006D45F3" w:rsidRPr="0001788E" w:rsidRDefault="006D45F3" w:rsidP="006D45F3">
            <w:pPr>
              <w:jc w:val="center"/>
              <w:rPr>
                <w:rFonts w:ascii="Arial" w:hAnsi="Arial" w:cs="Arial"/>
                <w:szCs w:val="20"/>
              </w:rPr>
            </w:pPr>
            <w:r w:rsidRPr="0001788E">
              <w:rPr>
                <w:rFonts w:ascii="Arial" w:hAnsi="Arial" w:cs="Arial"/>
                <w:szCs w:val="20"/>
              </w:rPr>
              <w:t>25880</w:t>
            </w:r>
          </w:p>
        </w:tc>
        <w:tc>
          <w:tcPr>
            <w:tcW w:w="874" w:type="pct"/>
          </w:tcPr>
          <w:p w14:paraId="5D51059A" w14:textId="77777777" w:rsidR="006D45F3" w:rsidRPr="0001788E" w:rsidRDefault="006D45F3" w:rsidP="006D45F3">
            <w:pPr>
              <w:jc w:val="center"/>
              <w:rPr>
                <w:rFonts w:ascii="Arial" w:hAnsi="Arial" w:cs="Arial"/>
                <w:szCs w:val="20"/>
              </w:rPr>
            </w:pPr>
            <w:r w:rsidRPr="0001788E">
              <w:rPr>
                <w:rFonts w:ascii="Arial" w:hAnsi="Arial" w:cs="Arial"/>
                <w:szCs w:val="20"/>
              </w:rPr>
              <w:t>1</w:t>
            </w:r>
          </w:p>
        </w:tc>
        <w:tc>
          <w:tcPr>
            <w:tcW w:w="679" w:type="pct"/>
          </w:tcPr>
          <w:p w14:paraId="0850DCFC" w14:textId="77777777" w:rsidR="006D45F3" w:rsidRPr="0001788E" w:rsidRDefault="006D45F3" w:rsidP="006D45F3">
            <w:pPr>
              <w:jc w:val="center"/>
              <w:rPr>
                <w:rFonts w:ascii="Arial" w:hAnsi="Arial" w:cs="Arial"/>
                <w:szCs w:val="20"/>
              </w:rPr>
            </w:pPr>
            <w:r w:rsidRPr="0001788E">
              <w:rPr>
                <w:rFonts w:ascii="Arial" w:hAnsi="Arial" w:cs="Arial"/>
                <w:szCs w:val="20"/>
              </w:rPr>
              <w:t>1</w:t>
            </w:r>
          </w:p>
        </w:tc>
        <w:tc>
          <w:tcPr>
            <w:tcW w:w="346" w:type="pct"/>
          </w:tcPr>
          <w:p w14:paraId="213A6293" w14:textId="77777777" w:rsidR="006D45F3" w:rsidRPr="0001788E" w:rsidRDefault="006D45F3" w:rsidP="006D45F3">
            <w:pPr>
              <w:jc w:val="center"/>
              <w:rPr>
                <w:rFonts w:ascii="Arial" w:hAnsi="Arial" w:cs="Arial"/>
                <w:szCs w:val="20"/>
              </w:rPr>
            </w:pPr>
            <w:r w:rsidRPr="0001788E">
              <w:rPr>
                <w:rFonts w:ascii="Arial" w:hAnsi="Arial" w:cs="Arial"/>
                <w:szCs w:val="20"/>
              </w:rPr>
              <w:t>-/-</w:t>
            </w:r>
          </w:p>
        </w:tc>
      </w:tr>
      <w:tr w:rsidR="006D45F3" w:rsidRPr="0001788E" w14:paraId="2E74D0F0" w14:textId="77777777" w:rsidTr="006D45F3">
        <w:trPr>
          <w:trHeight w:val="253"/>
        </w:trPr>
        <w:tc>
          <w:tcPr>
            <w:tcW w:w="968" w:type="pct"/>
            <w:vMerge/>
            <w:vAlign w:val="center"/>
          </w:tcPr>
          <w:p w14:paraId="719B3F3D" w14:textId="77777777" w:rsidR="006D45F3" w:rsidRPr="0001788E" w:rsidRDefault="006D45F3" w:rsidP="006D45F3">
            <w:pPr>
              <w:rPr>
                <w:rFonts w:ascii="Arial" w:hAnsi="Arial" w:cs="Arial"/>
                <w:bCs/>
                <w:szCs w:val="20"/>
              </w:rPr>
            </w:pPr>
          </w:p>
        </w:tc>
        <w:tc>
          <w:tcPr>
            <w:tcW w:w="1067" w:type="pct"/>
          </w:tcPr>
          <w:p w14:paraId="6BD5F980" w14:textId="1FBAB02A" w:rsidR="006D45F3" w:rsidRPr="0001788E" w:rsidRDefault="00D52282" w:rsidP="006D45F3">
            <w:pPr>
              <w:rPr>
                <w:rFonts w:ascii="Arial" w:hAnsi="Arial" w:cs="Arial"/>
                <w:szCs w:val="20"/>
              </w:rPr>
            </w:pPr>
            <w:r>
              <w:rPr>
                <w:rFonts w:ascii="Arial" w:hAnsi="Arial" w:cs="Arial"/>
                <w:szCs w:val="20"/>
              </w:rPr>
              <w:t>P</w:t>
            </w:r>
            <w:r w:rsidR="006D45F3" w:rsidRPr="0001788E">
              <w:rPr>
                <w:rFonts w:ascii="Arial" w:hAnsi="Arial" w:cs="Arial"/>
                <w:szCs w:val="20"/>
              </w:rPr>
              <w:t>re-vaccination</w:t>
            </w:r>
          </w:p>
        </w:tc>
        <w:tc>
          <w:tcPr>
            <w:tcW w:w="437" w:type="pct"/>
          </w:tcPr>
          <w:p w14:paraId="0AD18489" w14:textId="77777777" w:rsidR="006D45F3" w:rsidRPr="0001788E" w:rsidRDefault="006D45F3" w:rsidP="006D45F3">
            <w:pPr>
              <w:jc w:val="center"/>
              <w:rPr>
                <w:rFonts w:ascii="Arial" w:hAnsi="Arial" w:cs="Arial"/>
                <w:szCs w:val="20"/>
              </w:rPr>
            </w:pPr>
            <w:r w:rsidRPr="0001788E">
              <w:rPr>
                <w:rFonts w:ascii="Arial" w:hAnsi="Arial" w:cs="Arial"/>
                <w:szCs w:val="20"/>
              </w:rPr>
              <w:t>22</w:t>
            </w:r>
          </w:p>
        </w:tc>
        <w:tc>
          <w:tcPr>
            <w:tcW w:w="629" w:type="pct"/>
          </w:tcPr>
          <w:p w14:paraId="22D637F0" w14:textId="77777777" w:rsidR="006D45F3" w:rsidRPr="0001788E" w:rsidRDefault="006D45F3" w:rsidP="006D45F3">
            <w:pPr>
              <w:jc w:val="center"/>
              <w:rPr>
                <w:rFonts w:ascii="Arial" w:hAnsi="Arial" w:cs="Arial"/>
                <w:szCs w:val="20"/>
              </w:rPr>
            </w:pPr>
            <w:r w:rsidRPr="0001788E">
              <w:rPr>
                <w:rFonts w:ascii="Arial" w:hAnsi="Arial" w:cs="Arial"/>
                <w:szCs w:val="20"/>
              </w:rPr>
              <w:t>8631</w:t>
            </w:r>
          </w:p>
        </w:tc>
        <w:tc>
          <w:tcPr>
            <w:tcW w:w="874" w:type="pct"/>
          </w:tcPr>
          <w:p w14:paraId="0F2CC68F" w14:textId="77777777" w:rsidR="006D45F3" w:rsidRPr="0001788E" w:rsidRDefault="006D45F3" w:rsidP="006D45F3">
            <w:pPr>
              <w:jc w:val="center"/>
              <w:rPr>
                <w:rFonts w:ascii="Arial" w:hAnsi="Arial" w:cs="Arial"/>
                <w:szCs w:val="20"/>
              </w:rPr>
            </w:pPr>
            <w:r w:rsidRPr="0001788E">
              <w:rPr>
                <w:rFonts w:ascii="Arial" w:hAnsi="Arial" w:cs="Arial"/>
                <w:szCs w:val="20"/>
              </w:rPr>
              <w:t>0.84 (0.54-1.29)</w:t>
            </w:r>
          </w:p>
        </w:tc>
        <w:tc>
          <w:tcPr>
            <w:tcW w:w="679" w:type="pct"/>
          </w:tcPr>
          <w:p w14:paraId="43CA23A8" w14:textId="77777777" w:rsidR="006D45F3" w:rsidRPr="0001788E" w:rsidRDefault="006D45F3" w:rsidP="006D45F3">
            <w:pPr>
              <w:jc w:val="center"/>
              <w:rPr>
                <w:rFonts w:ascii="Arial" w:hAnsi="Arial" w:cs="Arial"/>
                <w:szCs w:val="20"/>
              </w:rPr>
            </w:pPr>
            <w:r w:rsidRPr="0001788E">
              <w:rPr>
                <w:rFonts w:ascii="Arial" w:hAnsi="Arial" w:cs="Arial"/>
                <w:szCs w:val="20"/>
              </w:rPr>
              <w:t>0.80 (0.52-1.24)</w:t>
            </w:r>
          </w:p>
        </w:tc>
        <w:tc>
          <w:tcPr>
            <w:tcW w:w="346" w:type="pct"/>
          </w:tcPr>
          <w:p w14:paraId="3CC6B75A" w14:textId="77777777" w:rsidR="006D45F3" w:rsidRPr="0001788E" w:rsidRDefault="006D45F3" w:rsidP="006D45F3">
            <w:pPr>
              <w:jc w:val="center"/>
              <w:rPr>
                <w:rFonts w:ascii="Arial" w:hAnsi="Arial" w:cs="Arial"/>
                <w:szCs w:val="20"/>
              </w:rPr>
            </w:pPr>
            <w:r w:rsidRPr="0001788E">
              <w:rPr>
                <w:rFonts w:ascii="Arial" w:hAnsi="Arial" w:cs="Arial"/>
                <w:szCs w:val="20"/>
              </w:rPr>
              <w:t>0.319</w:t>
            </w:r>
          </w:p>
        </w:tc>
      </w:tr>
      <w:tr w:rsidR="006D45F3" w:rsidRPr="0001788E" w14:paraId="6307F533" w14:textId="77777777" w:rsidTr="006D45F3">
        <w:trPr>
          <w:trHeight w:val="253"/>
        </w:trPr>
        <w:tc>
          <w:tcPr>
            <w:tcW w:w="968" w:type="pct"/>
            <w:vMerge/>
            <w:vAlign w:val="center"/>
          </w:tcPr>
          <w:p w14:paraId="5280477A" w14:textId="77777777" w:rsidR="006D45F3" w:rsidRPr="0001788E" w:rsidRDefault="006D45F3" w:rsidP="006D45F3">
            <w:pPr>
              <w:rPr>
                <w:rFonts w:ascii="Arial" w:hAnsi="Arial" w:cs="Arial"/>
                <w:bCs/>
                <w:szCs w:val="20"/>
              </w:rPr>
            </w:pPr>
          </w:p>
        </w:tc>
        <w:tc>
          <w:tcPr>
            <w:tcW w:w="1067" w:type="pct"/>
          </w:tcPr>
          <w:p w14:paraId="1E42E751" w14:textId="510DCB0B" w:rsidR="006D45F3" w:rsidRPr="0001788E" w:rsidRDefault="00D52282" w:rsidP="006D45F3">
            <w:pPr>
              <w:rPr>
                <w:rFonts w:ascii="Arial" w:hAnsi="Arial" w:cs="Arial"/>
                <w:szCs w:val="20"/>
              </w:rPr>
            </w:pPr>
            <w:r>
              <w:rPr>
                <w:rFonts w:ascii="Arial" w:hAnsi="Arial" w:cs="Arial"/>
                <w:szCs w:val="20"/>
              </w:rPr>
              <w:t>V</w:t>
            </w:r>
            <w:r w:rsidR="006D45F3" w:rsidRPr="0001788E">
              <w:rPr>
                <w:rFonts w:ascii="Arial" w:hAnsi="Arial" w:cs="Arial"/>
                <w:szCs w:val="20"/>
              </w:rPr>
              <w:t>accin</w:t>
            </w:r>
            <w:r>
              <w:rPr>
                <w:rFonts w:ascii="Arial" w:hAnsi="Arial" w:cs="Arial"/>
                <w:szCs w:val="20"/>
              </w:rPr>
              <w:t>e exposed</w:t>
            </w:r>
          </w:p>
        </w:tc>
        <w:tc>
          <w:tcPr>
            <w:tcW w:w="437" w:type="pct"/>
          </w:tcPr>
          <w:p w14:paraId="07B0D9A8" w14:textId="77777777" w:rsidR="006D45F3" w:rsidRPr="0001788E" w:rsidRDefault="006D45F3" w:rsidP="006D45F3">
            <w:pPr>
              <w:jc w:val="center"/>
              <w:rPr>
                <w:rFonts w:ascii="Arial" w:hAnsi="Arial" w:cs="Arial"/>
                <w:szCs w:val="20"/>
              </w:rPr>
            </w:pPr>
          </w:p>
        </w:tc>
        <w:tc>
          <w:tcPr>
            <w:tcW w:w="629" w:type="pct"/>
          </w:tcPr>
          <w:p w14:paraId="269AC398" w14:textId="77777777" w:rsidR="006D45F3" w:rsidRPr="0001788E" w:rsidRDefault="006D45F3" w:rsidP="006D45F3">
            <w:pPr>
              <w:jc w:val="center"/>
              <w:rPr>
                <w:rFonts w:ascii="Arial" w:hAnsi="Arial" w:cs="Arial"/>
                <w:szCs w:val="20"/>
              </w:rPr>
            </w:pPr>
          </w:p>
        </w:tc>
        <w:tc>
          <w:tcPr>
            <w:tcW w:w="874" w:type="pct"/>
          </w:tcPr>
          <w:p w14:paraId="1A4E7596" w14:textId="77777777" w:rsidR="006D45F3" w:rsidRPr="0001788E" w:rsidRDefault="006D45F3" w:rsidP="006D45F3">
            <w:pPr>
              <w:jc w:val="center"/>
              <w:rPr>
                <w:rFonts w:ascii="Arial" w:hAnsi="Arial" w:cs="Arial"/>
                <w:szCs w:val="20"/>
              </w:rPr>
            </w:pPr>
          </w:p>
        </w:tc>
        <w:tc>
          <w:tcPr>
            <w:tcW w:w="679" w:type="pct"/>
          </w:tcPr>
          <w:p w14:paraId="4F01CD63" w14:textId="77777777" w:rsidR="006D45F3" w:rsidRPr="0001788E" w:rsidRDefault="006D45F3" w:rsidP="006D45F3">
            <w:pPr>
              <w:jc w:val="center"/>
              <w:rPr>
                <w:rFonts w:ascii="Arial" w:hAnsi="Arial" w:cs="Arial"/>
                <w:szCs w:val="20"/>
              </w:rPr>
            </w:pPr>
          </w:p>
        </w:tc>
        <w:tc>
          <w:tcPr>
            <w:tcW w:w="346" w:type="pct"/>
          </w:tcPr>
          <w:p w14:paraId="13313D43" w14:textId="77777777" w:rsidR="006D45F3" w:rsidRPr="0001788E" w:rsidRDefault="006D45F3" w:rsidP="006D45F3">
            <w:pPr>
              <w:jc w:val="center"/>
              <w:rPr>
                <w:rFonts w:ascii="Arial" w:hAnsi="Arial" w:cs="Arial"/>
                <w:szCs w:val="20"/>
              </w:rPr>
            </w:pPr>
          </w:p>
        </w:tc>
      </w:tr>
      <w:tr w:rsidR="006D45F3" w:rsidRPr="0001788E" w14:paraId="25AB5925" w14:textId="77777777" w:rsidTr="006D45F3">
        <w:trPr>
          <w:trHeight w:val="253"/>
        </w:trPr>
        <w:tc>
          <w:tcPr>
            <w:tcW w:w="968" w:type="pct"/>
            <w:vMerge/>
            <w:vAlign w:val="center"/>
          </w:tcPr>
          <w:p w14:paraId="435698C4" w14:textId="77777777" w:rsidR="006D45F3" w:rsidRPr="0001788E" w:rsidRDefault="006D45F3" w:rsidP="006D45F3">
            <w:pPr>
              <w:rPr>
                <w:rFonts w:ascii="Arial" w:hAnsi="Arial" w:cs="Arial"/>
                <w:bCs/>
                <w:szCs w:val="20"/>
              </w:rPr>
            </w:pPr>
          </w:p>
        </w:tc>
        <w:tc>
          <w:tcPr>
            <w:tcW w:w="1067" w:type="pct"/>
          </w:tcPr>
          <w:p w14:paraId="6C2F7EFA" w14:textId="77777777" w:rsidR="006D45F3" w:rsidRPr="0001788E" w:rsidRDefault="006D45F3" w:rsidP="006D45F3">
            <w:pPr>
              <w:rPr>
                <w:rFonts w:ascii="Arial" w:hAnsi="Arial" w:cs="Arial"/>
                <w:szCs w:val="20"/>
              </w:rPr>
            </w:pPr>
            <w:r w:rsidRPr="0001788E">
              <w:rPr>
                <w:rFonts w:ascii="Arial" w:hAnsi="Arial" w:cs="Arial"/>
                <w:szCs w:val="20"/>
              </w:rPr>
              <w:t>0 - 21 days</w:t>
            </w:r>
          </w:p>
        </w:tc>
        <w:tc>
          <w:tcPr>
            <w:tcW w:w="437" w:type="pct"/>
          </w:tcPr>
          <w:p w14:paraId="75272C9C" w14:textId="77777777" w:rsidR="006D45F3" w:rsidRPr="0001788E" w:rsidRDefault="006D45F3" w:rsidP="006D45F3">
            <w:pPr>
              <w:jc w:val="center"/>
              <w:rPr>
                <w:rFonts w:ascii="Arial" w:hAnsi="Arial" w:cs="Arial"/>
                <w:szCs w:val="20"/>
              </w:rPr>
            </w:pPr>
            <w:r w:rsidRPr="0001788E">
              <w:rPr>
                <w:rFonts w:ascii="Arial" w:hAnsi="Arial" w:cs="Arial"/>
                <w:szCs w:val="20"/>
              </w:rPr>
              <w:t>65</w:t>
            </w:r>
          </w:p>
        </w:tc>
        <w:tc>
          <w:tcPr>
            <w:tcW w:w="629" w:type="pct"/>
          </w:tcPr>
          <w:p w14:paraId="7AE75D2C" w14:textId="77777777" w:rsidR="006D45F3" w:rsidRPr="0001788E" w:rsidRDefault="006D45F3" w:rsidP="006D45F3">
            <w:pPr>
              <w:jc w:val="center"/>
              <w:rPr>
                <w:rFonts w:ascii="Arial" w:hAnsi="Arial" w:cs="Arial"/>
                <w:szCs w:val="20"/>
              </w:rPr>
            </w:pPr>
            <w:r w:rsidRPr="0001788E">
              <w:rPr>
                <w:rFonts w:ascii="Arial" w:hAnsi="Arial" w:cs="Arial"/>
                <w:szCs w:val="20"/>
              </w:rPr>
              <w:t>182595</w:t>
            </w:r>
          </w:p>
        </w:tc>
        <w:tc>
          <w:tcPr>
            <w:tcW w:w="874" w:type="pct"/>
          </w:tcPr>
          <w:p w14:paraId="18EE4E9B" w14:textId="77777777" w:rsidR="006D45F3" w:rsidRPr="0001788E" w:rsidRDefault="006D45F3" w:rsidP="006D45F3">
            <w:pPr>
              <w:jc w:val="center"/>
              <w:rPr>
                <w:rFonts w:ascii="Arial" w:hAnsi="Arial" w:cs="Arial"/>
                <w:szCs w:val="20"/>
              </w:rPr>
            </w:pPr>
            <w:r w:rsidRPr="0001788E">
              <w:rPr>
                <w:rFonts w:ascii="Arial" w:hAnsi="Arial" w:cs="Arial"/>
                <w:szCs w:val="20"/>
              </w:rPr>
              <w:t>0.83 (0.64-1.07)</w:t>
            </w:r>
          </w:p>
        </w:tc>
        <w:tc>
          <w:tcPr>
            <w:tcW w:w="679" w:type="pct"/>
          </w:tcPr>
          <w:p w14:paraId="094A6043" w14:textId="77777777" w:rsidR="006D45F3" w:rsidRPr="0001788E" w:rsidRDefault="006D45F3" w:rsidP="006D45F3">
            <w:pPr>
              <w:jc w:val="center"/>
              <w:rPr>
                <w:rFonts w:ascii="Arial" w:hAnsi="Arial" w:cs="Arial"/>
                <w:szCs w:val="20"/>
              </w:rPr>
            </w:pPr>
            <w:r w:rsidRPr="0001788E">
              <w:rPr>
                <w:rFonts w:ascii="Arial" w:hAnsi="Arial" w:cs="Arial"/>
                <w:szCs w:val="20"/>
              </w:rPr>
              <w:t>0.83 (0.64-1.08)</w:t>
            </w:r>
          </w:p>
        </w:tc>
        <w:tc>
          <w:tcPr>
            <w:tcW w:w="346" w:type="pct"/>
          </w:tcPr>
          <w:p w14:paraId="055B968D" w14:textId="77777777" w:rsidR="006D45F3" w:rsidRPr="0001788E" w:rsidRDefault="006D45F3" w:rsidP="006D45F3">
            <w:pPr>
              <w:jc w:val="center"/>
              <w:rPr>
                <w:rFonts w:ascii="Arial" w:hAnsi="Arial" w:cs="Arial"/>
                <w:szCs w:val="20"/>
              </w:rPr>
            </w:pPr>
            <w:r w:rsidRPr="0001788E">
              <w:rPr>
                <w:rFonts w:ascii="Arial" w:hAnsi="Arial" w:cs="Arial"/>
                <w:szCs w:val="20"/>
              </w:rPr>
              <w:t>0.16</w:t>
            </w:r>
          </w:p>
        </w:tc>
      </w:tr>
      <w:tr w:rsidR="006D45F3" w:rsidRPr="0001788E" w14:paraId="4ABA3DC3" w14:textId="77777777" w:rsidTr="006D45F3">
        <w:trPr>
          <w:trHeight w:val="253"/>
        </w:trPr>
        <w:tc>
          <w:tcPr>
            <w:tcW w:w="968" w:type="pct"/>
            <w:vMerge/>
            <w:vAlign w:val="center"/>
          </w:tcPr>
          <w:p w14:paraId="3987A394" w14:textId="77777777" w:rsidR="006D45F3" w:rsidRPr="0001788E" w:rsidRDefault="006D45F3" w:rsidP="006D45F3">
            <w:pPr>
              <w:rPr>
                <w:rFonts w:ascii="Arial" w:hAnsi="Arial" w:cs="Arial"/>
                <w:bCs/>
                <w:szCs w:val="20"/>
              </w:rPr>
            </w:pPr>
          </w:p>
        </w:tc>
        <w:tc>
          <w:tcPr>
            <w:tcW w:w="1067" w:type="pct"/>
          </w:tcPr>
          <w:p w14:paraId="239B3504" w14:textId="77777777" w:rsidR="006D45F3" w:rsidRPr="0001788E" w:rsidRDefault="006D45F3" w:rsidP="006D45F3">
            <w:pPr>
              <w:jc w:val="right"/>
              <w:rPr>
                <w:rFonts w:ascii="Arial" w:hAnsi="Arial" w:cs="Arial"/>
                <w:szCs w:val="20"/>
              </w:rPr>
            </w:pPr>
            <w:r w:rsidRPr="0001788E">
              <w:rPr>
                <w:rFonts w:ascii="Arial" w:hAnsi="Arial" w:cs="Arial"/>
                <w:szCs w:val="20"/>
              </w:rPr>
              <w:t>0 – 7 days</w:t>
            </w:r>
          </w:p>
        </w:tc>
        <w:tc>
          <w:tcPr>
            <w:tcW w:w="437" w:type="pct"/>
          </w:tcPr>
          <w:p w14:paraId="144DA28A" w14:textId="77777777" w:rsidR="006D45F3" w:rsidRPr="0001788E" w:rsidRDefault="006D45F3" w:rsidP="006D45F3">
            <w:pPr>
              <w:jc w:val="center"/>
              <w:rPr>
                <w:rFonts w:ascii="Arial" w:hAnsi="Arial" w:cs="Arial"/>
                <w:szCs w:val="20"/>
              </w:rPr>
            </w:pPr>
            <w:r w:rsidRPr="0001788E">
              <w:rPr>
                <w:rFonts w:ascii="Arial" w:hAnsi="Arial" w:cs="Arial"/>
                <w:szCs w:val="20"/>
              </w:rPr>
              <w:t>26</w:t>
            </w:r>
          </w:p>
        </w:tc>
        <w:tc>
          <w:tcPr>
            <w:tcW w:w="629" w:type="pct"/>
          </w:tcPr>
          <w:p w14:paraId="01613193" w14:textId="77777777" w:rsidR="006D45F3" w:rsidRPr="0001788E" w:rsidRDefault="006D45F3" w:rsidP="006D45F3">
            <w:pPr>
              <w:jc w:val="center"/>
              <w:rPr>
                <w:rFonts w:ascii="Arial" w:hAnsi="Arial" w:cs="Arial"/>
                <w:szCs w:val="20"/>
              </w:rPr>
            </w:pPr>
            <w:r w:rsidRPr="0001788E">
              <w:rPr>
                <w:rFonts w:ascii="Arial" w:hAnsi="Arial" w:cs="Arial"/>
                <w:szCs w:val="20"/>
              </w:rPr>
              <w:t>8631</w:t>
            </w:r>
          </w:p>
        </w:tc>
        <w:tc>
          <w:tcPr>
            <w:tcW w:w="874" w:type="pct"/>
          </w:tcPr>
          <w:p w14:paraId="08B772AD" w14:textId="77777777" w:rsidR="006D45F3" w:rsidRPr="0001788E" w:rsidRDefault="006D45F3" w:rsidP="006D45F3">
            <w:pPr>
              <w:jc w:val="center"/>
              <w:rPr>
                <w:rFonts w:ascii="Arial" w:hAnsi="Arial" w:cs="Arial"/>
                <w:szCs w:val="20"/>
              </w:rPr>
            </w:pPr>
            <w:r w:rsidRPr="0001788E">
              <w:rPr>
                <w:rFonts w:ascii="Arial" w:hAnsi="Arial" w:cs="Arial"/>
                <w:szCs w:val="20"/>
              </w:rPr>
              <w:t>1.00 (0.67-1.48)</w:t>
            </w:r>
          </w:p>
        </w:tc>
        <w:tc>
          <w:tcPr>
            <w:tcW w:w="679" w:type="pct"/>
          </w:tcPr>
          <w:p w14:paraId="00B71904" w14:textId="77777777" w:rsidR="006D45F3" w:rsidRPr="0001788E" w:rsidRDefault="006D45F3" w:rsidP="006D45F3">
            <w:pPr>
              <w:jc w:val="center"/>
              <w:rPr>
                <w:rFonts w:ascii="Arial" w:hAnsi="Arial" w:cs="Arial"/>
                <w:szCs w:val="20"/>
              </w:rPr>
            </w:pPr>
            <w:r w:rsidRPr="0001788E">
              <w:rPr>
                <w:rFonts w:ascii="Arial" w:hAnsi="Arial" w:cs="Arial"/>
                <w:szCs w:val="20"/>
              </w:rPr>
              <w:t>0.96 (0.65-1.43)</w:t>
            </w:r>
          </w:p>
        </w:tc>
        <w:tc>
          <w:tcPr>
            <w:tcW w:w="346" w:type="pct"/>
          </w:tcPr>
          <w:p w14:paraId="0B4755FB" w14:textId="77777777" w:rsidR="006D45F3" w:rsidRPr="0001788E" w:rsidRDefault="006D45F3" w:rsidP="006D45F3">
            <w:pPr>
              <w:jc w:val="center"/>
              <w:rPr>
                <w:rFonts w:ascii="Arial" w:hAnsi="Arial" w:cs="Arial"/>
                <w:szCs w:val="20"/>
              </w:rPr>
            </w:pPr>
            <w:r w:rsidRPr="0001788E">
              <w:rPr>
                <w:rFonts w:ascii="Arial" w:hAnsi="Arial" w:cs="Arial"/>
                <w:szCs w:val="20"/>
              </w:rPr>
              <w:t>0.844</w:t>
            </w:r>
          </w:p>
        </w:tc>
      </w:tr>
      <w:tr w:rsidR="006D45F3" w:rsidRPr="0001788E" w14:paraId="624CBFC1" w14:textId="77777777" w:rsidTr="006D45F3">
        <w:trPr>
          <w:trHeight w:val="253"/>
        </w:trPr>
        <w:tc>
          <w:tcPr>
            <w:tcW w:w="968" w:type="pct"/>
            <w:vMerge/>
            <w:vAlign w:val="center"/>
          </w:tcPr>
          <w:p w14:paraId="65E038AE" w14:textId="77777777" w:rsidR="006D45F3" w:rsidRPr="0001788E" w:rsidRDefault="006D45F3" w:rsidP="006D45F3">
            <w:pPr>
              <w:rPr>
                <w:rFonts w:ascii="Arial" w:hAnsi="Arial" w:cs="Arial"/>
                <w:bCs/>
                <w:szCs w:val="20"/>
              </w:rPr>
            </w:pPr>
          </w:p>
        </w:tc>
        <w:tc>
          <w:tcPr>
            <w:tcW w:w="1067" w:type="pct"/>
          </w:tcPr>
          <w:p w14:paraId="65EB590E" w14:textId="77777777" w:rsidR="006D45F3" w:rsidRPr="0001788E" w:rsidRDefault="006D45F3" w:rsidP="006D45F3">
            <w:pPr>
              <w:jc w:val="right"/>
              <w:rPr>
                <w:rFonts w:ascii="Arial" w:hAnsi="Arial" w:cs="Arial"/>
                <w:szCs w:val="20"/>
              </w:rPr>
            </w:pPr>
            <w:r w:rsidRPr="0001788E">
              <w:rPr>
                <w:rFonts w:ascii="Arial" w:hAnsi="Arial" w:cs="Arial"/>
                <w:szCs w:val="20"/>
              </w:rPr>
              <w:t>8 – 14 days</w:t>
            </w:r>
          </w:p>
        </w:tc>
        <w:tc>
          <w:tcPr>
            <w:tcW w:w="437" w:type="pct"/>
          </w:tcPr>
          <w:p w14:paraId="10C452DE" w14:textId="77777777" w:rsidR="006D45F3" w:rsidRPr="0001788E" w:rsidRDefault="006D45F3" w:rsidP="006D45F3">
            <w:pPr>
              <w:jc w:val="center"/>
              <w:rPr>
                <w:rFonts w:ascii="Arial" w:hAnsi="Arial" w:cs="Arial"/>
                <w:szCs w:val="20"/>
              </w:rPr>
            </w:pPr>
            <w:r w:rsidRPr="0001788E">
              <w:rPr>
                <w:rFonts w:ascii="Arial" w:hAnsi="Arial" w:cs="Arial"/>
                <w:szCs w:val="20"/>
              </w:rPr>
              <w:t>18</w:t>
            </w:r>
          </w:p>
        </w:tc>
        <w:tc>
          <w:tcPr>
            <w:tcW w:w="629" w:type="pct"/>
          </w:tcPr>
          <w:p w14:paraId="56ABCDE3" w14:textId="77777777" w:rsidR="006D45F3" w:rsidRPr="0001788E" w:rsidRDefault="006D45F3" w:rsidP="006D45F3">
            <w:pPr>
              <w:jc w:val="center"/>
              <w:rPr>
                <w:rFonts w:ascii="Arial" w:hAnsi="Arial" w:cs="Arial"/>
                <w:szCs w:val="20"/>
              </w:rPr>
            </w:pPr>
            <w:r w:rsidRPr="0001788E">
              <w:rPr>
                <w:rFonts w:ascii="Arial" w:hAnsi="Arial" w:cs="Arial"/>
                <w:szCs w:val="20"/>
              </w:rPr>
              <w:t>8631</w:t>
            </w:r>
          </w:p>
        </w:tc>
        <w:tc>
          <w:tcPr>
            <w:tcW w:w="874" w:type="pct"/>
          </w:tcPr>
          <w:p w14:paraId="180662FF" w14:textId="77777777" w:rsidR="006D45F3" w:rsidRPr="0001788E" w:rsidRDefault="006D45F3" w:rsidP="006D45F3">
            <w:pPr>
              <w:jc w:val="center"/>
              <w:rPr>
                <w:rFonts w:ascii="Arial" w:hAnsi="Arial" w:cs="Arial"/>
                <w:szCs w:val="20"/>
              </w:rPr>
            </w:pPr>
            <w:r w:rsidRPr="0001788E">
              <w:rPr>
                <w:rFonts w:ascii="Arial" w:hAnsi="Arial" w:cs="Arial"/>
                <w:szCs w:val="20"/>
              </w:rPr>
              <w:t>0.69 (0.43-1.10)</w:t>
            </w:r>
          </w:p>
        </w:tc>
        <w:tc>
          <w:tcPr>
            <w:tcW w:w="679" w:type="pct"/>
          </w:tcPr>
          <w:p w14:paraId="481088D5" w14:textId="77777777" w:rsidR="006D45F3" w:rsidRPr="0001788E" w:rsidRDefault="006D45F3" w:rsidP="006D45F3">
            <w:pPr>
              <w:jc w:val="center"/>
              <w:rPr>
                <w:rFonts w:ascii="Arial" w:hAnsi="Arial" w:cs="Arial"/>
                <w:szCs w:val="20"/>
              </w:rPr>
            </w:pPr>
            <w:r w:rsidRPr="0001788E">
              <w:rPr>
                <w:rFonts w:ascii="Arial" w:hAnsi="Arial" w:cs="Arial"/>
                <w:szCs w:val="20"/>
              </w:rPr>
              <w:t>0.67 (0.42-1.08)</w:t>
            </w:r>
          </w:p>
        </w:tc>
        <w:tc>
          <w:tcPr>
            <w:tcW w:w="346" w:type="pct"/>
          </w:tcPr>
          <w:p w14:paraId="3D5E360F" w14:textId="77777777" w:rsidR="006D45F3" w:rsidRPr="0001788E" w:rsidRDefault="006D45F3" w:rsidP="006D45F3">
            <w:pPr>
              <w:jc w:val="center"/>
              <w:rPr>
                <w:rFonts w:ascii="Arial" w:hAnsi="Arial" w:cs="Arial"/>
                <w:szCs w:val="20"/>
              </w:rPr>
            </w:pPr>
            <w:r w:rsidRPr="0001788E">
              <w:rPr>
                <w:rFonts w:ascii="Arial" w:hAnsi="Arial" w:cs="Arial"/>
                <w:szCs w:val="20"/>
              </w:rPr>
              <w:t>0.099</w:t>
            </w:r>
          </w:p>
        </w:tc>
      </w:tr>
      <w:tr w:rsidR="006D45F3" w:rsidRPr="0001788E" w14:paraId="6AABE91E" w14:textId="77777777" w:rsidTr="006D45F3">
        <w:trPr>
          <w:trHeight w:val="334"/>
        </w:trPr>
        <w:tc>
          <w:tcPr>
            <w:tcW w:w="968" w:type="pct"/>
            <w:vMerge/>
            <w:vAlign w:val="center"/>
          </w:tcPr>
          <w:p w14:paraId="356534F1" w14:textId="77777777" w:rsidR="006D45F3" w:rsidRPr="0001788E" w:rsidRDefault="006D45F3" w:rsidP="006D45F3">
            <w:pPr>
              <w:rPr>
                <w:rFonts w:ascii="Arial" w:hAnsi="Arial" w:cs="Arial"/>
                <w:bCs/>
                <w:szCs w:val="20"/>
              </w:rPr>
            </w:pPr>
          </w:p>
        </w:tc>
        <w:tc>
          <w:tcPr>
            <w:tcW w:w="1067" w:type="pct"/>
          </w:tcPr>
          <w:p w14:paraId="06ACD5A0" w14:textId="77777777" w:rsidR="006D45F3" w:rsidRPr="0001788E" w:rsidRDefault="006D45F3" w:rsidP="006D45F3">
            <w:pPr>
              <w:jc w:val="right"/>
              <w:rPr>
                <w:rFonts w:ascii="Arial" w:hAnsi="Arial" w:cs="Arial"/>
                <w:szCs w:val="20"/>
              </w:rPr>
            </w:pPr>
            <w:r w:rsidRPr="0001788E">
              <w:rPr>
                <w:rFonts w:ascii="Arial" w:hAnsi="Arial" w:cs="Arial"/>
                <w:szCs w:val="20"/>
              </w:rPr>
              <w:t>15 – 21 days</w:t>
            </w:r>
          </w:p>
        </w:tc>
        <w:tc>
          <w:tcPr>
            <w:tcW w:w="437" w:type="pct"/>
          </w:tcPr>
          <w:p w14:paraId="2F8C06F6" w14:textId="77777777" w:rsidR="006D45F3" w:rsidRPr="0001788E" w:rsidRDefault="006D45F3" w:rsidP="006D45F3">
            <w:pPr>
              <w:jc w:val="center"/>
              <w:rPr>
                <w:rFonts w:ascii="Arial" w:hAnsi="Arial" w:cs="Arial"/>
                <w:szCs w:val="20"/>
              </w:rPr>
            </w:pPr>
            <w:r w:rsidRPr="0001788E">
              <w:rPr>
                <w:rFonts w:ascii="Arial" w:hAnsi="Arial" w:cs="Arial"/>
                <w:szCs w:val="20"/>
              </w:rPr>
              <w:t>21</w:t>
            </w:r>
          </w:p>
        </w:tc>
        <w:tc>
          <w:tcPr>
            <w:tcW w:w="629" w:type="pct"/>
          </w:tcPr>
          <w:p w14:paraId="29F3C8CF" w14:textId="77777777" w:rsidR="006D45F3" w:rsidRPr="0001788E" w:rsidRDefault="006D45F3" w:rsidP="006D45F3">
            <w:pPr>
              <w:jc w:val="center"/>
              <w:rPr>
                <w:rFonts w:ascii="Arial" w:hAnsi="Arial" w:cs="Arial"/>
                <w:szCs w:val="20"/>
              </w:rPr>
            </w:pPr>
            <w:r w:rsidRPr="0001788E">
              <w:rPr>
                <w:rFonts w:ascii="Arial" w:hAnsi="Arial" w:cs="Arial"/>
                <w:szCs w:val="20"/>
              </w:rPr>
              <w:t xml:space="preserve">8618  </w:t>
            </w:r>
          </w:p>
        </w:tc>
        <w:tc>
          <w:tcPr>
            <w:tcW w:w="874" w:type="pct"/>
          </w:tcPr>
          <w:p w14:paraId="086B84F2" w14:textId="77777777" w:rsidR="006D45F3" w:rsidRPr="0001788E" w:rsidRDefault="006D45F3" w:rsidP="006D45F3">
            <w:pPr>
              <w:jc w:val="center"/>
              <w:rPr>
                <w:rFonts w:ascii="Arial" w:hAnsi="Arial" w:cs="Arial"/>
                <w:szCs w:val="20"/>
              </w:rPr>
            </w:pPr>
            <w:r w:rsidRPr="0001788E">
              <w:rPr>
                <w:rFonts w:ascii="Arial" w:hAnsi="Arial" w:cs="Arial"/>
                <w:szCs w:val="20"/>
              </w:rPr>
              <w:t>0.81 (0.52-1.25)</w:t>
            </w:r>
          </w:p>
        </w:tc>
        <w:tc>
          <w:tcPr>
            <w:tcW w:w="679" w:type="pct"/>
          </w:tcPr>
          <w:p w14:paraId="1FD7DFEE" w14:textId="77777777" w:rsidR="006D45F3" w:rsidRPr="0001788E" w:rsidRDefault="006D45F3" w:rsidP="006D45F3">
            <w:pPr>
              <w:jc w:val="center"/>
              <w:rPr>
                <w:rFonts w:ascii="Arial" w:hAnsi="Arial" w:cs="Arial"/>
                <w:szCs w:val="20"/>
              </w:rPr>
            </w:pPr>
            <w:r w:rsidRPr="0001788E">
              <w:rPr>
                <w:rFonts w:ascii="Arial" w:hAnsi="Arial" w:cs="Arial"/>
                <w:szCs w:val="20"/>
              </w:rPr>
              <w:t>0.80 (0.52-1.25)</w:t>
            </w:r>
          </w:p>
        </w:tc>
        <w:tc>
          <w:tcPr>
            <w:tcW w:w="346" w:type="pct"/>
          </w:tcPr>
          <w:p w14:paraId="37B660CA" w14:textId="77777777" w:rsidR="006D45F3" w:rsidRPr="0001788E" w:rsidRDefault="006D45F3" w:rsidP="006D45F3">
            <w:pPr>
              <w:jc w:val="center"/>
              <w:rPr>
                <w:rFonts w:ascii="Arial" w:hAnsi="Arial" w:cs="Arial"/>
                <w:szCs w:val="20"/>
              </w:rPr>
            </w:pPr>
            <w:r w:rsidRPr="0001788E">
              <w:rPr>
                <w:rFonts w:ascii="Arial" w:hAnsi="Arial" w:cs="Arial"/>
                <w:szCs w:val="20"/>
              </w:rPr>
              <w:t>0.329</w:t>
            </w:r>
          </w:p>
        </w:tc>
      </w:tr>
      <w:tr w:rsidR="006D45F3" w:rsidRPr="0001788E" w14:paraId="07AFFFE3" w14:textId="77777777" w:rsidTr="006D45F3">
        <w:trPr>
          <w:trHeight w:val="334"/>
        </w:trPr>
        <w:tc>
          <w:tcPr>
            <w:tcW w:w="5000" w:type="pct"/>
            <w:gridSpan w:val="7"/>
            <w:vAlign w:val="center"/>
          </w:tcPr>
          <w:p w14:paraId="601B0587" w14:textId="77777777" w:rsidR="006D45F3" w:rsidRPr="0001788E" w:rsidRDefault="006D45F3" w:rsidP="006D45F3">
            <w:pPr>
              <w:jc w:val="center"/>
              <w:rPr>
                <w:rFonts w:ascii="Arial" w:hAnsi="Arial" w:cs="Arial"/>
                <w:b/>
                <w:bCs/>
                <w:szCs w:val="20"/>
              </w:rPr>
            </w:pPr>
            <w:r w:rsidRPr="0001788E">
              <w:rPr>
                <w:rFonts w:ascii="Arial" w:hAnsi="Arial" w:cs="Arial"/>
                <w:b/>
                <w:bCs/>
                <w:szCs w:val="20"/>
              </w:rPr>
              <w:t>Inflammatory bowel disease type</w:t>
            </w:r>
            <w:r w:rsidRPr="0001788E">
              <w:rPr>
                <w:rFonts w:ascii="Arial" w:hAnsi="Arial" w:cs="Arial"/>
                <w:b/>
                <w:bCs/>
                <w:szCs w:val="20"/>
                <w:vertAlign w:val="superscript"/>
              </w:rPr>
              <w:t xml:space="preserve"> ±</w:t>
            </w:r>
          </w:p>
        </w:tc>
      </w:tr>
      <w:tr w:rsidR="006D45F3" w:rsidRPr="0001788E" w14:paraId="03BCE38E" w14:textId="77777777" w:rsidTr="006D45F3">
        <w:trPr>
          <w:trHeight w:val="237"/>
        </w:trPr>
        <w:tc>
          <w:tcPr>
            <w:tcW w:w="968" w:type="pct"/>
            <w:vMerge w:val="restart"/>
          </w:tcPr>
          <w:p w14:paraId="05F853E7" w14:textId="77777777" w:rsidR="006D45F3" w:rsidRPr="0001788E" w:rsidRDefault="006D45F3" w:rsidP="006D45F3">
            <w:pPr>
              <w:rPr>
                <w:rFonts w:ascii="Arial" w:hAnsi="Arial" w:cs="Arial"/>
                <w:szCs w:val="20"/>
              </w:rPr>
            </w:pPr>
            <w:r w:rsidRPr="0001788E">
              <w:rPr>
                <w:rFonts w:ascii="Arial" w:hAnsi="Arial" w:cs="Arial"/>
                <w:szCs w:val="20"/>
              </w:rPr>
              <w:t xml:space="preserve">Ulcerative colitis </w:t>
            </w:r>
          </w:p>
        </w:tc>
        <w:tc>
          <w:tcPr>
            <w:tcW w:w="1067" w:type="pct"/>
          </w:tcPr>
          <w:p w14:paraId="22B76D62" w14:textId="193354F1" w:rsidR="006D45F3" w:rsidRPr="0001788E" w:rsidRDefault="00D52282" w:rsidP="006D45F3">
            <w:pPr>
              <w:rPr>
                <w:rFonts w:ascii="Arial" w:hAnsi="Arial" w:cs="Arial"/>
                <w:szCs w:val="20"/>
              </w:rPr>
            </w:pPr>
            <w:r>
              <w:rPr>
                <w:rFonts w:ascii="Arial" w:hAnsi="Arial" w:cs="Arial"/>
                <w:szCs w:val="20"/>
              </w:rPr>
              <w:t>Vaccine unexposed b</w:t>
            </w:r>
            <w:r w:rsidR="006D45F3" w:rsidRPr="0001788E">
              <w:rPr>
                <w:rFonts w:ascii="Arial" w:hAnsi="Arial" w:cs="Arial"/>
                <w:szCs w:val="20"/>
              </w:rPr>
              <w:t xml:space="preserve">aseline </w:t>
            </w:r>
          </w:p>
        </w:tc>
        <w:tc>
          <w:tcPr>
            <w:tcW w:w="437" w:type="pct"/>
          </w:tcPr>
          <w:p w14:paraId="71EBFF5F" w14:textId="77777777" w:rsidR="006D45F3" w:rsidRPr="0001788E" w:rsidRDefault="006D45F3" w:rsidP="006D45F3">
            <w:pPr>
              <w:jc w:val="center"/>
              <w:rPr>
                <w:rFonts w:ascii="Arial" w:hAnsi="Arial" w:cs="Arial"/>
                <w:szCs w:val="20"/>
              </w:rPr>
            </w:pPr>
            <w:r w:rsidRPr="0001788E">
              <w:rPr>
                <w:rFonts w:ascii="Arial" w:hAnsi="Arial" w:cs="Arial"/>
                <w:szCs w:val="20"/>
              </w:rPr>
              <w:t>1088</w:t>
            </w:r>
          </w:p>
        </w:tc>
        <w:tc>
          <w:tcPr>
            <w:tcW w:w="629" w:type="pct"/>
          </w:tcPr>
          <w:p w14:paraId="05B0D740" w14:textId="77777777" w:rsidR="006D45F3" w:rsidRPr="0001788E" w:rsidRDefault="006D45F3" w:rsidP="006D45F3">
            <w:pPr>
              <w:jc w:val="center"/>
              <w:rPr>
                <w:rFonts w:ascii="Arial" w:hAnsi="Arial" w:cs="Arial"/>
                <w:szCs w:val="20"/>
              </w:rPr>
            </w:pPr>
            <w:r w:rsidRPr="0001788E">
              <w:rPr>
                <w:rFonts w:ascii="Arial" w:hAnsi="Arial" w:cs="Arial"/>
                <w:szCs w:val="20"/>
              </w:rPr>
              <w:t>396112</w:t>
            </w:r>
          </w:p>
        </w:tc>
        <w:tc>
          <w:tcPr>
            <w:tcW w:w="874" w:type="pct"/>
          </w:tcPr>
          <w:p w14:paraId="6C3E6FEA" w14:textId="77777777" w:rsidR="006D45F3" w:rsidRPr="0001788E" w:rsidRDefault="006D45F3" w:rsidP="006D45F3">
            <w:pPr>
              <w:jc w:val="center"/>
              <w:rPr>
                <w:rFonts w:ascii="Arial" w:hAnsi="Arial" w:cs="Arial"/>
                <w:szCs w:val="20"/>
              </w:rPr>
            </w:pPr>
            <w:r w:rsidRPr="0001788E">
              <w:rPr>
                <w:rFonts w:ascii="Arial" w:hAnsi="Arial" w:cs="Arial"/>
                <w:szCs w:val="20"/>
              </w:rPr>
              <w:t>1</w:t>
            </w:r>
          </w:p>
        </w:tc>
        <w:tc>
          <w:tcPr>
            <w:tcW w:w="679" w:type="pct"/>
          </w:tcPr>
          <w:p w14:paraId="325850A8" w14:textId="77777777" w:rsidR="006D45F3" w:rsidRPr="0001788E" w:rsidRDefault="006D45F3" w:rsidP="006D45F3">
            <w:pPr>
              <w:jc w:val="center"/>
              <w:rPr>
                <w:rFonts w:ascii="Arial" w:hAnsi="Arial" w:cs="Arial"/>
                <w:szCs w:val="20"/>
              </w:rPr>
            </w:pPr>
            <w:r w:rsidRPr="0001788E">
              <w:rPr>
                <w:rFonts w:ascii="Arial" w:hAnsi="Arial" w:cs="Arial"/>
                <w:szCs w:val="20"/>
              </w:rPr>
              <w:t>1</w:t>
            </w:r>
          </w:p>
        </w:tc>
        <w:tc>
          <w:tcPr>
            <w:tcW w:w="346" w:type="pct"/>
          </w:tcPr>
          <w:p w14:paraId="011AFF32" w14:textId="77777777" w:rsidR="006D45F3" w:rsidRPr="0001788E" w:rsidRDefault="006D45F3" w:rsidP="006D45F3">
            <w:pPr>
              <w:jc w:val="center"/>
              <w:rPr>
                <w:rFonts w:ascii="Arial" w:hAnsi="Arial" w:cs="Arial"/>
                <w:szCs w:val="20"/>
              </w:rPr>
            </w:pPr>
            <w:r w:rsidRPr="0001788E">
              <w:rPr>
                <w:rFonts w:ascii="Arial" w:hAnsi="Arial" w:cs="Arial"/>
                <w:szCs w:val="20"/>
              </w:rPr>
              <w:t>-/-</w:t>
            </w:r>
          </w:p>
        </w:tc>
      </w:tr>
      <w:tr w:rsidR="006D45F3" w:rsidRPr="0001788E" w14:paraId="203C31F4" w14:textId="77777777" w:rsidTr="006D45F3">
        <w:trPr>
          <w:trHeight w:val="253"/>
        </w:trPr>
        <w:tc>
          <w:tcPr>
            <w:tcW w:w="968" w:type="pct"/>
            <w:vMerge/>
            <w:vAlign w:val="center"/>
          </w:tcPr>
          <w:p w14:paraId="00726F85" w14:textId="77777777" w:rsidR="006D45F3" w:rsidRPr="0001788E" w:rsidRDefault="006D45F3" w:rsidP="006D45F3">
            <w:pPr>
              <w:rPr>
                <w:rFonts w:ascii="Arial" w:hAnsi="Arial" w:cs="Arial"/>
                <w:szCs w:val="20"/>
              </w:rPr>
            </w:pPr>
          </w:p>
        </w:tc>
        <w:tc>
          <w:tcPr>
            <w:tcW w:w="1067" w:type="pct"/>
          </w:tcPr>
          <w:p w14:paraId="412CF161" w14:textId="614E6343" w:rsidR="006D45F3" w:rsidRPr="0001788E" w:rsidRDefault="00D52282" w:rsidP="006D45F3">
            <w:pPr>
              <w:rPr>
                <w:rFonts w:ascii="Arial" w:hAnsi="Arial" w:cs="Arial"/>
                <w:szCs w:val="20"/>
              </w:rPr>
            </w:pPr>
            <w:r>
              <w:rPr>
                <w:rFonts w:ascii="Arial" w:hAnsi="Arial" w:cs="Arial"/>
                <w:szCs w:val="20"/>
              </w:rPr>
              <w:t>P</w:t>
            </w:r>
            <w:r w:rsidR="006D45F3" w:rsidRPr="0001788E">
              <w:rPr>
                <w:rFonts w:ascii="Arial" w:hAnsi="Arial" w:cs="Arial"/>
                <w:szCs w:val="20"/>
              </w:rPr>
              <w:t>re-vaccination</w:t>
            </w:r>
          </w:p>
        </w:tc>
        <w:tc>
          <w:tcPr>
            <w:tcW w:w="437" w:type="pct"/>
          </w:tcPr>
          <w:p w14:paraId="7434E94F" w14:textId="77777777" w:rsidR="006D45F3" w:rsidRPr="0001788E" w:rsidRDefault="006D45F3" w:rsidP="006D45F3">
            <w:pPr>
              <w:jc w:val="center"/>
              <w:rPr>
                <w:rFonts w:ascii="Arial" w:hAnsi="Arial" w:cs="Arial"/>
                <w:szCs w:val="20"/>
              </w:rPr>
            </w:pPr>
            <w:r w:rsidRPr="0001788E">
              <w:rPr>
                <w:rFonts w:ascii="Arial" w:hAnsi="Arial" w:cs="Arial"/>
                <w:szCs w:val="20"/>
              </w:rPr>
              <w:t>75</w:t>
            </w:r>
          </w:p>
        </w:tc>
        <w:tc>
          <w:tcPr>
            <w:tcW w:w="629" w:type="pct"/>
          </w:tcPr>
          <w:p w14:paraId="2CE77216" w14:textId="77777777" w:rsidR="006D45F3" w:rsidRPr="0001788E" w:rsidRDefault="006D45F3" w:rsidP="006D45F3">
            <w:pPr>
              <w:jc w:val="center"/>
              <w:rPr>
                <w:rFonts w:ascii="Arial" w:hAnsi="Arial" w:cs="Arial"/>
                <w:szCs w:val="20"/>
              </w:rPr>
            </w:pPr>
            <w:r w:rsidRPr="0001788E">
              <w:rPr>
                <w:rFonts w:ascii="Arial" w:hAnsi="Arial" w:cs="Arial"/>
                <w:szCs w:val="20"/>
              </w:rPr>
              <w:t>23065</w:t>
            </w:r>
          </w:p>
        </w:tc>
        <w:tc>
          <w:tcPr>
            <w:tcW w:w="874" w:type="pct"/>
          </w:tcPr>
          <w:p w14:paraId="46108F88" w14:textId="77777777" w:rsidR="006D45F3" w:rsidRPr="0001788E" w:rsidRDefault="006D45F3" w:rsidP="006D45F3">
            <w:pPr>
              <w:jc w:val="center"/>
              <w:rPr>
                <w:rFonts w:ascii="Arial" w:hAnsi="Arial" w:cs="Arial"/>
                <w:szCs w:val="20"/>
              </w:rPr>
            </w:pPr>
            <w:r w:rsidRPr="0001788E">
              <w:rPr>
                <w:rFonts w:ascii="Arial" w:hAnsi="Arial" w:cs="Arial"/>
                <w:szCs w:val="20"/>
              </w:rPr>
              <w:t>1.18 (0.93-1.49)</w:t>
            </w:r>
          </w:p>
        </w:tc>
        <w:tc>
          <w:tcPr>
            <w:tcW w:w="679" w:type="pct"/>
          </w:tcPr>
          <w:p w14:paraId="045F3092" w14:textId="77777777" w:rsidR="006D45F3" w:rsidRPr="0001788E" w:rsidRDefault="006D45F3" w:rsidP="006D45F3">
            <w:pPr>
              <w:jc w:val="center"/>
              <w:rPr>
                <w:rFonts w:ascii="Arial" w:hAnsi="Arial" w:cs="Arial"/>
                <w:szCs w:val="20"/>
              </w:rPr>
            </w:pPr>
            <w:r w:rsidRPr="0001788E">
              <w:rPr>
                <w:rFonts w:ascii="Arial" w:hAnsi="Arial" w:cs="Arial"/>
                <w:szCs w:val="20"/>
              </w:rPr>
              <w:t>1.13 (0.89-1.43)</w:t>
            </w:r>
          </w:p>
        </w:tc>
        <w:tc>
          <w:tcPr>
            <w:tcW w:w="346" w:type="pct"/>
          </w:tcPr>
          <w:p w14:paraId="52D7148C" w14:textId="77777777" w:rsidR="006D45F3" w:rsidRPr="0001788E" w:rsidRDefault="006D45F3" w:rsidP="006D45F3">
            <w:pPr>
              <w:jc w:val="center"/>
              <w:rPr>
                <w:rFonts w:ascii="Arial" w:hAnsi="Arial" w:cs="Arial"/>
                <w:szCs w:val="20"/>
              </w:rPr>
            </w:pPr>
            <w:r w:rsidRPr="0001788E">
              <w:rPr>
                <w:rFonts w:ascii="Arial" w:hAnsi="Arial" w:cs="Arial"/>
                <w:szCs w:val="20"/>
              </w:rPr>
              <w:t>0.325</w:t>
            </w:r>
          </w:p>
        </w:tc>
      </w:tr>
      <w:tr w:rsidR="006D45F3" w:rsidRPr="0001788E" w14:paraId="5D69E526" w14:textId="77777777" w:rsidTr="006D45F3">
        <w:trPr>
          <w:trHeight w:val="253"/>
        </w:trPr>
        <w:tc>
          <w:tcPr>
            <w:tcW w:w="968" w:type="pct"/>
            <w:vMerge/>
          </w:tcPr>
          <w:p w14:paraId="4055111E" w14:textId="77777777" w:rsidR="006D45F3" w:rsidRPr="0001788E" w:rsidRDefault="006D45F3" w:rsidP="006D45F3">
            <w:pPr>
              <w:rPr>
                <w:rFonts w:ascii="Arial" w:hAnsi="Arial" w:cs="Arial"/>
                <w:szCs w:val="20"/>
              </w:rPr>
            </w:pPr>
          </w:p>
        </w:tc>
        <w:tc>
          <w:tcPr>
            <w:tcW w:w="1067" w:type="pct"/>
          </w:tcPr>
          <w:p w14:paraId="1A7E7D93" w14:textId="4A8AE343" w:rsidR="006D45F3" w:rsidRPr="0001788E" w:rsidRDefault="00D52282" w:rsidP="006D45F3">
            <w:pPr>
              <w:rPr>
                <w:rFonts w:ascii="Arial" w:hAnsi="Arial" w:cs="Arial"/>
                <w:szCs w:val="20"/>
              </w:rPr>
            </w:pPr>
            <w:r>
              <w:rPr>
                <w:rFonts w:ascii="Arial" w:hAnsi="Arial" w:cs="Arial"/>
                <w:szCs w:val="20"/>
              </w:rPr>
              <w:t>V</w:t>
            </w:r>
            <w:r w:rsidR="006D45F3" w:rsidRPr="0001788E">
              <w:rPr>
                <w:rFonts w:ascii="Arial" w:hAnsi="Arial" w:cs="Arial"/>
                <w:szCs w:val="20"/>
              </w:rPr>
              <w:t>accin</w:t>
            </w:r>
            <w:r>
              <w:rPr>
                <w:rFonts w:ascii="Arial" w:hAnsi="Arial" w:cs="Arial"/>
                <w:szCs w:val="20"/>
              </w:rPr>
              <w:t>e exposed</w:t>
            </w:r>
          </w:p>
        </w:tc>
        <w:tc>
          <w:tcPr>
            <w:tcW w:w="437" w:type="pct"/>
          </w:tcPr>
          <w:p w14:paraId="01A4236F" w14:textId="77777777" w:rsidR="006D45F3" w:rsidRPr="0001788E" w:rsidRDefault="006D45F3" w:rsidP="006D45F3">
            <w:pPr>
              <w:jc w:val="center"/>
              <w:rPr>
                <w:rFonts w:ascii="Arial" w:hAnsi="Arial" w:cs="Arial"/>
                <w:szCs w:val="20"/>
              </w:rPr>
            </w:pPr>
            <w:r w:rsidRPr="0001788E">
              <w:rPr>
                <w:rFonts w:ascii="Arial" w:hAnsi="Arial" w:cs="Arial"/>
                <w:szCs w:val="20"/>
              </w:rPr>
              <w:t>156</w:t>
            </w:r>
          </w:p>
        </w:tc>
        <w:tc>
          <w:tcPr>
            <w:tcW w:w="629" w:type="pct"/>
          </w:tcPr>
          <w:p w14:paraId="10F00130" w14:textId="77777777" w:rsidR="006D45F3" w:rsidRPr="0001788E" w:rsidRDefault="006D45F3" w:rsidP="006D45F3">
            <w:pPr>
              <w:jc w:val="center"/>
              <w:rPr>
                <w:rFonts w:ascii="Arial" w:hAnsi="Arial" w:cs="Arial"/>
                <w:szCs w:val="20"/>
              </w:rPr>
            </w:pPr>
            <w:r w:rsidRPr="0001788E">
              <w:rPr>
                <w:rFonts w:ascii="Arial" w:hAnsi="Arial" w:cs="Arial"/>
                <w:szCs w:val="20"/>
              </w:rPr>
              <w:t>66959</w:t>
            </w:r>
          </w:p>
        </w:tc>
        <w:tc>
          <w:tcPr>
            <w:tcW w:w="874" w:type="pct"/>
          </w:tcPr>
          <w:p w14:paraId="626A5A30" w14:textId="77777777" w:rsidR="006D45F3" w:rsidRPr="0001788E" w:rsidRDefault="006D45F3" w:rsidP="006D45F3">
            <w:pPr>
              <w:jc w:val="center"/>
              <w:rPr>
                <w:rFonts w:ascii="Arial" w:hAnsi="Arial" w:cs="Arial"/>
                <w:szCs w:val="20"/>
              </w:rPr>
            </w:pPr>
            <w:r w:rsidRPr="0001788E">
              <w:rPr>
                <w:rFonts w:ascii="Arial" w:hAnsi="Arial" w:cs="Arial"/>
                <w:szCs w:val="20"/>
              </w:rPr>
              <w:t>0.84 (0.71-1.00)</w:t>
            </w:r>
          </w:p>
        </w:tc>
        <w:tc>
          <w:tcPr>
            <w:tcW w:w="679" w:type="pct"/>
          </w:tcPr>
          <w:p w14:paraId="2512E148" w14:textId="77777777" w:rsidR="006D45F3" w:rsidRPr="0001788E" w:rsidRDefault="006D45F3" w:rsidP="006D45F3">
            <w:pPr>
              <w:jc w:val="center"/>
              <w:rPr>
                <w:rFonts w:ascii="Arial" w:hAnsi="Arial" w:cs="Arial"/>
                <w:szCs w:val="20"/>
              </w:rPr>
            </w:pPr>
            <w:r w:rsidRPr="0001788E">
              <w:rPr>
                <w:rFonts w:ascii="Arial" w:hAnsi="Arial" w:cs="Arial"/>
                <w:szCs w:val="20"/>
              </w:rPr>
              <w:t>0.79 (0.66-0.95)</w:t>
            </w:r>
          </w:p>
        </w:tc>
        <w:tc>
          <w:tcPr>
            <w:tcW w:w="346" w:type="pct"/>
          </w:tcPr>
          <w:p w14:paraId="60595049" w14:textId="77777777" w:rsidR="006D45F3" w:rsidRPr="0001788E" w:rsidRDefault="006D45F3" w:rsidP="006D45F3">
            <w:pPr>
              <w:jc w:val="center"/>
              <w:rPr>
                <w:rFonts w:ascii="Arial" w:hAnsi="Arial" w:cs="Arial"/>
                <w:szCs w:val="20"/>
              </w:rPr>
            </w:pPr>
            <w:r w:rsidRPr="0001788E">
              <w:rPr>
                <w:rFonts w:ascii="Arial" w:hAnsi="Arial" w:cs="Arial"/>
                <w:szCs w:val="20"/>
              </w:rPr>
              <w:t>0.011</w:t>
            </w:r>
          </w:p>
        </w:tc>
      </w:tr>
      <w:tr w:rsidR="006D45F3" w:rsidRPr="0001788E" w14:paraId="282D4472" w14:textId="77777777" w:rsidTr="006D45F3">
        <w:trPr>
          <w:trHeight w:val="237"/>
        </w:trPr>
        <w:tc>
          <w:tcPr>
            <w:tcW w:w="968" w:type="pct"/>
            <w:vMerge w:val="restart"/>
          </w:tcPr>
          <w:p w14:paraId="4288BA79" w14:textId="77777777" w:rsidR="006D45F3" w:rsidRPr="0001788E" w:rsidRDefault="006D45F3" w:rsidP="006D45F3">
            <w:pPr>
              <w:rPr>
                <w:rFonts w:ascii="Arial" w:hAnsi="Arial" w:cs="Arial"/>
                <w:szCs w:val="20"/>
              </w:rPr>
            </w:pPr>
            <w:r w:rsidRPr="0001788E">
              <w:rPr>
                <w:rFonts w:ascii="Arial" w:hAnsi="Arial" w:cs="Arial"/>
                <w:szCs w:val="20"/>
              </w:rPr>
              <w:t xml:space="preserve">Crohn’s disease </w:t>
            </w:r>
          </w:p>
        </w:tc>
        <w:tc>
          <w:tcPr>
            <w:tcW w:w="1067" w:type="pct"/>
          </w:tcPr>
          <w:p w14:paraId="12667B5E" w14:textId="77777777" w:rsidR="006D45F3" w:rsidRPr="0001788E" w:rsidRDefault="006D45F3" w:rsidP="006D45F3">
            <w:pPr>
              <w:rPr>
                <w:rFonts w:ascii="Arial" w:hAnsi="Arial" w:cs="Arial"/>
                <w:szCs w:val="20"/>
              </w:rPr>
            </w:pPr>
            <w:r w:rsidRPr="0001788E">
              <w:rPr>
                <w:rFonts w:ascii="Arial" w:hAnsi="Arial" w:cs="Arial"/>
                <w:szCs w:val="20"/>
              </w:rPr>
              <w:t>Baseline</w:t>
            </w:r>
          </w:p>
        </w:tc>
        <w:tc>
          <w:tcPr>
            <w:tcW w:w="437" w:type="pct"/>
          </w:tcPr>
          <w:p w14:paraId="00977C99" w14:textId="77777777" w:rsidR="006D45F3" w:rsidRPr="0001788E" w:rsidRDefault="006D45F3" w:rsidP="006D45F3">
            <w:pPr>
              <w:jc w:val="center"/>
              <w:rPr>
                <w:rFonts w:ascii="Arial" w:hAnsi="Arial" w:cs="Arial"/>
                <w:szCs w:val="20"/>
              </w:rPr>
            </w:pPr>
            <w:r w:rsidRPr="0001788E">
              <w:rPr>
                <w:rFonts w:ascii="Arial" w:hAnsi="Arial" w:cs="Arial"/>
                <w:szCs w:val="20"/>
              </w:rPr>
              <w:t>534</w:t>
            </w:r>
          </w:p>
        </w:tc>
        <w:tc>
          <w:tcPr>
            <w:tcW w:w="629" w:type="pct"/>
          </w:tcPr>
          <w:p w14:paraId="4E93BCF1" w14:textId="77777777" w:rsidR="006D45F3" w:rsidRPr="0001788E" w:rsidRDefault="006D45F3" w:rsidP="006D45F3">
            <w:pPr>
              <w:jc w:val="center"/>
              <w:rPr>
                <w:rFonts w:ascii="Arial" w:hAnsi="Arial" w:cs="Arial"/>
                <w:szCs w:val="20"/>
              </w:rPr>
            </w:pPr>
            <w:r w:rsidRPr="0001788E">
              <w:rPr>
                <w:rFonts w:ascii="Arial" w:hAnsi="Arial" w:cs="Arial"/>
                <w:szCs w:val="20"/>
              </w:rPr>
              <w:t>192840</w:t>
            </w:r>
          </w:p>
        </w:tc>
        <w:tc>
          <w:tcPr>
            <w:tcW w:w="874" w:type="pct"/>
          </w:tcPr>
          <w:p w14:paraId="14C44EB5" w14:textId="77777777" w:rsidR="006D45F3" w:rsidRPr="0001788E" w:rsidRDefault="006D45F3" w:rsidP="006D45F3">
            <w:pPr>
              <w:jc w:val="center"/>
              <w:rPr>
                <w:rFonts w:ascii="Arial" w:hAnsi="Arial" w:cs="Arial"/>
                <w:szCs w:val="20"/>
              </w:rPr>
            </w:pPr>
            <w:r w:rsidRPr="0001788E">
              <w:rPr>
                <w:rFonts w:ascii="Arial" w:hAnsi="Arial" w:cs="Arial"/>
                <w:szCs w:val="20"/>
              </w:rPr>
              <w:t>1</w:t>
            </w:r>
          </w:p>
        </w:tc>
        <w:tc>
          <w:tcPr>
            <w:tcW w:w="679" w:type="pct"/>
          </w:tcPr>
          <w:p w14:paraId="4A0C3CEF" w14:textId="77777777" w:rsidR="006D45F3" w:rsidRPr="0001788E" w:rsidRDefault="006D45F3" w:rsidP="006D45F3">
            <w:pPr>
              <w:jc w:val="center"/>
              <w:rPr>
                <w:rFonts w:ascii="Arial" w:hAnsi="Arial" w:cs="Arial"/>
                <w:szCs w:val="20"/>
              </w:rPr>
            </w:pPr>
            <w:r w:rsidRPr="0001788E">
              <w:rPr>
                <w:rFonts w:ascii="Arial" w:hAnsi="Arial" w:cs="Arial"/>
                <w:szCs w:val="20"/>
              </w:rPr>
              <w:t>1</w:t>
            </w:r>
          </w:p>
        </w:tc>
        <w:tc>
          <w:tcPr>
            <w:tcW w:w="346" w:type="pct"/>
          </w:tcPr>
          <w:p w14:paraId="528A8C18" w14:textId="77777777" w:rsidR="006D45F3" w:rsidRPr="0001788E" w:rsidRDefault="006D45F3" w:rsidP="006D45F3">
            <w:pPr>
              <w:jc w:val="center"/>
              <w:rPr>
                <w:rFonts w:ascii="Arial" w:hAnsi="Arial" w:cs="Arial"/>
                <w:szCs w:val="20"/>
              </w:rPr>
            </w:pPr>
            <w:r w:rsidRPr="0001788E">
              <w:rPr>
                <w:rFonts w:ascii="Arial" w:hAnsi="Arial" w:cs="Arial"/>
                <w:szCs w:val="20"/>
              </w:rPr>
              <w:t>-/-</w:t>
            </w:r>
          </w:p>
        </w:tc>
      </w:tr>
      <w:tr w:rsidR="006D45F3" w:rsidRPr="0001788E" w14:paraId="45582B77" w14:textId="77777777" w:rsidTr="006D45F3">
        <w:trPr>
          <w:trHeight w:val="253"/>
        </w:trPr>
        <w:tc>
          <w:tcPr>
            <w:tcW w:w="968" w:type="pct"/>
            <w:vMerge/>
            <w:vAlign w:val="center"/>
          </w:tcPr>
          <w:p w14:paraId="6BA78714" w14:textId="77777777" w:rsidR="006D45F3" w:rsidRPr="0001788E" w:rsidRDefault="006D45F3" w:rsidP="006D45F3">
            <w:pPr>
              <w:rPr>
                <w:rFonts w:ascii="Arial" w:hAnsi="Arial" w:cs="Arial"/>
                <w:szCs w:val="20"/>
              </w:rPr>
            </w:pPr>
          </w:p>
        </w:tc>
        <w:tc>
          <w:tcPr>
            <w:tcW w:w="1067" w:type="pct"/>
          </w:tcPr>
          <w:p w14:paraId="14F5F6EA" w14:textId="4D3D62AC" w:rsidR="006D45F3" w:rsidRPr="0001788E" w:rsidRDefault="00D52282" w:rsidP="006D45F3">
            <w:pPr>
              <w:rPr>
                <w:rFonts w:ascii="Arial" w:hAnsi="Arial" w:cs="Arial"/>
                <w:szCs w:val="20"/>
              </w:rPr>
            </w:pPr>
            <w:r>
              <w:rPr>
                <w:rFonts w:ascii="Arial" w:hAnsi="Arial" w:cs="Arial"/>
                <w:szCs w:val="20"/>
              </w:rPr>
              <w:t>P</w:t>
            </w:r>
            <w:r w:rsidR="006D45F3" w:rsidRPr="0001788E">
              <w:rPr>
                <w:rFonts w:ascii="Arial" w:hAnsi="Arial" w:cs="Arial"/>
                <w:szCs w:val="20"/>
              </w:rPr>
              <w:t>re-vaccination</w:t>
            </w:r>
          </w:p>
        </w:tc>
        <w:tc>
          <w:tcPr>
            <w:tcW w:w="437" w:type="pct"/>
          </w:tcPr>
          <w:p w14:paraId="3B0E312C" w14:textId="77777777" w:rsidR="006D45F3" w:rsidRPr="0001788E" w:rsidRDefault="006D45F3" w:rsidP="006D45F3">
            <w:pPr>
              <w:jc w:val="center"/>
              <w:rPr>
                <w:rFonts w:ascii="Arial" w:hAnsi="Arial" w:cs="Arial"/>
                <w:szCs w:val="20"/>
              </w:rPr>
            </w:pPr>
            <w:r w:rsidRPr="0001788E">
              <w:rPr>
                <w:rFonts w:ascii="Arial" w:hAnsi="Arial" w:cs="Arial"/>
                <w:szCs w:val="20"/>
              </w:rPr>
              <w:t>22</w:t>
            </w:r>
          </w:p>
        </w:tc>
        <w:tc>
          <w:tcPr>
            <w:tcW w:w="629" w:type="pct"/>
          </w:tcPr>
          <w:p w14:paraId="2A81275F" w14:textId="77777777" w:rsidR="006D45F3" w:rsidRPr="0001788E" w:rsidRDefault="006D45F3" w:rsidP="006D45F3">
            <w:pPr>
              <w:jc w:val="center"/>
              <w:rPr>
                <w:rFonts w:ascii="Arial" w:hAnsi="Arial" w:cs="Arial"/>
                <w:szCs w:val="20"/>
              </w:rPr>
            </w:pPr>
            <w:r w:rsidRPr="0001788E">
              <w:rPr>
                <w:rFonts w:ascii="Arial" w:hAnsi="Arial" w:cs="Arial"/>
                <w:szCs w:val="20"/>
              </w:rPr>
              <w:t>11249</w:t>
            </w:r>
          </w:p>
        </w:tc>
        <w:tc>
          <w:tcPr>
            <w:tcW w:w="874" w:type="pct"/>
          </w:tcPr>
          <w:p w14:paraId="37D03ECE" w14:textId="77777777" w:rsidR="006D45F3" w:rsidRPr="0001788E" w:rsidRDefault="006D45F3" w:rsidP="006D45F3">
            <w:pPr>
              <w:jc w:val="center"/>
              <w:rPr>
                <w:rFonts w:ascii="Arial" w:hAnsi="Arial" w:cs="Arial"/>
                <w:szCs w:val="20"/>
              </w:rPr>
            </w:pPr>
            <w:r w:rsidRPr="0001788E">
              <w:rPr>
                <w:rFonts w:ascii="Arial" w:hAnsi="Arial" w:cs="Arial"/>
                <w:szCs w:val="20"/>
              </w:rPr>
              <w:t>0.70 (0.46-1.08)</w:t>
            </w:r>
          </w:p>
        </w:tc>
        <w:tc>
          <w:tcPr>
            <w:tcW w:w="679" w:type="pct"/>
          </w:tcPr>
          <w:p w14:paraId="4B062FC4" w14:textId="77777777" w:rsidR="006D45F3" w:rsidRPr="0001788E" w:rsidRDefault="006D45F3" w:rsidP="006D45F3">
            <w:pPr>
              <w:jc w:val="center"/>
              <w:rPr>
                <w:rFonts w:ascii="Arial" w:hAnsi="Arial" w:cs="Arial"/>
                <w:szCs w:val="20"/>
              </w:rPr>
            </w:pPr>
            <w:r w:rsidRPr="0001788E">
              <w:rPr>
                <w:rFonts w:ascii="Arial" w:hAnsi="Arial" w:cs="Arial"/>
                <w:szCs w:val="20"/>
              </w:rPr>
              <w:t>0.71 (0.46-1.09)</w:t>
            </w:r>
          </w:p>
        </w:tc>
        <w:tc>
          <w:tcPr>
            <w:tcW w:w="346" w:type="pct"/>
          </w:tcPr>
          <w:p w14:paraId="47633E41" w14:textId="77777777" w:rsidR="006D45F3" w:rsidRPr="0001788E" w:rsidRDefault="006D45F3" w:rsidP="006D45F3">
            <w:pPr>
              <w:jc w:val="center"/>
              <w:rPr>
                <w:rFonts w:ascii="Arial" w:hAnsi="Arial" w:cs="Arial"/>
                <w:szCs w:val="20"/>
              </w:rPr>
            </w:pPr>
            <w:r w:rsidRPr="0001788E">
              <w:rPr>
                <w:rFonts w:ascii="Arial" w:hAnsi="Arial" w:cs="Arial"/>
                <w:szCs w:val="20"/>
              </w:rPr>
              <w:t>0.115</w:t>
            </w:r>
          </w:p>
        </w:tc>
      </w:tr>
      <w:tr w:rsidR="006D45F3" w:rsidRPr="0001788E" w14:paraId="787F0691" w14:textId="77777777" w:rsidTr="006D45F3">
        <w:trPr>
          <w:trHeight w:val="253"/>
        </w:trPr>
        <w:tc>
          <w:tcPr>
            <w:tcW w:w="968" w:type="pct"/>
            <w:vMerge/>
          </w:tcPr>
          <w:p w14:paraId="628844A0" w14:textId="77777777" w:rsidR="006D45F3" w:rsidRPr="0001788E" w:rsidRDefault="006D45F3" w:rsidP="006D45F3">
            <w:pPr>
              <w:rPr>
                <w:rFonts w:ascii="Arial" w:hAnsi="Arial" w:cs="Arial"/>
                <w:szCs w:val="20"/>
              </w:rPr>
            </w:pPr>
          </w:p>
        </w:tc>
        <w:tc>
          <w:tcPr>
            <w:tcW w:w="1067" w:type="pct"/>
          </w:tcPr>
          <w:p w14:paraId="20BDAA82" w14:textId="4825770F" w:rsidR="006D45F3" w:rsidRPr="0001788E" w:rsidRDefault="00D52282" w:rsidP="006D45F3">
            <w:pPr>
              <w:rPr>
                <w:rFonts w:ascii="Arial" w:hAnsi="Arial" w:cs="Arial"/>
                <w:szCs w:val="20"/>
              </w:rPr>
            </w:pPr>
            <w:r>
              <w:rPr>
                <w:rFonts w:ascii="Arial" w:hAnsi="Arial" w:cs="Arial"/>
                <w:szCs w:val="20"/>
              </w:rPr>
              <w:t>V</w:t>
            </w:r>
            <w:r w:rsidR="006D45F3" w:rsidRPr="0001788E">
              <w:rPr>
                <w:rFonts w:ascii="Arial" w:hAnsi="Arial" w:cs="Arial"/>
                <w:szCs w:val="20"/>
              </w:rPr>
              <w:t>accin</w:t>
            </w:r>
            <w:r>
              <w:rPr>
                <w:rFonts w:ascii="Arial" w:hAnsi="Arial" w:cs="Arial"/>
                <w:szCs w:val="20"/>
              </w:rPr>
              <w:t>e exposed</w:t>
            </w:r>
          </w:p>
        </w:tc>
        <w:tc>
          <w:tcPr>
            <w:tcW w:w="437" w:type="pct"/>
          </w:tcPr>
          <w:p w14:paraId="274304C9" w14:textId="77777777" w:rsidR="006D45F3" w:rsidRPr="0001788E" w:rsidRDefault="006D45F3" w:rsidP="006D45F3">
            <w:pPr>
              <w:jc w:val="center"/>
              <w:rPr>
                <w:rFonts w:ascii="Arial" w:hAnsi="Arial" w:cs="Arial"/>
                <w:szCs w:val="20"/>
              </w:rPr>
            </w:pPr>
            <w:r w:rsidRPr="0001788E">
              <w:rPr>
                <w:rFonts w:ascii="Arial" w:hAnsi="Arial" w:cs="Arial"/>
                <w:szCs w:val="20"/>
              </w:rPr>
              <w:t>90</w:t>
            </w:r>
          </w:p>
        </w:tc>
        <w:tc>
          <w:tcPr>
            <w:tcW w:w="629" w:type="pct"/>
          </w:tcPr>
          <w:p w14:paraId="511B5867" w14:textId="77777777" w:rsidR="006D45F3" w:rsidRPr="0001788E" w:rsidRDefault="006D45F3" w:rsidP="006D45F3">
            <w:pPr>
              <w:jc w:val="center"/>
              <w:rPr>
                <w:rFonts w:ascii="Arial" w:hAnsi="Arial" w:cs="Arial"/>
                <w:szCs w:val="20"/>
              </w:rPr>
            </w:pPr>
            <w:r w:rsidRPr="0001788E">
              <w:rPr>
                <w:rFonts w:ascii="Arial" w:hAnsi="Arial" w:cs="Arial"/>
                <w:szCs w:val="20"/>
              </w:rPr>
              <w:t>32826</w:t>
            </w:r>
          </w:p>
        </w:tc>
        <w:tc>
          <w:tcPr>
            <w:tcW w:w="874" w:type="pct"/>
          </w:tcPr>
          <w:p w14:paraId="211B48E7" w14:textId="77777777" w:rsidR="006D45F3" w:rsidRPr="0001788E" w:rsidRDefault="006D45F3" w:rsidP="006D45F3">
            <w:pPr>
              <w:jc w:val="center"/>
              <w:rPr>
                <w:rFonts w:ascii="Arial" w:hAnsi="Arial" w:cs="Arial"/>
                <w:szCs w:val="20"/>
              </w:rPr>
            </w:pPr>
            <w:r w:rsidRPr="0001788E">
              <w:rPr>
                <w:rFonts w:ascii="Arial" w:hAnsi="Arial" w:cs="Arial"/>
                <w:szCs w:val="20"/>
              </w:rPr>
              <w:t>0.99 (0.79-1.23)</w:t>
            </w:r>
          </w:p>
        </w:tc>
        <w:tc>
          <w:tcPr>
            <w:tcW w:w="679" w:type="pct"/>
          </w:tcPr>
          <w:p w14:paraId="2EC88575" w14:textId="77777777" w:rsidR="006D45F3" w:rsidRPr="0001788E" w:rsidRDefault="006D45F3" w:rsidP="006D45F3">
            <w:pPr>
              <w:jc w:val="center"/>
              <w:rPr>
                <w:rFonts w:ascii="Arial" w:hAnsi="Arial" w:cs="Arial"/>
                <w:szCs w:val="20"/>
              </w:rPr>
            </w:pPr>
            <w:r w:rsidRPr="0001788E">
              <w:rPr>
                <w:rFonts w:ascii="Arial" w:hAnsi="Arial" w:cs="Arial"/>
                <w:szCs w:val="20"/>
              </w:rPr>
              <w:t>1.00 (0.79-1.27)</w:t>
            </w:r>
          </w:p>
        </w:tc>
        <w:tc>
          <w:tcPr>
            <w:tcW w:w="346" w:type="pct"/>
          </w:tcPr>
          <w:p w14:paraId="5DB4B48A" w14:textId="77777777" w:rsidR="006D45F3" w:rsidRPr="0001788E" w:rsidRDefault="006D45F3" w:rsidP="006D45F3">
            <w:pPr>
              <w:jc w:val="center"/>
              <w:rPr>
                <w:rFonts w:ascii="Arial" w:hAnsi="Arial" w:cs="Arial"/>
                <w:szCs w:val="20"/>
              </w:rPr>
            </w:pPr>
            <w:r w:rsidRPr="0001788E">
              <w:rPr>
                <w:rFonts w:ascii="Arial" w:hAnsi="Arial" w:cs="Arial"/>
                <w:szCs w:val="20"/>
              </w:rPr>
              <w:t>0.992</w:t>
            </w:r>
          </w:p>
        </w:tc>
      </w:tr>
      <w:tr w:rsidR="006D45F3" w:rsidRPr="0001788E" w14:paraId="7D1E7FA2" w14:textId="77777777" w:rsidTr="006D45F3">
        <w:trPr>
          <w:trHeight w:val="237"/>
        </w:trPr>
        <w:tc>
          <w:tcPr>
            <w:tcW w:w="5000" w:type="pct"/>
            <w:gridSpan w:val="7"/>
            <w:vAlign w:val="center"/>
          </w:tcPr>
          <w:p w14:paraId="3C2BF338" w14:textId="605547C6" w:rsidR="006D45F3" w:rsidRPr="0001788E" w:rsidRDefault="0025665E" w:rsidP="006D45F3">
            <w:pPr>
              <w:jc w:val="center"/>
              <w:rPr>
                <w:rFonts w:ascii="Arial" w:hAnsi="Arial" w:cs="Arial"/>
                <w:b/>
                <w:bCs/>
                <w:szCs w:val="20"/>
              </w:rPr>
            </w:pPr>
            <w:r>
              <w:rPr>
                <w:rFonts w:ascii="Arial" w:hAnsi="Arial" w:cs="Arial"/>
                <w:b/>
                <w:bCs/>
                <w:szCs w:val="20"/>
              </w:rPr>
              <w:t>COVID</w:t>
            </w:r>
            <w:r w:rsidR="006D45F3" w:rsidRPr="0001788E">
              <w:rPr>
                <w:rFonts w:ascii="Arial" w:hAnsi="Arial" w:cs="Arial"/>
                <w:b/>
                <w:bCs/>
                <w:szCs w:val="20"/>
              </w:rPr>
              <w:t xml:space="preserve">-19 infection prior to </w:t>
            </w:r>
            <w:r w:rsidR="006D45F3">
              <w:rPr>
                <w:rFonts w:ascii="Arial" w:hAnsi="Arial" w:cs="Arial"/>
                <w:b/>
                <w:bCs/>
                <w:szCs w:val="20"/>
              </w:rPr>
              <w:t>first</w:t>
            </w:r>
            <w:r w:rsidR="006D45F3" w:rsidRPr="0001788E">
              <w:rPr>
                <w:rFonts w:ascii="Arial" w:hAnsi="Arial" w:cs="Arial"/>
                <w:b/>
                <w:bCs/>
                <w:szCs w:val="20"/>
              </w:rPr>
              <w:t xml:space="preserve"> vaccination</w:t>
            </w:r>
            <w:r w:rsidR="006D45F3" w:rsidRPr="0001788E">
              <w:rPr>
                <w:rFonts w:ascii="Arial" w:hAnsi="Arial" w:cs="Arial"/>
                <w:b/>
                <w:bCs/>
                <w:szCs w:val="20"/>
                <w:vertAlign w:val="superscript"/>
              </w:rPr>
              <w:t>†</w:t>
            </w:r>
          </w:p>
        </w:tc>
      </w:tr>
      <w:tr w:rsidR="006D45F3" w:rsidRPr="0001788E" w14:paraId="5218C1F1" w14:textId="77777777" w:rsidTr="006D45F3">
        <w:trPr>
          <w:trHeight w:val="237"/>
        </w:trPr>
        <w:tc>
          <w:tcPr>
            <w:tcW w:w="968" w:type="pct"/>
            <w:vMerge w:val="restart"/>
            <w:vAlign w:val="center"/>
          </w:tcPr>
          <w:p w14:paraId="16137752" w14:textId="77777777" w:rsidR="006D45F3" w:rsidRPr="0001788E" w:rsidRDefault="006D45F3" w:rsidP="006D45F3">
            <w:pPr>
              <w:rPr>
                <w:rFonts w:ascii="Arial" w:hAnsi="Arial" w:cs="Arial"/>
                <w:szCs w:val="20"/>
              </w:rPr>
            </w:pPr>
            <w:r w:rsidRPr="0001788E">
              <w:rPr>
                <w:rFonts w:ascii="Arial" w:hAnsi="Arial" w:cs="Arial"/>
                <w:szCs w:val="20"/>
              </w:rPr>
              <w:t xml:space="preserve">No </w:t>
            </w:r>
          </w:p>
        </w:tc>
        <w:tc>
          <w:tcPr>
            <w:tcW w:w="1067" w:type="pct"/>
          </w:tcPr>
          <w:p w14:paraId="03D535DF" w14:textId="42AF6227" w:rsidR="006D45F3" w:rsidRPr="0001788E" w:rsidRDefault="00D52282" w:rsidP="006D45F3">
            <w:pPr>
              <w:rPr>
                <w:rFonts w:ascii="Arial" w:hAnsi="Arial" w:cs="Arial"/>
                <w:szCs w:val="20"/>
              </w:rPr>
            </w:pPr>
            <w:r>
              <w:rPr>
                <w:rFonts w:ascii="Arial" w:hAnsi="Arial" w:cs="Arial"/>
                <w:szCs w:val="20"/>
              </w:rPr>
              <w:t>Vaccine unexposed b</w:t>
            </w:r>
            <w:r w:rsidR="006D45F3" w:rsidRPr="0001788E">
              <w:rPr>
                <w:rFonts w:ascii="Arial" w:hAnsi="Arial" w:cs="Arial"/>
                <w:szCs w:val="20"/>
              </w:rPr>
              <w:t xml:space="preserve">aseline </w:t>
            </w:r>
          </w:p>
        </w:tc>
        <w:tc>
          <w:tcPr>
            <w:tcW w:w="437" w:type="pct"/>
          </w:tcPr>
          <w:p w14:paraId="25805E84" w14:textId="77777777" w:rsidR="006D45F3" w:rsidRPr="0001788E" w:rsidRDefault="006D45F3" w:rsidP="006D45F3">
            <w:pPr>
              <w:jc w:val="center"/>
              <w:rPr>
                <w:rFonts w:ascii="Arial" w:hAnsi="Arial" w:cs="Arial"/>
                <w:szCs w:val="20"/>
              </w:rPr>
            </w:pPr>
            <w:r w:rsidRPr="0001788E">
              <w:rPr>
                <w:rFonts w:ascii="Arial" w:hAnsi="Arial" w:cs="Arial"/>
                <w:szCs w:val="20"/>
              </w:rPr>
              <w:t>1522</w:t>
            </w:r>
          </w:p>
        </w:tc>
        <w:tc>
          <w:tcPr>
            <w:tcW w:w="629" w:type="pct"/>
          </w:tcPr>
          <w:p w14:paraId="48B6B1C3" w14:textId="77777777" w:rsidR="006D45F3" w:rsidRPr="0001788E" w:rsidRDefault="006D45F3" w:rsidP="006D45F3">
            <w:pPr>
              <w:jc w:val="center"/>
              <w:rPr>
                <w:rFonts w:ascii="Arial" w:hAnsi="Arial" w:cs="Arial"/>
                <w:szCs w:val="20"/>
              </w:rPr>
            </w:pPr>
            <w:r w:rsidRPr="0001788E">
              <w:rPr>
                <w:rFonts w:ascii="Arial" w:hAnsi="Arial" w:cs="Arial"/>
                <w:szCs w:val="20"/>
              </w:rPr>
              <w:t>558607</w:t>
            </w:r>
          </w:p>
        </w:tc>
        <w:tc>
          <w:tcPr>
            <w:tcW w:w="874" w:type="pct"/>
          </w:tcPr>
          <w:p w14:paraId="23CE6E71" w14:textId="77777777" w:rsidR="006D45F3" w:rsidRPr="0001788E" w:rsidRDefault="006D45F3" w:rsidP="006D45F3">
            <w:pPr>
              <w:jc w:val="center"/>
              <w:rPr>
                <w:rFonts w:ascii="Arial" w:hAnsi="Arial" w:cs="Arial"/>
                <w:szCs w:val="20"/>
              </w:rPr>
            </w:pPr>
            <w:r w:rsidRPr="0001788E">
              <w:rPr>
                <w:rFonts w:ascii="Arial" w:hAnsi="Arial" w:cs="Arial"/>
                <w:szCs w:val="20"/>
              </w:rPr>
              <w:t>1</w:t>
            </w:r>
          </w:p>
        </w:tc>
        <w:tc>
          <w:tcPr>
            <w:tcW w:w="679" w:type="pct"/>
          </w:tcPr>
          <w:p w14:paraId="416FAE68" w14:textId="77777777" w:rsidR="006D45F3" w:rsidRPr="0001788E" w:rsidRDefault="006D45F3" w:rsidP="006D45F3">
            <w:pPr>
              <w:jc w:val="center"/>
              <w:rPr>
                <w:rFonts w:ascii="Arial" w:hAnsi="Arial" w:cs="Arial"/>
                <w:szCs w:val="20"/>
              </w:rPr>
            </w:pPr>
            <w:r w:rsidRPr="0001788E">
              <w:rPr>
                <w:rFonts w:ascii="Arial" w:hAnsi="Arial" w:cs="Arial"/>
                <w:szCs w:val="20"/>
              </w:rPr>
              <w:t>1</w:t>
            </w:r>
          </w:p>
        </w:tc>
        <w:tc>
          <w:tcPr>
            <w:tcW w:w="346" w:type="pct"/>
          </w:tcPr>
          <w:p w14:paraId="74829EF3" w14:textId="77777777" w:rsidR="006D45F3" w:rsidRPr="0001788E" w:rsidRDefault="006D45F3" w:rsidP="006D45F3">
            <w:pPr>
              <w:jc w:val="center"/>
              <w:rPr>
                <w:rFonts w:ascii="Arial" w:hAnsi="Arial" w:cs="Arial"/>
                <w:szCs w:val="20"/>
              </w:rPr>
            </w:pPr>
            <w:r w:rsidRPr="0001788E">
              <w:rPr>
                <w:rFonts w:ascii="Arial" w:hAnsi="Arial" w:cs="Arial"/>
                <w:szCs w:val="20"/>
              </w:rPr>
              <w:t xml:space="preserve">-/- </w:t>
            </w:r>
          </w:p>
        </w:tc>
      </w:tr>
      <w:tr w:rsidR="006D45F3" w:rsidRPr="0001788E" w14:paraId="1727DD14" w14:textId="77777777" w:rsidTr="006D45F3">
        <w:trPr>
          <w:trHeight w:val="253"/>
        </w:trPr>
        <w:tc>
          <w:tcPr>
            <w:tcW w:w="968" w:type="pct"/>
            <w:vMerge/>
            <w:vAlign w:val="center"/>
          </w:tcPr>
          <w:p w14:paraId="1AD52986" w14:textId="77777777" w:rsidR="006D45F3" w:rsidRPr="0001788E" w:rsidRDefault="006D45F3" w:rsidP="006D45F3">
            <w:pPr>
              <w:rPr>
                <w:rFonts w:ascii="Arial" w:hAnsi="Arial" w:cs="Arial"/>
                <w:szCs w:val="20"/>
              </w:rPr>
            </w:pPr>
          </w:p>
        </w:tc>
        <w:tc>
          <w:tcPr>
            <w:tcW w:w="1067" w:type="pct"/>
          </w:tcPr>
          <w:p w14:paraId="7EA6AD87" w14:textId="5D55493C" w:rsidR="006D45F3" w:rsidRPr="0001788E" w:rsidRDefault="00D52282" w:rsidP="006D45F3">
            <w:pPr>
              <w:rPr>
                <w:rFonts w:ascii="Arial" w:hAnsi="Arial" w:cs="Arial"/>
                <w:szCs w:val="20"/>
              </w:rPr>
            </w:pPr>
            <w:r>
              <w:rPr>
                <w:rFonts w:ascii="Arial" w:hAnsi="Arial" w:cs="Arial"/>
                <w:szCs w:val="20"/>
              </w:rPr>
              <w:t>P</w:t>
            </w:r>
            <w:r w:rsidR="006D45F3" w:rsidRPr="0001788E">
              <w:rPr>
                <w:rFonts w:ascii="Arial" w:hAnsi="Arial" w:cs="Arial"/>
                <w:szCs w:val="20"/>
              </w:rPr>
              <w:t>re-vaccination</w:t>
            </w:r>
          </w:p>
        </w:tc>
        <w:tc>
          <w:tcPr>
            <w:tcW w:w="437" w:type="pct"/>
          </w:tcPr>
          <w:p w14:paraId="5B5C088E" w14:textId="77777777" w:rsidR="006D45F3" w:rsidRPr="0001788E" w:rsidRDefault="006D45F3" w:rsidP="006D45F3">
            <w:pPr>
              <w:jc w:val="center"/>
              <w:rPr>
                <w:rFonts w:ascii="Arial" w:hAnsi="Arial" w:cs="Arial"/>
                <w:szCs w:val="20"/>
              </w:rPr>
            </w:pPr>
            <w:r w:rsidRPr="0001788E">
              <w:rPr>
                <w:rFonts w:ascii="Arial" w:hAnsi="Arial" w:cs="Arial"/>
                <w:szCs w:val="20"/>
              </w:rPr>
              <w:t>90</w:t>
            </w:r>
          </w:p>
        </w:tc>
        <w:tc>
          <w:tcPr>
            <w:tcW w:w="629" w:type="pct"/>
          </w:tcPr>
          <w:p w14:paraId="74C11ACE" w14:textId="77777777" w:rsidR="006D45F3" w:rsidRPr="0001788E" w:rsidRDefault="006D45F3" w:rsidP="006D45F3">
            <w:pPr>
              <w:jc w:val="center"/>
              <w:rPr>
                <w:rFonts w:ascii="Arial" w:hAnsi="Arial" w:cs="Arial"/>
                <w:szCs w:val="20"/>
              </w:rPr>
            </w:pPr>
            <w:r w:rsidRPr="0001788E">
              <w:rPr>
                <w:rFonts w:ascii="Arial" w:hAnsi="Arial" w:cs="Arial"/>
                <w:szCs w:val="20"/>
              </w:rPr>
              <w:t>32389</w:t>
            </w:r>
          </w:p>
        </w:tc>
        <w:tc>
          <w:tcPr>
            <w:tcW w:w="874" w:type="pct"/>
          </w:tcPr>
          <w:p w14:paraId="2F2E4E44" w14:textId="77777777" w:rsidR="006D45F3" w:rsidRPr="0001788E" w:rsidRDefault="006D45F3" w:rsidP="006D45F3">
            <w:pPr>
              <w:jc w:val="center"/>
              <w:rPr>
                <w:rFonts w:ascii="Arial" w:hAnsi="Arial" w:cs="Arial"/>
                <w:szCs w:val="20"/>
              </w:rPr>
            </w:pPr>
            <w:r w:rsidRPr="0001788E">
              <w:rPr>
                <w:rFonts w:ascii="Arial" w:hAnsi="Arial" w:cs="Arial"/>
                <w:szCs w:val="20"/>
              </w:rPr>
              <w:t>1.02 (0.82-1.26)</w:t>
            </w:r>
          </w:p>
        </w:tc>
        <w:tc>
          <w:tcPr>
            <w:tcW w:w="679" w:type="pct"/>
          </w:tcPr>
          <w:p w14:paraId="1E7D633E" w14:textId="77777777" w:rsidR="006D45F3" w:rsidRPr="0001788E" w:rsidRDefault="006D45F3" w:rsidP="006D45F3">
            <w:pPr>
              <w:jc w:val="center"/>
              <w:rPr>
                <w:rFonts w:ascii="Arial" w:hAnsi="Arial" w:cs="Arial"/>
                <w:szCs w:val="20"/>
              </w:rPr>
            </w:pPr>
            <w:r w:rsidRPr="0001788E">
              <w:rPr>
                <w:rFonts w:ascii="Arial" w:hAnsi="Arial" w:cs="Arial"/>
                <w:szCs w:val="20"/>
              </w:rPr>
              <w:t>0.98 (0.79-1.22</w:t>
            </w:r>
          </w:p>
        </w:tc>
        <w:tc>
          <w:tcPr>
            <w:tcW w:w="346" w:type="pct"/>
          </w:tcPr>
          <w:p w14:paraId="4B550183" w14:textId="77777777" w:rsidR="006D45F3" w:rsidRPr="0001788E" w:rsidRDefault="006D45F3" w:rsidP="006D45F3">
            <w:pPr>
              <w:jc w:val="center"/>
              <w:rPr>
                <w:rFonts w:ascii="Arial" w:hAnsi="Arial" w:cs="Arial"/>
                <w:szCs w:val="20"/>
              </w:rPr>
            </w:pPr>
            <w:r w:rsidRPr="0001788E">
              <w:rPr>
                <w:rFonts w:ascii="Arial" w:hAnsi="Arial" w:cs="Arial"/>
                <w:szCs w:val="20"/>
              </w:rPr>
              <w:t>0.872</w:t>
            </w:r>
          </w:p>
        </w:tc>
      </w:tr>
      <w:tr w:rsidR="006D45F3" w:rsidRPr="0001788E" w14:paraId="5BDA9BF9" w14:textId="77777777" w:rsidTr="006D45F3">
        <w:trPr>
          <w:trHeight w:val="253"/>
        </w:trPr>
        <w:tc>
          <w:tcPr>
            <w:tcW w:w="968" w:type="pct"/>
            <w:vMerge/>
            <w:vAlign w:val="center"/>
          </w:tcPr>
          <w:p w14:paraId="6F58FD9D" w14:textId="77777777" w:rsidR="006D45F3" w:rsidRPr="0001788E" w:rsidRDefault="006D45F3" w:rsidP="006D45F3">
            <w:pPr>
              <w:rPr>
                <w:rFonts w:ascii="Arial" w:hAnsi="Arial" w:cs="Arial"/>
                <w:szCs w:val="20"/>
              </w:rPr>
            </w:pPr>
          </w:p>
        </w:tc>
        <w:tc>
          <w:tcPr>
            <w:tcW w:w="1067" w:type="pct"/>
          </w:tcPr>
          <w:p w14:paraId="44065676" w14:textId="0FD7B024" w:rsidR="006D45F3" w:rsidRPr="0001788E" w:rsidRDefault="00D52282" w:rsidP="006D45F3">
            <w:pPr>
              <w:rPr>
                <w:rFonts w:ascii="Arial" w:hAnsi="Arial" w:cs="Arial"/>
                <w:szCs w:val="20"/>
              </w:rPr>
            </w:pPr>
            <w:r>
              <w:rPr>
                <w:rFonts w:ascii="Arial" w:hAnsi="Arial" w:cs="Arial"/>
                <w:szCs w:val="20"/>
              </w:rPr>
              <w:t>V</w:t>
            </w:r>
            <w:r w:rsidR="006D45F3" w:rsidRPr="0001788E">
              <w:rPr>
                <w:rFonts w:ascii="Arial" w:hAnsi="Arial" w:cs="Arial"/>
                <w:szCs w:val="20"/>
              </w:rPr>
              <w:t>acci</w:t>
            </w:r>
            <w:r>
              <w:rPr>
                <w:rFonts w:ascii="Arial" w:hAnsi="Arial" w:cs="Arial"/>
                <w:szCs w:val="20"/>
              </w:rPr>
              <w:t>ne exposed</w:t>
            </w:r>
          </w:p>
        </w:tc>
        <w:tc>
          <w:tcPr>
            <w:tcW w:w="437" w:type="pct"/>
          </w:tcPr>
          <w:p w14:paraId="422FD265" w14:textId="77777777" w:rsidR="006D45F3" w:rsidRPr="0001788E" w:rsidRDefault="006D45F3" w:rsidP="006D45F3">
            <w:pPr>
              <w:jc w:val="center"/>
              <w:rPr>
                <w:rFonts w:ascii="Arial" w:hAnsi="Arial" w:cs="Arial"/>
                <w:szCs w:val="20"/>
              </w:rPr>
            </w:pPr>
            <w:r w:rsidRPr="0001788E">
              <w:rPr>
                <w:rFonts w:ascii="Arial" w:hAnsi="Arial" w:cs="Arial"/>
                <w:szCs w:val="20"/>
              </w:rPr>
              <w:t>250</w:t>
            </w:r>
          </w:p>
        </w:tc>
        <w:tc>
          <w:tcPr>
            <w:tcW w:w="629" w:type="pct"/>
          </w:tcPr>
          <w:p w14:paraId="3FA74B40" w14:textId="77777777" w:rsidR="006D45F3" w:rsidRPr="0001788E" w:rsidRDefault="006D45F3" w:rsidP="006D45F3">
            <w:pPr>
              <w:jc w:val="center"/>
              <w:rPr>
                <w:rFonts w:ascii="Arial" w:hAnsi="Arial" w:cs="Arial"/>
                <w:szCs w:val="20"/>
              </w:rPr>
            </w:pPr>
            <w:r w:rsidRPr="0001788E">
              <w:rPr>
                <w:rFonts w:ascii="Arial" w:hAnsi="Arial" w:cs="Arial"/>
                <w:szCs w:val="20"/>
              </w:rPr>
              <w:t>94533</w:t>
            </w:r>
          </w:p>
        </w:tc>
        <w:tc>
          <w:tcPr>
            <w:tcW w:w="874" w:type="pct"/>
          </w:tcPr>
          <w:p w14:paraId="0FFEB8EF" w14:textId="77777777" w:rsidR="006D45F3" w:rsidRPr="0001788E" w:rsidRDefault="006D45F3" w:rsidP="006D45F3">
            <w:pPr>
              <w:jc w:val="center"/>
              <w:rPr>
                <w:rFonts w:ascii="Arial" w:hAnsi="Arial" w:cs="Arial"/>
                <w:szCs w:val="20"/>
              </w:rPr>
            </w:pPr>
            <w:r w:rsidRPr="0001788E">
              <w:rPr>
                <w:rFonts w:ascii="Arial" w:hAnsi="Arial" w:cs="Arial"/>
                <w:szCs w:val="20"/>
              </w:rPr>
              <w:t>0.97 (0.85-1.11)</w:t>
            </w:r>
          </w:p>
        </w:tc>
        <w:tc>
          <w:tcPr>
            <w:tcW w:w="679" w:type="pct"/>
          </w:tcPr>
          <w:p w14:paraId="3A0964C4" w14:textId="77777777" w:rsidR="006D45F3" w:rsidRPr="0001788E" w:rsidRDefault="006D45F3" w:rsidP="006D45F3">
            <w:pPr>
              <w:jc w:val="center"/>
              <w:rPr>
                <w:rFonts w:ascii="Arial" w:hAnsi="Arial" w:cs="Arial"/>
                <w:szCs w:val="20"/>
              </w:rPr>
            </w:pPr>
            <w:r w:rsidRPr="0001788E">
              <w:rPr>
                <w:rFonts w:ascii="Arial" w:hAnsi="Arial" w:cs="Arial"/>
                <w:szCs w:val="20"/>
              </w:rPr>
              <w:t>0.93 (0.80-1.07)</w:t>
            </w:r>
          </w:p>
        </w:tc>
        <w:tc>
          <w:tcPr>
            <w:tcW w:w="346" w:type="pct"/>
          </w:tcPr>
          <w:p w14:paraId="156B9909" w14:textId="77777777" w:rsidR="006D45F3" w:rsidRPr="0001788E" w:rsidRDefault="006D45F3" w:rsidP="006D45F3">
            <w:pPr>
              <w:jc w:val="center"/>
              <w:rPr>
                <w:rFonts w:ascii="Arial" w:hAnsi="Arial" w:cs="Arial"/>
                <w:szCs w:val="20"/>
              </w:rPr>
            </w:pPr>
            <w:r w:rsidRPr="0001788E">
              <w:rPr>
                <w:rFonts w:ascii="Arial" w:hAnsi="Arial" w:cs="Arial"/>
                <w:szCs w:val="20"/>
              </w:rPr>
              <w:t>0.291</w:t>
            </w:r>
          </w:p>
        </w:tc>
      </w:tr>
      <w:tr w:rsidR="006D45F3" w:rsidRPr="0001788E" w14:paraId="33798730" w14:textId="77777777" w:rsidTr="006D45F3">
        <w:trPr>
          <w:trHeight w:val="237"/>
        </w:trPr>
        <w:tc>
          <w:tcPr>
            <w:tcW w:w="968" w:type="pct"/>
            <w:vMerge w:val="restart"/>
            <w:vAlign w:val="center"/>
          </w:tcPr>
          <w:p w14:paraId="6C9E9804" w14:textId="77777777" w:rsidR="006D45F3" w:rsidRPr="0001788E" w:rsidRDefault="006D45F3" w:rsidP="006D45F3">
            <w:pPr>
              <w:rPr>
                <w:rFonts w:ascii="Arial" w:hAnsi="Arial" w:cs="Arial"/>
                <w:szCs w:val="20"/>
              </w:rPr>
            </w:pPr>
            <w:r w:rsidRPr="0001788E">
              <w:rPr>
                <w:rFonts w:ascii="Arial" w:hAnsi="Arial" w:cs="Arial"/>
                <w:szCs w:val="20"/>
              </w:rPr>
              <w:t xml:space="preserve">Yes </w:t>
            </w:r>
          </w:p>
        </w:tc>
        <w:tc>
          <w:tcPr>
            <w:tcW w:w="1067" w:type="pct"/>
          </w:tcPr>
          <w:p w14:paraId="1B3AB543" w14:textId="608D09AD" w:rsidR="006D45F3" w:rsidRPr="0001788E" w:rsidRDefault="00D52282" w:rsidP="006D45F3">
            <w:pPr>
              <w:rPr>
                <w:rFonts w:ascii="Arial" w:hAnsi="Arial" w:cs="Arial"/>
                <w:szCs w:val="20"/>
              </w:rPr>
            </w:pPr>
            <w:r>
              <w:rPr>
                <w:rFonts w:ascii="Arial" w:hAnsi="Arial" w:cs="Arial"/>
                <w:szCs w:val="20"/>
              </w:rPr>
              <w:t>Vaccine unexposed b</w:t>
            </w:r>
            <w:r w:rsidR="006D45F3" w:rsidRPr="0001788E">
              <w:rPr>
                <w:rFonts w:ascii="Arial" w:hAnsi="Arial" w:cs="Arial"/>
                <w:szCs w:val="20"/>
              </w:rPr>
              <w:t xml:space="preserve">aseline </w:t>
            </w:r>
          </w:p>
        </w:tc>
        <w:tc>
          <w:tcPr>
            <w:tcW w:w="437" w:type="pct"/>
          </w:tcPr>
          <w:p w14:paraId="36487CB8" w14:textId="77777777" w:rsidR="006D45F3" w:rsidRPr="0001788E" w:rsidRDefault="006D45F3" w:rsidP="006D45F3">
            <w:pPr>
              <w:jc w:val="center"/>
              <w:rPr>
                <w:rFonts w:ascii="Arial" w:hAnsi="Arial" w:cs="Arial"/>
                <w:szCs w:val="20"/>
              </w:rPr>
            </w:pPr>
            <w:r w:rsidRPr="0001788E">
              <w:rPr>
                <w:rFonts w:ascii="Arial" w:hAnsi="Arial" w:cs="Arial"/>
                <w:szCs w:val="20"/>
              </w:rPr>
              <w:t>179</w:t>
            </w:r>
          </w:p>
        </w:tc>
        <w:tc>
          <w:tcPr>
            <w:tcW w:w="629" w:type="pct"/>
          </w:tcPr>
          <w:p w14:paraId="15E56D39" w14:textId="77777777" w:rsidR="006D45F3" w:rsidRPr="0001788E" w:rsidRDefault="006D45F3" w:rsidP="006D45F3">
            <w:pPr>
              <w:jc w:val="center"/>
              <w:rPr>
                <w:rFonts w:ascii="Arial" w:hAnsi="Arial" w:cs="Arial"/>
                <w:szCs w:val="20"/>
              </w:rPr>
            </w:pPr>
            <w:r w:rsidRPr="0001788E">
              <w:rPr>
                <w:rFonts w:ascii="Arial" w:hAnsi="Arial" w:cs="Arial"/>
                <w:szCs w:val="20"/>
              </w:rPr>
              <w:t>63019</w:t>
            </w:r>
          </w:p>
        </w:tc>
        <w:tc>
          <w:tcPr>
            <w:tcW w:w="874" w:type="pct"/>
          </w:tcPr>
          <w:p w14:paraId="1D9BD709" w14:textId="77777777" w:rsidR="006D45F3" w:rsidRPr="0001788E" w:rsidRDefault="006D45F3" w:rsidP="006D45F3">
            <w:pPr>
              <w:jc w:val="center"/>
              <w:rPr>
                <w:rFonts w:ascii="Arial" w:hAnsi="Arial" w:cs="Arial"/>
                <w:szCs w:val="20"/>
              </w:rPr>
            </w:pPr>
            <w:r w:rsidRPr="0001788E">
              <w:rPr>
                <w:rFonts w:ascii="Arial" w:hAnsi="Arial" w:cs="Arial"/>
                <w:szCs w:val="20"/>
              </w:rPr>
              <w:t>1</w:t>
            </w:r>
          </w:p>
        </w:tc>
        <w:tc>
          <w:tcPr>
            <w:tcW w:w="679" w:type="pct"/>
          </w:tcPr>
          <w:p w14:paraId="7E953800" w14:textId="77777777" w:rsidR="006D45F3" w:rsidRPr="0001788E" w:rsidRDefault="006D45F3" w:rsidP="006D45F3">
            <w:pPr>
              <w:jc w:val="center"/>
              <w:rPr>
                <w:rFonts w:ascii="Arial" w:hAnsi="Arial" w:cs="Arial"/>
                <w:szCs w:val="20"/>
              </w:rPr>
            </w:pPr>
            <w:r w:rsidRPr="0001788E">
              <w:rPr>
                <w:rFonts w:ascii="Arial" w:hAnsi="Arial" w:cs="Arial"/>
                <w:szCs w:val="20"/>
              </w:rPr>
              <w:t>1</w:t>
            </w:r>
          </w:p>
        </w:tc>
        <w:tc>
          <w:tcPr>
            <w:tcW w:w="346" w:type="pct"/>
          </w:tcPr>
          <w:p w14:paraId="3D925FFF" w14:textId="77777777" w:rsidR="006D45F3" w:rsidRPr="0001788E" w:rsidRDefault="006D45F3" w:rsidP="006D45F3">
            <w:pPr>
              <w:jc w:val="center"/>
              <w:rPr>
                <w:rFonts w:ascii="Arial" w:hAnsi="Arial" w:cs="Arial"/>
                <w:szCs w:val="20"/>
              </w:rPr>
            </w:pPr>
            <w:r w:rsidRPr="0001788E">
              <w:rPr>
                <w:rFonts w:ascii="Arial" w:hAnsi="Arial" w:cs="Arial"/>
                <w:szCs w:val="20"/>
              </w:rPr>
              <w:t>-/-</w:t>
            </w:r>
          </w:p>
        </w:tc>
      </w:tr>
      <w:tr w:rsidR="006D45F3" w:rsidRPr="0001788E" w14:paraId="4368F78D" w14:textId="77777777" w:rsidTr="006D45F3">
        <w:trPr>
          <w:trHeight w:val="253"/>
        </w:trPr>
        <w:tc>
          <w:tcPr>
            <w:tcW w:w="968" w:type="pct"/>
            <w:vMerge/>
            <w:vAlign w:val="center"/>
          </w:tcPr>
          <w:p w14:paraId="58441633" w14:textId="77777777" w:rsidR="006D45F3" w:rsidRPr="0001788E" w:rsidRDefault="006D45F3" w:rsidP="006D45F3">
            <w:pPr>
              <w:rPr>
                <w:rFonts w:ascii="Arial" w:hAnsi="Arial" w:cs="Arial"/>
                <w:szCs w:val="20"/>
              </w:rPr>
            </w:pPr>
          </w:p>
        </w:tc>
        <w:tc>
          <w:tcPr>
            <w:tcW w:w="1067" w:type="pct"/>
          </w:tcPr>
          <w:p w14:paraId="47149398" w14:textId="1DB91F52" w:rsidR="006D45F3" w:rsidRPr="0001788E" w:rsidRDefault="006D45F3" w:rsidP="006D45F3">
            <w:pPr>
              <w:rPr>
                <w:rFonts w:ascii="Arial" w:hAnsi="Arial" w:cs="Arial"/>
                <w:szCs w:val="20"/>
              </w:rPr>
            </w:pPr>
            <w:r w:rsidRPr="0001788E">
              <w:rPr>
                <w:rFonts w:ascii="Arial" w:hAnsi="Arial" w:cs="Arial"/>
                <w:szCs w:val="20"/>
              </w:rPr>
              <w:t xml:space="preserve"> </w:t>
            </w:r>
            <w:r w:rsidR="00D52282">
              <w:rPr>
                <w:rFonts w:ascii="Arial" w:hAnsi="Arial" w:cs="Arial"/>
                <w:szCs w:val="20"/>
              </w:rPr>
              <w:t>P</w:t>
            </w:r>
            <w:r w:rsidRPr="0001788E">
              <w:rPr>
                <w:rFonts w:ascii="Arial" w:hAnsi="Arial" w:cs="Arial"/>
                <w:szCs w:val="20"/>
              </w:rPr>
              <w:t>re-vaccination</w:t>
            </w:r>
          </w:p>
        </w:tc>
        <w:tc>
          <w:tcPr>
            <w:tcW w:w="437" w:type="pct"/>
          </w:tcPr>
          <w:p w14:paraId="7B6F0BBA" w14:textId="77777777" w:rsidR="006D45F3" w:rsidRPr="0001788E" w:rsidRDefault="006D45F3" w:rsidP="006D45F3">
            <w:pPr>
              <w:jc w:val="center"/>
              <w:rPr>
                <w:rFonts w:ascii="Arial" w:hAnsi="Arial" w:cs="Arial"/>
                <w:szCs w:val="20"/>
              </w:rPr>
            </w:pPr>
            <w:r w:rsidRPr="0001788E">
              <w:rPr>
                <w:rFonts w:ascii="Arial" w:hAnsi="Arial" w:cs="Arial"/>
                <w:szCs w:val="20"/>
              </w:rPr>
              <w:t>13</w:t>
            </w:r>
          </w:p>
        </w:tc>
        <w:tc>
          <w:tcPr>
            <w:tcW w:w="629" w:type="pct"/>
          </w:tcPr>
          <w:p w14:paraId="6E21D2C8" w14:textId="77777777" w:rsidR="006D45F3" w:rsidRPr="0001788E" w:rsidRDefault="006D45F3" w:rsidP="006D45F3">
            <w:pPr>
              <w:jc w:val="center"/>
              <w:rPr>
                <w:rFonts w:ascii="Arial" w:hAnsi="Arial" w:cs="Arial"/>
                <w:szCs w:val="20"/>
              </w:rPr>
            </w:pPr>
            <w:r w:rsidRPr="0001788E">
              <w:rPr>
                <w:rFonts w:ascii="Arial" w:hAnsi="Arial" w:cs="Arial"/>
                <w:szCs w:val="20"/>
              </w:rPr>
              <w:t>3794</w:t>
            </w:r>
          </w:p>
        </w:tc>
        <w:tc>
          <w:tcPr>
            <w:tcW w:w="874" w:type="pct"/>
          </w:tcPr>
          <w:p w14:paraId="22A0385F" w14:textId="77777777" w:rsidR="006D45F3" w:rsidRPr="0001788E" w:rsidRDefault="006D45F3" w:rsidP="006D45F3">
            <w:pPr>
              <w:jc w:val="center"/>
              <w:rPr>
                <w:rFonts w:ascii="Arial" w:hAnsi="Arial" w:cs="Arial"/>
                <w:szCs w:val="20"/>
              </w:rPr>
            </w:pPr>
            <w:r w:rsidRPr="0001788E">
              <w:rPr>
                <w:rFonts w:ascii="Arial" w:hAnsi="Arial" w:cs="Arial"/>
                <w:szCs w:val="20"/>
              </w:rPr>
              <w:t>1.20 (0.68-2.10)</w:t>
            </w:r>
          </w:p>
        </w:tc>
        <w:tc>
          <w:tcPr>
            <w:tcW w:w="679" w:type="pct"/>
          </w:tcPr>
          <w:p w14:paraId="779F55C5" w14:textId="77777777" w:rsidR="006D45F3" w:rsidRPr="0001788E" w:rsidRDefault="006D45F3" w:rsidP="006D45F3">
            <w:pPr>
              <w:jc w:val="center"/>
              <w:rPr>
                <w:rFonts w:ascii="Arial" w:hAnsi="Arial" w:cs="Arial"/>
                <w:szCs w:val="20"/>
              </w:rPr>
            </w:pPr>
            <w:r w:rsidRPr="0001788E">
              <w:rPr>
                <w:rFonts w:ascii="Arial" w:hAnsi="Arial" w:cs="Arial"/>
                <w:szCs w:val="20"/>
              </w:rPr>
              <w:t>1.17 (0.66-2.07)</w:t>
            </w:r>
          </w:p>
        </w:tc>
        <w:tc>
          <w:tcPr>
            <w:tcW w:w="346" w:type="pct"/>
          </w:tcPr>
          <w:p w14:paraId="36AA6EC9" w14:textId="77777777" w:rsidR="006D45F3" w:rsidRPr="0001788E" w:rsidRDefault="006D45F3" w:rsidP="006D45F3">
            <w:pPr>
              <w:jc w:val="center"/>
              <w:rPr>
                <w:rFonts w:ascii="Arial" w:hAnsi="Arial" w:cs="Arial"/>
                <w:szCs w:val="20"/>
              </w:rPr>
            </w:pPr>
            <w:r w:rsidRPr="0001788E">
              <w:rPr>
                <w:rFonts w:ascii="Arial" w:hAnsi="Arial" w:cs="Arial"/>
                <w:szCs w:val="20"/>
              </w:rPr>
              <w:t>0.593</w:t>
            </w:r>
          </w:p>
        </w:tc>
      </w:tr>
      <w:tr w:rsidR="006D45F3" w:rsidRPr="0001788E" w14:paraId="1526BD56" w14:textId="77777777" w:rsidTr="006D45F3">
        <w:trPr>
          <w:trHeight w:val="237"/>
        </w:trPr>
        <w:tc>
          <w:tcPr>
            <w:tcW w:w="968" w:type="pct"/>
            <w:vMerge/>
            <w:vAlign w:val="center"/>
          </w:tcPr>
          <w:p w14:paraId="2CEDB098" w14:textId="77777777" w:rsidR="006D45F3" w:rsidRPr="0001788E" w:rsidRDefault="006D45F3" w:rsidP="006D45F3">
            <w:pPr>
              <w:rPr>
                <w:rFonts w:ascii="Arial" w:hAnsi="Arial" w:cs="Arial"/>
                <w:szCs w:val="20"/>
              </w:rPr>
            </w:pPr>
          </w:p>
        </w:tc>
        <w:tc>
          <w:tcPr>
            <w:tcW w:w="1067" w:type="pct"/>
          </w:tcPr>
          <w:p w14:paraId="359C7EED" w14:textId="4E20096A" w:rsidR="006D45F3" w:rsidRPr="0001788E" w:rsidRDefault="00D52282" w:rsidP="006D45F3">
            <w:pPr>
              <w:rPr>
                <w:rFonts w:ascii="Arial" w:hAnsi="Arial" w:cs="Arial"/>
                <w:szCs w:val="20"/>
              </w:rPr>
            </w:pPr>
            <w:r>
              <w:rPr>
                <w:rFonts w:ascii="Arial" w:hAnsi="Arial" w:cs="Arial"/>
                <w:szCs w:val="20"/>
              </w:rPr>
              <w:t>V</w:t>
            </w:r>
            <w:r w:rsidR="006D45F3" w:rsidRPr="0001788E">
              <w:rPr>
                <w:rFonts w:ascii="Arial" w:hAnsi="Arial" w:cs="Arial"/>
                <w:szCs w:val="20"/>
              </w:rPr>
              <w:t>accin</w:t>
            </w:r>
            <w:r>
              <w:rPr>
                <w:rFonts w:ascii="Arial" w:hAnsi="Arial" w:cs="Arial"/>
                <w:szCs w:val="20"/>
              </w:rPr>
              <w:t>e exposed</w:t>
            </w:r>
          </w:p>
        </w:tc>
        <w:tc>
          <w:tcPr>
            <w:tcW w:w="437" w:type="pct"/>
          </w:tcPr>
          <w:p w14:paraId="4FBE1D6B" w14:textId="77777777" w:rsidR="006D45F3" w:rsidRPr="0001788E" w:rsidRDefault="006D45F3" w:rsidP="006D45F3">
            <w:pPr>
              <w:jc w:val="center"/>
              <w:rPr>
                <w:rFonts w:ascii="Arial" w:hAnsi="Arial" w:cs="Arial"/>
                <w:szCs w:val="20"/>
              </w:rPr>
            </w:pPr>
            <w:r w:rsidRPr="0001788E">
              <w:rPr>
                <w:rFonts w:ascii="Arial" w:hAnsi="Arial" w:cs="Arial"/>
                <w:szCs w:val="20"/>
              </w:rPr>
              <w:t>19</w:t>
            </w:r>
          </w:p>
        </w:tc>
        <w:tc>
          <w:tcPr>
            <w:tcW w:w="629" w:type="pct"/>
          </w:tcPr>
          <w:p w14:paraId="4B7B6B1C" w14:textId="77777777" w:rsidR="006D45F3" w:rsidRPr="0001788E" w:rsidRDefault="006D45F3" w:rsidP="006D45F3">
            <w:pPr>
              <w:jc w:val="center"/>
              <w:rPr>
                <w:rFonts w:ascii="Arial" w:hAnsi="Arial" w:cs="Arial"/>
                <w:szCs w:val="20"/>
              </w:rPr>
            </w:pPr>
            <w:r w:rsidRPr="0001788E">
              <w:rPr>
                <w:rFonts w:ascii="Arial" w:hAnsi="Arial" w:cs="Arial"/>
                <w:szCs w:val="20"/>
              </w:rPr>
              <w:t>10688</w:t>
            </w:r>
          </w:p>
        </w:tc>
        <w:tc>
          <w:tcPr>
            <w:tcW w:w="874" w:type="pct"/>
          </w:tcPr>
          <w:p w14:paraId="58C8F7D3" w14:textId="77777777" w:rsidR="006D45F3" w:rsidRPr="0001788E" w:rsidRDefault="006D45F3" w:rsidP="006D45F3">
            <w:pPr>
              <w:jc w:val="center"/>
              <w:rPr>
                <w:rFonts w:ascii="Arial" w:hAnsi="Arial" w:cs="Arial"/>
                <w:szCs w:val="20"/>
              </w:rPr>
            </w:pPr>
            <w:r w:rsidRPr="0001788E">
              <w:rPr>
                <w:rFonts w:ascii="Arial" w:hAnsi="Arial" w:cs="Arial"/>
                <w:szCs w:val="20"/>
              </w:rPr>
              <w:t>0.62 (0.36-1.00)</w:t>
            </w:r>
          </w:p>
        </w:tc>
        <w:tc>
          <w:tcPr>
            <w:tcW w:w="679" w:type="pct"/>
          </w:tcPr>
          <w:p w14:paraId="30D82DA6" w14:textId="77777777" w:rsidR="006D45F3" w:rsidRPr="0001788E" w:rsidRDefault="006D45F3" w:rsidP="006D45F3">
            <w:pPr>
              <w:jc w:val="center"/>
              <w:rPr>
                <w:rFonts w:ascii="Arial" w:hAnsi="Arial" w:cs="Arial"/>
                <w:szCs w:val="20"/>
              </w:rPr>
            </w:pPr>
            <w:r w:rsidRPr="0001788E">
              <w:rPr>
                <w:rFonts w:ascii="Arial" w:hAnsi="Arial" w:cs="Arial"/>
                <w:szCs w:val="20"/>
              </w:rPr>
              <w:t>0.58 (0.35-0.95)</w:t>
            </w:r>
          </w:p>
        </w:tc>
        <w:tc>
          <w:tcPr>
            <w:tcW w:w="346" w:type="pct"/>
          </w:tcPr>
          <w:p w14:paraId="705C0488" w14:textId="35129999" w:rsidR="006D45F3" w:rsidRPr="0001788E" w:rsidRDefault="006D45F3" w:rsidP="006D45F3">
            <w:pPr>
              <w:jc w:val="center"/>
              <w:rPr>
                <w:rFonts w:ascii="Arial" w:hAnsi="Arial" w:cs="Arial"/>
                <w:szCs w:val="20"/>
              </w:rPr>
            </w:pPr>
            <w:r w:rsidRPr="0001788E">
              <w:rPr>
                <w:rFonts w:ascii="Arial" w:hAnsi="Arial" w:cs="Arial"/>
                <w:szCs w:val="20"/>
              </w:rPr>
              <w:t>0.031</w:t>
            </w:r>
          </w:p>
        </w:tc>
      </w:tr>
    </w:tbl>
    <w:p w14:paraId="268A7A5B" w14:textId="77777777" w:rsidR="00A879C1" w:rsidRPr="0001788E" w:rsidRDefault="00A879C1" w:rsidP="00A879C1">
      <w:pPr>
        <w:rPr>
          <w:rFonts w:ascii="Arial" w:hAnsi="Arial" w:cs="Arial"/>
        </w:rPr>
      </w:pPr>
    </w:p>
    <w:p w14:paraId="245F2CF3" w14:textId="3E160B2A" w:rsidR="00A879C1" w:rsidRPr="0001788E" w:rsidRDefault="00A879C1" w:rsidP="00A879C1">
      <w:pPr>
        <w:rPr>
          <w:rFonts w:ascii="Arial" w:hAnsi="Arial" w:cs="Arial"/>
          <w:szCs w:val="20"/>
        </w:rPr>
      </w:pPr>
      <w:r w:rsidRPr="0001788E">
        <w:rPr>
          <w:rFonts w:ascii="Arial" w:hAnsi="Arial" w:cs="Arial"/>
          <w:szCs w:val="20"/>
        </w:rPr>
        <w:lastRenderedPageBreak/>
        <w:t xml:space="preserve">*Adjusted for seasons </w:t>
      </w:r>
      <w:r w:rsidR="00D52282">
        <w:rPr>
          <w:rFonts w:ascii="Arial" w:hAnsi="Arial" w:cs="Arial"/>
          <w:szCs w:val="20"/>
        </w:rPr>
        <w:t>as per the Meteorological Office</w:t>
      </w:r>
    </w:p>
    <w:p w14:paraId="724C3B05" w14:textId="6EB7140F" w:rsidR="00A879C1" w:rsidRPr="0001788E" w:rsidRDefault="00A879C1" w:rsidP="00A879C1">
      <w:pPr>
        <w:rPr>
          <w:rFonts w:ascii="Arial" w:hAnsi="Arial" w:cs="Arial"/>
          <w:szCs w:val="20"/>
        </w:rPr>
      </w:pPr>
      <w:r w:rsidRPr="0001788E">
        <w:rPr>
          <w:rFonts w:ascii="Arial" w:hAnsi="Arial" w:cs="Arial"/>
          <w:b/>
          <w:szCs w:val="20"/>
          <w:vertAlign w:val="superscript"/>
        </w:rPr>
        <w:t>‡</w:t>
      </w:r>
      <w:r w:rsidRPr="0001788E">
        <w:rPr>
          <w:rFonts w:ascii="Arial" w:hAnsi="Arial" w:cs="Arial"/>
          <w:szCs w:val="20"/>
        </w:rPr>
        <w:t xml:space="preserve"> First vaccine dose analysed. People vaccinated with </w:t>
      </w:r>
      <w:r w:rsidR="00D52282">
        <w:rPr>
          <w:rFonts w:ascii="Arial" w:hAnsi="Arial" w:cs="Arial"/>
          <w:szCs w:val="20"/>
        </w:rPr>
        <w:t>mRNA-1273</w:t>
      </w:r>
      <w:r w:rsidRPr="0001788E">
        <w:rPr>
          <w:rFonts w:ascii="Arial" w:hAnsi="Arial" w:cs="Arial"/>
          <w:szCs w:val="20"/>
        </w:rPr>
        <w:t xml:space="preserve"> vaccine (n=23) were excluded from this analysis. </w:t>
      </w:r>
    </w:p>
    <w:p w14:paraId="7181195D" w14:textId="77777777" w:rsidR="00A879C1" w:rsidRPr="0001788E" w:rsidRDefault="00A879C1" w:rsidP="00A879C1">
      <w:pPr>
        <w:rPr>
          <w:rFonts w:ascii="Arial" w:hAnsi="Arial" w:cs="Arial"/>
          <w:szCs w:val="20"/>
        </w:rPr>
      </w:pPr>
      <w:r w:rsidRPr="0001788E">
        <w:rPr>
          <w:rFonts w:ascii="Arial" w:hAnsi="Arial" w:cs="Arial"/>
          <w:b/>
          <w:bCs/>
          <w:szCs w:val="20"/>
          <w:vertAlign w:val="superscript"/>
        </w:rPr>
        <w:t>±</w:t>
      </w:r>
      <w:r w:rsidRPr="0001788E">
        <w:rPr>
          <w:rFonts w:ascii="Arial" w:hAnsi="Arial" w:cs="Arial"/>
          <w:b/>
          <w:bCs/>
          <w:szCs w:val="20"/>
        </w:rPr>
        <w:t xml:space="preserve"> </w:t>
      </w:r>
      <w:r w:rsidRPr="0001788E">
        <w:rPr>
          <w:rFonts w:ascii="Arial" w:hAnsi="Arial" w:cs="Arial"/>
          <w:szCs w:val="20"/>
        </w:rPr>
        <w:t xml:space="preserve">People with inflammatory bowel disease (IBD) not classified (n=98) were excluded from the IBD type sensitivity analysis </w:t>
      </w:r>
    </w:p>
    <w:p w14:paraId="00B6EA04" w14:textId="3EC46CB3" w:rsidR="00A879C1" w:rsidRPr="0001788E" w:rsidRDefault="00A879C1" w:rsidP="00A879C1">
      <w:pPr>
        <w:rPr>
          <w:rFonts w:ascii="Arial" w:hAnsi="Arial" w:cs="Arial"/>
          <w:szCs w:val="20"/>
        </w:rPr>
      </w:pPr>
      <w:r w:rsidRPr="0001788E">
        <w:rPr>
          <w:rFonts w:ascii="Arial" w:hAnsi="Arial" w:cs="Arial"/>
          <w:szCs w:val="20"/>
        </w:rPr>
        <w:t>† P</w:t>
      </w:r>
      <w:r w:rsidR="00D52282">
        <w:rPr>
          <w:rFonts w:ascii="Arial" w:hAnsi="Arial" w:cs="Arial"/>
          <w:szCs w:val="20"/>
        </w:rPr>
        <w:t>rimary-care</w:t>
      </w:r>
      <w:r w:rsidRPr="0001788E">
        <w:rPr>
          <w:rFonts w:ascii="Arial" w:hAnsi="Arial" w:cs="Arial"/>
          <w:szCs w:val="20"/>
        </w:rPr>
        <w:t xml:space="preserve"> consultation for </w:t>
      </w:r>
      <w:r w:rsidR="0025665E">
        <w:rPr>
          <w:rFonts w:ascii="Arial" w:hAnsi="Arial" w:cs="Arial"/>
          <w:szCs w:val="20"/>
        </w:rPr>
        <w:t>COVID</w:t>
      </w:r>
      <w:r w:rsidRPr="0001788E">
        <w:rPr>
          <w:rFonts w:ascii="Arial" w:hAnsi="Arial" w:cs="Arial"/>
          <w:szCs w:val="20"/>
        </w:rPr>
        <w:t xml:space="preserve">-19 or complication of </w:t>
      </w:r>
      <w:r w:rsidR="0025665E">
        <w:rPr>
          <w:rFonts w:ascii="Arial" w:hAnsi="Arial" w:cs="Arial"/>
          <w:szCs w:val="20"/>
        </w:rPr>
        <w:t>COVID</w:t>
      </w:r>
      <w:r w:rsidRPr="0001788E">
        <w:rPr>
          <w:rFonts w:ascii="Arial" w:hAnsi="Arial" w:cs="Arial"/>
          <w:szCs w:val="20"/>
        </w:rPr>
        <w:t xml:space="preserve">-19 or positive test results. </w:t>
      </w:r>
    </w:p>
    <w:p w14:paraId="75AEF4ED" w14:textId="77777777" w:rsidR="00B65E90" w:rsidRDefault="00B65E90" w:rsidP="00A879C1">
      <w:pPr>
        <w:rPr>
          <w:sz w:val="24"/>
          <w:szCs w:val="24"/>
        </w:rPr>
        <w:sectPr w:rsidR="00B65E90" w:rsidSect="00A879C1">
          <w:pgSz w:w="16838" w:h="11906" w:orient="landscape"/>
          <w:pgMar w:top="1440" w:right="1440" w:bottom="1440" w:left="1440" w:header="708" w:footer="708" w:gutter="0"/>
          <w:cols w:space="708"/>
          <w:docGrid w:linePitch="360"/>
        </w:sectPr>
      </w:pPr>
    </w:p>
    <w:p w14:paraId="4D8637B9" w14:textId="126C4514" w:rsidR="002F7550" w:rsidRPr="00021272" w:rsidRDefault="00B31584" w:rsidP="00B65E90">
      <w:pPr>
        <w:rPr>
          <w:rFonts w:ascii="Arial" w:hAnsi="Arial" w:cs="Arial"/>
          <w:b/>
          <w:sz w:val="24"/>
          <w:szCs w:val="24"/>
        </w:rPr>
      </w:pPr>
      <w:r w:rsidRPr="00021272">
        <w:rPr>
          <w:rFonts w:ascii="Arial" w:hAnsi="Arial" w:cs="Arial"/>
          <w:b/>
          <w:sz w:val="24"/>
          <w:szCs w:val="24"/>
        </w:rPr>
        <w:lastRenderedPageBreak/>
        <w:t>Discussion</w:t>
      </w:r>
    </w:p>
    <w:p w14:paraId="71FA4239" w14:textId="45C10E83" w:rsidR="00B31584" w:rsidRPr="00021272" w:rsidRDefault="00B31584" w:rsidP="000736FB">
      <w:pPr>
        <w:spacing w:line="480" w:lineRule="auto"/>
        <w:rPr>
          <w:rFonts w:ascii="Arial" w:hAnsi="Arial" w:cs="Arial"/>
          <w:sz w:val="24"/>
          <w:szCs w:val="24"/>
        </w:rPr>
      </w:pPr>
    </w:p>
    <w:p w14:paraId="1A569627" w14:textId="73348594" w:rsidR="00AC486C" w:rsidRPr="00021272" w:rsidRDefault="00C74F2F" w:rsidP="000736FB">
      <w:pPr>
        <w:spacing w:line="480" w:lineRule="auto"/>
        <w:rPr>
          <w:rFonts w:ascii="Arial" w:hAnsi="Arial" w:cs="Arial"/>
          <w:sz w:val="24"/>
          <w:szCs w:val="24"/>
        </w:rPr>
      </w:pPr>
      <w:r w:rsidRPr="00480A18">
        <w:rPr>
          <w:rFonts w:ascii="Arial" w:hAnsi="Arial" w:cs="Arial"/>
          <w:i/>
          <w:sz w:val="24"/>
          <w:szCs w:val="24"/>
        </w:rPr>
        <w:t>Main findings:</w:t>
      </w:r>
      <w:r>
        <w:rPr>
          <w:rFonts w:ascii="Arial" w:hAnsi="Arial" w:cs="Arial"/>
          <w:sz w:val="24"/>
          <w:szCs w:val="24"/>
        </w:rPr>
        <w:t xml:space="preserve"> </w:t>
      </w:r>
      <w:r w:rsidR="00D7304A" w:rsidRPr="00021272">
        <w:rPr>
          <w:rFonts w:ascii="Arial" w:hAnsi="Arial" w:cs="Arial"/>
          <w:sz w:val="24"/>
          <w:szCs w:val="24"/>
        </w:rPr>
        <w:t xml:space="preserve">Our study has demonstrated in a population representative of IBD patients in the UK, vaccinated with the </w:t>
      </w:r>
      <w:r w:rsidR="0025665E">
        <w:rPr>
          <w:rFonts w:ascii="Arial" w:hAnsi="Arial" w:cs="Arial"/>
          <w:sz w:val="24"/>
          <w:szCs w:val="24"/>
        </w:rPr>
        <w:t>COVID</w:t>
      </w:r>
      <w:r w:rsidR="00D7304A" w:rsidRPr="00021272">
        <w:rPr>
          <w:rFonts w:ascii="Arial" w:hAnsi="Arial" w:cs="Arial"/>
          <w:sz w:val="24"/>
          <w:szCs w:val="24"/>
        </w:rPr>
        <w:t xml:space="preserve">-19 vaccines commonly in use in the UK that </w:t>
      </w:r>
      <w:r w:rsidR="0025665E">
        <w:rPr>
          <w:rFonts w:ascii="Arial" w:hAnsi="Arial" w:cs="Arial"/>
          <w:sz w:val="24"/>
          <w:szCs w:val="24"/>
        </w:rPr>
        <w:t>COVID</w:t>
      </w:r>
      <w:r w:rsidR="00D7304A" w:rsidRPr="00021272">
        <w:rPr>
          <w:rFonts w:ascii="Arial" w:hAnsi="Arial" w:cs="Arial"/>
          <w:sz w:val="24"/>
          <w:szCs w:val="24"/>
        </w:rPr>
        <w:t xml:space="preserve">-19 vaccination </w:t>
      </w:r>
      <w:r w:rsidR="00D52282">
        <w:rPr>
          <w:rFonts w:ascii="Arial" w:hAnsi="Arial" w:cs="Arial"/>
          <w:sz w:val="24"/>
          <w:szCs w:val="24"/>
        </w:rPr>
        <w:t>wa</w:t>
      </w:r>
      <w:r w:rsidR="00D7304A" w:rsidRPr="00021272">
        <w:rPr>
          <w:rFonts w:ascii="Arial" w:hAnsi="Arial" w:cs="Arial"/>
          <w:sz w:val="24"/>
          <w:szCs w:val="24"/>
        </w:rPr>
        <w:t>s not associated with an</w:t>
      </w:r>
      <w:r w:rsidR="00D7304A" w:rsidRPr="009A5D1B">
        <w:rPr>
          <w:rFonts w:ascii="Arial" w:hAnsi="Arial" w:cs="Arial"/>
          <w:iCs/>
          <w:sz w:val="24"/>
          <w:szCs w:val="24"/>
        </w:rPr>
        <w:t xml:space="preserve"> </w:t>
      </w:r>
      <w:r w:rsidR="00D7304A" w:rsidRPr="00C06E47">
        <w:rPr>
          <w:rFonts w:ascii="Arial" w:hAnsi="Arial" w:cs="Arial"/>
          <w:iCs/>
          <w:sz w:val="24"/>
          <w:szCs w:val="24"/>
        </w:rPr>
        <w:t>increase</w:t>
      </w:r>
      <w:r w:rsidR="00D7304A" w:rsidRPr="009A5D1B">
        <w:rPr>
          <w:rFonts w:ascii="Arial" w:hAnsi="Arial" w:cs="Arial"/>
          <w:iCs/>
          <w:sz w:val="24"/>
          <w:szCs w:val="24"/>
        </w:rPr>
        <w:t xml:space="preserve"> </w:t>
      </w:r>
      <w:r w:rsidR="00D7304A" w:rsidRPr="00021272">
        <w:rPr>
          <w:rFonts w:ascii="Arial" w:hAnsi="Arial" w:cs="Arial"/>
          <w:sz w:val="24"/>
          <w:szCs w:val="24"/>
        </w:rPr>
        <w:t>in flares of IBD. This remain</w:t>
      </w:r>
      <w:r w:rsidR="00D52282">
        <w:rPr>
          <w:rFonts w:ascii="Arial" w:hAnsi="Arial" w:cs="Arial"/>
          <w:sz w:val="24"/>
          <w:szCs w:val="24"/>
        </w:rPr>
        <w:t>ed</w:t>
      </w:r>
      <w:r w:rsidR="00D7304A" w:rsidRPr="00021272">
        <w:rPr>
          <w:rFonts w:ascii="Arial" w:hAnsi="Arial" w:cs="Arial"/>
          <w:sz w:val="24"/>
          <w:szCs w:val="24"/>
        </w:rPr>
        <w:t xml:space="preserve"> true in subgroups of the data defined by the vaccine </w:t>
      </w:r>
      <w:r w:rsidR="00D52282">
        <w:rPr>
          <w:rFonts w:ascii="Arial" w:hAnsi="Arial" w:cs="Arial"/>
          <w:sz w:val="24"/>
          <w:szCs w:val="24"/>
        </w:rPr>
        <w:t xml:space="preserve">technology </w:t>
      </w:r>
      <w:r w:rsidR="00D7304A" w:rsidRPr="00021272">
        <w:rPr>
          <w:rFonts w:ascii="Arial" w:hAnsi="Arial" w:cs="Arial"/>
          <w:sz w:val="24"/>
          <w:szCs w:val="24"/>
        </w:rPr>
        <w:t xml:space="preserve">received, the type of IBD (Crohn’s or UC) and the presence or absence of prior </w:t>
      </w:r>
      <w:r w:rsidR="0025665E">
        <w:rPr>
          <w:rFonts w:ascii="Arial" w:hAnsi="Arial" w:cs="Arial"/>
          <w:sz w:val="24"/>
          <w:szCs w:val="24"/>
        </w:rPr>
        <w:t>COVID</w:t>
      </w:r>
      <w:r w:rsidR="00D7304A" w:rsidRPr="00021272">
        <w:rPr>
          <w:rFonts w:ascii="Arial" w:hAnsi="Arial" w:cs="Arial"/>
          <w:sz w:val="24"/>
          <w:szCs w:val="24"/>
        </w:rPr>
        <w:t xml:space="preserve">-19. It is similarly true no matter which of </w:t>
      </w:r>
      <w:r w:rsidR="00D52282">
        <w:rPr>
          <w:rFonts w:ascii="Arial" w:hAnsi="Arial" w:cs="Arial"/>
          <w:sz w:val="24"/>
          <w:szCs w:val="24"/>
        </w:rPr>
        <w:t>three</w:t>
      </w:r>
      <w:r w:rsidR="00D7304A" w:rsidRPr="00021272">
        <w:rPr>
          <w:rFonts w:ascii="Arial" w:hAnsi="Arial" w:cs="Arial"/>
          <w:sz w:val="24"/>
          <w:szCs w:val="24"/>
        </w:rPr>
        <w:t xml:space="preserve"> doses of the vaccine are studied.</w:t>
      </w:r>
      <w:r w:rsidR="0043658C">
        <w:rPr>
          <w:rFonts w:ascii="Arial" w:hAnsi="Arial" w:cs="Arial"/>
          <w:sz w:val="24"/>
          <w:szCs w:val="24"/>
        </w:rPr>
        <w:t xml:space="preserve"> In fact</w:t>
      </w:r>
      <w:r w:rsidR="005F5B95">
        <w:rPr>
          <w:rFonts w:ascii="Arial" w:hAnsi="Arial" w:cs="Arial"/>
          <w:sz w:val="24"/>
          <w:szCs w:val="24"/>
        </w:rPr>
        <w:t>,</w:t>
      </w:r>
      <w:r w:rsidR="0043658C">
        <w:rPr>
          <w:rFonts w:ascii="Arial" w:hAnsi="Arial" w:cs="Arial"/>
          <w:sz w:val="24"/>
          <w:szCs w:val="24"/>
        </w:rPr>
        <w:t xml:space="preserve"> for patients with UC the rate of flare was significantly reduced during the 3 weeks after vaccination.</w:t>
      </w:r>
    </w:p>
    <w:p w14:paraId="62CE8F2E" w14:textId="258889D4" w:rsidR="00866DB5" w:rsidRDefault="00C74F2F" w:rsidP="000736FB">
      <w:pPr>
        <w:spacing w:line="480" w:lineRule="auto"/>
        <w:rPr>
          <w:rFonts w:ascii="Arial" w:hAnsi="Arial" w:cs="Arial"/>
          <w:sz w:val="24"/>
          <w:szCs w:val="24"/>
        </w:rPr>
      </w:pPr>
      <w:r w:rsidRPr="00C06E47">
        <w:rPr>
          <w:rFonts w:ascii="Arial" w:hAnsi="Arial" w:cs="Arial"/>
          <w:i/>
          <w:iCs/>
          <w:sz w:val="24"/>
          <w:szCs w:val="24"/>
        </w:rPr>
        <w:t>Study strengths and limitations:</w:t>
      </w:r>
      <w:r>
        <w:rPr>
          <w:rFonts w:ascii="Arial" w:hAnsi="Arial" w:cs="Arial"/>
          <w:sz w:val="24"/>
          <w:szCs w:val="24"/>
        </w:rPr>
        <w:t xml:space="preserve"> S</w:t>
      </w:r>
      <w:r w:rsidR="003906ED" w:rsidRPr="00021272">
        <w:rPr>
          <w:rFonts w:ascii="Arial" w:hAnsi="Arial" w:cs="Arial"/>
          <w:sz w:val="24"/>
          <w:szCs w:val="24"/>
        </w:rPr>
        <w:t xml:space="preserve">trengths of our study are its power, the generalisability of its results and the confidence we are able to have that our results are </w:t>
      </w:r>
      <w:r w:rsidR="00B66F19" w:rsidRPr="00021272">
        <w:rPr>
          <w:rFonts w:ascii="Arial" w:hAnsi="Arial" w:cs="Arial"/>
          <w:sz w:val="24"/>
          <w:szCs w:val="24"/>
        </w:rPr>
        <w:t xml:space="preserve">not </w:t>
      </w:r>
      <w:r w:rsidR="003906ED" w:rsidRPr="00021272">
        <w:rPr>
          <w:rFonts w:ascii="Arial" w:hAnsi="Arial" w:cs="Arial"/>
          <w:sz w:val="24"/>
          <w:szCs w:val="24"/>
        </w:rPr>
        <w:t>influenced by confounding</w:t>
      </w:r>
      <w:r w:rsidR="00B66F19" w:rsidRPr="00021272">
        <w:rPr>
          <w:rFonts w:ascii="Arial" w:hAnsi="Arial" w:cs="Arial"/>
          <w:sz w:val="24"/>
          <w:szCs w:val="24"/>
        </w:rPr>
        <w:t xml:space="preserve"> factors which might affect the choice to be </w:t>
      </w:r>
      <w:r w:rsidR="00B66F19" w:rsidRPr="003F3F75">
        <w:rPr>
          <w:rFonts w:ascii="Arial" w:hAnsi="Arial" w:cs="Arial"/>
          <w:sz w:val="24"/>
          <w:szCs w:val="24"/>
        </w:rPr>
        <w:t>vaccinated</w:t>
      </w:r>
      <w:r w:rsidR="00D52282" w:rsidRPr="00F15649">
        <w:rPr>
          <w:rFonts w:ascii="Arial" w:hAnsi="Arial" w:cs="Arial"/>
          <w:sz w:val="24"/>
          <w:szCs w:val="24"/>
        </w:rPr>
        <w:t xml:space="preserve"> because we used the SCCS methodology that is widely used in vaccine safety studies</w:t>
      </w:r>
      <w:r w:rsidR="00877691">
        <w:rPr>
          <w:rFonts w:ascii="Arial" w:hAnsi="Arial" w:cs="Arial"/>
          <w:sz w:val="24"/>
          <w:szCs w:val="24"/>
        </w:rPr>
        <w:fldChar w:fldCharType="begin" w:fldLock="1"/>
      </w:r>
      <w:r w:rsidR="003F3F75">
        <w:rPr>
          <w:rFonts w:ascii="Arial" w:hAnsi="Arial" w:cs="Arial"/>
          <w:sz w:val="24"/>
          <w:szCs w:val="24"/>
        </w:rPr>
        <w:instrText>ADDIN CSL_CITATION {"citationItems":[{"id":"ITEM-1","itemData":{"DOI":"10.1080/14760584.2022.2020108","ISSN":"1744-8395","PMID":"34937500","abstract":"BACKGROUND There is limited comprehensive evaluation of the methodology and reporting quality of observational studies of vaccine safety. METHODS Databases including Medline, Embase, Web of Science, Scopus, and Chinese databases were searched from inception to 31 May 2021. All observational studies regarding vaccine safety using an SCCS design were selected. Information regarding methodological elements were extracted. In addition, reporting quality was assessed using the REporting of studies Conducted using Observational Routinely collected health Data statement for PharmacoEpidemiology (RECORD-PE). RESULTS : Of the 105 studies identified, administrative databases were the main data source for vaccination records and adverse events following immunization (AEFI). Twenty-eight articles (27%) used multiple designs to verify the association, and the results obtained with the SCCS design were robust. The top three AEFI studied were intussusception, Guillain-Barré syndrome, and convulsions. Only 21 studies (20%) reported the approach for case validation by chart review. The healthy vaccinee effect was considered by 51 studies (49%), with 16 of them (31%) using extended SCCS models to alleviate this effect. Overall, the reporting quality of included studies could be improved. CONCLUSIONS Administrative databases were the main data source for vaccination records and adverse events following immunization. Case validation, the validity of assumptions for standard SCCS, and quality of reporting should be given more importance in future research projects.","author":[{"dropping-particle":"","family":"Nie","given":"Xiaolu","non-dropping-particle":"","parse-names":false,"suffix":""},{"dropping-particle":"","family":"Xu","given":"Lu","non-dropping-particle":"","parse-names":false,"suffix":""},{"dropping-particle":"","family":"Bai","given":"Yi","non-dropping-particle":"","parse-names":false,"suffix":""},{"dropping-particle":"","family":"Liu","given":"Zuoxiang","non-dropping-particle":"","parse-names":false,"suffix":""},{"dropping-particle":"","family":"Liu","given":"Zhike","non-dropping-particle":"","parse-names":false,"suffix":""},{"dropping-particle":"","family":"Farrington","given":"Paddy","non-dropping-particle":"","parse-names":false,"suffix":""},{"dropping-particle":"","family":"Zhan","given":"Siyan","non-dropping-particle":"","parse-names":false,"suffix":""}],"container-title":"Expert review of vaccines","id":"ITEM-1","issue":"3","issued":{"date-parts":[["2022","3"]]},"page":"313-324","title":"Self-controlled case series design in vaccine safety: a systematic review.","type":"article-journal","volume":"21"},"uris":["http://www.mendeley.com/documents/?uuid=d4504123-5e26-45e3-ba64-541aab1135a1"]}],"mendeley":{"formattedCitation":"(29)","plainTextFormattedCitation":"(29)","previouslyFormattedCitation":"(27)"},"properties":{"noteIndex":0},"schema":"https://github.com/citation-style-language/schema/raw/master/csl-citation.json"}</w:instrText>
      </w:r>
      <w:r w:rsidR="00877691">
        <w:rPr>
          <w:rFonts w:ascii="Arial" w:hAnsi="Arial" w:cs="Arial"/>
          <w:sz w:val="24"/>
          <w:szCs w:val="24"/>
        </w:rPr>
        <w:fldChar w:fldCharType="separate"/>
      </w:r>
      <w:r w:rsidR="003F3F75" w:rsidRPr="003F3F75">
        <w:rPr>
          <w:rFonts w:ascii="Arial" w:hAnsi="Arial" w:cs="Arial"/>
          <w:noProof/>
          <w:sz w:val="24"/>
          <w:szCs w:val="24"/>
        </w:rPr>
        <w:t>(29)</w:t>
      </w:r>
      <w:r w:rsidR="00877691">
        <w:rPr>
          <w:rFonts w:ascii="Arial" w:hAnsi="Arial" w:cs="Arial"/>
          <w:sz w:val="24"/>
          <w:szCs w:val="24"/>
        </w:rPr>
        <w:fldChar w:fldCharType="end"/>
      </w:r>
      <w:r w:rsidR="003906ED" w:rsidRPr="00021272">
        <w:rPr>
          <w:rFonts w:ascii="Arial" w:hAnsi="Arial" w:cs="Arial"/>
          <w:sz w:val="24"/>
          <w:szCs w:val="24"/>
        </w:rPr>
        <w:t xml:space="preserve">. The power of the study is derived from the large base population of CPRD from which it is drawn, and its importance in this instance is that </w:t>
      </w:r>
      <w:r w:rsidR="00AC468D" w:rsidRPr="00021272">
        <w:rPr>
          <w:rFonts w:ascii="Arial" w:hAnsi="Arial" w:cs="Arial"/>
          <w:sz w:val="24"/>
          <w:szCs w:val="24"/>
        </w:rPr>
        <w:t xml:space="preserve">it permits our </w:t>
      </w:r>
      <w:r w:rsidR="00493E07">
        <w:rPr>
          <w:rFonts w:ascii="Arial" w:hAnsi="Arial" w:cs="Arial"/>
          <w:sz w:val="24"/>
          <w:szCs w:val="24"/>
        </w:rPr>
        <w:t xml:space="preserve">relative </w:t>
      </w:r>
      <w:r w:rsidR="00AC468D" w:rsidRPr="00021272">
        <w:rPr>
          <w:rFonts w:ascii="Arial" w:hAnsi="Arial" w:cs="Arial"/>
          <w:sz w:val="24"/>
          <w:szCs w:val="24"/>
        </w:rPr>
        <w:t>risk estimates to be quite precise an</w:t>
      </w:r>
      <w:r w:rsidR="001A0CF6" w:rsidRPr="00021272">
        <w:rPr>
          <w:rFonts w:ascii="Arial" w:hAnsi="Arial" w:cs="Arial"/>
          <w:sz w:val="24"/>
          <w:szCs w:val="24"/>
        </w:rPr>
        <w:t>d</w:t>
      </w:r>
      <w:r w:rsidR="00AC468D" w:rsidRPr="00021272">
        <w:rPr>
          <w:rFonts w:ascii="Arial" w:hAnsi="Arial" w:cs="Arial"/>
          <w:sz w:val="24"/>
          <w:szCs w:val="24"/>
        </w:rPr>
        <w:t xml:space="preserve"> so to confidently exclude any large increase in flares post vaccination. To illustrate this overall our adjusted incidence rate ratio for IBD flares was 0.89, and our 95% confidence interval of 0.77-1.02 allows as to state that our data are unlikely to have arisen in a population where there was an excess of flares of over 2% above baseline following vaccination. Our confidence in generalisability of our result to IBD patients in the UK likewise is derived from our data source since CPRD is representative of the </w:t>
      </w:r>
      <w:r w:rsidR="00004207" w:rsidRPr="00021272">
        <w:rPr>
          <w:rFonts w:ascii="Arial" w:hAnsi="Arial" w:cs="Arial"/>
          <w:sz w:val="24"/>
          <w:szCs w:val="24"/>
        </w:rPr>
        <w:t>over 98</w:t>
      </w:r>
      <w:r w:rsidR="00AC468D" w:rsidRPr="00021272">
        <w:rPr>
          <w:rFonts w:ascii="Arial" w:hAnsi="Arial" w:cs="Arial"/>
          <w:sz w:val="24"/>
          <w:szCs w:val="24"/>
        </w:rPr>
        <w:t>% of the UK population registered with a general practitioner</w:t>
      </w:r>
      <w:r w:rsidR="00004207" w:rsidRPr="00021272">
        <w:rPr>
          <w:rFonts w:ascii="Arial" w:hAnsi="Arial" w:cs="Arial"/>
          <w:sz w:val="24"/>
          <w:szCs w:val="24"/>
        </w:rPr>
        <w:fldChar w:fldCharType="begin" w:fldLock="1"/>
      </w:r>
      <w:r w:rsidR="003F3F75">
        <w:rPr>
          <w:rFonts w:ascii="Arial" w:hAnsi="Arial" w:cs="Arial"/>
          <w:sz w:val="24"/>
          <w:szCs w:val="24"/>
        </w:rPr>
        <w:instrText>ADDIN CSL_CITATION {"citationItems":[{"id":"ITEM-1","itemData":{"DOI":"10.1093/ije/dyz034","ISSN":"1464-3685","PMID":"30859197","author":[{"dropping-particle":"","family":"Wolf","given":"Achim","non-dropping-particle":"","parse-names":false,"suffix":""},{"dropping-particle":"","family":"Dedman","given":"Daniel","non-dropping-particle":"","parse-names":false,"suffix":""},{"dropping-particle":"","family":"Campbell","given":"Jennifer","non-dropping-particle":"","parse-names":false,"suffix":""},{"dropping-particle":"","family":"Booth","given":"Helen","non-dropping-particle":"","parse-names":false,"suffix":""},{"dropping-particle":"","family":"Lunn","given":"Darren","non-dropping-particle":"","parse-names":false,"suffix":""},{"dropping-particle":"","family":"Chapman","given":"Jennifer","non-dropping-particle":"","parse-names":false,"suffix":""},{"dropping-particle":"","family":"Myles","given":"Puja","non-dropping-particle":"","parse-names":false,"suffix":""}],"container-title":"International journal of epidemiology","id":"ITEM-1","issue":"6","issued":{"date-parts":[["2019","12","1"]]},"page":"1740-1740g","title":"Data resource profile: Clinical Practice Research Datalink (CPRD) Aurum.","type":"article-journal","volume":"48"},"uris":["http://www.mendeley.com/documents/?uuid=a79ea2d9-661c-4e10-bb55-44627f8deb5e"]},{"id":"ITEM-2","itemData":{"DOI":"10.1093/ije/dyv098","ISBN":"0300-5771","ISSN":"1464-3685","PMID":"26050254","abstract":"© The Author 2015. Published by Oxford University Press on behalf of the International Epidemiological Association.The Clinical Practice Research Datalink (CPRD) is an ongoing primary care database of anonymised medical records from general practitioners, with coverage of over 11.3 million patients from 674 practices in the UK. With 4.4 million active (alive, currently registered) patients meeting quality criteria, approximately 6.9% of the UK population are included and patients are broadly representative of the UK general population in terms of age, sex and ethnicity. General practitioners are the gatekeepers of primary care and specialist referrals in the UK. The CPRD primary care database is therefore a rich source of health data for research, including data on demographics, symptoms, tests, diagnoses, therapies, health-related behaviours and referrals to secondary care. For over half of patients, linkage with datasets from secondary care, disease-specific cohorts and mortality records enhance the range of data available for research. The CPRD is very widely used internationally for epidemiological research and has been used to produce over 1000 research studies, published in peer-reviewed journals across a broad range of health outcomes. However, researchers must be aware of the complexity of routinely collected electronic health records, including ways to manage variable completeness, misclassification and development of disease definitions for research.","author":[{"dropping-particle":"","family":"Herrett","given":"Emily","non-dropping-particle":"","parse-names":false,"suffix":""},{"dropping-particle":"","family":"Gallagher","given":"Arlene M.","non-dropping-particle":"","parse-names":false,"suffix":""},{"dropping-particle":"","family":"Bhaskaran","given":"Krishnan","non-dropping-particle":"","parse-names":false,"suffix":""},{"dropping-particle":"","family":"Forbes","given":"Harriet","non-dropping-particle":"","parse-names":false,"suffix":""},{"dropping-particle":"","family":"Mathur","given":"Rohini","non-dropping-particle":"","parse-names":false,"suffix":""},{"dropping-particle":"","family":"Staa","given":"Tjeerd","non-dropping-particle":"van","parse-names":false,"suffix":""},{"dropping-particle":"","family":"Smeeth","given":"Liam","non-dropping-particle":"","parse-names":false,"suffix":""},{"dropping-particle":"van","family":"Staa","given":"Tjeerd","non-dropping-particle":"","parse-names":false,"suffix":""},{"dropping-particle":"","family":"Smeeth","given":"Liam","non-dropping-particle":"","parse-names":false,"suffix":""}],"container-title":"International Journal of Epidemiology","id":"ITEM-2","issue":"3","issued":{"date-parts":[["2015","6"]]},"page":"827-836","title":"Data Resource Profile: Clinical Practice Research Datalink (CPRD).","type":"article-journal","volume":"44"},"uris":["http://www.mendeley.com/documents/?uuid=d21b5247-69ee-4f12-b25a-135a3de4fa68"]}],"mendeley":{"formattedCitation":"(20,30)","plainTextFormattedCitation":"(20,30)","previouslyFormattedCitation":"(20,28)"},"properties":{"noteIndex":0},"schema":"https://github.com/citation-style-language/schema/raw/master/csl-citation.json"}</w:instrText>
      </w:r>
      <w:r w:rsidR="00004207" w:rsidRPr="00021272">
        <w:rPr>
          <w:rFonts w:ascii="Arial" w:hAnsi="Arial" w:cs="Arial"/>
          <w:sz w:val="24"/>
          <w:szCs w:val="24"/>
          <w:vertAlign w:val="superscript"/>
        </w:rPr>
        <w:fldChar w:fldCharType="separate"/>
      </w:r>
      <w:r w:rsidR="003F3F75" w:rsidRPr="003F3F75">
        <w:rPr>
          <w:rFonts w:ascii="Arial" w:hAnsi="Arial" w:cs="Arial"/>
          <w:noProof/>
          <w:sz w:val="24"/>
          <w:szCs w:val="24"/>
        </w:rPr>
        <w:t>(20,30)</w:t>
      </w:r>
      <w:r w:rsidR="00004207" w:rsidRPr="00021272">
        <w:rPr>
          <w:rFonts w:ascii="Arial" w:hAnsi="Arial" w:cs="Arial"/>
          <w:sz w:val="24"/>
          <w:szCs w:val="24"/>
        </w:rPr>
        <w:fldChar w:fldCharType="end"/>
      </w:r>
      <w:r w:rsidR="00AC468D" w:rsidRPr="00021272">
        <w:rPr>
          <w:rFonts w:ascii="Arial" w:hAnsi="Arial" w:cs="Arial"/>
          <w:sz w:val="24"/>
          <w:szCs w:val="24"/>
        </w:rPr>
        <w:t xml:space="preserve">, and we included all </w:t>
      </w:r>
      <w:r w:rsidR="00AC468D" w:rsidRPr="00021272">
        <w:rPr>
          <w:rFonts w:ascii="Arial" w:hAnsi="Arial" w:cs="Arial"/>
          <w:sz w:val="24"/>
          <w:szCs w:val="24"/>
        </w:rPr>
        <w:lastRenderedPageBreak/>
        <w:t xml:space="preserve">adults in this population who received </w:t>
      </w:r>
      <w:r w:rsidR="0025665E">
        <w:rPr>
          <w:rFonts w:ascii="Arial" w:hAnsi="Arial" w:cs="Arial"/>
          <w:sz w:val="24"/>
          <w:szCs w:val="24"/>
        </w:rPr>
        <w:t>COVID</w:t>
      </w:r>
      <w:r w:rsidR="00AC468D" w:rsidRPr="00021272">
        <w:rPr>
          <w:rFonts w:ascii="Arial" w:hAnsi="Arial" w:cs="Arial"/>
          <w:sz w:val="24"/>
          <w:szCs w:val="24"/>
        </w:rPr>
        <w:t>-19 vaccination and experienced a coded IBD flare within the study period</w:t>
      </w:r>
      <w:r w:rsidR="00B66F19" w:rsidRPr="00021272">
        <w:rPr>
          <w:rFonts w:ascii="Arial" w:hAnsi="Arial" w:cs="Arial"/>
          <w:sz w:val="24"/>
          <w:szCs w:val="24"/>
        </w:rPr>
        <w:t xml:space="preserve">. </w:t>
      </w:r>
    </w:p>
    <w:p w14:paraId="1542E72F" w14:textId="4B05E6E2" w:rsidR="00D7304A" w:rsidRPr="00021272" w:rsidRDefault="00B66F19" w:rsidP="000736FB">
      <w:pPr>
        <w:spacing w:line="480" w:lineRule="auto"/>
        <w:rPr>
          <w:rFonts w:ascii="Arial" w:hAnsi="Arial" w:cs="Arial"/>
          <w:sz w:val="24"/>
          <w:szCs w:val="24"/>
        </w:rPr>
      </w:pPr>
      <w:r w:rsidRPr="00021272">
        <w:rPr>
          <w:rFonts w:ascii="Arial" w:hAnsi="Arial" w:cs="Arial"/>
          <w:sz w:val="24"/>
          <w:szCs w:val="24"/>
        </w:rPr>
        <w:t xml:space="preserve">Finally our use of a self-controlled case series design, ensures that </w:t>
      </w:r>
      <w:r w:rsidR="00004207" w:rsidRPr="00021272">
        <w:rPr>
          <w:rFonts w:ascii="Arial" w:hAnsi="Arial" w:cs="Arial"/>
          <w:sz w:val="24"/>
          <w:szCs w:val="24"/>
        </w:rPr>
        <w:t xml:space="preserve">non time dependant </w:t>
      </w:r>
      <w:r w:rsidRPr="00021272">
        <w:rPr>
          <w:rFonts w:ascii="Arial" w:hAnsi="Arial" w:cs="Arial"/>
          <w:sz w:val="24"/>
          <w:szCs w:val="24"/>
        </w:rPr>
        <w:t xml:space="preserve">between person confounding </w:t>
      </w:r>
      <w:r w:rsidR="00866DB5">
        <w:rPr>
          <w:rFonts w:ascii="Arial" w:hAnsi="Arial" w:cs="Arial"/>
          <w:sz w:val="24"/>
          <w:szCs w:val="24"/>
        </w:rPr>
        <w:t>wa</w:t>
      </w:r>
      <w:r w:rsidRPr="00021272">
        <w:rPr>
          <w:rFonts w:ascii="Arial" w:hAnsi="Arial" w:cs="Arial"/>
          <w:sz w:val="24"/>
          <w:szCs w:val="24"/>
        </w:rPr>
        <w:t xml:space="preserve">s excluded since each subject </w:t>
      </w:r>
      <w:r w:rsidR="00866DB5">
        <w:rPr>
          <w:rFonts w:ascii="Arial" w:hAnsi="Arial" w:cs="Arial"/>
          <w:sz w:val="24"/>
          <w:szCs w:val="24"/>
        </w:rPr>
        <w:t>wa</w:t>
      </w:r>
      <w:r w:rsidRPr="00021272">
        <w:rPr>
          <w:rFonts w:ascii="Arial" w:hAnsi="Arial" w:cs="Arial"/>
          <w:sz w:val="24"/>
          <w:szCs w:val="24"/>
        </w:rPr>
        <w:t>s compared only to themselves at different time points</w:t>
      </w:r>
      <w:r w:rsidR="00004207" w:rsidRPr="00021272">
        <w:rPr>
          <w:rFonts w:ascii="Arial" w:hAnsi="Arial" w:cs="Arial"/>
          <w:sz w:val="24"/>
          <w:szCs w:val="24"/>
        </w:rPr>
        <w:fldChar w:fldCharType="begin" w:fldLock="1"/>
      </w:r>
      <w:r w:rsidR="00EB18A3">
        <w:rPr>
          <w:rFonts w:ascii="Arial" w:hAnsi="Arial" w:cs="Arial"/>
          <w:sz w:val="24"/>
          <w:szCs w:val="24"/>
        </w:rPr>
        <w:instrText>ADDIN CSL_CITATION {"citationItems":[{"id":"ITEM-1","itemData":{"DOI":"10.1177/0962280208092342","ISSN":"0962-2802","PMID":"18562396","abstract":"The self-controlled case series method is increasingly being used in pharmacoepidemiology, particularly in vaccine safety studies. This method is typically used to evaluate the association between a transient exposure and an acute event, using only cases. We present both parametric and semiparametric models using a motivating example on MMR vaccine and bleeding disorders. We briefly describe approaches for interferent events and a sequential version of the method for prospective surveillance of drug safety. The efficiency of the self-controlled case series method is compared to the that of cohort and case control studies. Some further extensions, to long or indefinite exposures and to bivariate counts, are described.","author":[{"dropping-particle":"","family":"Whitaker","given":"Heather J","non-dropping-particle":"","parse-names":false,"suffix":""},{"dropping-particle":"","family":"Hocine","given":"Mounia N","non-dropping-particle":"","parse-names":false,"suffix":""},{"dropping-particle":"","family":"Farrington","given":"C Paddy","non-dropping-particle":"","parse-names":false,"suffix":""}],"container-title":"Statistical methods in medical research","id":"ITEM-1","issue":"1","issued":{"date-parts":[["2009","2"]]},"page":"7-26","title":"The methodology of self-controlled case series studies.","type":"article-journal","volume":"18"},"uris":["http://www.mendeley.com/documents/?uuid=0bbe1ac2-68a9-46a3-9139-abe8f9bc35be"]}],"mendeley":{"formattedCitation":"(21)","plainTextFormattedCitation":"(21)","previouslyFormattedCitation":"(21)"},"properties":{"noteIndex":0},"schema":"https://github.com/citation-style-language/schema/raw/master/csl-citation.json"}</w:instrText>
      </w:r>
      <w:r w:rsidR="00004207" w:rsidRPr="00021272">
        <w:rPr>
          <w:rFonts w:ascii="Arial" w:hAnsi="Arial" w:cs="Arial"/>
          <w:sz w:val="24"/>
          <w:szCs w:val="24"/>
        </w:rPr>
        <w:fldChar w:fldCharType="separate"/>
      </w:r>
      <w:r w:rsidR="0032390D" w:rsidRPr="0032390D">
        <w:rPr>
          <w:rFonts w:ascii="Arial" w:hAnsi="Arial" w:cs="Arial"/>
          <w:noProof/>
          <w:sz w:val="24"/>
          <w:szCs w:val="24"/>
        </w:rPr>
        <w:t>(21)</w:t>
      </w:r>
      <w:r w:rsidR="00004207" w:rsidRPr="00021272">
        <w:rPr>
          <w:rFonts w:ascii="Arial" w:hAnsi="Arial" w:cs="Arial"/>
          <w:sz w:val="24"/>
          <w:szCs w:val="24"/>
        </w:rPr>
        <w:fldChar w:fldCharType="end"/>
      </w:r>
      <w:r w:rsidR="00866DB5">
        <w:rPr>
          <w:rFonts w:ascii="Arial" w:hAnsi="Arial" w:cs="Arial"/>
          <w:sz w:val="24"/>
          <w:szCs w:val="24"/>
        </w:rPr>
        <w:t>.</w:t>
      </w:r>
      <w:r w:rsidRPr="00021272">
        <w:rPr>
          <w:rFonts w:ascii="Arial" w:hAnsi="Arial" w:cs="Arial"/>
          <w:sz w:val="24"/>
          <w:szCs w:val="24"/>
        </w:rPr>
        <w:t xml:space="preserve"> </w:t>
      </w:r>
      <w:r w:rsidR="00866DB5">
        <w:rPr>
          <w:rFonts w:ascii="Arial" w:hAnsi="Arial" w:cs="Arial"/>
          <w:sz w:val="24"/>
          <w:szCs w:val="24"/>
        </w:rPr>
        <w:t>A</w:t>
      </w:r>
      <w:r w:rsidR="00995017" w:rsidRPr="00021272">
        <w:rPr>
          <w:rFonts w:ascii="Arial" w:hAnsi="Arial" w:cs="Arial"/>
          <w:sz w:val="24"/>
          <w:szCs w:val="24"/>
        </w:rPr>
        <w:t xml:space="preserve">s </w:t>
      </w:r>
      <w:r w:rsidRPr="00021272">
        <w:rPr>
          <w:rFonts w:ascii="Arial" w:hAnsi="Arial" w:cs="Arial"/>
          <w:sz w:val="24"/>
          <w:szCs w:val="24"/>
        </w:rPr>
        <w:t xml:space="preserve">all subjects </w:t>
      </w:r>
      <w:r w:rsidR="00995017" w:rsidRPr="00021272">
        <w:rPr>
          <w:rFonts w:ascii="Arial" w:hAnsi="Arial" w:cs="Arial"/>
          <w:sz w:val="24"/>
          <w:szCs w:val="24"/>
        </w:rPr>
        <w:t xml:space="preserve">who </w:t>
      </w:r>
      <w:r w:rsidRPr="00021272">
        <w:rPr>
          <w:rFonts w:ascii="Arial" w:hAnsi="Arial" w:cs="Arial"/>
          <w:sz w:val="24"/>
          <w:szCs w:val="24"/>
        </w:rPr>
        <w:t>ha</w:t>
      </w:r>
      <w:r w:rsidR="00866DB5">
        <w:rPr>
          <w:rFonts w:ascii="Arial" w:hAnsi="Arial" w:cs="Arial"/>
          <w:sz w:val="24"/>
          <w:szCs w:val="24"/>
        </w:rPr>
        <w:t>d</w:t>
      </w:r>
      <w:r w:rsidRPr="00021272">
        <w:rPr>
          <w:rFonts w:ascii="Arial" w:hAnsi="Arial" w:cs="Arial"/>
          <w:sz w:val="24"/>
          <w:szCs w:val="24"/>
        </w:rPr>
        <w:t xml:space="preserve"> both received</w:t>
      </w:r>
      <w:r w:rsidR="001A0CF6" w:rsidRPr="00021272">
        <w:rPr>
          <w:rFonts w:ascii="Arial" w:hAnsi="Arial" w:cs="Arial"/>
          <w:sz w:val="24"/>
          <w:szCs w:val="24"/>
        </w:rPr>
        <w:t xml:space="preserve"> vaccination and experienced an</w:t>
      </w:r>
      <w:r w:rsidRPr="00021272">
        <w:rPr>
          <w:rFonts w:ascii="Arial" w:hAnsi="Arial" w:cs="Arial"/>
          <w:sz w:val="24"/>
          <w:szCs w:val="24"/>
        </w:rPr>
        <w:t xml:space="preserve"> IBD flare</w:t>
      </w:r>
      <w:r w:rsidR="00995017" w:rsidRPr="00021272">
        <w:rPr>
          <w:rFonts w:ascii="Arial" w:hAnsi="Arial" w:cs="Arial"/>
          <w:sz w:val="24"/>
          <w:szCs w:val="24"/>
        </w:rPr>
        <w:t xml:space="preserve"> </w:t>
      </w:r>
      <w:r w:rsidR="00866DB5">
        <w:rPr>
          <w:rFonts w:ascii="Arial" w:hAnsi="Arial" w:cs="Arial"/>
          <w:sz w:val="24"/>
          <w:szCs w:val="24"/>
        </w:rPr>
        <w:t>we</w:t>
      </w:r>
      <w:r w:rsidR="00995017" w:rsidRPr="00021272">
        <w:rPr>
          <w:rFonts w:ascii="Arial" w:hAnsi="Arial" w:cs="Arial"/>
          <w:sz w:val="24"/>
          <w:szCs w:val="24"/>
        </w:rPr>
        <w:t xml:space="preserve">re included </w:t>
      </w:r>
      <w:r w:rsidR="00866DB5">
        <w:rPr>
          <w:rFonts w:ascii="Arial" w:hAnsi="Arial" w:cs="Arial"/>
          <w:sz w:val="24"/>
          <w:szCs w:val="24"/>
        </w:rPr>
        <w:t xml:space="preserve">in </w:t>
      </w:r>
      <w:r w:rsidR="00995017" w:rsidRPr="00021272">
        <w:rPr>
          <w:rFonts w:ascii="Arial" w:hAnsi="Arial" w:cs="Arial"/>
          <w:sz w:val="24"/>
          <w:szCs w:val="24"/>
        </w:rPr>
        <w:t>our study</w:t>
      </w:r>
      <w:r w:rsidR="00866DB5">
        <w:rPr>
          <w:rFonts w:ascii="Arial" w:hAnsi="Arial" w:cs="Arial"/>
          <w:sz w:val="24"/>
          <w:szCs w:val="24"/>
        </w:rPr>
        <w:t>, there was</w:t>
      </w:r>
      <w:r w:rsidR="00995017" w:rsidRPr="00021272">
        <w:rPr>
          <w:rFonts w:ascii="Arial" w:hAnsi="Arial" w:cs="Arial"/>
          <w:sz w:val="24"/>
          <w:szCs w:val="24"/>
        </w:rPr>
        <w:t xml:space="preserve"> </w:t>
      </w:r>
      <w:r w:rsidR="00866DB5">
        <w:rPr>
          <w:rFonts w:ascii="Arial" w:hAnsi="Arial" w:cs="Arial"/>
          <w:sz w:val="24"/>
          <w:szCs w:val="24"/>
        </w:rPr>
        <w:t xml:space="preserve">no </w:t>
      </w:r>
      <w:r w:rsidR="00995017" w:rsidRPr="00021272">
        <w:rPr>
          <w:rFonts w:ascii="Arial" w:hAnsi="Arial" w:cs="Arial"/>
          <w:sz w:val="24"/>
          <w:szCs w:val="24"/>
        </w:rPr>
        <w:t>selection bias</w:t>
      </w:r>
      <w:r w:rsidRPr="00021272">
        <w:rPr>
          <w:rFonts w:ascii="Arial" w:hAnsi="Arial" w:cs="Arial"/>
          <w:sz w:val="24"/>
          <w:szCs w:val="24"/>
        </w:rPr>
        <w:t>.</w:t>
      </w:r>
    </w:p>
    <w:p w14:paraId="55CE6B5C" w14:textId="44EB956F" w:rsidR="00866DB5" w:rsidRDefault="00995017" w:rsidP="00866DB5">
      <w:pPr>
        <w:pStyle w:val="BodyText"/>
        <w:spacing w:before="77" w:line="480" w:lineRule="auto"/>
        <w:ind w:right="144"/>
      </w:pPr>
      <w:r w:rsidRPr="00021272">
        <w:t>As with all studies though, ours has limitations. Firstly</w:t>
      </w:r>
      <w:r w:rsidR="00B4669C">
        <w:t>,</w:t>
      </w:r>
      <w:r w:rsidRPr="00021272">
        <w:t xml:space="preserve"> we have been obliged due to a lack of </w:t>
      </w:r>
      <w:r w:rsidR="00866DB5">
        <w:t xml:space="preserve">availability of </w:t>
      </w:r>
      <w:r w:rsidRPr="00021272">
        <w:t xml:space="preserve">linked inpatient data to adjust our flare definition compared to that which we have previously used in a manner which effectively excludes flares presenting first to </w:t>
      </w:r>
      <w:r w:rsidR="00866DB5">
        <w:t xml:space="preserve">hospital </w:t>
      </w:r>
      <w:r w:rsidRPr="00021272">
        <w:t xml:space="preserve">for admission. We have done this because previous experience suggests to us that the recording of hospital admission dates in </w:t>
      </w:r>
      <w:r w:rsidR="00866DB5">
        <w:t>primary-care</w:t>
      </w:r>
      <w:r w:rsidRPr="00021272">
        <w:t xml:space="preserve"> data may not be adequately precise in this setting and could affect results</w:t>
      </w:r>
      <w:r w:rsidR="00866DB5">
        <w:t xml:space="preserve"> by causing misclassification bias </w:t>
      </w:r>
      <w:r w:rsidR="00004207" w:rsidRPr="00021272">
        <w:fldChar w:fldCharType="begin" w:fldLock="1"/>
      </w:r>
      <w:r w:rsidR="003F3F75">
        <w:instrText>ADDIN CSL_CITATION {"citationItems":[{"id":"ITEM-1","itemData":{"DOI":"10.1111/apt.15010","ISSN":"1365-2036","PMID":"30294897","abstract":"BACKGROUND Inflammatory bowel disease (IBD) increases the risk of venous thromboembolism. AIMS To determine when patients are at high risk of thromboembolic events, including after major surgery, and to guide timing of thromboprophylaxis. METHODS Each IBD patient from Clinical Practice Research Datalink, linked with Hospital Episode Statistics, was matched to up to five non-IBD patients in this cohort study. We examined their risk of thromboembolism in hospital and within 6 weeks after leaving hospital, with or without undergoing major surgery, and while ambulant. Hazard ratios were estimated using Cox regression, with adjustment for age, sex, body mass index, smoking and history of malignancy or thromboembolism. RESULTS Overall 23 046 IBD patients had a thromboembolic risk 1.74-times (95% CI = 1.55-1.96) higher than 106 795 non-IBD patients. Among ambulant patients, the thromboembolic risk was raised during acute (hazard ratio = 3.94, 2.79-5.57) or chronic disease activity (3.97, 2.90-5.45) but their absolute risk remained below 5/1000 person-years. The hazard ratio for thromboembolism among in-patients not undergoing major surgery was 1.13 (0.63-2.02), compared to 2.43 (1.20-4.92) among surgical patients, with a near doubling of absolute risk associated with surgery (59.5/1000 person-years, compared with 31.1 without surgery). The absolute risk remained elevated within 6 weeks after leaving hospital (18.6/1000 person-years in IBD patients after surgery). CONCLUSIONS IBD patients are at an increased risk of venous thromboembolism. Absolute risks are raised during active disease, when in hospital, and after leaving hospital following major surgery.","author":[{"dropping-particle":"","family":"Chu","given":"Thomas P C","non-dropping-particle":"","parse-names":false,"suffix":""},{"dropping-particle":"","family":"Grainge","given":"Matthew J","non-dropping-particle":"","parse-names":false,"suffix":""},{"dropping-particle":"","family":"Card","given":"Timothy R","non-dropping-particle":"","parse-names":false,"suffix":""}],"container-title":"Alimentary pharmacology &amp; therapeutics","id":"ITEM-1","issue":"10","issued":{"date-parts":[["2018"]]},"page":"1099-1108","title":"The risk of venous thromboembolism during and after hospitalisation in patients with inflammatory bowel disease activity.","type":"article-journal","volume":"48"},"uris":["http://www.mendeley.com/documents/?uuid=6ad787ff-a331-491c-8f1b-6995eb3e6e4d"]},{"id":"ITEM-2","itemData":{"DOI":"10.1016/S0140-6736(09)61963-2","ISBN":"0140-6736","ISSN":"1474-547X","PMID":"20149425","abstract":"Patients with inflammatory bowel disease who develop deep vein thrombosis or pulmonary embolism often have active disease at the time of thromboembolism. We therefore aimed to quantify the risk of venous thromboembolism prospectively during different activity phases of inflammatory bowel disease.","author":[{"dropping-particle":"","family":"Grainge","given":"Matthew J","non-dropping-particle":"","parse-names":false,"suffix":""},{"dropping-particle":"","family":"West","given":"Joe","non-dropping-particle":"","parse-names":false,"suffix":""},{"dropping-particle":"","family":"Card","given":"Timothy R","non-dropping-particle":"","parse-names":false,"suffix":""}],"container-title":"Lancet","id":"ITEM-2","issue":"9715","issued":{"date-parts":[["2010","3","20"]]},"note":"Venous thromboembolism during active disease and remission in inflammatory bowel disease: a cohort study\nTimes Cited: 0\n:10.1016/s0140-6736(09)61963-2","page":"657-63","title":"Venous thromboembolism during active disease and remission in inflammatory bowel disease: a cohort study.","type":"article-journal","volume":"375"},"uris":["http://www.mendeley.com/documents/?uuid=46c4e58f-7baf-4bca-bb6b-1cc27a9c1adf"]}],"mendeley":{"formattedCitation":"(31,32)","plainTextFormattedCitation":"(31,32)","previouslyFormattedCitation":"(29,30)"},"properties":{"noteIndex":0},"schema":"https://github.com/citation-style-language/schema/raw/master/csl-citation.json"}</w:instrText>
      </w:r>
      <w:r w:rsidR="00004207" w:rsidRPr="00021272">
        <w:rPr>
          <w:vertAlign w:val="superscript"/>
        </w:rPr>
        <w:fldChar w:fldCharType="separate"/>
      </w:r>
      <w:r w:rsidR="003F3F75" w:rsidRPr="003F3F75">
        <w:rPr>
          <w:noProof/>
        </w:rPr>
        <w:t>(31,32)</w:t>
      </w:r>
      <w:r w:rsidR="00004207" w:rsidRPr="00021272">
        <w:fldChar w:fldCharType="end"/>
      </w:r>
      <w:r w:rsidRPr="00021272">
        <w:t xml:space="preserve">. It seems however very unlikely that vaccination would preferentially precipitate this small subset of </w:t>
      </w:r>
      <w:r w:rsidR="00493E07">
        <w:t xml:space="preserve">severe </w:t>
      </w:r>
      <w:r w:rsidRPr="00021272">
        <w:t xml:space="preserve">flares </w:t>
      </w:r>
      <w:r w:rsidR="00493E07">
        <w:t>without any effect on milde</w:t>
      </w:r>
      <w:r w:rsidR="00D10EF2">
        <w:t>r</w:t>
      </w:r>
      <w:r w:rsidR="00493E07">
        <w:t xml:space="preserve"> flares </w:t>
      </w:r>
      <w:r w:rsidRPr="00021272">
        <w:t xml:space="preserve">and so we do not think this will have biased out results. </w:t>
      </w:r>
      <w:r w:rsidR="00866DB5">
        <w:t xml:space="preserve">Similarly, IBD flares that were managed exclusively in hospital out-patient clinics were excluded from this study. However, </w:t>
      </w:r>
      <w:r w:rsidR="00866DB5" w:rsidRPr="00B654EB">
        <w:rPr>
          <w:lang w:val="en-GB"/>
        </w:rPr>
        <w:t>GPs serve as first point of contact for patients with IBD experiencing a flare, and participate in the</w:t>
      </w:r>
      <w:r w:rsidR="00866DB5">
        <w:rPr>
          <w:lang w:val="en-GB"/>
        </w:rPr>
        <w:t>ir</w:t>
      </w:r>
      <w:r w:rsidR="00866DB5" w:rsidRPr="00B654EB">
        <w:rPr>
          <w:lang w:val="en-GB"/>
        </w:rPr>
        <w:t xml:space="preserve"> initial outpatient management, </w:t>
      </w:r>
      <w:r w:rsidR="00CA429B">
        <w:rPr>
          <w:lang w:val="en-GB"/>
        </w:rPr>
        <w:t xml:space="preserve">including with corticosteroid prescription, </w:t>
      </w:r>
      <w:r w:rsidR="00866DB5" w:rsidRPr="00B654EB">
        <w:rPr>
          <w:lang w:val="en-GB"/>
        </w:rPr>
        <w:t>unless the disease flare is severe enough to warrant hospital admission</w:t>
      </w:r>
      <w:r w:rsidR="00EB18A3">
        <w:rPr>
          <w:lang w:val="en-GB"/>
        </w:rPr>
        <w:fldChar w:fldCharType="begin" w:fldLock="1"/>
      </w:r>
      <w:r w:rsidR="003F3F75">
        <w:rPr>
          <w:lang w:val="en-GB"/>
        </w:rPr>
        <w:instrText>ADDIN CSL_CITATION {"citationItems":[{"id":"ITEM-1","itemData":{"DOI":"10.3399/bjgp18X699341","ISSN":"14785242","PMID":"30262630","author":[{"dropping-particle":"","family":"Barrett","given":"Kevin","non-dropping-particle":"","parse-names":false,"suffix":""},{"dropping-particle":"","family":"Saxena","given":"Sonia","non-dropping-particle":"","parse-names":false,"suffix":""},{"dropping-particle":"","family":"Pollok","given":"Richard","non-dropping-particle":"","parse-names":false,"suffix":""}],"container-title":"British Journal of General Practice","id":"ITEM-1","issue":"675","issued":{"date-parts":[["2018"]]},"page":"497-498","title":"Using corticosteroids appropriately in inflammatory bowel disease: A guide for primary care","type":"article-journal","volume":"68"},"uris":["http://www.mendeley.com/documents/?uuid=fe871087-2ae8-46f5-b01b-2b9fb5ca8618"]}],"mendeley":{"formattedCitation":"(33)","plainTextFormattedCitation":"(33)","previouslyFormattedCitation":"(31)"},"properties":{"noteIndex":0},"schema":"https://github.com/citation-style-language/schema/raw/master/csl-citation.json"}</w:instrText>
      </w:r>
      <w:r w:rsidR="00EB18A3">
        <w:rPr>
          <w:lang w:val="en-GB"/>
        </w:rPr>
        <w:fldChar w:fldCharType="separate"/>
      </w:r>
      <w:r w:rsidR="003F3F75" w:rsidRPr="003F3F75">
        <w:rPr>
          <w:noProof/>
          <w:lang w:val="en-GB"/>
        </w:rPr>
        <w:t>(33)</w:t>
      </w:r>
      <w:r w:rsidR="00EB18A3">
        <w:rPr>
          <w:lang w:val="en-GB"/>
        </w:rPr>
        <w:fldChar w:fldCharType="end"/>
      </w:r>
      <w:r w:rsidR="00866DB5" w:rsidRPr="00B654EB">
        <w:rPr>
          <w:lang w:val="en-GB"/>
        </w:rPr>
        <w:t>.</w:t>
      </w:r>
      <w:r w:rsidR="00866DB5">
        <w:rPr>
          <w:lang w:val="en-GB"/>
        </w:rPr>
        <w:t xml:space="preserve"> Any bias from missing data on IBD flares requiring hospitalisation or those that were managed in gastroenterology out-patient clinics</w:t>
      </w:r>
      <w:r w:rsidR="00866DB5">
        <w:t xml:space="preserve"> is unlikely to affect the validity of our findings as any resulting bias will be non-differential in nature. </w:t>
      </w:r>
    </w:p>
    <w:p w14:paraId="05ADC21B" w14:textId="0A6E66F1" w:rsidR="00995017" w:rsidRPr="00021272" w:rsidRDefault="00995017" w:rsidP="000736FB">
      <w:pPr>
        <w:spacing w:line="480" w:lineRule="auto"/>
        <w:rPr>
          <w:rFonts w:ascii="Arial" w:hAnsi="Arial" w:cs="Arial"/>
          <w:sz w:val="24"/>
          <w:szCs w:val="24"/>
        </w:rPr>
      </w:pPr>
      <w:r w:rsidRPr="00021272">
        <w:rPr>
          <w:rFonts w:ascii="Arial" w:hAnsi="Arial" w:cs="Arial"/>
          <w:sz w:val="24"/>
          <w:szCs w:val="24"/>
        </w:rPr>
        <w:lastRenderedPageBreak/>
        <w:t xml:space="preserve">Secondly as general practice records </w:t>
      </w:r>
      <w:r w:rsidR="00866DB5">
        <w:rPr>
          <w:rFonts w:ascii="Arial" w:hAnsi="Arial" w:cs="Arial"/>
          <w:sz w:val="24"/>
          <w:szCs w:val="24"/>
        </w:rPr>
        <w:t>do</w:t>
      </w:r>
      <w:r w:rsidRPr="00021272">
        <w:rPr>
          <w:rFonts w:ascii="Arial" w:hAnsi="Arial" w:cs="Arial"/>
          <w:sz w:val="24"/>
          <w:szCs w:val="24"/>
        </w:rPr>
        <w:t xml:space="preserve"> not reliably code for biologics</w:t>
      </w:r>
      <w:r w:rsidR="001A0CF6" w:rsidRPr="00021272">
        <w:rPr>
          <w:rFonts w:ascii="Arial" w:hAnsi="Arial" w:cs="Arial"/>
          <w:sz w:val="24"/>
          <w:szCs w:val="24"/>
        </w:rPr>
        <w:t>,</w:t>
      </w:r>
      <w:r w:rsidRPr="00021272">
        <w:rPr>
          <w:rFonts w:ascii="Arial" w:hAnsi="Arial" w:cs="Arial"/>
          <w:sz w:val="24"/>
          <w:szCs w:val="24"/>
        </w:rPr>
        <w:t xml:space="preserve"> we are unable to examine whether the subset of patients receiving them have an altered risk of adverse effects from vaccination</w:t>
      </w:r>
      <w:r w:rsidR="001A0CF6" w:rsidRPr="00021272">
        <w:rPr>
          <w:rFonts w:ascii="Arial" w:hAnsi="Arial" w:cs="Arial"/>
          <w:sz w:val="24"/>
          <w:szCs w:val="24"/>
        </w:rPr>
        <w:t>.</w:t>
      </w:r>
      <w:r w:rsidRPr="00021272">
        <w:rPr>
          <w:rFonts w:ascii="Arial" w:hAnsi="Arial" w:cs="Arial"/>
          <w:sz w:val="24"/>
          <w:szCs w:val="24"/>
        </w:rPr>
        <w:t xml:space="preserve"> </w:t>
      </w:r>
      <w:r w:rsidR="001A0CF6" w:rsidRPr="00021272">
        <w:rPr>
          <w:rFonts w:ascii="Arial" w:hAnsi="Arial" w:cs="Arial"/>
          <w:sz w:val="24"/>
          <w:szCs w:val="24"/>
        </w:rPr>
        <w:t>W</w:t>
      </w:r>
      <w:r w:rsidRPr="00021272">
        <w:rPr>
          <w:rFonts w:ascii="Arial" w:hAnsi="Arial" w:cs="Arial"/>
          <w:sz w:val="24"/>
          <w:szCs w:val="24"/>
        </w:rPr>
        <w:t>e see no reason though to expect more extreme immunologically driven side effects in these groups in whom the vaccine is less immunogenic</w:t>
      </w:r>
      <w:r w:rsidR="006A08B8" w:rsidRPr="00021272">
        <w:rPr>
          <w:rFonts w:ascii="Arial" w:hAnsi="Arial" w:cs="Arial"/>
          <w:sz w:val="24"/>
          <w:szCs w:val="24"/>
        </w:rPr>
        <w:fldChar w:fldCharType="begin" w:fldLock="1"/>
      </w:r>
      <w:r w:rsidR="00EB18A3">
        <w:rPr>
          <w:rFonts w:ascii="Arial" w:hAnsi="Arial" w:cs="Arial"/>
          <w:sz w:val="24"/>
          <w:szCs w:val="24"/>
        </w:rPr>
        <w:instrText>ADDIN CSL_CITATION {"citationItems":[{"id":"ITEM-1","itemData":{"DOI":"10.7326/M21-2483","ISSN":"1539-3704","PMID":"34633830","author":[{"dropping-particle":"","family":"Melmed","given":"Gil Y","non-dropping-particle":"","parse-names":false,"suffix":""},{"dropping-particle":"","family":"Botwin","given":"Gregory J","non-dropping-particle":"","parse-names":false,"suffix":""},{"dropping-particle":"","family":"Sobhani","given":"Kimia","non-dropping-particle":"","parse-names":false,"suffix":""},{"dropping-particle":"","family":"Li","given":"Dalin","non-dropping-particle":"","parse-names":false,"suffix":""},{"dropping-particle":"","family":"Prostko","given":"John","non-dropping-particle":"","parse-names":false,"suffix":""},{"dropping-particle":"","family":"Figueiredo","given":"Jane","non-dropping-particle":"","parse-names":false,"suffix":""},{"dropping-particle":"","family":"Cheng","given":"Susan","non-dropping-particle":"","parse-names":false,"suffix":""},{"dropping-particle":"","family":"Braun","given":"Jonathan","non-dropping-particle":"","parse-names":false,"suffix":""},{"dropping-particle":"","family":"McGovern","given":"Dermot P B","non-dropping-particle":"","parse-names":false,"suffix":""}],"container-title":"Annals of internal medicine","id":"ITEM-1","issue":"12","issued":{"date-parts":[["2021"]]},"page":"1768-1770","title":"Antibody Responses After SARS-CoV-2 mRNA Vaccination in Adults With Inflammatory Bowel Disease.","type":"article-journal","volume":"174"},"uris":["http://www.mendeley.com/documents/?uuid=1a0bcd88-c5eb-4d19-af5c-db1cd87425de"]},{"id":"ITEM-2","itemData":{"DOI":"10.1136/gutjnl-2021-324789","ISSN":"14683288","PMID":"33903149","abstract":"Objective Delayed second dose SARS-CoV-2 vaccination trades maximal effectiveness for a lower level of immunity across more of the population. We investigated whether patients with inflammatory bowel disease treated with infliximab have attenuated serological responses to a single dose of a SARS-CoV-2 vaccine. Design Antibody responses and seroconversion rates in infliximab-treated patients (n=865) were compared with a cohort treated with vedolizumab (n=428), a gut-selective anti-integrin α4β7 monoclonal antibody. Our primary outcome was anti-SARS-CoV-2 spike (S) antibody concentrations, measured using the Elecsys anti-SARS-CoV-2 spike (S) antibody assay 3-10 weeks after vaccination, in patients without evidence of prior infection. Secondary outcomes were seroconversion rates (defined by a cut-off of 15 U/mL), and antibody responses following past infection or a second dose of the BNT162b2 vaccine. Results Geometric mean (SD) anti-SARS-CoV-2 antibody concentrations were lower in patients treated with infliximab than vedolizumab, following BNT162b2 (6.0 U/mL (5.9) vs 28.8 U/mL (5.4) p&lt;0.0001) and ChAdOx1 nCoV-19 (4.7 U/mL (4.9)) vs 13.8 U/mL (5.9) p&lt;0.0001) vaccines. In our multivariable models, antibody concentrations were lower in infliximab-treated compared with vedolizumab-treated patients who received the BNT162b2 (fold change (FC) 0.29 (95% CI 0.21 to 0.40), p&lt;0.0001) and ChAdOx1 nCoV-19 (FC 0.39 (95% CI 0.30 to 0.51), p&lt;0.0001) vaccines. In both models, age ≥60 years, immunomodulator use, Crohn's disease and smoking were associated with lower, while non-white ethnicity was associated with higher, anti-SARS-CoV-2 antibody concentrations. Seroconversion rates after a single dose of either vaccine were higher in patients with prior SARS-CoV-2 infection and after two doses of BNT162b2 vaccine. Conclusion Infliximab is associated with attenuated immunogenicity to a single dose of the BNT162b2 and ChAdOx1 nCoV-19 SARS-CoV-2 vaccines. Vaccination after SARS-CoV-2 infection, or a second dose of vaccine, led to seroconversion in most patients. Delayed second dosing should be avoided in patients treated with infliximab. Trial registration number ISRCTN45176516.","author":[{"dropping-particle":"","family":"Kennedy","given":"Nicholas A.","non-dropping-particle":"","parse-names":false,"suffix":""},{"dropping-particle":"","family":"Lin","given":"Simeng","non-dropping-particle":"","parse-names":false,"suffix":""},{"dropping-particle":"","family":"Goodhand","given":"James R.","non-dropping-particle":"","parse-names":false,"suffix":""},{"dropping-particle":"","family":"Chanchlani","given":"Neil","non-dropping-particle":"","parse-names":false,"suffix":""},{"dropping-particle":"","family":"Hamilton","given":"Benjamin","non-dropping-particle":"","parse-names":false,"suffix":""},{"dropping-particle":"","family":"Bewshea","given":"Claire","non-dropping-particle":"","parse-names":false,"suffix":""},{"dropping-particle":"","family":"Nice","given":"Rachel","non-dropping-particle":"","parse-names":false,"suffix":""},{"dropping-particle":"","family":"Chee","given":"Desmond","non-dropping-particle":"","parse-names":false,"suffix":""},{"dropping-particle":"","family":"Cummings","given":"J. R.Fraser","non-dropping-particle":"","parse-names":false,"suffix":""},{"dropping-particle":"","family":"Fraser","given":"Aileen","non-dropping-particle":"","parse-names":false,"suffix":""},{"dropping-particle":"","family":"Irving","given":"Peter M.","non-dropping-particle":"","parse-names":false,"suffix":""},{"dropping-particle":"","family":"Kamperidis","given":"Nikolaos","non-dropping-particle":"","parse-names":false,"suffix":""},{"dropping-particle":"","family":"Kok","given":"Klaartje B.","non-dropping-particle":"","parse-names":false,"suffix":""},{"dropping-particle":"","family":"Lamb","given":"Christopher Andrew","non-dropping-particle":"","parse-names":false,"suffix":""},{"dropping-particle":"","family":"Macdonald","given":"Jonathan","non-dropping-particle":"","parse-names":false,"suffix":""},{"dropping-particle":"","family":"Mehta","given":"Shameer","non-dropping-particle":"","parse-names":false,"suffix":""},{"dropping-particle":"","family":"Pollok","given":"Richard C.G.","non-dropping-particle":"","parse-names":false,"suffix":""},{"dropping-particle":"","family":"Raine","given":"Tim","non-dropping-particle":"","parse-names":false,"suffix":""},{"dropping-particle":"","family":"Smith","given":"Philip J.","non-dropping-particle":"","parse-names":false,"suffix":""},{"dropping-particle":"","family":"Verma","given":"Ajay Mark","non-dropping-particle":"","parse-names":false,"suffix":""},{"dropping-particle":"","family":"Jochum","given":"Simon","non-dropping-particle":"","parse-names":false,"suffix":""},{"dropping-particle":"","family":"McDonald","given":"Timothy J.","non-dropping-particle":"","parse-names":false,"suffix":""},{"dropping-particle":"","family":"Sebastian","given":"Shaji","non-dropping-particle":"","parse-names":false,"suffix":""},{"dropping-particle":"","family":"Lees","given":"Charlie W.","non-dropping-particle":"","parse-names":false,"suffix":""},{"dropping-particle":"","family":"Powell","given":"Nick","non-dropping-particle":"","parse-names":false,"suffix":""},{"dropping-particle":"","family":"Ahmad","given":"Tariq","non-dropping-particle":"","parse-names":false,"suffix":""}],"container-title":"Gut","id":"ITEM-2","issue":"10","issued":{"date-parts":[["2021","10","1"]]},"page":"1884-1893","publisher":"BMJ Publishing Group","title":"Infliximab is associated with attenuated immunogenicity to BNT162b2 and ChAdOx1 nCoV-19 SARS-CoV-2 vaccines in patients with IBD","type":"article-journal","volume":"70"},"uris":["http://www.mendeley.com/documents/?uuid=57abc301-1174-4c34-8037-6c9c0ec88b8a"]}],"mendeley":{"formattedCitation":"(17,18)","plainTextFormattedCitation":"(17,18)","previouslyFormattedCitation":"(17,18)"},"properties":{"noteIndex":0},"schema":"https://github.com/citation-style-language/schema/raw/master/csl-citation.json"}</w:instrText>
      </w:r>
      <w:r w:rsidR="006A08B8" w:rsidRPr="00021272">
        <w:rPr>
          <w:rFonts w:ascii="Arial" w:hAnsi="Arial" w:cs="Arial"/>
          <w:sz w:val="24"/>
          <w:szCs w:val="24"/>
        </w:rPr>
        <w:fldChar w:fldCharType="separate"/>
      </w:r>
      <w:r w:rsidR="00EB18A3" w:rsidRPr="00EB18A3">
        <w:rPr>
          <w:rFonts w:ascii="Arial" w:hAnsi="Arial" w:cs="Arial"/>
          <w:noProof/>
          <w:sz w:val="24"/>
          <w:szCs w:val="24"/>
        </w:rPr>
        <w:t>(17,18)</w:t>
      </w:r>
      <w:r w:rsidR="006A08B8" w:rsidRPr="00021272">
        <w:rPr>
          <w:rFonts w:ascii="Arial" w:hAnsi="Arial" w:cs="Arial"/>
          <w:sz w:val="24"/>
          <w:szCs w:val="24"/>
        </w:rPr>
        <w:fldChar w:fldCharType="end"/>
      </w:r>
      <w:r w:rsidRPr="00021272">
        <w:rPr>
          <w:rFonts w:ascii="Arial" w:hAnsi="Arial" w:cs="Arial"/>
          <w:sz w:val="24"/>
          <w:szCs w:val="24"/>
        </w:rPr>
        <w:t>. Similarly</w:t>
      </w:r>
      <w:r w:rsidR="00EC0673">
        <w:rPr>
          <w:rFonts w:ascii="Arial" w:hAnsi="Arial" w:cs="Arial"/>
          <w:sz w:val="24"/>
          <w:szCs w:val="24"/>
        </w:rPr>
        <w:t>,</w:t>
      </w:r>
      <w:r w:rsidRPr="00021272">
        <w:rPr>
          <w:rFonts w:ascii="Arial" w:hAnsi="Arial" w:cs="Arial"/>
          <w:sz w:val="24"/>
          <w:szCs w:val="24"/>
        </w:rPr>
        <w:t xml:space="preserve"> we are unable to examine subgroups by the </w:t>
      </w:r>
      <w:r w:rsidRPr="003F3F75">
        <w:rPr>
          <w:rFonts w:ascii="Arial" w:hAnsi="Arial" w:cs="Arial"/>
          <w:sz w:val="24"/>
          <w:szCs w:val="24"/>
        </w:rPr>
        <w:t xml:space="preserve">extent or distribution of IBD as this information is not in general coded in </w:t>
      </w:r>
      <w:r w:rsidR="00866DB5" w:rsidRPr="003F3F75">
        <w:rPr>
          <w:rFonts w:ascii="Arial" w:hAnsi="Arial" w:cs="Arial"/>
          <w:sz w:val="24"/>
          <w:szCs w:val="24"/>
        </w:rPr>
        <w:t>primary-care</w:t>
      </w:r>
      <w:r w:rsidRPr="003F3F75">
        <w:rPr>
          <w:rFonts w:ascii="Arial" w:hAnsi="Arial" w:cs="Arial"/>
          <w:sz w:val="24"/>
          <w:szCs w:val="24"/>
        </w:rPr>
        <w:t xml:space="preserve"> records. Again</w:t>
      </w:r>
      <w:r w:rsidR="00EC0673" w:rsidRPr="003F3F75">
        <w:rPr>
          <w:rFonts w:ascii="Arial" w:hAnsi="Arial" w:cs="Arial"/>
          <w:sz w:val="24"/>
          <w:szCs w:val="24"/>
        </w:rPr>
        <w:t>,</w:t>
      </w:r>
      <w:r w:rsidRPr="00BD06E9">
        <w:rPr>
          <w:rFonts w:ascii="Arial" w:hAnsi="Arial" w:cs="Arial"/>
          <w:sz w:val="24"/>
          <w:szCs w:val="24"/>
        </w:rPr>
        <w:t xml:space="preserve"> we see no reason to believe though that the effect of the vaccine in this regar</w:t>
      </w:r>
      <w:r w:rsidRPr="004D5231">
        <w:rPr>
          <w:rFonts w:ascii="Arial" w:hAnsi="Arial" w:cs="Arial"/>
          <w:sz w:val="24"/>
          <w:szCs w:val="24"/>
        </w:rPr>
        <w:t>d would be differential between these groups.</w:t>
      </w:r>
      <w:r w:rsidR="006A08B8" w:rsidRPr="004D5231">
        <w:rPr>
          <w:rFonts w:ascii="Arial" w:hAnsi="Arial" w:cs="Arial"/>
          <w:sz w:val="24"/>
          <w:szCs w:val="24"/>
        </w:rPr>
        <w:t xml:space="preserve"> Another limitation of our method is that since we require steroid prescription to define flare it is possible that there may be an association with more minor flares treated with 5-aminosalicylates alone. Thoug</w:t>
      </w:r>
      <w:r w:rsidR="006A08B8" w:rsidRPr="00FE364A">
        <w:rPr>
          <w:rFonts w:ascii="Arial" w:hAnsi="Arial" w:cs="Arial"/>
          <w:sz w:val="24"/>
          <w:szCs w:val="24"/>
        </w:rPr>
        <w:t>h we cannot exclude this we feel that such minor effects would be unlikely to greatly discourage vaccination uptake and that it is the more significant flares which we have studies which are the primary concern.</w:t>
      </w:r>
      <w:r w:rsidR="00A04918" w:rsidRPr="00FE364A">
        <w:rPr>
          <w:rFonts w:ascii="Arial" w:hAnsi="Arial" w:cs="Arial"/>
          <w:sz w:val="24"/>
          <w:szCs w:val="24"/>
        </w:rPr>
        <w:t xml:space="preserve"> </w:t>
      </w:r>
      <w:r w:rsidR="00866DB5" w:rsidRPr="00F15649">
        <w:rPr>
          <w:rFonts w:ascii="Arial" w:hAnsi="Arial" w:cs="Arial"/>
          <w:sz w:val="24"/>
          <w:szCs w:val="24"/>
        </w:rPr>
        <w:t xml:space="preserve">Patients that experience an IBD flare soon after vaccination against COVID-19 may be discouraged from seeking future vaccinations against COVID-19. This has the potential to bias any association between vaccination and disease flare when data from multiple vaccinations are analyzed together. To minimize such a bias, we presented data on association between vaccination and disease flares according to sequential vaccine doses. Furthermore, our results show that IBD flares temporally associated with first dose of vaccination against COVID-19 did not deter patients from getting further vaccinations against COVID-19. </w:t>
      </w:r>
      <w:r w:rsidR="00A04918" w:rsidRPr="003F3F75">
        <w:rPr>
          <w:rFonts w:ascii="Arial" w:hAnsi="Arial" w:cs="Arial"/>
          <w:sz w:val="24"/>
          <w:szCs w:val="24"/>
        </w:rPr>
        <w:t>Finally</w:t>
      </w:r>
      <w:r w:rsidR="008F5E96" w:rsidRPr="003F3F75">
        <w:rPr>
          <w:rFonts w:ascii="Arial" w:hAnsi="Arial" w:cs="Arial"/>
          <w:sz w:val="24"/>
          <w:szCs w:val="24"/>
        </w:rPr>
        <w:t>,</w:t>
      </w:r>
      <w:r w:rsidR="00A04918" w:rsidRPr="003F3F75">
        <w:rPr>
          <w:rFonts w:ascii="Arial" w:hAnsi="Arial" w:cs="Arial"/>
          <w:sz w:val="24"/>
          <w:szCs w:val="24"/>
        </w:rPr>
        <w:t xml:space="preserve"> we can of course study only the vaccinations which have been widely used in the UK NHS as we have no data relevant to other vaccine</w:t>
      </w:r>
      <w:r w:rsidR="00866DB5" w:rsidRPr="003F3F75">
        <w:rPr>
          <w:rFonts w:ascii="Arial" w:hAnsi="Arial" w:cs="Arial"/>
          <w:sz w:val="24"/>
          <w:szCs w:val="24"/>
        </w:rPr>
        <w:t xml:space="preserve"> technologie</w:t>
      </w:r>
      <w:r w:rsidR="00A04918" w:rsidRPr="003F3F75">
        <w:rPr>
          <w:rFonts w:ascii="Arial" w:hAnsi="Arial" w:cs="Arial"/>
          <w:sz w:val="24"/>
          <w:szCs w:val="24"/>
        </w:rPr>
        <w:t>s which may limit the generalisability o</w:t>
      </w:r>
      <w:r w:rsidR="00A04918" w:rsidRPr="00BD06E9">
        <w:rPr>
          <w:rFonts w:ascii="Arial" w:hAnsi="Arial" w:cs="Arial"/>
          <w:sz w:val="24"/>
          <w:szCs w:val="24"/>
        </w:rPr>
        <w:t>f our findings in settings where other vaccine</w:t>
      </w:r>
      <w:r w:rsidR="00866DB5" w:rsidRPr="004D5231">
        <w:rPr>
          <w:rFonts w:ascii="Arial" w:hAnsi="Arial" w:cs="Arial"/>
          <w:sz w:val="24"/>
          <w:szCs w:val="24"/>
        </w:rPr>
        <w:t xml:space="preserve"> technologie</w:t>
      </w:r>
      <w:r w:rsidR="00A04918" w:rsidRPr="004D5231">
        <w:rPr>
          <w:rFonts w:ascii="Arial" w:hAnsi="Arial" w:cs="Arial"/>
          <w:sz w:val="24"/>
          <w:szCs w:val="24"/>
        </w:rPr>
        <w:t>s are in use.</w:t>
      </w:r>
      <w:r w:rsidR="00A04918" w:rsidRPr="00021272">
        <w:rPr>
          <w:rFonts w:ascii="Arial" w:hAnsi="Arial" w:cs="Arial"/>
          <w:sz w:val="24"/>
          <w:szCs w:val="24"/>
        </w:rPr>
        <w:t xml:space="preserve"> </w:t>
      </w:r>
    </w:p>
    <w:p w14:paraId="08350E6A" w14:textId="19C381CA" w:rsidR="00A04918" w:rsidRPr="00021272" w:rsidRDefault="00C74F2F" w:rsidP="000736FB">
      <w:pPr>
        <w:spacing w:line="480" w:lineRule="auto"/>
        <w:rPr>
          <w:rFonts w:ascii="Arial" w:hAnsi="Arial" w:cs="Arial"/>
          <w:sz w:val="24"/>
          <w:szCs w:val="24"/>
        </w:rPr>
      </w:pPr>
      <w:r w:rsidRPr="00480A18">
        <w:rPr>
          <w:rFonts w:ascii="Arial" w:hAnsi="Arial" w:cs="Arial"/>
          <w:i/>
          <w:sz w:val="24"/>
          <w:szCs w:val="24"/>
        </w:rPr>
        <w:lastRenderedPageBreak/>
        <w:t>Research in context:</w:t>
      </w:r>
      <w:r>
        <w:rPr>
          <w:rFonts w:ascii="Arial" w:hAnsi="Arial" w:cs="Arial"/>
          <w:sz w:val="24"/>
          <w:szCs w:val="24"/>
        </w:rPr>
        <w:t xml:space="preserve"> </w:t>
      </w:r>
      <w:r w:rsidR="00004207" w:rsidRPr="00021272">
        <w:rPr>
          <w:rFonts w:ascii="Arial" w:hAnsi="Arial" w:cs="Arial"/>
          <w:sz w:val="24"/>
          <w:szCs w:val="24"/>
        </w:rPr>
        <w:t xml:space="preserve">Our findings are consistent with </w:t>
      </w:r>
      <w:r w:rsidR="000F0F39" w:rsidRPr="00021272">
        <w:rPr>
          <w:rFonts w:ascii="Arial" w:hAnsi="Arial" w:cs="Arial"/>
          <w:sz w:val="24"/>
          <w:szCs w:val="24"/>
        </w:rPr>
        <w:t>those of the recent meta-analysis of studies of the safety of SARS-CoV-2 vaccination in IBD patients</w:t>
      </w:r>
      <w:r w:rsidR="000F0F39" w:rsidRPr="00021272">
        <w:rPr>
          <w:rFonts w:ascii="Arial" w:hAnsi="Arial" w:cs="Arial"/>
          <w:sz w:val="24"/>
          <w:szCs w:val="24"/>
        </w:rPr>
        <w:fldChar w:fldCharType="begin" w:fldLock="1"/>
      </w:r>
      <w:r w:rsidR="003F3F75">
        <w:rPr>
          <w:rFonts w:ascii="Arial" w:hAnsi="Arial" w:cs="Arial"/>
          <w:sz w:val="24"/>
          <w:szCs w:val="24"/>
        </w:rPr>
        <w:instrText>ADDIN CSL_CITATION {"citationItems":[{"id":"ITEM-1","itemData":{"DOI":"10.1016/j.dld.2022.03.005","ISSN":"15908658","PMID":"35382972","abstract":"INTRODUCTION Risk of adverse effects and flare of inflammatory bowel disease (IBD) are frequently cited reasons for COVID-19 vaccine hesitancy. METHODS Electronic databases were searched to identify studies reporting the use of COVID-19 vaccine in IBD. We selected studies reporting the incidence of various adverse effects (local or systemic) and flares of IBD after COVID-19 vaccination. The pooled incidence rates for various adverse effects, stratified for the dose and the type of vaccine (adenoviral or mRNA) were estimated. RESULTS Nine studies (16 vaccination cohorts) were included. The pooled incidence rate of overall adverse events was 0.55 (95%CI, 0.45-0.64, I2= 95%). The pooled incidence rate of local adverse events was 0.64 (0.47-0.78, I2= 100%). The pooled incidence rates of fatigue, headache, myalgia, fever and chills were 0.30 (0.21-0.40, I2= 99%), 0.23 (0.17-0.30, I2= 99%), 0.18 (0.13-0.24, I2= 99%), 0.10 (0.06-0.17, I2= 98%) and 0.15 (0.06-0.3, I2= 86%), respectively. The pooled incidence rates of severe adverse events, adverse events requiring hospitalization and flares of IBD following COVID-19 vaccination were 0.02 (0.00-0.12, I2= 97%), 0.00 (0.00-0.01, I2= 27%) and 0.01 (0.01-0.03, I2= 45%), respectively. CONCLUSION COVID-19 vaccination in patients with IBD appears to be safe with only mild adverse events. Flares of IBD and severe adverse events requiring hospitalization were infrequent.","author":[{"dropping-particle":"","family":"James","given":"Deepak","non-dropping-particle":"","parse-names":false,"suffix":""},{"dropping-particle":"","family":"Jena","given":"Anuraag","non-dropping-particle":"","parse-names":false,"suffix":""},{"dropping-particle":"","family":"Bharath","given":"Pardhu Neelam","non-dropping-particle":"","parse-names":false,"suffix":""},{"dropping-particle":"","family":"Choudhury","given":"Arup","non-dropping-particle":"","parse-names":false,"suffix":""},{"dropping-particle":"","family":"Singh","given":"Anupam K","non-dropping-particle":"","parse-names":false,"suffix":""},{"dropping-particle":"","family":"Sebastian","given":"Shaji","non-dropping-particle":"","parse-names":false,"suffix":""},{"dropping-particle":"","family":"Sharma","given":"Vishal","non-dropping-particle":"","parse-names":false,"suffix":""}],"container-title":"Digestive and Liver Disease","id":"ITEM-1","issue":"6","issued":{"date-parts":[["2022","6","22"]]},"page":"713-721","title":"Safety of SARS-CoV-2 vaccination in patients with inflammatory bowel disease: A systematic review and meta-analysis","type":"article-journal","volume":"54"},"uris":["http://www.mendeley.com/documents/?uuid=154476bb-dc8a-49bd-809e-af25750a849c"]}],"mendeley":{"formattedCitation":"(34)","plainTextFormattedCitation":"(34)","previouslyFormattedCitation":"(32)"},"properties":{"noteIndex":0},"schema":"https://github.com/citation-style-language/schema/raw/master/csl-citation.json"}</w:instrText>
      </w:r>
      <w:r w:rsidR="000F0F39" w:rsidRPr="00021272">
        <w:rPr>
          <w:rFonts w:ascii="Arial" w:hAnsi="Arial" w:cs="Arial"/>
          <w:sz w:val="24"/>
          <w:szCs w:val="24"/>
          <w:vertAlign w:val="superscript"/>
        </w:rPr>
        <w:fldChar w:fldCharType="separate"/>
      </w:r>
      <w:r w:rsidR="003F3F75" w:rsidRPr="003F3F75">
        <w:rPr>
          <w:rFonts w:ascii="Arial" w:hAnsi="Arial" w:cs="Arial"/>
          <w:noProof/>
          <w:sz w:val="24"/>
          <w:szCs w:val="24"/>
        </w:rPr>
        <w:t>(34)</w:t>
      </w:r>
      <w:r w:rsidR="000F0F39" w:rsidRPr="00021272">
        <w:rPr>
          <w:rFonts w:ascii="Arial" w:hAnsi="Arial" w:cs="Arial"/>
          <w:sz w:val="24"/>
          <w:szCs w:val="24"/>
        </w:rPr>
        <w:fldChar w:fldCharType="end"/>
      </w:r>
      <w:r w:rsidR="000F0F39" w:rsidRPr="00021272">
        <w:rPr>
          <w:rFonts w:ascii="Arial" w:hAnsi="Arial" w:cs="Arial"/>
          <w:sz w:val="24"/>
          <w:szCs w:val="24"/>
        </w:rPr>
        <w:t xml:space="preserve">, showing as they do no increase in flare risk. In contrast to the </w:t>
      </w:r>
      <w:r w:rsidR="00866DB5">
        <w:rPr>
          <w:rFonts w:ascii="Arial" w:hAnsi="Arial" w:cs="Arial"/>
          <w:sz w:val="24"/>
          <w:szCs w:val="24"/>
        </w:rPr>
        <w:t>six</w:t>
      </w:r>
      <w:r w:rsidR="000F0F39" w:rsidRPr="00021272">
        <w:rPr>
          <w:rFonts w:ascii="Arial" w:hAnsi="Arial" w:cs="Arial"/>
          <w:sz w:val="24"/>
          <w:szCs w:val="24"/>
        </w:rPr>
        <w:t xml:space="preserve"> small cohorts comprising 4537 patients </w:t>
      </w:r>
      <w:r w:rsidR="001A0CF6" w:rsidRPr="00021272">
        <w:rPr>
          <w:rFonts w:ascii="Arial" w:hAnsi="Arial" w:cs="Arial"/>
          <w:sz w:val="24"/>
          <w:szCs w:val="24"/>
        </w:rPr>
        <w:t xml:space="preserve">and 75 flares </w:t>
      </w:r>
      <w:r w:rsidR="000F0F39" w:rsidRPr="00021272">
        <w:rPr>
          <w:rFonts w:ascii="Arial" w:hAnsi="Arial" w:cs="Arial"/>
          <w:sz w:val="24"/>
          <w:szCs w:val="24"/>
        </w:rPr>
        <w:t>reported there though, our report represents the experience of 73,626 IBD patients with documented vaccination among whom 1,940 experienced a flare at some time during the study period.</w:t>
      </w:r>
      <w:r w:rsidR="00900D3C" w:rsidRPr="00021272">
        <w:rPr>
          <w:rFonts w:ascii="Arial" w:hAnsi="Arial" w:cs="Arial"/>
          <w:sz w:val="24"/>
          <w:szCs w:val="24"/>
        </w:rPr>
        <w:t xml:space="preserve"> In addition rather than reporting the absolute flare incidence post vaccination (flare probability 0.01 (95% CI 0.01-0.03)</w:t>
      </w:r>
      <w:r w:rsidR="001A0CF6" w:rsidRPr="00021272">
        <w:rPr>
          <w:rFonts w:ascii="Arial" w:hAnsi="Arial" w:cs="Arial"/>
          <w:sz w:val="24"/>
          <w:szCs w:val="24"/>
        </w:rPr>
        <w:fldChar w:fldCharType="begin" w:fldLock="1"/>
      </w:r>
      <w:r w:rsidR="003F3F75">
        <w:rPr>
          <w:rFonts w:ascii="Arial" w:hAnsi="Arial" w:cs="Arial"/>
          <w:sz w:val="24"/>
          <w:szCs w:val="24"/>
        </w:rPr>
        <w:instrText>ADDIN CSL_CITATION {"citationItems":[{"id":"ITEM-1","itemData":{"DOI":"10.1016/j.dld.2022.03.005","ISSN":"15908658","PMID":"35382972","abstract":"INTRODUCTION Risk of adverse effects and flare of inflammatory bowel disease (IBD) are frequently cited reasons for COVID-19 vaccine hesitancy. METHODS Electronic databases were searched to identify studies reporting the use of COVID-19 vaccine in IBD. We selected studies reporting the incidence of various adverse effects (local or systemic) and flares of IBD after COVID-19 vaccination. The pooled incidence rates for various adverse effects, stratified for the dose and the type of vaccine (adenoviral or mRNA) were estimated. RESULTS Nine studies (16 vaccination cohorts) were included. The pooled incidence rate of overall adverse events was 0.55 (95%CI, 0.45-0.64, I2= 95%). The pooled incidence rate of local adverse events was 0.64 (0.47-0.78, I2= 100%). The pooled incidence rates of fatigue, headache, myalgia, fever and chills were 0.30 (0.21-0.40, I2= 99%), 0.23 (0.17-0.30, I2= 99%), 0.18 (0.13-0.24, I2= 99%), 0.10 (0.06-0.17, I2= 98%) and 0.15 (0.06-0.3, I2= 86%), respectively. The pooled incidence rates of severe adverse events, adverse events requiring hospitalization and flares of IBD following COVID-19 vaccination were 0.02 (0.00-0.12, I2= 97%), 0.00 (0.00-0.01, I2= 27%) and 0.01 (0.01-0.03, I2= 45%), respectively. CONCLUSION COVID-19 vaccination in patients with IBD appears to be safe with only mild adverse events. Flares of IBD and severe adverse events requiring hospitalization were infrequent.","author":[{"dropping-particle":"","family":"James","given":"Deepak","non-dropping-particle":"","parse-names":false,"suffix":""},{"dropping-particle":"","family":"Jena","given":"Anuraag","non-dropping-particle":"","parse-names":false,"suffix":""},{"dropping-particle":"","family":"Bharath","given":"Pardhu Neelam","non-dropping-particle":"","parse-names":false,"suffix":""},{"dropping-particle":"","family":"Choudhury","given":"Arup","non-dropping-particle":"","parse-names":false,"suffix":""},{"dropping-particle":"","family":"Singh","given":"Anupam K","non-dropping-particle":"","parse-names":false,"suffix":""},{"dropping-particle":"","family":"Sebastian","given":"Shaji","non-dropping-particle":"","parse-names":false,"suffix":""},{"dropping-particle":"","family":"Sharma","given":"Vishal","non-dropping-particle":"","parse-names":false,"suffix":""}],"container-title":"Digestive and Liver Disease","id":"ITEM-1","issue":"6","issued":{"date-parts":[["2022","6","22"]]},"page":"713-721","title":"Safety of SARS-CoV-2 vaccination in patients with inflammatory bowel disease: A systematic review and meta-analysis","type":"article-journal","volume":"54"},"uris":["http://www.mendeley.com/documents/?uuid=154476bb-dc8a-49bd-809e-af25750a849c"]}],"mendeley":{"formattedCitation":"(34)","plainTextFormattedCitation":"(34)","previouslyFormattedCitation":"(32)"},"properties":{"noteIndex":0},"schema":"https://github.com/citation-style-language/schema/raw/master/csl-citation.json"}</w:instrText>
      </w:r>
      <w:r w:rsidR="001A0CF6" w:rsidRPr="00021272">
        <w:rPr>
          <w:rFonts w:ascii="Arial" w:hAnsi="Arial" w:cs="Arial"/>
          <w:sz w:val="24"/>
          <w:szCs w:val="24"/>
        </w:rPr>
        <w:fldChar w:fldCharType="separate"/>
      </w:r>
      <w:r w:rsidR="003F3F75" w:rsidRPr="003F3F75">
        <w:rPr>
          <w:rFonts w:ascii="Arial" w:hAnsi="Arial" w:cs="Arial"/>
          <w:noProof/>
          <w:sz w:val="24"/>
          <w:szCs w:val="24"/>
        </w:rPr>
        <w:t>(34)</w:t>
      </w:r>
      <w:r w:rsidR="001A0CF6" w:rsidRPr="00021272">
        <w:rPr>
          <w:rFonts w:ascii="Arial" w:hAnsi="Arial" w:cs="Arial"/>
          <w:sz w:val="24"/>
          <w:szCs w:val="24"/>
        </w:rPr>
        <w:fldChar w:fldCharType="end"/>
      </w:r>
      <w:r w:rsidR="00900D3C" w:rsidRPr="00021272">
        <w:rPr>
          <w:rFonts w:ascii="Arial" w:hAnsi="Arial" w:cs="Arial"/>
          <w:sz w:val="24"/>
          <w:szCs w:val="24"/>
        </w:rPr>
        <w:t>)</w:t>
      </w:r>
      <w:r w:rsidR="000F0F39" w:rsidRPr="00021272">
        <w:rPr>
          <w:rFonts w:ascii="Arial" w:hAnsi="Arial" w:cs="Arial"/>
          <w:sz w:val="24"/>
          <w:szCs w:val="24"/>
        </w:rPr>
        <w:t xml:space="preserve"> </w:t>
      </w:r>
      <w:r w:rsidR="00900D3C" w:rsidRPr="00021272">
        <w:rPr>
          <w:rFonts w:ascii="Arial" w:hAnsi="Arial" w:cs="Arial"/>
          <w:sz w:val="24"/>
          <w:szCs w:val="24"/>
        </w:rPr>
        <w:t>we have reported an incidence rate ratio comparing the risk in periods following vaccination to subjects’ experience at other times (IRR 0.89 (95% CI (0.77-1.02)).</w:t>
      </w:r>
      <w:r w:rsidR="00EC0673">
        <w:rPr>
          <w:rFonts w:ascii="Arial" w:hAnsi="Arial" w:cs="Arial"/>
          <w:sz w:val="24"/>
          <w:szCs w:val="24"/>
        </w:rPr>
        <w:t xml:space="preserve"> </w:t>
      </w:r>
      <w:r w:rsidR="000F0F39" w:rsidRPr="00021272">
        <w:rPr>
          <w:rFonts w:ascii="Arial" w:hAnsi="Arial" w:cs="Arial"/>
          <w:sz w:val="24"/>
          <w:szCs w:val="24"/>
        </w:rPr>
        <w:t xml:space="preserve">Of the subjects in the </w:t>
      </w:r>
      <w:r w:rsidR="0043560D">
        <w:rPr>
          <w:rFonts w:ascii="Arial" w:hAnsi="Arial" w:cs="Arial"/>
          <w:sz w:val="24"/>
          <w:szCs w:val="24"/>
        </w:rPr>
        <w:t xml:space="preserve">studies included in </w:t>
      </w:r>
      <w:r w:rsidR="000F0F39" w:rsidRPr="00021272">
        <w:rPr>
          <w:rFonts w:ascii="Arial" w:hAnsi="Arial" w:cs="Arial"/>
          <w:sz w:val="24"/>
          <w:szCs w:val="24"/>
        </w:rPr>
        <w:t xml:space="preserve">meta-analysis </w:t>
      </w:r>
      <w:r w:rsidR="0043560D">
        <w:rPr>
          <w:rFonts w:ascii="Arial" w:hAnsi="Arial" w:cs="Arial"/>
          <w:sz w:val="24"/>
          <w:szCs w:val="24"/>
        </w:rPr>
        <w:t xml:space="preserve">cited earlier, </w:t>
      </w:r>
      <w:r w:rsidR="000F0F39" w:rsidRPr="00021272">
        <w:rPr>
          <w:rFonts w:ascii="Arial" w:hAnsi="Arial" w:cs="Arial"/>
          <w:sz w:val="24"/>
          <w:szCs w:val="24"/>
        </w:rPr>
        <w:t>the majority (</w:t>
      </w:r>
      <w:r w:rsidR="0043560D">
        <w:rPr>
          <w:rFonts w:ascii="Arial" w:hAnsi="Arial" w:cs="Arial"/>
          <w:sz w:val="24"/>
          <w:szCs w:val="24"/>
        </w:rPr>
        <w:t>n=</w:t>
      </w:r>
      <w:r w:rsidR="000F0F39" w:rsidRPr="00021272">
        <w:rPr>
          <w:rFonts w:ascii="Arial" w:hAnsi="Arial" w:cs="Arial"/>
          <w:sz w:val="24"/>
          <w:szCs w:val="24"/>
        </w:rPr>
        <w:t xml:space="preserve">3316) came from a single study reporting a </w:t>
      </w:r>
      <w:r w:rsidR="00900D3C" w:rsidRPr="00021272">
        <w:rPr>
          <w:rFonts w:ascii="Arial" w:hAnsi="Arial" w:cs="Arial"/>
          <w:sz w:val="24"/>
          <w:szCs w:val="24"/>
        </w:rPr>
        <w:t>US cohort study ascertaining data via repeated survey of participants</w:t>
      </w:r>
      <w:r w:rsidR="00900D3C" w:rsidRPr="00021272">
        <w:rPr>
          <w:rFonts w:ascii="Arial" w:hAnsi="Arial" w:cs="Arial"/>
          <w:sz w:val="24"/>
          <w:szCs w:val="24"/>
        </w:rPr>
        <w:fldChar w:fldCharType="begin" w:fldLock="1"/>
      </w:r>
      <w:r w:rsidR="003F3F75">
        <w:rPr>
          <w:rFonts w:ascii="Arial" w:hAnsi="Arial" w:cs="Arial"/>
          <w:sz w:val="24"/>
          <w:szCs w:val="24"/>
        </w:rPr>
        <w:instrText>ADDIN CSL_CITATION {"citationItems":[{"id":"ITEM-1","itemData":{"DOI":"10.1093/ibd/izab302","ISSN":"1078-0998","abstract":"Background. Severe acute respiratory syndrome coronavirus 2 vaccination is recommended for all individuals with inflammatory bowel disease (IBD), including those on immunosuppressive therapies; however, little is known about vaccine safety and efficacy in these patients or the impact of vaccination on IBD disease course. Methods. We evaluated coronavirus disease 2019 (COVID-19) vaccine-related adverse events (AEs) and the effect of vaccination on IBD disease course among participants in the PREVENT-COVID (Partnership to Report Effectiveness of Vaccination in populations Excluded from iNitial Trials of COVID) study, a prospective, observational cohort study. Localized and systemic reactions were assessed via questionnaire. Disease flare was defined by worsening IBD symptoms and change in IBD medications. Outcomes were stratified by vaccine type and IBD medication classes. Results. A total of 3316 individuals with IBD received at least 1 COVID-19 vaccine. Injection site tenderness (68%) and fatigue (46% dose 1, 68% dose 2) were the most commonly reported localized and systemic AEs after vaccination. Severe localized and systemic vaccine-related AEs were rare. The mRNA-1273 vaccine was associated with significantly greater severe AEs at dose 2 (localized 4% vs 2%, systemic 15% vs 10%; P &lt; .001 for both). Prior COVID-19 infection, female sex, and vaccine type were associated with severe systemic reactions to dose 1, while age &lt;50 years, female sex, vaccine type, and antitumor necrosis factor and vedolizumab use were associated with severe systemic reactions to dose 2. Overall rates (2%) of IBD flare were low following vaccination. Conclusions. Our findings provide reassurance that the severe acute respiratory syndrome coronavirus 2 vaccine is safe and well tolerated among individuals with IBD, which may help to combat vaccine hesitancy and increase vaccine confidence. The severe acute respiratory syndrome coronavirus 2 vaccine is safe and well tolerated among individuals with inflammatory bowel disease (IBD). Severe localized and systemic vaccine-related adverse events were rare, and rates of IBD flare were low (2%) following severe acute respiratory syndrome coronavirus 2 vaccination in a cohort of 3316 participants with IBD.","author":[{"dropping-particle":"","family":"Weaver","given":"Kimberly N","non-dropping-particle":"","parse-names":false,"suffix":""},{"dropping-particle":"","family":"Zhang","given":"Xian","non-dropping-particle":"","parse-names":false,"suffix":""},{"dropping-particle":"","family":"Dai","given":"Xiangfeng","non-dropping-particle":"","parse-names":false,"suffix":""},{"dropping-particle":"","family":"Watkins","given":"Runa","non-dropping-particle":"","parse-names":false,"suffix":""},{"dropping-particle":"","family":"Adler","given":"Jeremy","non-dropping-particle":"","parse-names":false,"suffix":""},{"dropping-particle":"","family":"Dubinsky","given":"Marla C","non-dropping-particle":"","parse-names":false,"suffix":""},{"dropping-particle":"","family":"Kastl","given":"Arthur","non-dropping-particle":"","parse-names":false,"suffix":""},{"dropping-particle":"","family":"Bousvaros","given":"Athos","non-dropping-particle":"","parse-names":false,"suffix":""},{"dropping-particle":"","family":"Strople","given":"Jennifer A","non-dropping-particle":"","parse-names":false,"suffix":""},{"dropping-particle":"","family":"Cross","given":"Raymond K","non-dropping-particle":"","parse-names":false,"suffix":""},{"dropping-particle":"","family":"Higgins","given":"Peter D R","non-dropping-particle":"","parse-names":false,"suffix":""},{"dropping-particle":"","family":"Ungaro","given":"Ryan C","non-dropping-particle":"","parse-names":false,"suffix":""},{"dropping-particle":"","family":"Bewtra","given":"Meenakshi","non-dropping-particle":"","parse-names":false,"suffix":""},{"dropping-particle":"","family":"Bellaguarda","given":"Emanuelle","non-dropping-particle":"","parse-names":false,"suffix":""},{"dropping-particle":"","family":"Farraye","given":"Francis A","non-dropping-particle":"","parse-names":false,"suffix":""},{"dropping-particle":"","family":"Boccieri","given":"Margie E","non-dropping-particle":"","parse-names":false,"suffix":""},{"dropping-particle":"","family":"Firestine","given":"Ann","non-dropping-particle":"","parse-names":false,"suffix":""},{"dropping-particle":"","family":"Kappelman","given":"Michael D","non-dropping-particle":"","parse-names":false,"suffix":""},{"dropping-particle":"","family":"Long","given":"Millie D","non-dropping-particle":"","parse-names":false,"suffix":""}],"container-title":"Inflammatory Bowel Diseases","id":"ITEM-1","issue":"December","issued":{"date-parts":[["2021"]]},"page":"1-9","title":"Impact of SARS-CoV-2 Vaccination on Inflammatory Bowel Disease Activity and Development of Vaccine-Related Adverse Events: Results From PREVENT-COVID","type":"article-journal"},"uris":["http://www.mendeley.com/documents/?uuid=2840d054-9dde-4a5b-85d7-0569c759591e"]}],"mendeley":{"formattedCitation":"(35)","plainTextFormattedCitation":"(35)","previouslyFormattedCitation":"(33)"},"properties":{"noteIndex":0},"schema":"https://github.com/citation-style-language/schema/raw/master/csl-citation.json"}</w:instrText>
      </w:r>
      <w:r w:rsidR="00900D3C" w:rsidRPr="00021272">
        <w:rPr>
          <w:rFonts w:ascii="Arial" w:hAnsi="Arial" w:cs="Arial"/>
          <w:sz w:val="24"/>
          <w:szCs w:val="24"/>
        </w:rPr>
        <w:fldChar w:fldCharType="separate"/>
      </w:r>
      <w:r w:rsidR="003F3F75" w:rsidRPr="003F3F75">
        <w:rPr>
          <w:rFonts w:ascii="Arial" w:hAnsi="Arial" w:cs="Arial"/>
          <w:noProof/>
          <w:sz w:val="24"/>
          <w:szCs w:val="24"/>
        </w:rPr>
        <w:t>(35)</w:t>
      </w:r>
      <w:r w:rsidR="00900D3C" w:rsidRPr="00021272">
        <w:rPr>
          <w:rFonts w:ascii="Arial" w:hAnsi="Arial" w:cs="Arial"/>
          <w:sz w:val="24"/>
          <w:szCs w:val="24"/>
        </w:rPr>
        <w:fldChar w:fldCharType="end"/>
      </w:r>
      <w:r w:rsidR="00900D3C" w:rsidRPr="00021272">
        <w:rPr>
          <w:rFonts w:ascii="Arial" w:hAnsi="Arial" w:cs="Arial"/>
          <w:sz w:val="24"/>
          <w:szCs w:val="24"/>
        </w:rPr>
        <w:t>. This study</w:t>
      </w:r>
      <w:r w:rsidR="00EC0673">
        <w:rPr>
          <w:rFonts w:ascii="Arial" w:hAnsi="Arial" w:cs="Arial"/>
          <w:sz w:val="24"/>
          <w:szCs w:val="24"/>
        </w:rPr>
        <w:t>,</w:t>
      </w:r>
      <w:r w:rsidR="00900D3C" w:rsidRPr="00021272">
        <w:rPr>
          <w:rFonts w:ascii="Arial" w:hAnsi="Arial" w:cs="Arial"/>
          <w:sz w:val="24"/>
          <w:szCs w:val="24"/>
        </w:rPr>
        <w:t xml:space="preserve"> though </w:t>
      </w:r>
      <w:r w:rsidR="004728D6" w:rsidRPr="00021272">
        <w:rPr>
          <w:rFonts w:ascii="Arial" w:hAnsi="Arial" w:cs="Arial"/>
          <w:sz w:val="24"/>
          <w:szCs w:val="24"/>
        </w:rPr>
        <w:t>potentially</w:t>
      </w:r>
      <w:r w:rsidR="00900D3C" w:rsidRPr="00021272">
        <w:rPr>
          <w:rFonts w:ascii="Arial" w:hAnsi="Arial" w:cs="Arial"/>
          <w:sz w:val="24"/>
          <w:szCs w:val="24"/>
        </w:rPr>
        <w:t xml:space="preserve"> less representative of typical IBD patients than is ours</w:t>
      </w:r>
      <w:r w:rsidR="004728D6" w:rsidRPr="00021272">
        <w:rPr>
          <w:rFonts w:ascii="Arial" w:hAnsi="Arial" w:cs="Arial"/>
          <w:sz w:val="24"/>
          <w:szCs w:val="24"/>
        </w:rPr>
        <w:t>,</w:t>
      </w:r>
      <w:r w:rsidR="00900D3C" w:rsidRPr="00021272">
        <w:rPr>
          <w:rFonts w:ascii="Arial" w:hAnsi="Arial" w:cs="Arial"/>
          <w:sz w:val="24"/>
          <w:szCs w:val="24"/>
        </w:rPr>
        <w:t xml:space="preserve"> </w:t>
      </w:r>
      <w:r w:rsidR="004728D6" w:rsidRPr="00021272">
        <w:rPr>
          <w:rFonts w:ascii="Arial" w:hAnsi="Arial" w:cs="Arial"/>
          <w:sz w:val="24"/>
          <w:szCs w:val="24"/>
        </w:rPr>
        <w:t xml:space="preserve">was able to report upon biologic and immunomodulator use and therefore to confirm a low </w:t>
      </w:r>
      <w:r w:rsidR="007D7F7A">
        <w:rPr>
          <w:rFonts w:ascii="Arial" w:hAnsi="Arial" w:cs="Arial"/>
          <w:sz w:val="24"/>
          <w:szCs w:val="24"/>
        </w:rPr>
        <w:t xml:space="preserve">absolute </w:t>
      </w:r>
      <w:r w:rsidR="00C06E47">
        <w:rPr>
          <w:rFonts w:ascii="Arial" w:hAnsi="Arial" w:cs="Arial"/>
          <w:sz w:val="24"/>
          <w:szCs w:val="24"/>
        </w:rPr>
        <w:t xml:space="preserve">risk </w:t>
      </w:r>
      <w:r w:rsidR="004728D6" w:rsidRPr="00021272">
        <w:rPr>
          <w:rFonts w:ascii="Arial" w:hAnsi="Arial" w:cs="Arial"/>
          <w:sz w:val="24"/>
          <w:szCs w:val="24"/>
        </w:rPr>
        <w:t xml:space="preserve">of </w:t>
      </w:r>
      <w:r w:rsidR="00C14667">
        <w:rPr>
          <w:rFonts w:ascii="Arial" w:hAnsi="Arial" w:cs="Arial"/>
          <w:sz w:val="24"/>
          <w:szCs w:val="24"/>
        </w:rPr>
        <w:t xml:space="preserve">disease </w:t>
      </w:r>
      <w:r w:rsidR="004728D6" w:rsidRPr="00021272">
        <w:rPr>
          <w:rFonts w:ascii="Arial" w:hAnsi="Arial" w:cs="Arial"/>
          <w:sz w:val="24"/>
          <w:szCs w:val="24"/>
        </w:rPr>
        <w:t xml:space="preserve">flare </w:t>
      </w:r>
      <w:r w:rsidR="00C14667">
        <w:rPr>
          <w:rFonts w:ascii="Arial" w:hAnsi="Arial" w:cs="Arial"/>
          <w:sz w:val="24"/>
          <w:szCs w:val="24"/>
        </w:rPr>
        <w:t xml:space="preserve">defined using a combination of symptoms and treatment change </w:t>
      </w:r>
      <w:r w:rsidR="007D7F7A">
        <w:rPr>
          <w:rFonts w:ascii="Arial" w:hAnsi="Arial" w:cs="Arial"/>
          <w:sz w:val="24"/>
          <w:szCs w:val="24"/>
        </w:rPr>
        <w:t xml:space="preserve">within 1 month of vaccination against </w:t>
      </w:r>
      <w:r w:rsidR="0025665E">
        <w:rPr>
          <w:rFonts w:ascii="Arial" w:hAnsi="Arial" w:cs="Arial"/>
          <w:sz w:val="24"/>
          <w:szCs w:val="24"/>
        </w:rPr>
        <w:t>COVID</w:t>
      </w:r>
      <w:r w:rsidR="007D7F7A">
        <w:rPr>
          <w:rFonts w:ascii="Arial" w:hAnsi="Arial" w:cs="Arial"/>
          <w:sz w:val="24"/>
          <w:szCs w:val="24"/>
        </w:rPr>
        <w:t xml:space="preserve">-19 </w:t>
      </w:r>
      <w:r w:rsidR="004728D6" w:rsidRPr="00021272">
        <w:rPr>
          <w:rFonts w:ascii="Arial" w:hAnsi="Arial" w:cs="Arial"/>
          <w:sz w:val="24"/>
          <w:szCs w:val="24"/>
        </w:rPr>
        <w:t>in a population in which the majority were taking biologics or small molecules prior to vaccination.</w:t>
      </w:r>
      <w:r w:rsidR="006A08B8" w:rsidRPr="00021272">
        <w:rPr>
          <w:rFonts w:ascii="Arial" w:hAnsi="Arial" w:cs="Arial"/>
          <w:sz w:val="24"/>
          <w:szCs w:val="24"/>
        </w:rPr>
        <w:t xml:space="preserve"> </w:t>
      </w:r>
      <w:r w:rsidR="007D7F7A">
        <w:rPr>
          <w:rFonts w:ascii="Arial" w:hAnsi="Arial" w:cs="Arial"/>
          <w:sz w:val="24"/>
          <w:szCs w:val="24"/>
        </w:rPr>
        <w:t xml:space="preserve">However, it reported a high rate of IBD symptoms e.g. </w:t>
      </w:r>
      <w:r w:rsidR="007D7F7A" w:rsidRPr="007D7F7A">
        <w:rPr>
          <w:rFonts w:ascii="Arial" w:hAnsi="Arial" w:cs="Arial"/>
          <w:sz w:val="24"/>
          <w:szCs w:val="24"/>
        </w:rPr>
        <w:t>bowel frequency, extra</w:t>
      </w:r>
      <w:r w:rsidR="007D7F7A">
        <w:rPr>
          <w:rFonts w:ascii="Arial" w:hAnsi="Arial" w:cs="Arial"/>
          <w:sz w:val="24"/>
          <w:szCs w:val="24"/>
        </w:rPr>
        <w:t>-</w:t>
      </w:r>
      <w:r w:rsidR="007D7F7A" w:rsidRPr="007D7F7A">
        <w:rPr>
          <w:rFonts w:ascii="Arial" w:hAnsi="Arial" w:cs="Arial"/>
          <w:sz w:val="24"/>
          <w:szCs w:val="24"/>
        </w:rPr>
        <w:t>intestinal manifestations, and abdominal pain in 12%, 12%, and 11% of participants, respectively</w:t>
      </w:r>
      <w:r w:rsidR="007D7F7A">
        <w:rPr>
          <w:rFonts w:ascii="Arial" w:hAnsi="Arial" w:cs="Arial"/>
          <w:sz w:val="24"/>
          <w:szCs w:val="24"/>
        </w:rPr>
        <w:t xml:space="preserve"> in this period and did not report comparative estimates</w:t>
      </w:r>
      <w:r w:rsidR="00C14667">
        <w:rPr>
          <w:rFonts w:ascii="Arial" w:hAnsi="Arial" w:cs="Arial"/>
          <w:sz w:val="24"/>
          <w:szCs w:val="24"/>
        </w:rPr>
        <w:t xml:space="preserve"> leaving the question o</w:t>
      </w:r>
      <w:r w:rsidR="00C06E47">
        <w:rPr>
          <w:rFonts w:ascii="Arial" w:hAnsi="Arial" w:cs="Arial"/>
          <w:sz w:val="24"/>
          <w:szCs w:val="24"/>
        </w:rPr>
        <w:t>f</w:t>
      </w:r>
      <w:r w:rsidR="00C14667">
        <w:rPr>
          <w:rFonts w:ascii="Arial" w:hAnsi="Arial" w:cs="Arial"/>
          <w:sz w:val="24"/>
          <w:szCs w:val="24"/>
        </w:rPr>
        <w:t xml:space="preserve"> association between </w:t>
      </w:r>
      <w:r w:rsidR="0025665E">
        <w:rPr>
          <w:rFonts w:ascii="Arial" w:hAnsi="Arial" w:cs="Arial"/>
          <w:sz w:val="24"/>
          <w:szCs w:val="24"/>
        </w:rPr>
        <w:t>COVID</w:t>
      </w:r>
      <w:r w:rsidR="00C14667">
        <w:rPr>
          <w:rFonts w:ascii="Arial" w:hAnsi="Arial" w:cs="Arial"/>
          <w:sz w:val="24"/>
          <w:szCs w:val="24"/>
        </w:rPr>
        <w:t>-19 vaccination and IBD flares unanswered</w:t>
      </w:r>
      <w:r w:rsidR="007D7F7A">
        <w:rPr>
          <w:rFonts w:ascii="Arial" w:hAnsi="Arial" w:cs="Arial"/>
          <w:sz w:val="24"/>
          <w:szCs w:val="24"/>
        </w:rPr>
        <w:t xml:space="preserve">. </w:t>
      </w:r>
      <w:r w:rsidR="006A08B8" w:rsidRPr="00021272">
        <w:rPr>
          <w:rFonts w:ascii="Arial" w:hAnsi="Arial" w:cs="Arial"/>
          <w:sz w:val="24"/>
          <w:szCs w:val="24"/>
        </w:rPr>
        <w:t>A further study not within the meta-analysis</w:t>
      </w:r>
      <w:r w:rsidR="005344B8" w:rsidRPr="00021272">
        <w:rPr>
          <w:rFonts w:ascii="Arial" w:hAnsi="Arial" w:cs="Arial"/>
          <w:sz w:val="24"/>
          <w:szCs w:val="24"/>
        </w:rPr>
        <w:t xml:space="preserve"> which is based upon self-reported flares by patients in a questionnaire</w:t>
      </w:r>
      <w:r w:rsidR="005344B8" w:rsidRPr="00021272">
        <w:rPr>
          <w:rFonts w:ascii="Arial" w:hAnsi="Arial" w:cs="Arial"/>
          <w:sz w:val="24"/>
          <w:szCs w:val="24"/>
        </w:rPr>
        <w:fldChar w:fldCharType="begin" w:fldLock="1"/>
      </w:r>
      <w:r w:rsidR="003F3F75">
        <w:rPr>
          <w:rFonts w:ascii="Arial" w:hAnsi="Arial" w:cs="Arial"/>
          <w:sz w:val="24"/>
          <w:szCs w:val="24"/>
        </w:rPr>
        <w:instrText>ADDIN CSL_CITATION {"citationItems":[{"id":"ITEM-1","itemData":{"DOI":"10.1055/a-1710-3861","ISSN":"1439-7803","PMID":"35042256","abstract":"BACKGROUND Vaccination against SARS-CoV-2 is a promising strategy to protect immunocompromised IBD patients from a severe course of COVID-19. As these patients were excluded from initial clinical vaccination trials, patients frequently express concerns regarding the safety of these vaccines, especially whether vaccination might trigger IBD flares (\"hit-and-run-hypothesis\"). METHODS In order to assess the risk of an IBD flare after vaccination against SARS-CoV-2, an anonymous survey was performed at five German IBD centers and one patient organization (Deutsche Morbus Crohn/Colitis ulcerosa Vereinigung (DCCV) e.V.) in August and October 2021. RESULTS The questionnaire was answered by 914 patients, 781 of whom reported a previous vaccination against SARS-CoV-2 (85.4%). Vaccination against SARS-CoV-2 was not associated with an increased risk of IBD flares (p=0.319) or unscheduled visits to the IBD physician (p=0.848). Furthermore, typical symptoms of an IBD flare including abdominal pain, increases in stool frequency, or rectal bleeding were not influenced by the vaccination. CONCLUSION Vaccination against SARS-CoV-2 is safe in IBD patients. These results may help to reduce fears regarding the vaccination in IBD patients. Our results can help to reduce fears in IBD patients regarding the SARS-CoV-2 vaccine. A close communication between patients and physicians before and after the vaccination may be beneficial. HINTERGRUND Die Impfung gegen SARS-CoV-2 kann immunkompromittierte Patienten mit einer chronisch-entzündlichen Darmerkrankung (CED) vor einem schweren Verlauf einer COVID-19-Erkrankung schützen. Da diese Patientengruppe in den Zulassungsstudien nicht eingeschlossen wurde, werden vielfach von Patienten Sorgen im Hinblick auf die Sicherheit geäußert, insbesondere bestehen Ängste vor der Auslösung eines akuten CED-Schubs. METHODEN Zwischen August und Oktober 2021 wurde eine retrospektive Umfrage an 5 deutschen CED-Zentren und unter den Mitgliedern der „Deutschen Morbus Crohn/Colitis ulcerosa Vereinigung (DCCV) e.V.“ durchgeführt, um das Auftreten eines Schubs nach SARS-CoV-2-Impfung zu erfassen. RESULTATE Der Fragebogen wurde von 914 Patienten beantwortet. Von diesen haben 781 (85,4%) berichtet, mindestens eine Impfung gegen SARS-CoV-2 erhalten zu haben. Die Vakzinierung gegen SARS-CoV-2 war nicht mit einer erhöhten Frequenz an CED-Schüben (p=0,319) oder ungeplanten Vorstellungen beim CED-Behandler (p=0,848) assoziiert. Des Weiteren war die Impfung nic…","author":[{"dropping-particle":"","family":"Elkharsawi","given":"Ahmed","non-dropping-particle":"","parse-names":false,"suffix":""},{"dropping-particle":"von","family":"Arnim","given":"Ulrike","non-dropping-particle":"","parse-names":false,"suffix":""},{"dropping-particle":"","family":"Schmelz","given":"Renate","non-dropping-particle":"","parse-names":false,"suffix":""},{"dropping-particle":"","family":"Sander","given":"Cornelia","non-dropping-particle":"","parse-names":false,"suffix":""},{"dropping-particle":"","family":"Stallmach","given":"Andreas","non-dropping-particle":"","parse-names":false,"suffix":""},{"dropping-particle":"","family":"Teich","given":"Niels","non-dropping-particle":"","parse-names":false,"suffix":""},{"dropping-particle":"","family":"Walldorf","given":"Jens","non-dropping-particle":"","parse-names":false,"suffix":""},{"dropping-particle":"","family":"Reuken","given":"Philipp A","non-dropping-particle":"","parse-names":false,"suffix":""}],"container-title":"Zeitschrift fur Gastroenterologie","id":"ITEM-1","issue":"1","issued":{"date-parts":[["2022","1"]]},"page":"77-80","title":"SARS-CoV-2 vaccination does not induce relapses of patients with inflammatory bowel disease.","type":"article-journal","volume":"60"},"uris":["http://www.mendeley.com/documents/?uuid=ef0d64ca-df9b-4a0a-83ed-00a407b600f3"]}],"mendeley":{"formattedCitation":"(36)","plainTextFormattedCitation":"(36)","previouslyFormattedCitation":"(34)"},"properties":{"noteIndex":0},"schema":"https://github.com/citation-style-language/schema/raw/master/csl-citation.json"}</w:instrText>
      </w:r>
      <w:r w:rsidR="005344B8" w:rsidRPr="00021272">
        <w:rPr>
          <w:rFonts w:ascii="Arial" w:hAnsi="Arial" w:cs="Arial"/>
          <w:sz w:val="24"/>
          <w:szCs w:val="24"/>
        </w:rPr>
        <w:fldChar w:fldCharType="separate"/>
      </w:r>
      <w:r w:rsidR="003F3F75" w:rsidRPr="003F3F75">
        <w:rPr>
          <w:rFonts w:ascii="Arial" w:hAnsi="Arial" w:cs="Arial"/>
          <w:noProof/>
          <w:sz w:val="24"/>
          <w:szCs w:val="24"/>
        </w:rPr>
        <w:t>(36)</w:t>
      </w:r>
      <w:r w:rsidR="005344B8" w:rsidRPr="00021272">
        <w:rPr>
          <w:rFonts w:ascii="Arial" w:hAnsi="Arial" w:cs="Arial"/>
          <w:sz w:val="24"/>
          <w:szCs w:val="24"/>
        </w:rPr>
        <w:fldChar w:fldCharType="end"/>
      </w:r>
      <w:r w:rsidR="006A08B8" w:rsidRPr="00021272">
        <w:rPr>
          <w:rFonts w:ascii="Arial" w:hAnsi="Arial" w:cs="Arial"/>
          <w:sz w:val="24"/>
          <w:szCs w:val="24"/>
        </w:rPr>
        <w:t xml:space="preserve"> gives additional assurance that </w:t>
      </w:r>
      <w:r w:rsidR="005344B8" w:rsidRPr="00021272">
        <w:rPr>
          <w:rFonts w:ascii="Arial" w:hAnsi="Arial" w:cs="Arial"/>
          <w:sz w:val="24"/>
          <w:szCs w:val="24"/>
        </w:rPr>
        <w:t>the lack of association does indeed include minor flares since these would be included in the 147 subjective records of flare which they report.</w:t>
      </w:r>
    </w:p>
    <w:p w14:paraId="3DF24388" w14:textId="2C2E9563" w:rsidR="00A879C1" w:rsidRDefault="00C74F2F" w:rsidP="000736FB">
      <w:pPr>
        <w:spacing w:line="480" w:lineRule="auto"/>
        <w:rPr>
          <w:rFonts w:ascii="Arial" w:hAnsi="Arial" w:cs="Arial"/>
          <w:sz w:val="24"/>
          <w:szCs w:val="24"/>
        </w:rPr>
      </w:pPr>
      <w:r w:rsidRPr="00480A18">
        <w:rPr>
          <w:rFonts w:ascii="Arial" w:hAnsi="Arial" w:cs="Arial"/>
          <w:i/>
          <w:sz w:val="24"/>
          <w:szCs w:val="24"/>
        </w:rPr>
        <w:lastRenderedPageBreak/>
        <w:t>Clinical implications:</w:t>
      </w:r>
      <w:r>
        <w:rPr>
          <w:rFonts w:ascii="Arial" w:hAnsi="Arial" w:cs="Arial"/>
          <w:sz w:val="24"/>
          <w:szCs w:val="24"/>
        </w:rPr>
        <w:t xml:space="preserve"> </w:t>
      </w:r>
      <w:r w:rsidR="005344B8" w:rsidRPr="00021272">
        <w:rPr>
          <w:rFonts w:ascii="Arial" w:hAnsi="Arial" w:cs="Arial"/>
          <w:sz w:val="24"/>
          <w:szCs w:val="24"/>
        </w:rPr>
        <w:t>O</w:t>
      </w:r>
      <w:r>
        <w:rPr>
          <w:rFonts w:ascii="Arial" w:hAnsi="Arial" w:cs="Arial"/>
          <w:sz w:val="24"/>
          <w:szCs w:val="24"/>
        </w:rPr>
        <w:t xml:space="preserve">ur study provides population-based evidence that </w:t>
      </w:r>
      <w:r w:rsidR="00866DB5">
        <w:rPr>
          <w:rFonts w:ascii="Arial" w:hAnsi="Arial" w:cs="Arial"/>
          <w:sz w:val="24"/>
          <w:szCs w:val="24"/>
        </w:rPr>
        <w:t xml:space="preserve">vaccination against </w:t>
      </w:r>
      <w:r w:rsidR="0025665E">
        <w:rPr>
          <w:rFonts w:ascii="Arial" w:hAnsi="Arial" w:cs="Arial"/>
          <w:sz w:val="24"/>
          <w:szCs w:val="24"/>
        </w:rPr>
        <w:t>COVID-19</w:t>
      </w:r>
      <w:r w:rsidR="005344B8" w:rsidRPr="00021272">
        <w:rPr>
          <w:rFonts w:ascii="Arial" w:hAnsi="Arial" w:cs="Arial"/>
          <w:sz w:val="24"/>
          <w:szCs w:val="24"/>
        </w:rPr>
        <w:t xml:space="preserve"> in patients with IBD does not increase the risk of flare. Patients expressing concern in this regard should therefore be reassured and encouraged to take up vaccination if they have not already done so.</w:t>
      </w:r>
    </w:p>
    <w:p w14:paraId="1DF0DC56" w14:textId="77777777" w:rsidR="00324928" w:rsidRDefault="00324928">
      <w:pPr>
        <w:rPr>
          <w:rFonts w:ascii="Arial" w:hAnsi="Arial" w:cs="Arial"/>
          <w:b/>
          <w:sz w:val="24"/>
          <w:szCs w:val="24"/>
        </w:rPr>
      </w:pPr>
      <w:r>
        <w:rPr>
          <w:rFonts w:ascii="Arial" w:hAnsi="Arial" w:cs="Arial"/>
          <w:b/>
          <w:sz w:val="24"/>
          <w:szCs w:val="24"/>
        </w:rPr>
        <w:br w:type="page"/>
      </w:r>
    </w:p>
    <w:p w14:paraId="6BE7F082" w14:textId="12D96A36" w:rsidR="002F7550" w:rsidRPr="00021272" w:rsidRDefault="002F7550" w:rsidP="00863E2F">
      <w:pPr>
        <w:rPr>
          <w:sz w:val="24"/>
          <w:szCs w:val="24"/>
        </w:rPr>
      </w:pPr>
      <w:r w:rsidRPr="00021272">
        <w:rPr>
          <w:sz w:val="24"/>
          <w:szCs w:val="24"/>
        </w:rPr>
        <w:lastRenderedPageBreak/>
        <w:t>References</w:t>
      </w:r>
    </w:p>
    <w:p w14:paraId="3C028CEF" w14:textId="77777777" w:rsidR="002F7550" w:rsidRPr="00021272" w:rsidRDefault="002F7550" w:rsidP="00863E2F">
      <w:pPr>
        <w:rPr>
          <w:sz w:val="24"/>
          <w:szCs w:val="24"/>
        </w:rPr>
      </w:pPr>
    </w:p>
    <w:p w14:paraId="5A04865F" w14:textId="5124A56B" w:rsidR="003F3F75" w:rsidRPr="003F3F75" w:rsidRDefault="002F7550" w:rsidP="003F3F75">
      <w:pPr>
        <w:widowControl w:val="0"/>
        <w:autoSpaceDE w:val="0"/>
        <w:autoSpaceDN w:val="0"/>
        <w:adjustRightInd w:val="0"/>
        <w:spacing w:line="240" w:lineRule="auto"/>
        <w:ind w:left="640" w:hanging="640"/>
        <w:rPr>
          <w:rFonts w:cs="Times New Roman"/>
          <w:noProof/>
          <w:sz w:val="24"/>
          <w:szCs w:val="24"/>
        </w:rPr>
      </w:pPr>
      <w:r w:rsidRPr="00021272">
        <w:rPr>
          <w:sz w:val="24"/>
          <w:szCs w:val="24"/>
        </w:rPr>
        <w:fldChar w:fldCharType="begin" w:fldLock="1"/>
      </w:r>
      <w:r w:rsidRPr="00021272">
        <w:rPr>
          <w:sz w:val="24"/>
          <w:szCs w:val="24"/>
        </w:rPr>
        <w:instrText xml:space="preserve">ADDIN Mendeley Bibliography CSL_BIBLIOGRAPHY </w:instrText>
      </w:r>
      <w:r w:rsidRPr="00021272">
        <w:rPr>
          <w:sz w:val="24"/>
          <w:szCs w:val="24"/>
        </w:rPr>
        <w:fldChar w:fldCharType="separate"/>
      </w:r>
      <w:r w:rsidR="003F3F75" w:rsidRPr="003F3F75">
        <w:rPr>
          <w:rFonts w:cs="Times New Roman"/>
          <w:noProof/>
          <w:sz w:val="24"/>
          <w:szCs w:val="24"/>
        </w:rPr>
        <w:t xml:space="preserve">1. </w:t>
      </w:r>
      <w:r w:rsidR="003F3F75" w:rsidRPr="003F3F75">
        <w:rPr>
          <w:rFonts w:cs="Times New Roman"/>
          <w:noProof/>
          <w:sz w:val="24"/>
          <w:szCs w:val="24"/>
        </w:rPr>
        <w:tab/>
        <w:t xml:space="preserve">Sands BE, Cuffari C, Katz J, </w:t>
      </w:r>
      <w:r w:rsidR="003F3F75" w:rsidRPr="003F3F75">
        <w:rPr>
          <w:rFonts w:cs="Times New Roman"/>
          <w:i/>
          <w:iCs/>
          <w:noProof/>
          <w:sz w:val="24"/>
          <w:szCs w:val="24"/>
        </w:rPr>
        <w:t>et al.</w:t>
      </w:r>
      <w:r w:rsidR="003F3F75" w:rsidRPr="003F3F75">
        <w:rPr>
          <w:rFonts w:cs="Times New Roman"/>
          <w:noProof/>
          <w:sz w:val="24"/>
          <w:szCs w:val="24"/>
        </w:rPr>
        <w:t xml:space="preserve"> Guidelines for immunizations in patients with inflammatory bowel disease. [Internet]. Inflamm. Bowel Dis. 2004;10:677–92.Available from: http://www.ncbi.nlm.nih.gov/pubmed/15472534</w:t>
      </w:r>
    </w:p>
    <w:p w14:paraId="7AA3DFD9"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2. </w:t>
      </w:r>
      <w:r w:rsidRPr="003F3F75">
        <w:rPr>
          <w:rFonts w:cs="Times New Roman"/>
          <w:noProof/>
          <w:sz w:val="24"/>
          <w:szCs w:val="24"/>
        </w:rPr>
        <w:tab/>
        <w:t xml:space="preserve">Rahier JF, Moreels T, Munter P De, </w:t>
      </w:r>
      <w:r w:rsidRPr="003F3F75">
        <w:rPr>
          <w:rFonts w:cs="Times New Roman"/>
          <w:i/>
          <w:iCs/>
          <w:noProof/>
          <w:sz w:val="24"/>
          <w:szCs w:val="24"/>
        </w:rPr>
        <w:t>et al.</w:t>
      </w:r>
      <w:r w:rsidRPr="003F3F75">
        <w:rPr>
          <w:rFonts w:cs="Times New Roman"/>
          <w:noProof/>
          <w:sz w:val="24"/>
          <w:szCs w:val="24"/>
        </w:rPr>
        <w:t xml:space="preserve"> Prevention of opportunistic infections in patients with inflammatory bowel disease and implications of the ECCO consensus in Belgium. Acta Gastroenterol. Belg. 2010;73:41–45.</w:t>
      </w:r>
    </w:p>
    <w:p w14:paraId="7BCF72E7"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3. </w:t>
      </w:r>
      <w:r w:rsidRPr="003F3F75">
        <w:rPr>
          <w:rFonts w:cs="Times New Roman"/>
          <w:noProof/>
          <w:sz w:val="24"/>
          <w:szCs w:val="24"/>
        </w:rPr>
        <w:tab/>
        <w:t xml:space="preserve">Lopez A, Mariette X, Bachelez H, </w:t>
      </w:r>
      <w:r w:rsidRPr="003F3F75">
        <w:rPr>
          <w:rFonts w:cs="Times New Roman"/>
          <w:i/>
          <w:iCs/>
          <w:noProof/>
          <w:sz w:val="24"/>
          <w:szCs w:val="24"/>
        </w:rPr>
        <w:t>et al.</w:t>
      </w:r>
      <w:r w:rsidRPr="003F3F75">
        <w:rPr>
          <w:rFonts w:cs="Times New Roman"/>
          <w:noProof/>
          <w:sz w:val="24"/>
          <w:szCs w:val="24"/>
        </w:rPr>
        <w:t xml:space="preserve"> Vaccination recommendations for the adult immunosuppressed patient: A systematic review and comprehensive field synopsis. J. Autoimmun. 2017;80:10–27.</w:t>
      </w:r>
    </w:p>
    <w:p w14:paraId="6077F77C"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4. </w:t>
      </w:r>
      <w:r w:rsidRPr="003F3F75">
        <w:rPr>
          <w:rFonts w:cs="Times New Roman"/>
          <w:noProof/>
          <w:sz w:val="24"/>
          <w:szCs w:val="24"/>
        </w:rPr>
        <w:tab/>
        <w:t>Hanna M, Poullis A. Sub-optimal H1N1 vaccine uptake by immunocompromised inflammatory bowel disease patients. [Internet]. Clin. Med. 2011;11:301.Available from: http://www.ncbi.nlm.nih.gov/pubmed/21902095</w:t>
      </w:r>
    </w:p>
    <w:p w14:paraId="755E3BB7"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5. </w:t>
      </w:r>
      <w:r w:rsidRPr="003F3F75">
        <w:rPr>
          <w:rFonts w:cs="Times New Roman"/>
          <w:noProof/>
          <w:sz w:val="24"/>
          <w:szCs w:val="24"/>
        </w:rPr>
        <w:tab/>
        <w:t xml:space="preserve">Hinojosa J, Gisbert JP, Gomollón F, </w:t>
      </w:r>
      <w:r w:rsidRPr="003F3F75">
        <w:rPr>
          <w:rFonts w:cs="Times New Roman"/>
          <w:i/>
          <w:iCs/>
          <w:noProof/>
          <w:sz w:val="24"/>
          <w:szCs w:val="24"/>
        </w:rPr>
        <w:t>et al.</w:t>
      </w:r>
      <w:r w:rsidRPr="003F3F75">
        <w:rPr>
          <w:rFonts w:cs="Times New Roman"/>
          <w:noProof/>
          <w:sz w:val="24"/>
          <w:szCs w:val="24"/>
        </w:rPr>
        <w:t xml:space="preserve"> Adherence of gastroenterologists to European Crohn’s and Colitis Organisation Consensus on Crohn’s disease: A real-life survey in Spain [Internet]. J. Crohn’s Colitis 2012;6:763–770.Available from: http://dx.doi.org/10.1016/j.crohns.2011.12.013</w:t>
      </w:r>
    </w:p>
    <w:p w14:paraId="3B25DC5C"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6. </w:t>
      </w:r>
      <w:r w:rsidRPr="003F3F75">
        <w:rPr>
          <w:rFonts w:cs="Times New Roman"/>
          <w:noProof/>
          <w:sz w:val="24"/>
          <w:szCs w:val="24"/>
        </w:rPr>
        <w:tab/>
        <w:t xml:space="preserve">Reich JS, Miller HL, Wasan SK, </w:t>
      </w:r>
      <w:r w:rsidRPr="003F3F75">
        <w:rPr>
          <w:rFonts w:cs="Times New Roman"/>
          <w:i/>
          <w:iCs/>
          <w:noProof/>
          <w:sz w:val="24"/>
          <w:szCs w:val="24"/>
        </w:rPr>
        <w:t>et al.</w:t>
      </w:r>
      <w:r w:rsidRPr="003F3F75">
        <w:rPr>
          <w:rFonts w:cs="Times New Roman"/>
          <w:noProof/>
          <w:sz w:val="24"/>
          <w:szCs w:val="24"/>
        </w:rPr>
        <w:t xml:space="preserve"> Influenza and pneumococcal vaccination rates in patients with inflammatory bowel disease. Gastroenterol. Hepatol. 2015;11:396–401.</w:t>
      </w:r>
    </w:p>
    <w:p w14:paraId="36837915"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7. </w:t>
      </w:r>
      <w:r w:rsidRPr="003F3F75">
        <w:rPr>
          <w:rFonts w:cs="Times New Roman"/>
          <w:noProof/>
          <w:sz w:val="24"/>
          <w:szCs w:val="24"/>
        </w:rPr>
        <w:tab/>
        <w:t xml:space="preserve">Wasan SK, Calderwood AH, Long MD, </w:t>
      </w:r>
      <w:r w:rsidRPr="003F3F75">
        <w:rPr>
          <w:rFonts w:cs="Times New Roman"/>
          <w:i/>
          <w:iCs/>
          <w:noProof/>
          <w:sz w:val="24"/>
          <w:szCs w:val="24"/>
        </w:rPr>
        <w:t>et al.</w:t>
      </w:r>
      <w:r w:rsidRPr="003F3F75">
        <w:rPr>
          <w:rFonts w:cs="Times New Roman"/>
          <w:noProof/>
          <w:sz w:val="24"/>
          <w:szCs w:val="24"/>
        </w:rPr>
        <w:t xml:space="preserve"> Immunization rates and vaccine beliefs among patients with inflammatory bowel disease: an opportunity for improvement. [Internet]. Inflamm. Bowel Dis. 2014;20:246–50.Available from: https://academic.oup.com/ibdjournal/article/20/2/246-250/4578937</w:t>
      </w:r>
    </w:p>
    <w:p w14:paraId="6CC8F54A"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8. </w:t>
      </w:r>
      <w:r w:rsidRPr="003F3F75">
        <w:rPr>
          <w:rFonts w:cs="Times New Roman"/>
          <w:noProof/>
          <w:sz w:val="24"/>
          <w:szCs w:val="24"/>
        </w:rPr>
        <w:tab/>
        <w:t xml:space="preserve">Desalermos A, Pimienta M, Kalligeros M, </w:t>
      </w:r>
      <w:r w:rsidRPr="003F3F75">
        <w:rPr>
          <w:rFonts w:cs="Times New Roman"/>
          <w:i/>
          <w:iCs/>
          <w:noProof/>
          <w:sz w:val="24"/>
          <w:szCs w:val="24"/>
        </w:rPr>
        <w:t>et al.</w:t>
      </w:r>
      <w:r w:rsidRPr="003F3F75">
        <w:rPr>
          <w:rFonts w:cs="Times New Roman"/>
          <w:noProof/>
          <w:sz w:val="24"/>
          <w:szCs w:val="24"/>
        </w:rPr>
        <w:t xml:space="preserve"> Safety of Immunizations for the Adult Patient With Inflammatory Bowel Disease-A Systematic Review and Meta-analysis. [Internet]. Inflamm. Bowel Dis. 2021;Available from: http://www.ncbi.nlm.nih.gov/pubmed/34849941</w:t>
      </w:r>
    </w:p>
    <w:p w14:paraId="74770FD7"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9. </w:t>
      </w:r>
      <w:r w:rsidRPr="003F3F75">
        <w:rPr>
          <w:rFonts w:cs="Times New Roman"/>
          <w:noProof/>
          <w:sz w:val="24"/>
          <w:szCs w:val="24"/>
        </w:rPr>
        <w:tab/>
        <w:t xml:space="preserve">Rahier J-F, Papay P, Salleron J, </w:t>
      </w:r>
      <w:r w:rsidRPr="003F3F75">
        <w:rPr>
          <w:rFonts w:cs="Times New Roman"/>
          <w:i/>
          <w:iCs/>
          <w:noProof/>
          <w:sz w:val="24"/>
          <w:szCs w:val="24"/>
        </w:rPr>
        <w:t>et al.</w:t>
      </w:r>
      <w:r w:rsidRPr="003F3F75">
        <w:rPr>
          <w:rFonts w:cs="Times New Roman"/>
          <w:noProof/>
          <w:sz w:val="24"/>
          <w:szCs w:val="24"/>
        </w:rPr>
        <w:t xml:space="preserve"> H1N1 vaccines in a large observational cohort of patients with inflammatory bowel disease treated with immunomodulators and biological therapy. [Internet]. Gut 2011;60:456–62.Available from: https://gut.bmj.com/lookup/doi/10.1136/gut.2010.233981</w:t>
      </w:r>
    </w:p>
    <w:p w14:paraId="16A7A3F8"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10. </w:t>
      </w:r>
      <w:r w:rsidRPr="003F3F75">
        <w:rPr>
          <w:rFonts w:cs="Times New Roman"/>
          <w:noProof/>
          <w:sz w:val="24"/>
          <w:szCs w:val="24"/>
        </w:rPr>
        <w:tab/>
        <w:t xml:space="preserve">Macaluso FS, Giuliano A, Fries, W, </w:t>
      </w:r>
      <w:r w:rsidRPr="003F3F75">
        <w:rPr>
          <w:rFonts w:cs="Times New Roman"/>
          <w:i/>
          <w:iCs/>
          <w:noProof/>
          <w:sz w:val="24"/>
          <w:szCs w:val="24"/>
        </w:rPr>
        <w:t>et al.</w:t>
      </w:r>
      <w:r w:rsidRPr="003F3F75">
        <w:rPr>
          <w:rFonts w:cs="Times New Roman"/>
          <w:noProof/>
          <w:sz w:val="24"/>
          <w:szCs w:val="24"/>
        </w:rPr>
        <w:t xml:space="preserve"> Severe Activity of </w:t>
      </w:r>
      <w:r w:rsidRPr="003F3F75">
        <w:rPr>
          <w:rFonts w:cs="Times New Roman"/>
          <w:noProof/>
          <w:sz w:val="24"/>
          <w:szCs w:val="24"/>
        </w:rPr>
        <w:lastRenderedPageBreak/>
        <w:t>Inflammatory Bowel Disease is a Risk Factor for Severe COVID-19 [Internet]. Inflamm. Bowel Dis. 2022;1–5.Available from: https://academic.oup.com/ibdjournal/advance-article/doi/10.1093/ibd/izac064/6564282</w:t>
      </w:r>
    </w:p>
    <w:p w14:paraId="384A141F"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11. </w:t>
      </w:r>
      <w:r w:rsidRPr="003F3F75">
        <w:rPr>
          <w:rFonts w:cs="Times New Roman"/>
          <w:noProof/>
          <w:sz w:val="24"/>
          <w:szCs w:val="24"/>
        </w:rPr>
        <w:tab/>
        <w:t xml:space="preserve">Brenner EJ, Ungaro RC, Gearry RB, </w:t>
      </w:r>
      <w:r w:rsidRPr="003F3F75">
        <w:rPr>
          <w:rFonts w:cs="Times New Roman"/>
          <w:i/>
          <w:iCs/>
          <w:noProof/>
          <w:sz w:val="24"/>
          <w:szCs w:val="24"/>
        </w:rPr>
        <w:t>et al.</w:t>
      </w:r>
      <w:r w:rsidRPr="003F3F75">
        <w:rPr>
          <w:rFonts w:cs="Times New Roman"/>
          <w:noProof/>
          <w:sz w:val="24"/>
          <w:szCs w:val="24"/>
        </w:rPr>
        <w:t xml:space="preserve"> Corticosteroids, But Not TNF Antagonists, Are Associated With Adverse COVID-19 Outcomes in Patients With Inflammatory Bowel Diseases: Results From an International Registry [Internet]. Gastroenterology 2020;159:481-491.e3.Available from: https://doi.org/10.1053/j.gastro.2020.05.032</w:t>
      </w:r>
    </w:p>
    <w:p w14:paraId="0CF2B77E"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12. </w:t>
      </w:r>
      <w:r w:rsidRPr="003F3F75">
        <w:rPr>
          <w:rFonts w:cs="Times New Roman"/>
          <w:noProof/>
          <w:sz w:val="24"/>
          <w:szCs w:val="24"/>
        </w:rPr>
        <w:tab/>
        <w:t xml:space="preserve">Wu X, Lin J, Buch H, </w:t>
      </w:r>
      <w:r w:rsidRPr="003F3F75">
        <w:rPr>
          <w:rFonts w:cs="Times New Roman"/>
          <w:i/>
          <w:iCs/>
          <w:noProof/>
          <w:sz w:val="24"/>
          <w:szCs w:val="24"/>
        </w:rPr>
        <w:t>et al.</w:t>
      </w:r>
      <w:r w:rsidRPr="003F3F75">
        <w:rPr>
          <w:rFonts w:cs="Times New Roman"/>
          <w:noProof/>
          <w:sz w:val="24"/>
          <w:szCs w:val="24"/>
        </w:rPr>
        <w:t xml:space="preserve"> The COVID-19 Vaccination Hesitancy Among the People With Inflammatory Bowel Disease in China: A Questionnaire Study. Front. Public Heal. 2021;9:1–10.</w:t>
      </w:r>
    </w:p>
    <w:p w14:paraId="56760229"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13. </w:t>
      </w:r>
      <w:r w:rsidRPr="003F3F75">
        <w:rPr>
          <w:rFonts w:cs="Times New Roman"/>
          <w:noProof/>
          <w:sz w:val="24"/>
          <w:szCs w:val="24"/>
        </w:rPr>
        <w:tab/>
        <w:t xml:space="preserve">Nishida Y, Hosomi S, Kobayashi Y, </w:t>
      </w:r>
      <w:r w:rsidRPr="003F3F75">
        <w:rPr>
          <w:rFonts w:cs="Times New Roman"/>
          <w:i/>
          <w:iCs/>
          <w:noProof/>
          <w:sz w:val="24"/>
          <w:szCs w:val="24"/>
        </w:rPr>
        <w:t>et al.</w:t>
      </w:r>
      <w:r w:rsidRPr="003F3F75">
        <w:rPr>
          <w:rFonts w:cs="Times New Roman"/>
          <w:noProof/>
          <w:sz w:val="24"/>
          <w:szCs w:val="24"/>
        </w:rPr>
        <w:t xml:space="preserve"> Acceptance of covid-19 vaccines among patients with inflammatory bowel disease in Japan. Healthc. 2022;10</w:t>
      </w:r>
    </w:p>
    <w:p w14:paraId="083DD13D"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14. </w:t>
      </w:r>
      <w:r w:rsidRPr="003F3F75">
        <w:rPr>
          <w:rFonts w:cs="Times New Roman"/>
          <w:noProof/>
          <w:sz w:val="24"/>
          <w:szCs w:val="24"/>
        </w:rPr>
        <w:tab/>
        <w:t xml:space="preserve">Duong TA, Bryant R V, Andrews JM, </w:t>
      </w:r>
      <w:r w:rsidRPr="003F3F75">
        <w:rPr>
          <w:rFonts w:cs="Times New Roman"/>
          <w:i/>
          <w:iCs/>
          <w:noProof/>
          <w:sz w:val="24"/>
          <w:szCs w:val="24"/>
        </w:rPr>
        <w:t>et al.</w:t>
      </w:r>
      <w:r w:rsidRPr="003F3F75">
        <w:rPr>
          <w:rFonts w:cs="Times New Roman"/>
          <w:noProof/>
          <w:sz w:val="24"/>
          <w:szCs w:val="24"/>
        </w:rPr>
        <w:t xml:space="preserve"> Attitudes towards COVID-19 vaccination in patients with inflammatory bowel disease. [Internet]. Intern. Med. J. 2022;1–5.Available from: https://onlinelibrary.wiley.com/doi/10.1111/imj.15722</w:t>
      </w:r>
    </w:p>
    <w:p w14:paraId="4690CBAE"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15. </w:t>
      </w:r>
      <w:r w:rsidRPr="003F3F75">
        <w:rPr>
          <w:rFonts w:cs="Times New Roman"/>
          <w:noProof/>
          <w:sz w:val="24"/>
          <w:szCs w:val="24"/>
        </w:rPr>
        <w:tab/>
        <w:t xml:space="preserve">Sangha M, Roitman I, Sultan K, </w:t>
      </w:r>
      <w:r w:rsidRPr="003F3F75">
        <w:rPr>
          <w:rFonts w:cs="Times New Roman"/>
          <w:i/>
          <w:iCs/>
          <w:noProof/>
          <w:sz w:val="24"/>
          <w:szCs w:val="24"/>
        </w:rPr>
        <w:t>et al.</w:t>
      </w:r>
      <w:r w:rsidRPr="003F3F75">
        <w:rPr>
          <w:rFonts w:cs="Times New Roman"/>
          <w:noProof/>
          <w:sz w:val="24"/>
          <w:szCs w:val="24"/>
        </w:rPr>
        <w:t xml:space="preserve"> SARS-CoV-2 Immunization in Patients With Inflammatory Bowel Disease May Result in Disease Flares [Internet]. Am. J. Gastroenterol. 2021;116:2480–2481.Available from: http://www.ncbi.nlm.nih.gov/pubmed/34406140</w:t>
      </w:r>
    </w:p>
    <w:p w14:paraId="3BE2A6BB"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16. </w:t>
      </w:r>
      <w:r w:rsidRPr="003F3F75">
        <w:rPr>
          <w:rFonts w:cs="Times New Roman"/>
          <w:noProof/>
          <w:sz w:val="24"/>
          <w:szCs w:val="24"/>
        </w:rPr>
        <w:tab/>
        <w:t>Krawiec P, Opoka-Winiarska V, Pac-Kożuchowska E. Is It Inflammatory Bowel Disease Flare or Pediatric Inflammatory Multisystem Syndrome Temporally Associated with COVID-19? [Internet]. J. Clin. Med. 2022;11Available from: http://www.ncbi.nlm.nih.gov/pubmed/35628892</w:t>
      </w:r>
    </w:p>
    <w:p w14:paraId="01232995"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17. </w:t>
      </w:r>
      <w:r w:rsidRPr="003F3F75">
        <w:rPr>
          <w:rFonts w:cs="Times New Roman"/>
          <w:noProof/>
          <w:sz w:val="24"/>
          <w:szCs w:val="24"/>
        </w:rPr>
        <w:tab/>
        <w:t xml:space="preserve">Melmed GY, Botwin GJ, Sobhani K, </w:t>
      </w:r>
      <w:r w:rsidRPr="003F3F75">
        <w:rPr>
          <w:rFonts w:cs="Times New Roman"/>
          <w:i/>
          <w:iCs/>
          <w:noProof/>
          <w:sz w:val="24"/>
          <w:szCs w:val="24"/>
        </w:rPr>
        <w:t>et al.</w:t>
      </w:r>
      <w:r w:rsidRPr="003F3F75">
        <w:rPr>
          <w:rFonts w:cs="Times New Roman"/>
          <w:noProof/>
          <w:sz w:val="24"/>
          <w:szCs w:val="24"/>
        </w:rPr>
        <w:t xml:space="preserve"> Antibody Responses After SARS-CoV-2 mRNA Vaccination in Adults With Inflammatory Bowel Disease. [Internet]. Ann. Intern. Med. 2021;174:1768–1770.Available from: http://www.ncbi.nlm.nih.gov/pubmed/34633830</w:t>
      </w:r>
    </w:p>
    <w:p w14:paraId="3CFEDDD8"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18. </w:t>
      </w:r>
      <w:r w:rsidRPr="003F3F75">
        <w:rPr>
          <w:rFonts w:cs="Times New Roman"/>
          <w:noProof/>
          <w:sz w:val="24"/>
          <w:szCs w:val="24"/>
        </w:rPr>
        <w:tab/>
        <w:t xml:space="preserve">Kennedy NA, Lin S, Goodhand JR, </w:t>
      </w:r>
      <w:r w:rsidRPr="003F3F75">
        <w:rPr>
          <w:rFonts w:cs="Times New Roman"/>
          <w:i/>
          <w:iCs/>
          <w:noProof/>
          <w:sz w:val="24"/>
          <w:szCs w:val="24"/>
        </w:rPr>
        <w:t>et al.</w:t>
      </w:r>
      <w:r w:rsidRPr="003F3F75">
        <w:rPr>
          <w:rFonts w:cs="Times New Roman"/>
          <w:noProof/>
          <w:sz w:val="24"/>
          <w:szCs w:val="24"/>
        </w:rPr>
        <w:t xml:space="preserve"> Infliximab is associated with attenuated immunogenicity to BNT162b2 and ChAdOx1 nCoV-19 SARS-CoV-2 vaccines in patients with IBD. Gut 2021;70:1884–1893.</w:t>
      </w:r>
    </w:p>
    <w:p w14:paraId="18918176"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19. </w:t>
      </w:r>
      <w:r w:rsidRPr="003F3F75">
        <w:rPr>
          <w:rFonts w:cs="Times New Roman"/>
          <w:noProof/>
          <w:sz w:val="24"/>
          <w:szCs w:val="24"/>
        </w:rPr>
        <w:tab/>
        <w:t xml:space="preserve">Bhurwal A, Mutneja H, Bansal V, </w:t>
      </w:r>
      <w:r w:rsidRPr="003F3F75">
        <w:rPr>
          <w:rFonts w:cs="Times New Roman"/>
          <w:i/>
          <w:iCs/>
          <w:noProof/>
          <w:sz w:val="24"/>
          <w:szCs w:val="24"/>
        </w:rPr>
        <w:t>et al.</w:t>
      </w:r>
      <w:r w:rsidRPr="003F3F75">
        <w:rPr>
          <w:rFonts w:cs="Times New Roman"/>
          <w:noProof/>
          <w:sz w:val="24"/>
          <w:szCs w:val="24"/>
        </w:rPr>
        <w:t xml:space="preserve"> Effectiveness and safety of SARS</w:t>
      </w:r>
      <w:r w:rsidRPr="003F3F75">
        <w:rPr>
          <w:rFonts w:ascii="Cambria Math" w:hAnsi="Cambria Math" w:cs="Cambria Math"/>
          <w:noProof/>
          <w:sz w:val="24"/>
          <w:szCs w:val="24"/>
        </w:rPr>
        <w:t>‐</w:t>
      </w:r>
      <w:r w:rsidRPr="003F3F75">
        <w:rPr>
          <w:rFonts w:cs="Times New Roman"/>
          <w:noProof/>
          <w:sz w:val="24"/>
          <w:szCs w:val="24"/>
        </w:rPr>
        <w:t>CoV</w:t>
      </w:r>
      <w:r w:rsidRPr="003F3F75">
        <w:rPr>
          <w:rFonts w:ascii="Cambria Math" w:hAnsi="Cambria Math" w:cs="Cambria Math"/>
          <w:noProof/>
          <w:sz w:val="24"/>
          <w:szCs w:val="24"/>
        </w:rPr>
        <w:t>‐</w:t>
      </w:r>
      <w:r w:rsidRPr="003F3F75">
        <w:rPr>
          <w:rFonts w:cs="Times New Roman"/>
          <w:noProof/>
          <w:sz w:val="24"/>
          <w:szCs w:val="24"/>
        </w:rPr>
        <w:t>2 vaccine in Inflammatory Bowel Disease patients: a systematic review, meta</w:t>
      </w:r>
      <w:r w:rsidRPr="003F3F75">
        <w:rPr>
          <w:rFonts w:ascii="Cambria Math" w:hAnsi="Cambria Math" w:cs="Cambria Math"/>
          <w:noProof/>
          <w:sz w:val="24"/>
          <w:szCs w:val="24"/>
        </w:rPr>
        <w:t>‐</w:t>
      </w:r>
      <w:r w:rsidRPr="003F3F75">
        <w:rPr>
          <w:rFonts w:cs="Times New Roman"/>
          <w:noProof/>
          <w:sz w:val="24"/>
          <w:szCs w:val="24"/>
        </w:rPr>
        <w:t>analysis and meta</w:t>
      </w:r>
      <w:r w:rsidRPr="003F3F75">
        <w:rPr>
          <w:rFonts w:ascii="Cambria Math" w:hAnsi="Cambria Math" w:cs="Cambria Math"/>
          <w:noProof/>
          <w:sz w:val="24"/>
          <w:szCs w:val="24"/>
        </w:rPr>
        <w:t>‐</w:t>
      </w:r>
      <w:r w:rsidRPr="003F3F75">
        <w:rPr>
          <w:rFonts w:cs="Times New Roman"/>
          <w:noProof/>
          <w:sz w:val="24"/>
          <w:szCs w:val="24"/>
        </w:rPr>
        <w:t xml:space="preserve">regression [Internet]. Aliment. Pharmacol. Ther. 2022;55:1244–1264.Available from: </w:t>
      </w:r>
      <w:r w:rsidRPr="003F3F75">
        <w:rPr>
          <w:rFonts w:cs="Times New Roman"/>
          <w:noProof/>
          <w:sz w:val="24"/>
          <w:szCs w:val="24"/>
        </w:rPr>
        <w:lastRenderedPageBreak/>
        <w:t>https://onlinelibrary.wiley.com/doi/10.1111/apt.16913</w:t>
      </w:r>
    </w:p>
    <w:p w14:paraId="21205094"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20. </w:t>
      </w:r>
      <w:r w:rsidRPr="003F3F75">
        <w:rPr>
          <w:rFonts w:cs="Times New Roman"/>
          <w:noProof/>
          <w:sz w:val="24"/>
          <w:szCs w:val="24"/>
        </w:rPr>
        <w:tab/>
        <w:t xml:space="preserve">Wolf A, Dedman D, Campbell J, </w:t>
      </w:r>
      <w:r w:rsidRPr="003F3F75">
        <w:rPr>
          <w:rFonts w:cs="Times New Roman"/>
          <w:i/>
          <w:iCs/>
          <w:noProof/>
          <w:sz w:val="24"/>
          <w:szCs w:val="24"/>
        </w:rPr>
        <w:t>et al.</w:t>
      </w:r>
      <w:r w:rsidRPr="003F3F75">
        <w:rPr>
          <w:rFonts w:cs="Times New Roman"/>
          <w:noProof/>
          <w:sz w:val="24"/>
          <w:szCs w:val="24"/>
        </w:rPr>
        <w:t xml:space="preserve"> Data resource profile: Clinical Practice Research Datalink (CPRD) Aurum. [Internet]. Int. J. Epidemiol. 2019;48:1740-1740g.Available from: https://academic.oup.com/ije/advance-article/doi/10.1093/ije/dyz034/5374844</w:t>
      </w:r>
    </w:p>
    <w:p w14:paraId="6FC006E5"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21. </w:t>
      </w:r>
      <w:r w:rsidRPr="003F3F75">
        <w:rPr>
          <w:rFonts w:cs="Times New Roman"/>
          <w:noProof/>
          <w:sz w:val="24"/>
          <w:szCs w:val="24"/>
        </w:rPr>
        <w:tab/>
        <w:t>Whitaker HJ, Hocine MN, Farrington CP. The methodology of self-controlled case series studies. [Internet]. Stat. Methods Med. Res. 2009;18:7–26.Available from: http://www.ncbi.nlm.nih.gov/pubmed/18562396</w:t>
      </w:r>
    </w:p>
    <w:p w14:paraId="34D563D2"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22. </w:t>
      </w:r>
      <w:r w:rsidRPr="003F3F75">
        <w:rPr>
          <w:rFonts w:cs="Times New Roman"/>
          <w:noProof/>
          <w:sz w:val="24"/>
          <w:szCs w:val="24"/>
        </w:rPr>
        <w:tab/>
        <w:t>Petersen I, Douglas I, Whitaker H. Self controlled case series methods: an alternative to standard epidemiological study designs. [Internet]. BMJ 2016;354:i4515.Available from: http://www.ncbi.nlm.nih.gov/pubmed/27618829</w:t>
      </w:r>
    </w:p>
    <w:p w14:paraId="79634707"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23. </w:t>
      </w:r>
      <w:r w:rsidRPr="003F3F75">
        <w:rPr>
          <w:rFonts w:cs="Times New Roman"/>
          <w:noProof/>
          <w:sz w:val="24"/>
          <w:szCs w:val="24"/>
        </w:rPr>
        <w:tab/>
        <w:t xml:space="preserve">Lewis JD, Brensinger C, Bilker WB, </w:t>
      </w:r>
      <w:r w:rsidRPr="003F3F75">
        <w:rPr>
          <w:rFonts w:cs="Times New Roman"/>
          <w:i/>
          <w:iCs/>
          <w:noProof/>
          <w:sz w:val="24"/>
          <w:szCs w:val="24"/>
        </w:rPr>
        <w:t>et al.</w:t>
      </w:r>
      <w:r w:rsidRPr="003F3F75">
        <w:rPr>
          <w:rFonts w:cs="Times New Roman"/>
          <w:noProof/>
          <w:sz w:val="24"/>
          <w:szCs w:val="24"/>
        </w:rPr>
        <w:t xml:space="preserve"> Validity and completeness of the General Practice Research Database for studies of inflammatory bowel disease [Internet]. Pharmacoepidemiol. Drug Saf. 2002;11:211–218.[cited 2012 Nov 14] Available from: http://www.ncbi.nlm.nih.gov/pubmed/12051120</w:t>
      </w:r>
    </w:p>
    <w:p w14:paraId="70A8CC47"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24. </w:t>
      </w:r>
      <w:r w:rsidRPr="003F3F75">
        <w:rPr>
          <w:rFonts w:cs="Times New Roman"/>
          <w:noProof/>
          <w:sz w:val="24"/>
          <w:szCs w:val="24"/>
        </w:rPr>
        <w:tab/>
        <w:t xml:space="preserve">Folegatti PM, Ewer KJ, Aley PK, </w:t>
      </w:r>
      <w:r w:rsidRPr="003F3F75">
        <w:rPr>
          <w:rFonts w:cs="Times New Roman"/>
          <w:i/>
          <w:iCs/>
          <w:noProof/>
          <w:sz w:val="24"/>
          <w:szCs w:val="24"/>
        </w:rPr>
        <w:t>et al.</w:t>
      </w:r>
      <w:r w:rsidRPr="003F3F75">
        <w:rPr>
          <w:rFonts w:cs="Times New Roman"/>
          <w:noProof/>
          <w:sz w:val="24"/>
          <w:szCs w:val="24"/>
        </w:rPr>
        <w:t xml:space="preserve"> Safety and immunogenicity of the ChAdOx1 nCoV-19 vaccine against SARS-CoV-2: a preliminary report of a phase 1/2, single-blind, randomised controlled trial. Lancet 2020;396:467–478.</w:t>
      </w:r>
    </w:p>
    <w:p w14:paraId="16B1C000"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25. </w:t>
      </w:r>
      <w:r w:rsidRPr="003F3F75">
        <w:rPr>
          <w:rFonts w:cs="Times New Roman"/>
          <w:noProof/>
          <w:sz w:val="24"/>
          <w:szCs w:val="24"/>
        </w:rPr>
        <w:tab/>
        <w:t xml:space="preserve">Mulligan MJ, Lyke KE, Kitchin N, </w:t>
      </w:r>
      <w:r w:rsidRPr="003F3F75">
        <w:rPr>
          <w:rFonts w:cs="Times New Roman"/>
          <w:i/>
          <w:iCs/>
          <w:noProof/>
          <w:sz w:val="24"/>
          <w:szCs w:val="24"/>
        </w:rPr>
        <w:t>et al.</w:t>
      </w:r>
      <w:r w:rsidRPr="003F3F75">
        <w:rPr>
          <w:rFonts w:cs="Times New Roman"/>
          <w:noProof/>
          <w:sz w:val="24"/>
          <w:szCs w:val="24"/>
        </w:rPr>
        <w:t xml:space="preserve"> Phase I/II study of COVID-19 RNA vaccine BNT162b1 in adults [Internet]. Nature 2020;586:589–593.Available from: http://dx.doi.org/10.1038/s41586-020-2639-4</w:t>
      </w:r>
    </w:p>
    <w:p w14:paraId="3C1F6B62"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26. </w:t>
      </w:r>
      <w:r w:rsidRPr="003F3F75">
        <w:rPr>
          <w:rFonts w:cs="Times New Roman"/>
          <w:noProof/>
          <w:sz w:val="24"/>
          <w:szCs w:val="24"/>
        </w:rPr>
        <w:tab/>
        <w:t>Met Office. Our seasons [Internet]. Available from: https://www.metoffice.gov.uk/weather/learn-about/met-office-for-schools/other-content/other-resources/our-seasons</w:t>
      </w:r>
    </w:p>
    <w:p w14:paraId="1C676EF6"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27. </w:t>
      </w:r>
      <w:r w:rsidRPr="003F3F75">
        <w:rPr>
          <w:rFonts w:cs="Times New Roman"/>
          <w:noProof/>
          <w:sz w:val="24"/>
          <w:szCs w:val="24"/>
        </w:rPr>
        <w:tab/>
        <w:t>Peng JC, Ran ZH, Shen J. Seasonal variation in onset and relapse of IBD and a model to predict the frequency of onset, relapse, and severity of IBD based on artificial neural network. Int. J. Colorectal Dis. 2015;30:1267–1273.</w:t>
      </w:r>
    </w:p>
    <w:p w14:paraId="47189D79"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28. </w:t>
      </w:r>
      <w:r w:rsidRPr="003F3F75">
        <w:rPr>
          <w:rFonts w:cs="Times New Roman"/>
          <w:noProof/>
          <w:sz w:val="24"/>
          <w:szCs w:val="24"/>
        </w:rPr>
        <w:tab/>
        <w:t xml:space="preserve">Lewis JD, Aberra FN, Lichtenstein GR, </w:t>
      </w:r>
      <w:r w:rsidRPr="003F3F75">
        <w:rPr>
          <w:rFonts w:cs="Times New Roman"/>
          <w:i/>
          <w:iCs/>
          <w:noProof/>
          <w:sz w:val="24"/>
          <w:szCs w:val="24"/>
        </w:rPr>
        <w:t>et al.</w:t>
      </w:r>
      <w:r w:rsidRPr="003F3F75">
        <w:rPr>
          <w:rFonts w:cs="Times New Roman"/>
          <w:noProof/>
          <w:sz w:val="24"/>
          <w:szCs w:val="24"/>
        </w:rPr>
        <w:t xml:space="preserve"> Seasonal variation in flares of inflammatory bowel disease. [Internet]. Gastroenterology 2004;126:665–73.[cited 2012 Jul 11] Available from: http://www.ncbi.nlm.nih.gov/pubmed/14988820</w:t>
      </w:r>
    </w:p>
    <w:p w14:paraId="165DF716"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29. </w:t>
      </w:r>
      <w:r w:rsidRPr="003F3F75">
        <w:rPr>
          <w:rFonts w:cs="Times New Roman"/>
          <w:noProof/>
          <w:sz w:val="24"/>
          <w:szCs w:val="24"/>
        </w:rPr>
        <w:tab/>
        <w:t xml:space="preserve">Nie X, Xu L, Bai Y, </w:t>
      </w:r>
      <w:r w:rsidRPr="003F3F75">
        <w:rPr>
          <w:rFonts w:cs="Times New Roman"/>
          <w:i/>
          <w:iCs/>
          <w:noProof/>
          <w:sz w:val="24"/>
          <w:szCs w:val="24"/>
        </w:rPr>
        <w:t>et al.</w:t>
      </w:r>
      <w:r w:rsidRPr="003F3F75">
        <w:rPr>
          <w:rFonts w:cs="Times New Roman"/>
          <w:noProof/>
          <w:sz w:val="24"/>
          <w:szCs w:val="24"/>
        </w:rPr>
        <w:t xml:space="preserve"> Self-controlled case series design in vaccine safety: a systematic review. [Internet]. Expert Rev. Vaccines 2022;21:313–324.Available from: http://www.ncbi.nlm.nih.gov/pubmed/34937500</w:t>
      </w:r>
    </w:p>
    <w:p w14:paraId="2DDCCF73"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lastRenderedPageBreak/>
        <w:t xml:space="preserve">30. </w:t>
      </w:r>
      <w:r w:rsidRPr="003F3F75">
        <w:rPr>
          <w:rFonts w:cs="Times New Roman"/>
          <w:noProof/>
          <w:sz w:val="24"/>
          <w:szCs w:val="24"/>
        </w:rPr>
        <w:tab/>
        <w:t xml:space="preserve">Herrett E, Gallagher AM, Bhaskaran K, </w:t>
      </w:r>
      <w:r w:rsidRPr="003F3F75">
        <w:rPr>
          <w:rFonts w:cs="Times New Roman"/>
          <w:i/>
          <w:iCs/>
          <w:noProof/>
          <w:sz w:val="24"/>
          <w:szCs w:val="24"/>
        </w:rPr>
        <w:t>et al.</w:t>
      </w:r>
      <w:r w:rsidRPr="003F3F75">
        <w:rPr>
          <w:rFonts w:cs="Times New Roman"/>
          <w:noProof/>
          <w:sz w:val="24"/>
          <w:szCs w:val="24"/>
        </w:rPr>
        <w:t xml:space="preserve"> Data Resource Profile: Clinical Practice Research Datalink (CPRD). [Internet]. Int. J. Epidemiol. 2015;44:827–836.Available from: http://www.ncbi.nlm.nih.gov/pubmed/26050254</w:t>
      </w:r>
    </w:p>
    <w:p w14:paraId="0B0F3B0F"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31. </w:t>
      </w:r>
      <w:r w:rsidRPr="003F3F75">
        <w:rPr>
          <w:rFonts w:cs="Times New Roman"/>
          <w:noProof/>
          <w:sz w:val="24"/>
          <w:szCs w:val="24"/>
        </w:rPr>
        <w:tab/>
        <w:t>Chu TPC, Grainge MJ, Card TR. The risk of venous thromboembolism during and after hospitalisation in patients with inflammatory bowel disease activity. [Internet]. Aliment. Pharmacol. Ther. 2018;48:1099–1108.Available from: https://onlinelibrary.wiley.com/doi/pdf/10.1111/apt.15010</w:t>
      </w:r>
    </w:p>
    <w:p w14:paraId="62595E7A"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32. </w:t>
      </w:r>
      <w:r w:rsidRPr="003F3F75">
        <w:rPr>
          <w:rFonts w:cs="Times New Roman"/>
          <w:noProof/>
          <w:sz w:val="24"/>
          <w:szCs w:val="24"/>
        </w:rPr>
        <w:tab/>
        <w:t>Grainge MJ, West J, Card TR. Venous thromboembolism during active disease and remission in inflammatory bowel disease: a cohort study. [Internet]. Lancet 2010;375:657–63.[cited 2012 May 30] Available from: http://www.ncbi.nlm.nih.gov/pubmed/20149425</w:t>
      </w:r>
    </w:p>
    <w:p w14:paraId="198A58B9"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33. </w:t>
      </w:r>
      <w:r w:rsidRPr="003F3F75">
        <w:rPr>
          <w:rFonts w:cs="Times New Roman"/>
          <w:noProof/>
          <w:sz w:val="24"/>
          <w:szCs w:val="24"/>
        </w:rPr>
        <w:tab/>
        <w:t>Barrett K, Saxena S, Pollok R. Using corticosteroids appropriately in inflammatory bowel disease: A guide for primary care. Br. J. Gen. Pract. 2018;68:497–498.</w:t>
      </w:r>
    </w:p>
    <w:p w14:paraId="6B7A61FC"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34. </w:t>
      </w:r>
      <w:r w:rsidRPr="003F3F75">
        <w:rPr>
          <w:rFonts w:cs="Times New Roman"/>
          <w:noProof/>
          <w:sz w:val="24"/>
          <w:szCs w:val="24"/>
        </w:rPr>
        <w:tab/>
        <w:t xml:space="preserve">James D, Jena A, Bharath PN, </w:t>
      </w:r>
      <w:r w:rsidRPr="003F3F75">
        <w:rPr>
          <w:rFonts w:cs="Times New Roman"/>
          <w:i/>
          <w:iCs/>
          <w:noProof/>
          <w:sz w:val="24"/>
          <w:szCs w:val="24"/>
        </w:rPr>
        <w:t>et al.</w:t>
      </w:r>
      <w:r w:rsidRPr="003F3F75">
        <w:rPr>
          <w:rFonts w:cs="Times New Roman"/>
          <w:noProof/>
          <w:sz w:val="24"/>
          <w:szCs w:val="24"/>
        </w:rPr>
        <w:t xml:space="preserve"> Safety of SARS-CoV-2 vaccination in patients with inflammatory bowel disease: A systematic review and meta-analysis [Internet]. Dig. Liver Dis. 2022;54:713–721.Available from: http://www.ncbi.nlm.nih.gov/pubmed/35382972</w:t>
      </w:r>
    </w:p>
    <w:p w14:paraId="510DE3E7" w14:textId="77777777" w:rsidR="003F3F75" w:rsidRPr="003F3F75" w:rsidRDefault="003F3F75" w:rsidP="003F3F75">
      <w:pPr>
        <w:widowControl w:val="0"/>
        <w:autoSpaceDE w:val="0"/>
        <w:autoSpaceDN w:val="0"/>
        <w:adjustRightInd w:val="0"/>
        <w:spacing w:line="240" w:lineRule="auto"/>
        <w:ind w:left="640" w:hanging="640"/>
        <w:rPr>
          <w:rFonts w:cs="Times New Roman"/>
          <w:noProof/>
          <w:sz w:val="24"/>
          <w:szCs w:val="24"/>
        </w:rPr>
      </w:pPr>
      <w:r w:rsidRPr="003F3F75">
        <w:rPr>
          <w:rFonts w:cs="Times New Roman"/>
          <w:noProof/>
          <w:sz w:val="24"/>
          <w:szCs w:val="24"/>
        </w:rPr>
        <w:t xml:space="preserve">35. </w:t>
      </w:r>
      <w:r w:rsidRPr="003F3F75">
        <w:rPr>
          <w:rFonts w:cs="Times New Roman"/>
          <w:noProof/>
          <w:sz w:val="24"/>
          <w:szCs w:val="24"/>
        </w:rPr>
        <w:tab/>
        <w:t xml:space="preserve">Weaver KN, Zhang X, Dai X, </w:t>
      </w:r>
      <w:r w:rsidRPr="003F3F75">
        <w:rPr>
          <w:rFonts w:cs="Times New Roman"/>
          <w:i/>
          <w:iCs/>
          <w:noProof/>
          <w:sz w:val="24"/>
          <w:szCs w:val="24"/>
        </w:rPr>
        <w:t>et al.</w:t>
      </w:r>
      <w:r w:rsidRPr="003F3F75">
        <w:rPr>
          <w:rFonts w:cs="Times New Roman"/>
          <w:noProof/>
          <w:sz w:val="24"/>
          <w:szCs w:val="24"/>
        </w:rPr>
        <w:t xml:space="preserve"> Impact of SARS-CoV-2 Vaccination on Inflammatory Bowel Disease Activity and Development of Vaccine-Related Adverse Events: Results From PREVENT-COVID. Inflamm. Bowel Dis. 2021;1–9.</w:t>
      </w:r>
    </w:p>
    <w:p w14:paraId="1CECE95D" w14:textId="77777777" w:rsidR="003F3F75" w:rsidRPr="003F3F75" w:rsidRDefault="003F3F75" w:rsidP="003F3F75">
      <w:pPr>
        <w:widowControl w:val="0"/>
        <w:autoSpaceDE w:val="0"/>
        <w:autoSpaceDN w:val="0"/>
        <w:adjustRightInd w:val="0"/>
        <w:spacing w:line="240" w:lineRule="auto"/>
        <w:ind w:left="640" w:hanging="640"/>
        <w:rPr>
          <w:noProof/>
          <w:sz w:val="24"/>
        </w:rPr>
      </w:pPr>
      <w:r w:rsidRPr="003F3F75">
        <w:rPr>
          <w:rFonts w:cs="Times New Roman"/>
          <w:noProof/>
          <w:sz w:val="24"/>
          <w:szCs w:val="24"/>
        </w:rPr>
        <w:t xml:space="preserve">36. </w:t>
      </w:r>
      <w:r w:rsidRPr="003F3F75">
        <w:rPr>
          <w:rFonts w:cs="Times New Roman"/>
          <w:noProof/>
          <w:sz w:val="24"/>
          <w:szCs w:val="24"/>
        </w:rPr>
        <w:tab/>
        <w:t xml:space="preserve">Elkharsawi A, Arnim U von, Schmelz R, </w:t>
      </w:r>
      <w:r w:rsidRPr="003F3F75">
        <w:rPr>
          <w:rFonts w:cs="Times New Roman"/>
          <w:i/>
          <w:iCs/>
          <w:noProof/>
          <w:sz w:val="24"/>
          <w:szCs w:val="24"/>
        </w:rPr>
        <w:t>et al.</w:t>
      </w:r>
      <w:r w:rsidRPr="003F3F75">
        <w:rPr>
          <w:rFonts w:cs="Times New Roman"/>
          <w:noProof/>
          <w:sz w:val="24"/>
          <w:szCs w:val="24"/>
        </w:rPr>
        <w:t xml:space="preserve"> SARS-CoV-2 vaccination does not induce relapses of patients with inflammatory bowel disease. [Internet]. Z. Gastroenterol. 2022;60:77–80.Available from: http://www.ncbi.nlm.nih.gov/pubmed/35042256</w:t>
      </w:r>
    </w:p>
    <w:p w14:paraId="5AF7AC9F" w14:textId="50D365FF" w:rsidR="0097064A" w:rsidRDefault="002F7550" w:rsidP="00863E2F">
      <w:pPr>
        <w:rPr>
          <w:sz w:val="24"/>
          <w:szCs w:val="24"/>
        </w:rPr>
        <w:sectPr w:rsidR="0097064A" w:rsidSect="00F15649">
          <w:pgSz w:w="11906" w:h="16838"/>
          <w:pgMar w:top="1440" w:right="1440" w:bottom="1440" w:left="1440" w:header="708" w:footer="708" w:gutter="0"/>
          <w:lnNumType w:countBy="1"/>
          <w:cols w:space="708"/>
          <w:docGrid w:linePitch="360"/>
        </w:sectPr>
      </w:pPr>
      <w:r w:rsidRPr="00021272">
        <w:rPr>
          <w:sz w:val="24"/>
          <w:szCs w:val="24"/>
        </w:rPr>
        <w:fldChar w:fldCharType="end"/>
      </w:r>
    </w:p>
    <w:p w14:paraId="188891FA" w14:textId="0854D847" w:rsidR="0097064A" w:rsidRDefault="008C1872" w:rsidP="0097064A">
      <w:pPr>
        <w:rPr>
          <w:sz w:val="24"/>
          <w:szCs w:val="24"/>
        </w:rPr>
      </w:pPr>
      <w:r>
        <w:rPr>
          <w:noProof/>
          <w:sz w:val="24"/>
          <w:szCs w:val="24"/>
          <w:lang w:eastAsia="en-GB"/>
        </w:rPr>
        <w:lastRenderedPageBreak/>
        <mc:AlternateContent>
          <mc:Choice Requires="wps">
            <w:drawing>
              <wp:anchor distT="0" distB="0" distL="114300" distR="114300" simplePos="0" relativeHeight="251663368" behindDoc="0" locked="0" layoutInCell="1" allowOverlap="1" wp14:anchorId="26A66833" wp14:editId="3FCAD927">
                <wp:simplePos x="0" y="0"/>
                <wp:positionH relativeFrom="column">
                  <wp:posOffset>2466975</wp:posOffset>
                </wp:positionH>
                <wp:positionV relativeFrom="paragraph">
                  <wp:posOffset>304800</wp:posOffset>
                </wp:positionV>
                <wp:extent cx="771525" cy="2762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771525" cy="276225"/>
                        </a:xfrm>
                        <a:prstGeom prst="rect">
                          <a:avLst/>
                        </a:prstGeom>
                        <a:solidFill>
                          <a:schemeClr val="lt1"/>
                        </a:solidFill>
                        <a:ln w="6350">
                          <a:solidFill>
                            <a:prstClr val="black"/>
                          </a:solidFill>
                        </a:ln>
                      </wps:spPr>
                      <wps:txbx>
                        <w:txbxContent>
                          <w:p w14:paraId="357809F9" w14:textId="1ED3A3AA" w:rsidR="00877691" w:rsidRDefault="00877691">
                            <w:r>
                              <w:t>2</w:t>
                            </w:r>
                            <w:r w:rsidRPr="00DB136C">
                              <w:rPr>
                                <w:vertAlign w:val="superscript"/>
                              </w:rPr>
                              <w:t>nd</w:t>
                            </w:r>
                            <w:r>
                              <w:t xml:space="preserve"> dose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66833" id="_x0000_t202" coordsize="21600,21600" o:spt="202" path="m,l,21600r21600,l21600,xe">
                <v:stroke joinstyle="miter"/>
                <v:path gradientshapeok="t" o:connecttype="rect"/>
              </v:shapetype>
              <v:shape id="Text Box 15" o:spid="_x0000_s1026" type="#_x0000_t202" style="position:absolute;margin-left:194.25pt;margin-top:24pt;width:60.75pt;height:21.75p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" fillcolor="white [3201]" strokeweight=".5pt">
                <v:textbox>
                  <w:txbxContent>
                    <w:p w14:paraId="357809F9" w14:textId="1ED3A3AA" w:rsidR="00877691" w:rsidRDefault="00877691">
                      <w:r>
                        <w:t>2</w:t>
                      </w:r>
                      <w:r w:rsidRPr="00DB136C">
                        <w:rPr>
                          <w:vertAlign w:val="superscript"/>
                        </w:rPr>
                        <w:t>nd</w:t>
                      </w:r>
                      <w:r>
                        <w:t xml:space="preserve"> dose </w:t>
                      </w:r>
                    </w:p>
                  </w:txbxContent>
                </v:textbox>
              </v:shape>
            </w:pict>
          </mc:Fallback>
        </mc:AlternateContent>
      </w:r>
      <w:r w:rsidR="00B30A76">
        <w:rPr>
          <w:noProof/>
          <w:sz w:val="24"/>
          <w:szCs w:val="24"/>
          <w:lang w:eastAsia="en-GB"/>
        </w:rPr>
        <mc:AlternateContent>
          <mc:Choice Requires="wps">
            <w:drawing>
              <wp:anchor distT="0" distB="0" distL="114300" distR="114300" simplePos="0" relativeHeight="251659272" behindDoc="0" locked="0" layoutInCell="1" allowOverlap="1" wp14:anchorId="5C210553" wp14:editId="15CC3A81">
                <wp:simplePos x="0" y="0"/>
                <wp:positionH relativeFrom="column">
                  <wp:posOffset>161290</wp:posOffset>
                </wp:positionH>
                <wp:positionV relativeFrom="paragraph">
                  <wp:posOffset>257175</wp:posOffset>
                </wp:positionV>
                <wp:extent cx="695325" cy="257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95325" cy="257175"/>
                        </a:xfrm>
                        <a:prstGeom prst="rect">
                          <a:avLst/>
                        </a:prstGeom>
                        <a:solidFill>
                          <a:schemeClr val="lt1"/>
                        </a:solidFill>
                        <a:ln w="6350">
                          <a:solidFill>
                            <a:prstClr val="black"/>
                          </a:solidFill>
                        </a:ln>
                      </wps:spPr>
                      <wps:txbx>
                        <w:txbxContent>
                          <w:p w14:paraId="18C4CB74" w14:textId="24EB39A9" w:rsidR="00877691" w:rsidRDefault="00877691">
                            <w:r>
                              <w:t>1</w:t>
                            </w:r>
                            <w:r w:rsidRPr="00DB136C">
                              <w:rPr>
                                <w:vertAlign w:val="superscript"/>
                              </w:rPr>
                              <w:t>st</w:t>
                            </w:r>
                            <w:r>
                              <w:t xml:space="preserve"> dose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10553" id="Text Box 2" o:spid="_x0000_s1027" type="#_x0000_t202" style="position:absolute;margin-left:12.7pt;margin-top:20.25pt;width:54.75pt;height:20.25pt;z-index:251659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" fillcolor="white [3201]" strokeweight=".5pt">
                <v:textbox>
                  <w:txbxContent>
                    <w:p w14:paraId="18C4CB74" w14:textId="24EB39A9" w:rsidR="00877691" w:rsidRDefault="00877691">
                      <w:r>
                        <w:t>1</w:t>
                      </w:r>
                      <w:r w:rsidRPr="00DB136C">
                        <w:rPr>
                          <w:vertAlign w:val="superscript"/>
                        </w:rPr>
                        <w:t>st</w:t>
                      </w:r>
                      <w:r>
                        <w:t xml:space="preserve"> dose</w:t>
                      </w:r>
                    </w:p>
                  </w:txbxContent>
                </v:textbox>
              </v:shape>
            </w:pict>
          </mc:Fallback>
        </mc:AlternateContent>
      </w:r>
    </w:p>
    <w:p w14:paraId="1587CCA2" w14:textId="6E13CAB8" w:rsidR="0001788E" w:rsidRDefault="008C0BCF" w:rsidP="0097064A">
      <w:pPr>
        <w:rPr>
          <w:sz w:val="24"/>
          <w:szCs w:val="24"/>
        </w:rPr>
      </w:pPr>
      <w:r>
        <w:rPr>
          <w:noProof/>
          <w:sz w:val="24"/>
          <w:szCs w:val="24"/>
          <w:lang w:eastAsia="en-GB"/>
        </w:rPr>
        <mc:AlternateContent>
          <mc:Choice Requires="wps">
            <w:drawing>
              <wp:anchor distT="0" distB="0" distL="114300" distR="114300" simplePos="0" relativeHeight="251662344" behindDoc="0" locked="0" layoutInCell="1" allowOverlap="1" wp14:anchorId="62932B96" wp14:editId="620E3D8E">
                <wp:simplePos x="0" y="0"/>
                <wp:positionH relativeFrom="column">
                  <wp:posOffset>6781800</wp:posOffset>
                </wp:positionH>
                <wp:positionV relativeFrom="paragraph">
                  <wp:posOffset>88900</wp:posOffset>
                </wp:positionV>
                <wp:extent cx="942975" cy="276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942975" cy="276225"/>
                        </a:xfrm>
                        <a:prstGeom prst="rect">
                          <a:avLst/>
                        </a:prstGeom>
                        <a:solidFill>
                          <a:schemeClr val="lt1"/>
                        </a:solidFill>
                        <a:ln w="6350">
                          <a:solidFill>
                            <a:prstClr val="black"/>
                          </a:solidFill>
                        </a:ln>
                      </wps:spPr>
                      <wps:txbx>
                        <w:txbxContent>
                          <w:p w14:paraId="251BCA14" w14:textId="3CDE6B36" w:rsidR="00877691" w:rsidRDefault="00877691">
                            <w:r>
                              <w:t>3rd dose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32B96" id="Text Box 14" o:spid="_x0000_s1028" type="#_x0000_t202" style="position:absolute;margin-left:534pt;margin-top:7pt;width:74.25pt;height:21.75pt;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" fillcolor="white [3201]" strokeweight=".5pt">
                <v:textbox>
                  <w:txbxContent>
                    <w:p w14:paraId="251BCA14" w14:textId="3CDE6B36" w:rsidR="00877691" w:rsidRDefault="00877691">
                      <w:r>
                        <w:t>3rd dose</w:t>
                      </w:r>
                    </w:p>
                  </w:txbxContent>
                </v:textbox>
              </v:shape>
            </w:pict>
          </mc:Fallback>
        </mc:AlternateContent>
      </w:r>
    </w:p>
    <w:p w14:paraId="521043FD" w14:textId="47DCB80E" w:rsidR="0001788E" w:rsidRDefault="00E13073" w:rsidP="0097064A">
      <w:pPr>
        <w:rPr>
          <w:sz w:val="24"/>
          <w:szCs w:val="24"/>
        </w:rPr>
      </w:pPr>
      <w:r>
        <w:rPr>
          <w:noProof/>
          <w:sz w:val="24"/>
          <w:szCs w:val="24"/>
          <w:lang w:eastAsia="en-GB"/>
        </w:rPr>
        <mc:AlternateContent>
          <mc:Choice Requires="wps">
            <w:drawing>
              <wp:anchor distT="0" distB="0" distL="114300" distR="114300" simplePos="0" relativeHeight="251661320" behindDoc="0" locked="0" layoutInCell="1" allowOverlap="1" wp14:anchorId="798DDDF4" wp14:editId="03840A5A">
                <wp:simplePos x="0" y="0"/>
                <wp:positionH relativeFrom="column">
                  <wp:posOffset>8401050</wp:posOffset>
                </wp:positionH>
                <wp:positionV relativeFrom="paragraph">
                  <wp:posOffset>930275</wp:posOffset>
                </wp:positionV>
                <wp:extent cx="457200" cy="2381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57200" cy="238125"/>
                        </a:xfrm>
                        <a:prstGeom prst="rect">
                          <a:avLst/>
                        </a:prstGeom>
                        <a:solidFill>
                          <a:schemeClr val="lt1"/>
                        </a:solidFill>
                        <a:ln w="6350">
                          <a:solidFill>
                            <a:prstClr val="black"/>
                          </a:solidFill>
                        </a:ln>
                      </wps:spPr>
                      <wps:txbx>
                        <w:txbxContent>
                          <w:p w14:paraId="1F89EDBC" w14:textId="156454B0" w:rsidR="00877691" w:rsidRDefault="00877691">
                            <w:r>
                              <w:t xml:space="preserve">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8DDDF4" id="Text Box 10" o:spid="_x0000_s1029" type="#_x0000_t202" style="position:absolute;margin-left:661.5pt;margin-top:73.25pt;width:36pt;height:18.75pt;z-index:251661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" fillcolor="white [3201]" strokeweight=".5pt">
                <v:textbox>
                  <w:txbxContent>
                    <w:p w14:paraId="1F89EDBC" w14:textId="156454B0" w:rsidR="00877691" w:rsidRDefault="00877691">
                      <w:r>
                        <w:t xml:space="preserve">End </w:t>
                      </w:r>
                    </w:p>
                  </w:txbxContent>
                </v:textbox>
              </v:shape>
            </w:pict>
          </mc:Fallback>
        </mc:AlternateContent>
      </w:r>
      <w:r>
        <w:rPr>
          <w:noProof/>
          <w:sz w:val="24"/>
          <w:szCs w:val="24"/>
          <w:lang w:eastAsia="en-GB"/>
        </w:rPr>
        <mc:AlternateContent>
          <mc:Choice Requires="wps">
            <w:drawing>
              <wp:anchor distT="0" distB="0" distL="114300" distR="114300" simplePos="0" relativeHeight="251660296" behindDoc="0" locked="0" layoutInCell="1" allowOverlap="1" wp14:anchorId="1793352E" wp14:editId="35AEF8EC">
                <wp:simplePos x="0" y="0"/>
                <wp:positionH relativeFrom="column">
                  <wp:posOffset>-9525</wp:posOffset>
                </wp:positionH>
                <wp:positionV relativeFrom="paragraph">
                  <wp:posOffset>1025525</wp:posOffset>
                </wp:positionV>
                <wp:extent cx="542925" cy="2286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42925" cy="228600"/>
                        </a:xfrm>
                        <a:prstGeom prst="rect">
                          <a:avLst/>
                        </a:prstGeom>
                        <a:solidFill>
                          <a:schemeClr val="lt1"/>
                        </a:solidFill>
                        <a:ln w="6350">
                          <a:solidFill>
                            <a:prstClr val="black"/>
                          </a:solidFill>
                        </a:ln>
                      </wps:spPr>
                      <wps:txbx>
                        <w:txbxContent>
                          <w:p w14:paraId="154F99EC" w14:textId="689E178D" w:rsidR="00877691" w:rsidRDefault="00877691">
                            <w:r>
                              <w:t xml:space="preserve">Start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352E" id="Text Box 8" o:spid="_x0000_s1030" type="#_x0000_t202" style="position:absolute;margin-left:-.75pt;margin-top:80.75pt;width:42.75pt;height:18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" fillcolor="white [3201]" strokeweight=".5pt">
                <v:textbox>
                  <w:txbxContent>
                    <w:p w14:paraId="154F99EC" w14:textId="689E178D" w:rsidR="00877691" w:rsidRDefault="00877691">
                      <w:r>
                        <w:t xml:space="preserve">Start </w:t>
                      </w:r>
                    </w:p>
                  </w:txbxContent>
                </v:textbox>
              </v:shape>
            </w:pict>
          </mc:Fallback>
        </mc:AlternateContent>
      </w:r>
      <w:r w:rsidR="00BB1051">
        <w:rPr>
          <w:noProof/>
          <w:sz w:val="24"/>
          <w:szCs w:val="24"/>
          <w:lang w:eastAsia="en-GB"/>
        </w:rPr>
        <w:drawing>
          <wp:inline distT="0" distB="0" distL="0" distR="0" wp14:anchorId="5C933AD1" wp14:editId="5DEFCB1A">
            <wp:extent cx="8686800" cy="908685"/>
            <wp:effectExtent l="0" t="0" r="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86800" cy="908685"/>
                    </a:xfrm>
                    <a:prstGeom prst="rect">
                      <a:avLst/>
                    </a:prstGeom>
                    <a:noFill/>
                  </pic:spPr>
                </pic:pic>
              </a:graphicData>
            </a:graphic>
          </wp:inline>
        </w:drawing>
      </w:r>
    </w:p>
    <w:p w14:paraId="73B69EAF" w14:textId="77777777" w:rsidR="0001788E" w:rsidRDefault="0001788E" w:rsidP="0097064A">
      <w:pPr>
        <w:rPr>
          <w:sz w:val="24"/>
          <w:szCs w:val="24"/>
        </w:rPr>
      </w:pPr>
    </w:p>
    <w:p w14:paraId="234E682E" w14:textId="48D4A6FC" w:rsidR="0097064A" w:rsidRDefault="0097064A" w:rsidP="0097064A">
      <w:pPr>
        <w:rPr>
          <w:sz w:val="24"/>
          <w:szCs w:val="24"/>
        </w:rPr>
      </w:pPr>
    </w:p>
    <w:p w14:paraId="3DFC19AA" w14:textId="77777777" w:rsidR="0001788E" w:rsidRDefault="0001788E" w:rsidP="0097064A">
      <w:pPr>
        <w:rPr>
          <w:sz w:val="24"/>
          <w:szCs w:val="24"/>
        </w:rPr>
      </w:pPr>
    </w:p>
    <w:p w14:paraId="0E31E918" w14:textId="5E70FEBD" w:rsidR="00BB1051" w:rsidRPr="00BB1051" w:rsidRDefault="00BB1051" w:rsidP="00BB1051">
      <w:pPr>
        <w:rPr>
          <w:rFonts w:ascii="Arial" w:hAnsi="Arial" w:cs="Arial"/>
          <w:sz w:val="24"/>
          <w:szCs w:val="24"/>
        </w:rPr>
      </w:pPr>
      <w:r w:rsidRPr="00BB1051">
        <w:rPr>
          <w:rFonts w:ascii="Arial" w:hAnsi="Arial" w:cs="Arial"/>
          <w:b/>
          <w:sz w:val="24"/>
          <w:szCs w:val="24"/>
          <w:lang w:val="en-US"/>
        </w:rPr>
        <w:t>Figure 1</w:t>
      </w:r>
      <w:r w:rsidRPr="00BB1051">
        <w:rPr>
          <w:rFonts w:ascii="Arial" w:hAnsi="Arial" w:cs="Arial"/>
          <w:sz w:val="24"/>
          <w:szCs w:val="24"/>
          <w:lang w:val="en-US"/>
        </w:rPr>
        <w:t xml:space="preserve">. Schematic representation of self-controlled case series (SCCS) analysis periods. The </w:t>
      </w:r>
      <w:r w:rsidR="00F73F2B">
        <w:rPr>
          <w:rFonts w:ascii="Arial" w:hAnsi="Arial" w:cs="Arial"/>
          <w:sz w:val="24"/>
          <w:szCs w:val="24"/>
          <w:lang w:val="en-US"/>
        </w:rPr>
        <w:t xml:space="preserve">vaccine unexposed </w:t>
      </w:r>
      <w:r w:rsidRPr="00BB1051">
        <w:rPr>
          <w:rFonts w:ascii="Arial" w:hAnsi="Arial" w:cs="Arial"/>
          <w:sz w:val="24"/>
          <w:szCs w:val="24"/>
          <w:lang w:val="en-US"/>
        </w:rPr>
        <w:t xml:space="preserve">baseline, </w:t>
      </w:r>
      <w:r w:rsidR="00F73F2B">
        <w:rPr>
          <w:rFonts w:ascii="Arial" w:hAnsi="Arial" w:cs="Arial"/>
          <w:sz w:val="24"/>
          <w:szCs w:val="24"/>
          <w:lang w:val="en-US"/>
        </w:rPr>
        <w:t>pre-vaccination</w:t>
      </w:r>
      <w:r w:rsidRPr="00BB1051">
        <w:rPr>
          <w:rFonts w:ascii="Arial" w:hAnsi="Arial" w:cs="Arial"/>
          <w:sz w:val="24"/>
          <w:szCs w:val="24"/>
          <w:lang w:val="en-US"/>
        </w:rPr>
        <w:t xml:space="preserve">, and </w:t>
      </w:r>
      <w:r w:rsidR="00F73F2B">
        <w:rPr>
          <w:rFonts w:ascii="Arial" w:hAnsi="Arial" w:cs="Arial"/>
          <w:sz w:val="24"/>
          <w:szCs w:val="24"/>
          <w:lang w:val="en-US"/>
        </w:rPr>
        <w:t>vaccine-</w:t>
      </w:r>
      <w:r w:rsidRPr="00BB1051">
        <w:rPr>
          <w:rFonts w:ascii="Arial" w:hAnsi="Arial" w:cs="Arial"/>
          <w:sz w:val="24"/>
          <w:szCs w:val="24"/>
          <w:lang w:val="en-US"/>
        </w:rPr>
        <w:t xml:space="preserve">exposed periods are shaded speckled, solid and lined respectively. Vaccinations against COVID-19 are represented by solid arrows. Unfilled arrows below indicate the start and end of the study period. Not all participants received all three vaccinations. Follow up began on the latest of current registration date in </w:t>
      </w:r>
      <w:r w:rsidR="00F73F2B">
        <w:rPr>
          <w:rFonts w:ascii="Arial" w:hAnsi="Arial" w:cs="Arial"/>
          <w:sz w:val="24"/>
          <w:szCs w:val="24"/>
          <w:lang w:val="en-US"/>
        </w:rPr>
        <w:t>general practice</w:t>
      </w:r>
      <w:r w:rsidRPr="00BB1051">
        <w:rPr>
          <w:rFonts w:ascii="Arial" w:hAnsi="Arial" w:cs="Arial"/>
          <w:sz w:val="24"/>
          <w:szCs w:val="24"/>
          <w:lang w:val="en-US"/>
        </w:rPr>
        <w:t xml:space="preserve"> surgery or 1</w:t>
      </w:r>
      <w:r w:rsidRPr="00BB1051">
        <w:rPr>
          <w:rFonts w:ascii="Arial" w:hAnsi="Arial" w:cs="Arial"/>
          <w:sz w:val="24"/>
          <w:szCs w:val="24"/>
          <w:vertAlign w:val="superscript"/>
          <w:lang w:val="en-US"/>
        </w:rPr>
        <w:t>st</w:t>
      </w:r>
      <w:r w:rsidRPr="00BB1051">
        <w:rPr>
          <w:rFonts w:ascii="Arial" w:hAnsi="Arial" w:cs="Arial"/>
          <w:sz w:val="24"/>
          <w:szCs w:val="24"/>
          <w:lang w:val="en-US"/>
        </w:rPr>
        <w:t xml:space="preserve"> December 2020 and was censored on the earliest of 31</w:t>
      </w:r>
      <w:r w:rsidRPr="00BB1051">
        <w:rPr>
          <w:rFonts w:ascii="Arial" w:hAnsi="Arial" w:cs="Arial"/>
          <w:sz w:val="24"/>
          <w:szCs w:val="24"/>
          <w:vertAlign w:val="superscript"/>
          <w:lang w:val="en-US"/>
        </w:rPr>
        <w:t>st</w:t>
      </w:r>
      <w:r w:rsidRPr="00BB1051">
        <w:rPr>
          <w:rFonts w:ascii="Arial" w:hAnsi="Arial" w:cs="Arial"/>
          <w:sz w:val="24"/>
          <w:szCs w:val="24"/>
          <w:lang w:val="en-US"/>
        </w:rPr>
        <w:t xml:space="preserve"> December 2021, death date, transfer out date, date of last data collection from the </w:t>
      </w:r>
      <w:r w:rsidR="00F73F2B">
        <w:rPr>
          <w:rFonts w:ascii="Arial" w:hAnsi="Arial" w:cs="Arial"/>
          <w:sz w:val="24"/>
          <w:szCs w:val="24"/>
          <w:lang w:val="en-US"/>
        </w:rPr>
        <w:t>general practice</w:t>
      </w:r>
      <w:r w:rsidRPr="00BB1051">
        <w:rPr>
          <w:rFonts w:ascii="Arial" w:hAnsi="Arial" w:cs="Arial"/>
          <w:sz w:val="24"/>
          <w:szCs w:val="24"/>
          <w:lang w:val="en-US"/>
        </w:rPr>
        <w:t xml:space="preserve"> surgery.</w:t>
      </w:r>
    </w:p>
    <w:p w14:paraId="536DFA02" w14:textId="0C076858" w:rsidR="0001788E" w:rsidRDefault="0001788E" w:rsidP="0097064A">
      <w:pPr>
        <w:rPr>
          <w:sz w:val="24"/>
          <w:szCs w:val="24"/>
        </w:rPr>
        <w:sectPr w:rsidR="0001788E" w:rsidSect="0097064A">
          <w:pgSz w:w="16838" w:h="11906" w:orient="landscape"/>
          <w:pgMar w:top="1440" w:right="1440" w:bottom="1440" w:left="1440" w:header="708" w:footer="708" w:gutter="0"/>
          <w:cols w:space="708"/>
          <w:docGrid w:linePitch="360"/>
        </w:sectPr>
      </w:pPr>
    </w:p>
    <w:p w14:paraId="0FA0FA2E" w14:textId="1CD7EBA6" w:rsidR="0001788E" w:rsidRPr="0001788E" w:rsidRDefault="0001788E" w:rsidP="0001788E">
      <w:pPr>
        <w:jc w:val="both"/>
        <w:rPr>
          <w:rFonts w:ascii="Arial" w:hAnsi="Arial" w:cs="Arial"/>
          <w:b/>
          <w:bCs/>
          <w:sz w:val="24"/>
          <w:szCs w:val="24"/>
        </w:rPr>
      </w:pPr>
      <w:r w:rsidRPr="0001788E">
        <w:rPr>
          <w:rFonts w:ascii="Arial" w:hAnsi="Arial" w:cs="Arial"/>
          <w:b/>
          <w:bCs/>
          <w:sz w:val="24"/>
          <w:szCs w:val="24"/>
        </w:rPr>
        <w:lastRenderedPageBreak/>
        <w:t xml:space="preserve">Figure </w:t>
      </w:r>
      <w:r>
        <w:rPr>
          <w:rFonts w:ascii="Arial" w:hAnsi="Arial" w:cs="Arial"/>
          <w:b/>
          <w:bCs/>
          <w:sz w:val="24"/>
          <w:szCs w:val="24"/>
        </w:rPr>
        <w:t>2</w:t>
      </w:r>
      <w:r w:rsidRPr="0001788E">
        <w:rPr>
          <w:rFonts w:ascii="Arial" w:hAnsi="Arial" w:cs="Arial"/>
          <w:b/>
          <w:bCs/>
          <w:sz w:val="24"/>
          <w:szCs w:val="24"/>
        </w:rPr>
        <w:t xml:space="preserve">: Study population selection criteria </w:t>
      </w:r>
      <w:r w:rsidR="00F73F2B">
        <w:rPr>
          <w:rFonts w:ascii="Arial" w:hAnsi="Arial" w:cs="Arial"/>
          <w:b/>
          <w:bCs/>
          <w:sz w:val="24"/>
          <w:szCs w:val="24"/>
        </w:rPr>
        <w:t>for self-controlled case-series analysis</w:t>
      </w:r>
    </w:p>
    <w:p w14:paraId="2DAA7521" w14:textId="77777777" w:rsidR="0001788E" w:rsidRPr="00E23CC3" w:rsidRDefault="0001788E" w:rsidP="0001788E">
      <w:pPr>
        <w:rPr>
          <w:sz w:val="24"/>
          <w:szCs w:val="24"/>
        </w:rPr>
      </w:pPr>
    </w:p>
    <w:p w14:paraId="7F5C3239" w14:textId="77777777" w:rsidR="0001788E" w:rsidRPr="00E23CC3" w:rsidRDefault="0001788E" w:rsidP="0001788E">
      <w:pPr>
        <w:rPr>
          <w:sz w:val="24"/>
          <w:szCs w:val="24"/>
        </w:rPr>
      </w:pPr>
    </w:p>
    <w:p w14:paraId="0EFFC09A" w14:textId="77777777" w:rsidR="0001788E" w:rsidRPr="00E23CC3" w:rsidRDefault="0001788E" w:rsidP="0001788E">
      <w:pPr>
        <w:rPr>
          <w:sz w:val="24"/>
          <w:szCs w:val="24"/>
        </w:rPr>
      </w:pPr>
      <w:r>
        <w:rPr>
          <w:noProof/>
          <w:sz w:val="24"/>
          <w:szCs w:val="24"/>
          <w:lang w:eastAsia="en-GB"/>
        </w:rPr>
        <mc:AlternateContent>
          <mc:Choice Requires="wps">
            <w:drawing>
              <wp:anchor distT="0" distB="0" distL="114300" distR="114300" simplePos="0" relativeHeight="251658240" behindDoc="0" locked="0" layoutInCell="1" allowOverlap="1" wp14:anchorId="72687C86" wp14:editId="2D7E13B2">
                <wp:simplePos x="0" y="0"/>
                <wp:positionH relativeFrom="column">
                  <wp:posOffset>662256</wp:posOffset>
                </wp:positionH>
                <wp:positionV relativeFrom="paragraph">
                  <wp:posOffset>131445</wp:posOffset>
                </wp:positionV>
                <wp:extent cx="2879725" cy="647700"/>
                <wp:effectExtent l="12700" t="12700" r="15875" b="12700"/>
                <wp:wrapNone/>
                <wp:docPr id="9" name="Text Box 9"/>
                <wp:cNvGraphicFramePr/>
                <a:graphic xmlns:a="http://schemas.openxmlformats.org/drawingml/2006/main">
                  <a:graphicData uri="http://schemas.microsoft.com/office/word/2010/wordprocessingShape">
                    <wps:wsp>
                      <wps:cNvSpPr txBox="1"/>
                      <wps:spPr>
                        <a:xfrm>
                          <a:off x="0" y="0"/>
                          <a:ext cx="2879725" cy="647700"/>
                        </a:xfrm>
                        <a:prstGeom prst="rect">
                          <a:avLst/>
                        </a:prstGeom>
                        <a:solidFill>
                          <a:schemeClr val="lt1"/>
                        </a:solidFill>
                        <a:ln w="19050">
                          <a:solidFill>
                            <a:prstClr val="black"/>
                          </a:solidFill>
                        </a:ln>
                      </wps:spPr>
                      <wps:txbx>
                        <w:txbxContent>
                          <w:p w14:paraId="1C0215FC" w14:textId="77777777" w:rsidR="00877691" w:rsidRDefault="00877691" w:rsidP="0001788E">
                            <w:pPr>
                              <w:spacing w:after="0"/>
                              <w:jc w:val="center"/>
                              <w:rPr>
                                <w:lang w:val="en-US"/>
                              </w:rPr>
                            </w:pPr>
                            <w:r>
                              <w:rPr>
                                <w:lang w:val="en-US"/>
                              </w:rPr>
                              <w:t xml:space="preserve"> Inflammatory bowel disease (IBD) cases who received ≥</w:t>
                            </w:r>
                            <w:r>
                              <w:rPr>
                                <w:rFonts w:cstheme="minorHAnsi"/>
                                <w:lang w:val="en-US"/>
                              </w:rPr>
                              <w:t xml:space="preserve">1 </w:t>
                            </w:r>
                            <w:r>
                              <w:rPr>
                                <w:lang w:val="en-US"/>
                              </w:rPr>
                              <w:t xml:space="preserve">SARS-CoV-2 vaccine </w:t>
                            </w:r>
                          </w:p>
                          <w:p w14:paraId="17123360" w14:textId="77777777" w:rsidR="00877691" w:rsidRPr="00094592" w:rsidRDefault="00877691" w:rsidP="0001788E">
                            <w:pPr>
                              <w:spacing w:after="0"/>
                              <w:jc w:val="center"/>
                              <w:rPr>
                                <w:lang w:val="en-US"/>
                              </w:rPr>
                            </w:pPr>
                            <w:r>
                              <w:rPr>
                                <w:lang w:val="en-US"/>
                              </w:rPr>
                              <w:t xml:space="preserve">n= </w:t>
                            </w:r>
                            <w:r w:rsidRPr="00B72A7B">
                              <w:rPr>
                                <w:lang w:val="en-US"/>
                              </w:rPr>
                              <w:t>73,626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87C86" id="Text Box 9" o:spid="_x0000_s1031" type="#_x0000_t202" style="position:absolute;margin-left:52.15pt;margin-top:10.35pt;width:226.7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" fillcolor="white [3201]" strokeweight="1.5pt">
                <v:textbox>
                  <w:txbxContent>
                    <w:p w14:paraId="1C0215FC" w14:textId="77777777" w:rsidR="00877691" w:rsidRDefault="00877691" w:rsidP="0001788E">
                      <w:pPr>
                        <w:spacing w:after="0"/>
                        <w:jc w:val="center"/>
                        <w:rPr>
                          <w:lang w:val="en-US"/>
                        </w:rPr>
                      </w:pPr>
                      <w:r>
                        <w:rPr>
                          <w:lang w:val="en-US"/>
                        </w:rPr>
                        <w:t xml:space="preserve"> Inflammatory bowel disease (IBD) cases who received ≥</w:t>
                      </w:r>
                      <w:r>
                        <w:rPr>
                          <w:rFonts w:cstheme="minorHAnsi"/>
                          <w:lang w:val="en-US"/>
                        </w:rPr>
                        <w:t xml:space="preserve">1 </w:t>
                      </w:r>
                      <w:r>
                        <w:rPr>
                          <w:lang w:val="en-US"/>
                        </w:rPr>
                        <w:t xml:space="preserve">SARS-CoV-2 vaccine </w:t>
                      </w:r>
                    </w:p>
                    <w:p w14:paraId="17123360" w14:textId="77777777" w:rsidR="00877691" w:rsidRPr="00094592" w:rsidRDefault="00877691" w:rsidP="0001788E">
                      <w:pPr>
                        <w:spacing w:after="0"/>
                        <w:jc w:val="center"/>
                        <w:rPr>
                          <w:lang w:val="en-US"/>
                        </w:rPr>
                      </w:pPr>
                      <w:r>
                        <w:rPr>
                          <w:lang w:val="en-US"/>
                        </w:rPr>
                        <w:t xml:space="preserve">n= </w:t>
                      </w:r>
                      <w:r w:rsidRPr="00B72A7B">
                        <w:rPr>
                          <w:lang w:val="en-US"/>
                        </w:rPr>
                        <w:t>73,626</w:t>
                      </w:r>
                    </w:p>
                  </w:txbxContent>
                </v:textbox>
              </v:shape>
            </w:pict>
          </mc:Fallback>
        </mc:AlternateContent>
      </w:r>
    </w:p>
    <w:p w14:paraId="048C8C38" w14:textId="77777777" w:rsidR="0001788E" w:rsidRPr="00E23CC3" w:rsidRDefault="0001788E" w:rsidP="0001788E">
      <w:pPr>
        <w:rPr>
          <w:sz w:val="24"/>
          <w:szCs w:val="24"/>
        </w:rPr>
      </w:pPr>
    </w:p>
    <w:p w14:paraId="1EEC03A2" w14:textId="77777777" w:rsidR="0001788E" w:rsidRPr="00E23CC3" w:rsidRDefault="0001788E" w:rsidP="0001788E">
      <w:pPr>
        <w:rPr>
          <w:sz w:val="24"/>
          <w:szCs w:val="24"/>
        </w:rPr>
      </w:pPr>
      <w:r>
        <w:rPr>
          <w:noProof/>
          <w:sz w:val="24"/>
          <w:szCs w:val="24"/>
          <w:lang w:eastAsia="en-GB"/>
        </w:rPr>
        <mc:AlternateContent>
          <mc:Choice Requires="wps">
            <w:drawing>
              <wp:anchor distT="0" distB="0" distL="114300" distR="114300" simplePos="0" relativeHeight="251658243" behindDoc="0" locked="0" layoutInCell="1" allowOverlap="1" wp14:anchorId="58C6669C" wp14:editId="4E5B4B6F">
                <wp:simplePos x="0" y="0"/>
                <wp:positionH relativeFrom="column">
                  <wp:posOffset>2102485</wp:posOffset>
                </wp:positionH>
                <wp:positionV relativeFrom="paragraph">
                  <wp:posOffset>194701</wp:posOffset>
                </wp:positionV>
                <wp:extent cx="9525" cy="2015490"/>
                <wp:effectExtent l="63500" t="12700" r="41275" b="29210"/>
                <wp:wrapNone/>
                <wp:docPr id="11" name="Straight Arrow Connector 11"/>
                <wp:cNvGraphicFramePr/>
                <a:graphic xmlns:a="http://schemas.openxmlformats.org/drawingml/2006/main">
                  <a:graphicData uri="http://schemas.microsoft.com/office/word/2010/wordprocessingShape">
                    <wps:wsp>
                      <wps:cNvCnPr/>
                      <wps:spPr>
                        <a:xfrm>
                          <a:off x="0" y="0"/>
                          <a:ext cx="9525" cy="201549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6A7E569F" id="_x0000_t32" coordsize="21600,21600" o:spt="32" o:oned="t" path="m,l21600,21600e" filled="f">
                <v:path arrowok="t" fillok="f" o:connecttype="none"/>
                <o:lock v:ext="edit" shapetype="t"/>
              </v:shapetype>
              <v:shape id="Straight Arrow Connector 11" o:spid="_x0000_s1026" type="#_x0000_t32" style="position:absolute;margin-left:165.55pt;margin-top:15.35pt;width:.75pt;height:158.7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" strokecolor="black [3200]" strokeweight="1.5pt">
                <v:stroke endarrow="block" joinstyle="miter"/>
              </v:shape>
            </w:pict>
          </mc:Fallback>
        </mc:AlternateContent>
      </w:r>
    </w:p>
    <w:p w14:paraId="5F5415AC" w14:textId="77777777" w:rsidR="0001788E" w:rsidRPr="00E23CC3" w:rsidRDefault="0001788E" w:rsidP="0001788E">
      <w:pPr>
        <w:rPr>
          <w:sz w:val="24"/>
          <w:szCs w:val="24"/>
        </w:rPr>
      </w:pPr>
    </w:p>
    <w:p w14:paraId="37D04DB0" w14:textId="77777777" w:rsidR="0001788E" w:rsidRPr="00E23CC3" w:rsidRDefault="0001788E" w:rsidP="0001788E">
      <w:pPr>
        <w:rPr>
          <w:sz w:val="24"/>
          <w:szCs w:val="24"/>
        </w:rPr>
      </w:pPr>
      <w:r>
        <w:rPr>
          <w:noProof/>
          <w:sz w:val="24"/>
          <w:szCs w:val="24"/>
          <w:lang w:eastAsia="en-GB"/>
        </w:rPr>
        <mc:AlternateContent>
          <mc:Choice Requires="wps">
            <w:drawing>
              <wp:anchor distT="0" distB="0" distL="114300" distR="114300" simplePos="0" relativeHeight="251658248" behindDoc="0" locked="0" layoutInCell="1" allowOverlap="1" wp14:anchorId="1F69B638" wp14:editId="35805477">
                <wp:simplePos x="0" y="0"/>
                <wp:positionH relativeFrom="column">
                  <wp:posOffset>3835400</wp:posOffset>
                </wp:positionH>
                <wp:positionV relativeFrom="paragraph">
                  <wp:posOffset>247346</wp:posOffset>
                </wp:positionV>
                <wp:extent cx="2407920" cy="1043940"/>
                <wp:effectExtent l="0" t="0" r="11430" b="22860"/>
                <wp:wrapNone/>
                <wp:docPr id="6" name="Text Box 6"/>
                <wp:cNvGraphicFramePr/>
                <a:graphic xmlns:a="http://schemas.openxmlformats.org/drawingml/2006/main">
                  <a:graphicData uri="http://schemas.microsoft.com/office/word/2010/wordprocessingShape">
                    <wps:wsp>
                      <wps:cNvSpPr txBox="1"/>
                      <wps:spPr>
                        <a:xfrm>
                          <a:off x="0" y="0"/>
                          <a:ext cx="2407920" cy="1043940"/>
                        </a:xfrm>
                        <a:prstGeom prst="rect">
                          <a:avLst/>
                        </a:prstGeom>
                        <a:solidFill>
                          <a:schemeClr val="lt1"/>
                        </a:solidFill>
                        <a:ln w="19050">
                          <a:solidFill>
                            <a:prstClr val="black"/>
                          </a:solidFill>
                        </a:ln>
                      </wps:spPr>
                      <wps:txbx>
                        <w:txbxContent>
                          <w:p w14:paraId="13A4D1AE" w14:textId="77777777" w:rsidR="00877691" w:rsidRDefault="00877691" w:rsidP="0001788E">
                            <w:pPr>
                              <w:rPr>
                                <w:lang w:val="en-US"/>
                              </w:rPr>
                            </w:pPr>
                            <w:r>
                              <w:rPr>
                                <w:lang w:val="en-US"/>
                              </w:rPr>
                              <w:t>         Excluded n=71,686</w:t>
                            </w:r>
                          </w:p>
                          <w:p w14:paraId="350CBDBA" w14:textId="77777777" w:rsidR="00877691" w:rsidRDefault="00877691" w:rsidP="0001788E">
                            <w:pPr>
                              <w:rPr>
                                <w:lang w:val="en-US"/>
                              </w:rPr>
                            </w:pPr>
                            <w:r>
                              <w:rPr>
                                <w:lang w:val="en-US"/>
                              </w:rPr>
                              <w:t xml:space="preserve">71,686: Vaccinated IBD cases without a flare </w:t>
                            </w:r>
                          </w:p>
                          <w:p w14:paraId="44D76748" w14:textId="77777777" w:rsidR="00877691" w:rsidRDefault="00877691" w:rsidP="0001788E">
                            <w:pPr>
                              <w:rPr>
                                <w:lang w:val="en-US"/>
                              </w:rPr>
                            </w:pPr>
                            <w:r>
                              <w:rPr>
                                <w:lang w:val="en-US"/>
                              </w:rPr>
                              <w:t xml:space="preserve"> </w:t>
                            </w:r>
                          </w:p>
                          <w:p w14:paraId="16A1FF6A" w14:textId="77777777" w:rsidR="00877691" w:rsidRDefault="00877691" w:rsidP="0001788E">
                            <w:pPr>
                              <w:rPr>
                                <w:lang w:val="en-US"/>
                              </w:rPr>
                            </w:pPr>
                          </w:p>
                          <w:p w14:paraId="5FD03935" w14:textId="77777777" w:rsidR="00877691" w:rsidRDefault="00877691" w:rsidP="0001788E">
                            <w:pPr>
                              <w:rPr>
                                <w:lang w:val="en-US"/>
                              </w:rPr>
                            </w:pPr>
                          </w:p>
                          <w:p w14:paraId="522F8CD4" w14:textId="77777777" w:rsidR="00877691" w:rsidRDefault="00877691" w:rsidP="0001788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9B638" id="Text Box 6" o:spid="_x0000_s1032" type="#_x0000_t202" style="position:absolute;margin-left:302pt;margin-top:19.5pt;width:189.6pt;height:82.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" fillcolor="white [3201]" strokeweight="1.5pt">
                <v:textbox>
                  <w:txbxContent>
                    <w:p w14:paraId="13A4D1AE" w14:textId="77777777" w:rsidR="00877691" w:rsidRDefault="00877691" w:rsidP="0001788E">
                      <w:pPr>
                        <w:rPr>
                          <w:lang w:val="en-US"/>
                        </w:rPr>
                      </w:pPr>
                      <w:r>
                        <w:rPr>
                          <w:lang w:val="en-US"/>
                        </w:rPr>
                        <w:t>         Excluded n=71,686</w:t>
                      </w:r>
                    </w:p>
                    <w:p w14:paraId="350CBDBA" w14:textId="77777777" w:rsidR="00877691" w:rsidRDefault="00877691" w:rsidP="0001788E">
                      <w:pPr>
                        <w:rPr>
                          <w:lang w:val="en-US"/>
                        </w:rPr>
                      </w:pPr>
                      <w:r>
                        <w:rPr>
                          <w:lang w:val="en-US"/>
                        </w:rPr>
                        <w:t xml:space="preserve">71,686: Vaccinated IBD cases without a flare </w:t>
                      </w:r>
                    </w:p>
                    <w:p w14:paraId="44D76748" w14:textId="77777777" w:rsidR="00877691" w:rsidRDefault="00877691" w:rsidP="0001788E">
                      <w:pPr>
                        <w:rPr>
                          <w:lang w:val="en-US"/>
                        </w:rPr>
                      </w:pPr>
                      <w:r>
                        <w:rPr>
                          <w:lang w:val="en-US"/>
                        </w:rPr>
                        <w:t xml:space="preserve"> </w:t>
                      </w:r>
                    </w:p>
                    <w:p w14:paraId="16A1FF6A" w14:textId="77777777" w:rsidR="00877691" w:rsidRDefault="00877691" w:rsidP="0001788E">
                      <w:pPr>
                        <w:rPr>
                          <w:lang w:val="en-US"/>
                        </w:rPr>
                      </w:pPr>
                    </w:p>
                    <w:p w14:paraId="5FD03935" w14:textId="77777777" w:rsidR="00877691" w:rsidRDefault="00877691" w:rsidP="0001788E">
                      <w:pPr>
                        <w:rPr>
                          <w:lang w:val="en-US"/>
                        </w:rPr>
                      </w:pPr>
                    </w:p>
                    <w:p w14:paraId="522F8CD4" w14:textId="77777777" w:rsidR="00877691" w:rsidRDefault="00877691" w:rsidP="0001788E">
                      <w:pPr>
                        <w:rPr>
                          <w:lang w:val="en-US"/>
                        </w:rPr>
                      </w:pPr>
                    </w:p>
                  </w:txbxContent>
                </v:textbox>
              </v:shape>
            </w:pict>
          </mc:Fallback>
        </mc:AlternateContent>
      </w:r>
    </w:p>
    <w:p w14:paraId="4D41297C" w14:textId="77777777" w:rsidR="0001788E" w:rsidRPr="00E23CC3" w:rsidRDefault="0001788E" w:rsidP="0001788E">
      <w:pPr>
        <w:rPr>
          <w:sz w:val="24"/>
          <w:szCs w:val="24"/>
        </w:rPr>
      </w:pPr>
    </w:p>
    <w:p w14:paraId="57E15E00" w14:textId="77777777" w:rsidR="0001788E" w:rsidRDefault="0001788E" w:rsidP="0001788E">
      <w:pPr>
        <w:rPr>
          <w:sz w:val="24"/>
          <w:szCs w:val="24"/>
        </w:rPr>
      </w:pPr>
      <w:r>
        <w:rPr>
          <w:noProof/>
          <w:sz w:val="24"/>
          <w:szCs w:val="24"/>
          <w:lang w:eastAsia="en-GB"/>
        </w:rPr>
        <mc:AlternateContent>
          <mc:Choice Requires="wps">
            <w:drawing>
              <wp:anchor distT="0" distB="0" distL="114300" distR="114300" simplePos="0" relativeHeight="251658242" behindDoc="0" locked="0" layoutInCell="1" allowOverlap="1" wp14:anchorId="17353612" wp14:editId="6F680609">
                <wp:simplePos x="0" y="0"/>
                <wp:positionH relativeFrom="column">
                  <wp:posOffset>2105025</wp:posOffset>
                </wp:positionH>
                <wp:positionV relativeFrom="paragraph">
                  <wp:posOffset>187178</wp:posOffset>
                </wp:positionV>
                <wp:extent cx="1728000" cy="0"/>
                <wp:effectExtent l="0" t="63500" r="0" b="63500"/>
                <wp:wrapNone/>
                <wp:docPr id="3" name="Straight Arrow Connector 3"/>
                <wp:cNvGraphicFramePr/>
                <a:graphic xmlns:a="http://schemas.openxmlformats.org/drawingml/2006/main">
                  <a:graphicData uri="http://schemas.microsoft.com/office/word/2010/wordprocessingShape">
                    <wps:wsp>
                      <wps:cNvCnPr/>
                      <wps:spPr>
                        <a:xfrm flipV="1">
                          <a:off x="0" y="0"/>
                          <a:ext cx="17280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8E42CA" id="Straight Arrow Connector 3" o:spid="_x0000_s1026" type="#_x0000_t32" style="position:absolute;margin-left:165.75pt;margin-top:14.75pt;width:136.05pt;height:0;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" strokecolor="black [3200]" strokeweight="1.5pt">
                <v:stroke endarrow="block" joinstyle="miter"/>
              </v:shape>
            </w:pict>
          </mc:Fallback>
        </mc:AlternateContent>
      </w:r>
    </w:p>
    <w:p w14:paraId="7BE00BAD" w14:textId="77777777" w:rsidR="0001788E" w:rsidRDefault="0001788E" w:rsidP="0001788E">
      <w:pPr>
        <w:tabs>
          <w:tab w:val="left" w:pos="3130"/>
        </w:tabs>
        <w:rPr>
          <w:sz w:val="24"/>
          <w:szCs w:val="24"/>
        </w:rPr>
      </w:pPr>
      <w:r>
        <w:rPr>
          <w:sz w:val="24"/>
          <w:szCs w:val="24"/>
        </w:rPr>
        <w:tab/>
      </w:r>
    </w:p>
    <w:p w14:paraId="5D2CD858" w14:textId="77777777" w:rsidR="0001788E" w:rsidRDefault="0001788E" w:rsidP="0001788E">
      <w:pPr>
        <w:tabs>
          <w:tab w:val="left" w:pos="3130"/>
        </w:tabs>
        <w:rPr>
          <w:sz w:val="24"/>
          <w:szCs w:val="24"/>
        </w:rPr>
      </w:pPr>
    </w:p>
    <w:p w14:paraId="1C748269" w14:textId="77777777" w:rsidR="0001788E" w:rsidRDefault="0001788E" w:rsidP="0001788E">
      <w:pPr>
        <w:tabs>
          <w:tab w:val="left" w:pos="3130"/>
        </w:tabs>
        <w:rPr>
          <w:sz w:val="24"/>
          <w:szCs w:val="24"/>
        </w:rPr>
      </w:pPr>
      <w:r>
        <w:rPr>
          <w:noProof/>
          <w:sz w:val="24"/>
          <w:szCs w:val="24"/>
          <w:lang w:eastAsia="en-GB"/>
        </w:rPr>
        <mc:AlternateContent>
          <mc:Choice Requires="wps">
            <w:drawing>
              <wp:anchor distT="0" distB="0" distL="114300" distR="114300" simplePos="0" relativeHeight="251658241" behindDoc="0" locked="0" layoutInCell="1" allowOverlap="1" wp14:anchorId="04BC7BA3" wp14:editId="4DDFD323">
                <wp:simplePos x="0" y="0"/>
                <wp:positionH relativeFrom="column">
                  <wp:posOffset>675249</wp:posOffset>
                </wp:positionH>
                <wp:positionV relativeFrom="paragraph">
                  <wp:posOffset>114544</wp:posOffset>
                </wp:positionV>
                <wp:extent cx="2879725" cy="844062"/>
                <wp:effectExtent l="12700" t="12700" r="15875" b="6985"/>
                <wp:wrapNone/>
                <wp:docPr id="1" name="Text Box 1"/>
                <wp:cNvGraphicFramePr/>
                <a:graphic xmlns:a="http://schemas.openxmlformats.org/drawingml/2006/main">
                  <a:graphicData uri="http://schemas.microsoft.com/office/word/2010/wordprocessingShape">
                    <wps:wsp>
                      <wps:cNvSpPr txBox="1"/>
                      <wps:spPr>
                        <a:xfrm>
                          <a:off x="0" y="0"/>
                          <a:ext cx="2879725" cy="844062"/>
                        </a:xfrm>
                        <a:prstGeom prst="rect">
                          <a:avLst/>
                        </a:prstGeom>
                        <a:solidFill>
                          <a:schemeClr val="lt1"/>
                        </a:solidFill>
                        <a:ln w="19050">
                          <a:solidFill>
                            <a:prstClr val="black"/>
                          </a:solidFill>
                        </a:ln>
                      </wps:spPr>
                      <wps:txbx>
                        <w:txbxContent>
                          <w:p w14:paraId="335C2922" w14:textId="7B9E79F4" w:rsidR="00877691" w:rsidRDefault="00877691" w:rsidP="0001788E">
                            <w:pPr>
                              <w:spacing w:after="0"/>
                              <w:jc w:val="center"/>
                              <w:rPr>
                                <w:lang w:val="en-US"/>
                              </w:rPr>
                            </w:pPr>
                            <w:r>
                              <w:rPr>
                                <w:lang w:val="en-US"/>
                              </w:rPr>
                              <w:t>SARS-CoV-2 vaccinated IBD cases with IBD flare within study period:</w:t>
                            </w:r>
                          </w:p>
                          <w:p w14:paraId="71A2BE89" w14:textId="77777777" w:rsidR="00877691" w:rsidRPr="00094592" w:rsidRDefault="00877691" w:rsidP="0001788E">
                            <w:pPr>
                              <w:spacing w:after="0"/>
                              <w:jc w:val="center"/>
                              <w:rPr>
                                <w:lang w:val="en-US"/>
                              </w:rPr>
                            </w:pPr>
                            <w:r>
                              <w:rPr>
                                <w:lang w:val="en-US"/>
                              </w:rPr>
                              <w:t>n=1,940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7BA3" id="Text Box 1" o:spid="_x0000_s1033" type="#_x0000_t202" style="position:absolute;margin-left:53.15pt;margin-top:9pt;width:226.75pt;height:6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" fillcolor="white [3201]" strokeweight="1.5pt">
                <v:textbox>
                  <w:txbxContent>
                    <w:p w14:paraId="335C2922" w14:textId="7B9E79F4" w:rsidR="00877691" w:rsidRDefault="00877691" w:rsidP="0001788E">
                      <w:pPr>
                        <w:spacing w:after="0"/>
                        <w:jc w:val="center"/>
                        <w:rPr>
                          <w:lang w:val="en-US"/>
                        </w:rPr>
                      </w:pPr>
                      <w:r>
                        <w:rPr>
                          <w:lang w:val="en-US"/>
                        </w:rPr>
                        <w:t>SARS-CoV-2 vaccinated IBD cases with IBD flare within study period:</w:t>
                      </w:r>
                    </w:p>
                    <w:p w14:paraId="71A2BE89" w14:textId="77777777" w:rsidR="00877691" w:rsidRPr="00094592" w:rsidRDefault="00877691" w:rsidP="0001788E">
                      <w:pPr>
                        <w:spacing w:after="0"/>
                        <w:jc w:val="center"/>
                        <w:rPr>
                          <w:lang w:val="en-US"/>
                        </w:rPr>
                      </w:pPr>
                      <w:r>
                        <w:rPr>
                          <w:lang w:val="en-US"/>
                        </w:rPr>
                        <w:t>n=1,940</w:t>
                      </w:r>
                    </w:p>
                  </w:txbxContent>
                </v:textbox>
              </v:shape>
            </w:pict>
          </mc:Fallback>
        </mc:AlternateContent>
      </w:r>
    </w:p>
    <w:p w14:paraId="3CBBB2D6" w14:textId="77777777" w:rsidR="0001788E" w:rsidRDefault="0001788E" w:rsidP="0001788E">
      <w:pPr>
        <w:tabs>
          <w:tab w:val="left" w:pos="3130"/>
        </w:tabs>
        <w:rPr>
          <w:sz w:val="24"/>
          <w:szCs w:val="24"/>
        </w:rPr>
      </w:pPr>
    </w:p>
    <w:p w14:paraId="07C89A88" w14:textId="77777777" w:rsidR="0001788E" w:rsidRDefault="0001788E" w:rsidP="0001788E">
      <w:r>
        <w:rPr>
          <w:noProof/>
          <w:sz w:val="24"/>
          <w:szCs w:val="24"/>
          <w:lang w:eastAsia="en-GB"/>
        </w:rPr>
        <mc:AlternateContent>
          <mc:Choice Requires="wps">
            <w:drawing>
              <wp:anchor distT="0" distB="0" distL="114300" distR="114300" simplePos="0" relativeHeight="251658245" behindDoc="0" locked="0" layoutInCell="1" allowOverlap="1" wp14:anchorId="1EB3C507" wp14:editId="719A52D0">
                <wp:simplePos x="0" y="0"/>
                <wp:positionH relativeFrom="column">
                  <wp:posOffset>3887829</wp:posOffset>
                </wp:positionH>
                <wp:positionV relativeFrom="paragraph">
                  <wp:posOffset>227937</wp:posOffset>
                </wp:positionV>
                <wp:extent cx="2456953" cy="1319917"/>
                <wp:effectExtent l="0" t="0" r="19685" b="13970"/>
                <wp:wrapNone/>
                <wp:docPr id="7" name="Text Box 7"/>
                <wp:cNvGraphicFramePr/>
                <a:graphic xmlns:a="http://schemas.openxmlformats.org/drawingml/2006/main">
                  <a:graphicData uri="http://schemas.microsoft.com/office/word/2010/wordprocessingShape">
                    <wps:wsp>
                      <wps:cNvSpPr txBox="1"/>
                      <wps:spPr>
                        <a:xfrm>
                          <a:off x="0" y="0"/>
                          <a:ext cx="2456953" cy="1319917"/>
                        </a:xfrm>
                        <a:prstGeom prst="rect">
                          <a:avLst/>
                        </a:prstGeom>
                        <a:solidFill>
                          <a:schemeClr val="lt1"/>
                        </a:solidFill>
                        <a:ln w="19050">
                          <a:solidFill>
                            <a:prstClr val="black"/>
                          </a:solidFill>
                        </a:ln>
                      </wps:spPr>
                      <wps:txbx>
                        <w:txbxContent>
                          <w:p w14:paraId="119F9965" w14:textId="77777777" w:rsidR="00877691" w:rsidRPr="00181673" w:rsidRDefault="00877691" w:rsidP="0001788E">
                            <w:r>
                              <w:rPr>
                                <w:lang w:val="en-US"/>
                              </w:rPr>
                              <w:t>         Excluded n=29</w:t>
                            </w:r>
                          </w:p>
                          <w:p w14:paraId="32CC84B8" w14:textId="716FFDE0" w:rsidR="00877691" w:rsidRDefault="00877691" w:rsidP="0001788E">
                            <w:pPr>
                              <w:rPr>
                                <w:lang w:val="en-US"/>
                              </w:rPr>
                            </w:pPr>
                            <w:r>
                              <w:rPr>
                                <w:lang w:val="en-US"/>
                              </w:rPr>
                              <w:t xml:space="preserve">28:  </w:t>
                            </w:r>
                            <w:r w:rsidRPr="00FC43B8">
                              <w:rPr>
                                <w:lang w:val="en-US"/>
                              </w:rPr>
                              <w:t xml:space="preserve">participants with at least </w:t>
                            </w:r>
                            <w:r>
                              <w:rPr>
                                <w:lang w:val="en-US"/>
                              </w:rPr>
                              <w:t>one</w:t>
                            </w:r>
                            <w:r w:rsidRPr="00FC43B8">
                              <w:rPr>
                                <w:lang w:val="en-US"/>
                              </w:rPr>
                              <w:t xml:space="preserve"> gap between vaccinations </w:t>
                            </w:r>
                            <w:r>
                              <w:rPr>
                                <w:lang w:val="en-US"/>
                              </w:rPr>
                              <w:t xml:space="preserve">of </w:t>
                            </w:r>
                            <w:r w:rsidRPr="00FC43B8">
                              <w:rPr>
                                <w:lang w:val="en-US"/>
                              </w:rPr>
                              <w:t>&lt;4 weeks</w:t>
                            </w:r>
                            <w:r>
                              <w:rPr>
                                <w:lang w:val="en-US"/>
                              </w:rPr>
                              <w:t xml:space="preserve">* </w:t>
                            </w:r>
                          </w:p>
                          <w:p w14:paraId="6B0C5631" w14:textId="77777777" w:rsidR="00877691" w:rsidRDefault="00877691" w:rsidP="0001788E">
                            <w:pPr>
                              <w:rPr>
                                <w:lang w:val="en-US"/>
                              </w:rPr>
                            </w:pPr>
                            <w:r>
                              <w:rPr>
                                <w:lang w:val="en-US"/>
                              </w:rPr>
                              <w:t xml:space="preserve">1: Transfers out of GP surgery before first SARS-CoV-2 vaccine. </w:t>
                            </w:r>
                          </w:p>
                          <w:p w14:paraId="53537D5A" w14:textId="77777777" w:rsidR="00877691" w:rsidRDefault="00877691" w:rsidP="0001788E">
                            <w:pPr>
                              <w:rPr>
                                <w:lang w:val="en-US"/>
                              </w:rPr>
                            </w:pPr>
                          </w:p>
                          <w:p w14:paraId="44FCC0BC" w14:textId="77777777" w:rsidR="00877691" w:rsidRDefault="00877691" w:rsidP="0001788E">
                            <w:pPr>
                              <w:rPr>
                                <w:lang w:val="en-US"/>
                              </w:rPr>
                            </w:pPr>
                          </w:p>
                          <w:p w14:paraId="2F7ABA60" w14:textId="77777777" w:rsidR="00877691" w:rsidRDefault="00877691" w:rsidP="0001788E">
                            <w:pPr>
                              <w:rPr>
                                <w:lang w:val="en-US"/>
                              </w:rPr>
                            </w:pPr>
                          </w:p>
                          <w:p w14:paraId="124CB2B2" w14:textId="77777777" w:rsidR="00877691" w:rsidRDefault="00877691" w:rsidP="0001788E">
                            <w:pPr>
                              <w:rPr>
                                <w:lang w:val="en-US"/>
                              </w:rPr>
                            </w:pPr>
                          </w:p>
                          <w:p w14:paraId="23700486" w14:textId="77777777" w:rsidR="00877691" w:rsidRDefault="00877691" w:rsidP="0001788E">
                            <w:pPr>
                              <w:rPr>
                                <w:lang w:val="en-US"/>
                              </w:rPr>
                            </w:pPr>
                          </w:p>
                          <w:p w14:paraId="1B6A4274" w14:textId="77777777" w:rsidR="00877691" w:rsidRDefault="00877691" w:rsidP="0001788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3C507" id="Text Box 7" o:spid="_x0000_s1034" type="#_x0000_t202" style="position:absolute;margin-left:306.15pt;margin-top:17.95pt;width:193.45pt;height:103.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" fillcolor="white [3201]" strokeweight="1.5pt">
                <v:textbox>
                  <w:txbxContent>
                    <w:p w14:paraId="119F9965" w14:textId="77777777" w:rsidR="00877691" w:rsidRPr="00181673" w:rsidRDefault="00877691" w:rsidP="0001788E">
                      <w:r>
                        <w:rPr>
                          <w:lang w:val="en-US"/>
                        </w:rPr>
                        <w:t>         Excluded n=29</w:t>
                      </w:r>
                    </w:p>
                    <w:p w14:paraId="32CC84B8" w14:textId="716FFDE0" w:rsidR="00877691" w:rsidRDefault="00877691" w:rsidP="0001788E">
                      <w:pPr>
                        <w:rPr>
                          <w:lang w:val="en-US"/>
                        </w:rPr>
                      </w:pPr>
                      <w:r>
                        <w:rPr>
                          <w:lang w:val="en-US"/>
                        </w:rPr>
                        <w:t xml:space="preserve">28:  </w:t>
                      </w:r>
                      <w:r w:rsidRPr="00FC43B8">
                        <w:rPr>
                          <w:lang w:val="en-US"/>
                        </w:rPr>
                        <w:t xml:space="preserve">participants with at least </w:t>
                      </w:r>
                      <w:r>
                        <w:rPr>
                          <w:lang w:val="en-US"/>
                        </w:rPr>
                        <w:t>one</w:t>
                      </w:r>
                      <w:r w:rsidRPr="00FC43B8">
                        <w:rPr>
                          <w:lang w:val="en-US"/>
                        </w:rPr>
                        <w:t xml:space="preserve"> gap between vaccinations </w:t>
                      </w:r>
                      <w:r>
                        <w:rPr>
                          <w:lang w:val="en-US"/>
                        </w:rPr>
                        <w:t xml:space="preserve">of </w:t>
                      </w:r>
                      <w:r w:rsidRPr="00FC43B8">
                        <w:rPr>
                          <w:lang w:val="en-US"/>
                        </w:rPr>
                        <w:t>&lt;4 weeks</w:t>
                      </w:r>
                      <w:r>
                        <w:rPr>
                          <w:lang w:val="en-US"/>
                        </w:rPr>
                        <w:t xml:space="preserve">* </w:t>
                      </w:r>
                    </w:p>
                    <w:p w14:paraId="6B0C5631" w14:textId="77777777" w:rsidR="00877691" w:rsidRDefault="00877691" w:rsidP="0001788E">
                      <w:pPr>
                        <w:rPr>
                          <w:lang w:val="en-US"/>
                        </w:rPr>
                      </w:pPr>
                      <w:r>
                        <w:rPr>
                          <w:lang w:val="en-US"/>
                        </w:rPr>
                        <w:t xml:space="preserve">1: Transfers out of GP surgery before first SARS-CoV-2 vaccine. </w:t>
                      </w:r>
                    </w:p>
                    <w:p w14:paraId="53537D5A" w14:textId="77777777" w:rsidR="00877691" w:rsidRDefault="00877691" w:rsidP="0001788E">
                      <w:pPr>
                        <w:rPr>
                          <w:lang w:val="en-US"/>
                        </w:rPr>
                      </w:pPr>
                    </w:p>
                    <w:p w14:paraId="44FCC0BC" w14:textId="77777777" w:rsidR="00877691" w:rsidRDefault="00877691" w:rsidP="0001788E">
                      <w:pPr>
                        <w:rPr>
                          <w:lang w:val="en-US"/>
                        </w:rPr>
                      </w:pPr>
                    </w:p>
                    <w:p w14:paraId="2F7ABA60" w14:textId="77777777" w:rsidR="00877691" w:rsidRDefault="00877691" w:rsidP="0001788E">
                      <w:pPr>
                        <w:rPr>
                          <w:lang w:val="en-US"/>
                        </w:rPr>
                      </w:pPr>
                    </w:p>
                    <w:p w14:paraId="124CB2B2" w14:textId="77777777" w:rsidR="00877691" w:rsidRDefault="00877691" w:rsidP="0001788E">
                      <w:pPr>
                        <w:rPr>
                          <w:lang w:val="en-US"/>
                        </w:rPr>
                      </w:pPr>
                    </w:p>
                    <w:p w14:paraId="23700486" w14:textId="77777777" w:rsidR="00877691" w:rsidRDefault="00877691" w:rsidP="0001788E">
                      <w:pPr>
                        <w:rPr>
                          <w:lang w:val="en-US"/>
                        </w:rPr>
                      </w:pPr>
                    </w:p>
                    <w:p w14:paraId="1B6A4274" w14:textId="77777777" w:rsidR="00877691" w:rsidRDefault="00877691" w:rsidP="0001788E">
                      <w:pPr>
                        <w:rPr>
                          <w:lang w:val="en-US"/>
                        </w:rPr>
                      </w:pPr>
                    </w:p>
                  </w:txbxContent>
                </v:textbox>
              </v:shape>
            </w:pict>
          </mc:Fallback>
        </mc:AlternateContent>
      </w:r>
    </w:p>
    <w:p w14:paraId="35DCFE44" w14:textId="77777777" w:rsidR="0001788E" w:rsidRDefault="0001788E" w:rsidP="0001788E">
      <w:r>
        <w:rPr>
          <w:noProof/>
          <w:sz w:val="24"/>
          <w:szCs w:val="24"/>
          <w:lang w:eastAsia="en-GB"/>
        </w:rPr>
        <mc:AlternateContent>
          <mc:Choice Requires="wps">
            <w:drawing>
              <wp:anchor distT="0" distB="0" distL="114300" distR="114300" simplePos="0" relativeHeight="251658246" behindDoc="0" locked="0" layoutInCell="1" allowOverlap="1" wp14:anchorId="4867FB62" wp14:editId="5823C853">
                <wp:simplePos x="0" y="0"/>
                <wp:positionH relativeFrom="column">
                  <wp:posOffset>2116455</wp:posOffset>
                </wp:positionH>
                <wp:positionV relativeFrom="paragraph">
                  <wp:posOffset>92661</wp:posOffset>
                </wp:positionV>
                <wp:extent cx="0" cy="1007745"/>
                <wp:effectExtent l="63500" t="0" r="38100" b="33655"/>
                <wp:wrapNone/>
                <wp:docPr id="12" name="Straight Arrow Connector 12"/>
                <wp:cNvGraphicFramePr/>
                <a:graphic xmlns:a="http://schemas.openxmlformats.org/drawingml/2006/main">
                  <a:graphicData uri="http://schemas.microsoft.com/office/word/2010/wordprocessingShape">
                    <wps:wsp>
                      <wps:cNvCnPr/>
                      <wps:spPr>
                        <a:xfrm>
                          <a:off x="0" y="0"/>
                          <a:ext cx="0" cy="100774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F9FBEF" id="Straight Arrow Connector 12" o:spid="_x0000_s1026" type="#_x0000_t32" style="position:absolute;margin-left:166.65pt;margin-top:7.3pt;width:0;height:79.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" strokecolor="black [3200]" strokeweight="1.5pt">
                <v:stroke endarrow="block" joinstyle="miter"/>
              </v:shape>
            </w:pict>
          </mc:Fallback>
        </mc:AlternateContent>
      </w:r>
    </w:p>
    <w:p w14:paraId="7A134CA5" w14:textId="77777777" w:rsidR="0001788E" w:rsidRDefault="0001788E" w:rsidP="0001788E"/>
    <w:p w14:paraId="51703CE4" w14:textId="77777777" w:rsidR="0001788E" w:rsidRDefault="0001788E" w:rsidP="0001788E">
      <w:r>
        <w:rPr>
          <w:noProof/>
          <w:sz w:val="24"/>
          <w:szCs w:val="24"/>
          <w:lang w:eastAsia="en-GB"/>
        </w:rPr>
        <mc:AlternateContent>
          <mc:Choice Requires="wps">
            <w:drawing>
              <wp:anchor distT="0" distB="0" distL="114300" distR="114300" simplePos="0" relativeHeight="251658244" behindDoc="0" locked="0" layoutInCell="1" allowOverlap="1" wp14:anchorId="6FC8FD4E" wp14:editId="0CAA7B6C">
                <wp:simplePos x="0" y="0"/>
                <wp:positionH relativeFrom="column">
                  <wp:posOffset>2132330</wp:posOffset>
                </wp:positionH>
                <wp:positionV relativeFrom="paragraph">
                  <wp:posOffset>19538</wp:posOffset>
                </wp:positionV>
                <wp:extent cx="1727835" cy="0"/>
                <wp:effectExtent l="0" t="63500" r="0" b="63500"/>
                <wp:wrapNone/>
                <wp:docPr id="4" name="Straight Arrow Connector 4"/>
                <wp:cNvGraphicFramePr/>
                <a:graphic xmlns:a="http://schemas.openxmlformats.org/drawingml/2006/main">
                  <a:graphicData uri="http://schemas.microsoft.com/office/word/2010/wordprocessingShape">
                    <wps:wsp>
                      <wps:cNvCnPr/>
                      <wps:spPr>
                        <a:xfrm flipV="1">
                          <a:off x="0" y="0"/>
                          <a:ext cx="172783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BF285C" id="Straight Arrow Connector 4" o:spid="_x0000_s1026" type="#_x0000_t32" style="position:absolute;margin-left:167.9pt;margin-top:1.55pt;width:136.05pt;height:0;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" strokecolor="black [3200]" strokeweight="1.5pt">
                <v:stroke endarrow="block" joinstyle="miter"/>
              </v:shape>
            </w:pict>
          </mc:Fallback>
        </mc:AlternateContent>
      </w:r>
    </w:p>
    <w:p w14:paraId="59DCE6D8" w14:textId="77777777" w:rsidR="0001788E" w:rsidRDefault="0001788E" w:rsidP="0001788E">
      <w:r>
        <w:rPr>
          <w:noProof/>
          <w:sz w:val="24"/>
          <w:szCs w:val="24"/>
          <w:lang w:eastAsia="en-GB"/>
        </w:rPr>
        <mc:AlternateContent>
          <mc:Choice Requires="wps">
            <w:drawing>
              <wp:anchor distT="0" distB="0" distL="114300" distR="114300" simplePos="0" relativeHeight="251658247" behindDoc="0" locked="0" layoutInCell="1" allowOverlap="1" wp14:anchorId="034D88DF" wp14:editId="5088940C">
                <wp:simplePos x="0" y="0"/>
                <wp:positionH relativeFrom="column">
                  <wp:posOffset>688975</wp:posOffset>
                </wp:positionH>
                <wp:positionV relativeFrom="paragraph">
                  <wp:posOffset>255221</wp:posOffset>
                </wp:positionV>
                <wp:extent cx="2879725" cy="506730"/>
                <wp:effectExtent l="12700" t="12700" r="15875" b="13970"/>
                <wp:wrapNone/>
                <wp:docPr id="13" name="Text Box 13"/>
                <wp:cNvGraphicFramePr/>
                <a:graphic xmlns:a="http://schemas.openxmlformats.org/drawingml/2006/main">
                  <a:graphicData uri="http://schemas.microsoft.com/office/word/2010/wordprocessingShape">
                    <wps:wsp>
                      <wps:cNvSpPr txBox="1"/>
                      <wps:spPr>
                        <a:xfrm>
                          <a:off x="0" y="0"/>
                          <a:ext cx="2879725" cy="506730"/>
                        </a:xfrm>
                        <a:prstGeom prst="rect">
                          <a:avLst/>
                        </a:prstGeom>
                        <a:solidFill>
                          <a:schemeClr val="lt1"/>
                        </a:solidFill>
                        <a:ln w="19050">
                          <a:solidFill>
                            <a:prstClr val="black"/>
                          </a:solidFill>
                        </a:ln>
                      </wps:spPr>
                      <wps:txbx>
                        <w:txbxContent>
                          <w:p w14:paraId="239A0F19" w14:textId="77777777" w:rsidR="00877691" w:rsidRDefault="00877691" w:rsidP="0001788E">
                            <w:pPr>
                              <w:spacing w:after="0"/>
                              <w:jc w:val="center"/>
                              <w:rPr>
                                <w:lang w:val="en-US"/>
                              </w:rPr>
                            </w:pPr>
                            <w:r>
                              <w:rPr>
                                <w:lang w:val="en-US"/>
                              </w:rPr>
                              <w:t>Included in the SCCS analysis</w:t>
                            </w:r>
                          </w:p>
                          <w:p w14:paraId="6841F969" w14:textId="77777777" w:rsidR="00877691" w:rsidRPr="00094592" w:rsidRDefault="00877691" w:rsidP="0001788E">
                            <w:pPr>
                              <w:spacing w:after="0"/>
                              <w:jc w:val="center"/>
                              <w:rPr>
                                <w:lang w:val="en-US"/>
                              </w:rPr>
                            </w:pPr>
                            <w:r>
                              <w:rPr>
                                <w:lang w:val="en-US"/>
                              </w:rPr>
                              <w:t>n=</w:t>
                            </w:r>
                            <w:r w:rsidRPr="00BA0090">
                              <w:rPr>
                                <w:lang w:val="en-US"/>
                              </w:rPr>
                              <w:t>1,91</w:t>
                            </w: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D88DF" id="Text Box 13" o:spid="_x0000_s1035" type="#_x0000_t202" style="position:absolute;margin-left:54.25pt;margin-top:20.1pt;width:226.75pt;height:39.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" fillcolor="white [3201]" strokeweight="1.5pt">
                <v:textbox>
                  <w:txbxContent>
                    <w:p w14:paraId="239A0F19" w14:textId="77777777" w:rsidR="00877691" w:rsidRDefault="00877691" w:rsidP="0001788E">
                      <w:pPr>
                        <w:spacing w:after="0"/>
                        <w:jc w:val="center"/>
                        <w:rPr>
                          <w:lang w:val="en-US"/>
                        </w:rPr>
                      </w:pPr>
                      <w:r>
                        <w:rPr>
                          <w:lang w:val="en-US"/>
                        </w:rPr>
                        <w:t>Included in the SCCS analysis</w:t>
                      </w:r>
                    </w:p>
                    <w:p w14:paraId="6841F969" w14:textId="77777777" w:rsidR="00877691" w:rsidRPr="00094592" w:rsidRDefault="00877691" w:rsidP="0001788E">
                      <w:pPr>
                        <w:spacing w:after="0"/>
                        <w:jc w:val="center"/>
                        <w:rPr>
                          <w:lang w:val="en-US"/>
                        </w:rPr>
                      </w:pPr>
                      <w:r>
                        <w:rPr>
                          <w:lang w:val="en-US"/>
                        </w:rPr>
                        <w:t>n=</w:t>
                      </w:r>
                      <w:r w:rsidRPr="00BA0090">
                        <w:rPr>
                          <w:lang w:val="en-US"/>
                        </w:rPr>
                        <w:t>1,91</w:t>
                      </w:r>
                      <w:r>
                        <w:rPr>
                          <w:lang w:val="en-US"/>
                        </w:rPr>
                        <w:t>1</w:t>
                      </w:r>
                    </w:p>
                  </w:txbxContent>
                </v:textbox>
              </v:shape>
            </w:pict>
          </mc:Fallback>
        </mc:AlternateContent>
      </w:r>
    </w:p>
    <w:p w14:paraId="0A90DB84" w14:textId="77777777" w:rsidR="0001788E" w:rsidRDefault="0001788E" w:rsidP="0001788E"/>
    <w:p w14:paraId="724211C5" w14:textId="77777777" w:rsidR="0001788E" w:rsidRDefault="0001788E" w:rsidP="0001788E"/>
    <w:p w14:paraId="2EEDA98E" w14:textId="67493309" w:rsidR="00F73F2B" w:rsidRDefault="0001788E" w:rsidP="00F73F2B">
      <w:pPr>
        <w:spacing w:before="219"/>
        <w:ind w:left="1440" w:right="932"/>
        <w:rPr>
          <w:rFonts w:ascii="Arial"/>
        </w:rPr>
      </w:pPr>
      <w:r w:rsidRPr="0001788E">
        <w:rPr>
          <w:rFonts w:ascii="Arial" w:hAnsi="Arial" w:cs="Arial"/>
        </w:rPr>
        <w:t xml:space="preserve">*Rationale for exclusion: </w:t>
      </w:r>
      <w:r w:rsidR="00F73F2B">
        <w:rPr>
          <w:rFonts w:ascii="Arial"/>
        </w:rPr>
        <w:t xml:space="preserve">Primary vaccination against COVID-19 in the UK were administered </w:t>
      </w:r>
      <w:r w:rsidR="00F73F2B">
        <w:rPr>
          <w:rFonts w:ascii="Arial"/>
        </w:rPr>
        <w:t>≥</w:t>
      </w:r>
      <w:r w:rsidR="00F73F2B">
        <w:rPr>
          <w:rFonts w:ascii="Arial"/>
        </w:rPr>
        <w:t xml:space="preserve">4 weeks apart. Thus, vaccination dates &lt;4 week apart may potentially be incorrect entries. Additionally, vaccine exposed period was 3 weeks after vaccination in this study. If the vaccinations are administered less than 4 weeks apart, the pre-vaccination period of the second vaccine truncates the post-vaccine exposed period of the earlier vaccine thus potentially misclassifying outcomes. </w:t>
      </w:r>
    </w:p>
    <w:p w14:paraId="4ADFD120" w14:textId="42BEF018" w:rsidR="00F73F2B" w:rsidRDefault="00F73F2B" w:rsidP="00F15649">
      <w:pPr>
        <w:spacing w:before="219"/>
        <w:ind w:right="932"/>
        <w:rPr>
          <w:rFonts w:ascii="Arial"/>
        </w:rPr>
      </w:pPr>
    </w:p>
    <w:p w14:paraId="58AF82AC" w14:textId="60FC8B04" w:rsidR="0097064A" w:rsidRPr="00021272" w:rsidRDefault="0097064A" w:rsidP="0097064A">
      <w:pPr>
        <w:rPr>
          <w:sz w:val="24"/>
          <w:szCs w:val="24"/>
        </w:rPr>
      </w:pPr>
    </w:p>
    <w:sectPr w:rsidR="0097064A" w:rsidRPr="00021272" w:rsidSect="0001788E">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EF8A4" w16cid:durableId="27445BBF"/>
  <w16cid:commentId w16cid:paraId="351A7E86" w16cid:durableId="27445BDB"/>
  <w16cid:commentId w16cid:paraId="7B10D809" w16cid:durableId="27445BF7"/>
  <w16cid:commentId w16cid:paraId="4DF28646" w16cid:durableId="27445C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898E2" w14:textId="77777777" w:rsidR="00877691" w:rsidRDefault="00877691" w:rsidP="00A879C1">
      <w:pPr>
        <w:spacing w:after="0" w:line="240" w:lineRule="auto"/>
      </w:pPr>
      <w:r>
        <w:separator/>
      </w:r>
    </w:p>
  </w:endnote>
  <w:endnote w:type="continuationSeparator" w:id="0">
    <w:p w14:paraId="4AA8C47B" w14:textId="77777777" w:rsidR="00877691" w:rsidRDefault="00877691" w:rsidP="00A879C1">
      <w:pPr>
        <w:spacing w:after="0" w:line="240" w:lineRule="auto"/>
      </w:pPr>
      <w:r>
        <w:continuationSeparator/>
      </w:r>
    </w:p>
  </w:endnote>
  <w:endnote w:type="continuationNotice" w:id="1">
    <w:p w14:paraId="0C5E5E20" w14:textId="77777777" w:rsidR="00877691" w:rsidRDefault="00877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D02E" w14:textId="77777777" w:rsidR="00DC4AD1" w:rsidRDefault="00DC4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7C01D" w14:textId="77777777" w:rsidR="00877691" w:rsidRPr="00DC4AD1" w:rsidRDefault="00877691" w:rsidP="00DC4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19AFF" w14:textId="77777777" w:rsidR="00DC4AD1" w:rsidRDefault="00DC4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6AA5A" w14:textId="77777777" w:rsidR="00877691" w:rsidRDefault="00877691" w:rsidP="00A879C1">
      <w:pPr>
        <w:spacing w:after="0" w:line="240" w:lineRule="auto"/>
      </w:pPr>
      <w:r>
        <w:separator/>
      </w:r>
    </w:p>
  </w:footnote>
  <w:footnote w:type="continuationSeparator" w:id="0">
    <w:p w14:paraId="6C837A1B" w14:textId="77777777" w:rsidR="00877691" w:rsidRDefault="00877691" w:rsidP="00A879C1">
      <w:pPr>
        <w:spacing w:after="0" w:line="240" w:lineRule="auto"/>
      </w:pPr>
      <w:r>
        <w:continuationSeparator/>
      </w:r>
    </w:p>
  </w:footnote>
  <w:footnote w:type="continuationNotice" w:id="1">
    <w:p w14:paraId="3DA4C0D7" w14:textId="77777777" w:rsidR="00877691" w:rsidRDefault="008776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FF598" w14:textId="77777777" w:rsidR="00DC4AD1" w:rsidRDefault="00DC4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CB0D" w14:textId="77777777" w:rsidR="00DC4AD1" w:rsidRDefault="00DC4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E8B1" w14:textId="77777777" w:rsidR="00DC4AD1" w:rsidRDefault="00DC4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3938"/>
    <w:multiLevelType w:val="hybridMultilevel"/>
    <w:tmpl w:val="BE9A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EF51C1"/>
    <w:multiLevelType w:val="hybridMultilevel"/>
    <w:tmpl w:val="6394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55"/>
    <w:rsid w:val="00001255"/>
    <w:rsid w:val="00004207"/>
    <w:rsid w:val="0001788E"/>
    <w:rsid w:val="00021272"/>
    <w:rsid w:val="00025948"/>
    <w:rsid w:val="000509B5"/>
    <w:rsid w:val="000736FB"/>
    <w:rsid w:val="00082E8A"/>
    <w:rsid w:val="000F0F39"/>
    <w:rsid w:val="00102A53"/>
    <w:rsid w:val="00117145"/>
    <w:rsid w:val="00123942"/>
    <w:rsid w:val="00126C8C"/>
    <w:rsid w:val="001876A8"/>
    <w:rsid w:val="00191DF5"/>
    <w:rsid w:val="001A0CF6"/>
    <w:rsid w:val="001A1C95"/>
    <w:rsid w:val="001A684C"/>
    <w:rsid w:val="001C42CC"/>
    <w:rsid w:val="001C77F5"/>
    <w:rsid w:val="001D0E65"/>
    <w:rsid w:val="00204FCA"/>
    <w:rsid w:val="0025665E"/>
    <w:rsid w:val="00275115"/>
    <w:rsid w:val="002B0BCD"/>
    <w:rsid w:val="002B790E"/>
    <w:rsid w:val="002C0AA6"/>
    <w:rsid w:val="002F7550"/>
    <w:rsid w:val="00304FEE"/>
    <w:rsid w:val="0032390D"/>
    <w:rsid w:val="00324928"/>
    <w:rsid w:val="00334069"/>
    <w:rsid w:val="00347C8D"/>
    <w:rsid w:val="00390036"/>
    <w:rsid w:val="003906ED"/>
    <w:rsid w:val="003A5207"/>
    <w:rsid w:val="003A7F10"/>
    <w:rsid w:val="003B6908"/>
    <w:rsid w:val="003C54AB"/>
    <w:rsid w:val="003F3F75"/>
    <w:rsid w:val="00401CDD"/>
    <w:rsid w:val="00431B1A"/>
    <w:rsid w:val="0043560D"/>
    <w:rsid w:val="0043658C"/>
    <w:rsid w:val="004728D6"/>
    <w:rsid w:val="00475814"/>
    <w:rsid w:val="00480A18"/>
    <w:rsid w:val="00485661"/>
    <w:rsid w:val="00493E07"/>
    <w:rsid w:val="004D5231"/>
    <w:rsid w:val="004D72E1"/>
    <w:rsid w:val="00531420"/>
    <w:rsid w:val="005344B8"/>
    <w:rsid w:val="00557F78"/>
    <w:rsid w:val="00575E16"/>
    <w:rsid w:val="00581F5B"/>
    <w:rsid w:val="005A2B6A"/>
    <w:rsid w:val="005B10F0"/>
    <w:rsid w:val="005C40BE"/>
    <w:rsid w:val="005F5B95"/>
    <w:rsid w:val="006227A7"/>
    <w:rsid w:val="00630573"/>
    <w:rsid w:val="00642613"/>
    <w:rsid w:val="006459C7"/>
    <w:rsid w:val="00650F8A"/>
    <w:rsid w:val="00670275"/>
    <w:rsid w:val="0068094C"/>
    <w:rsid w:val="00684DE5"/>
    <w:rsid w:val="006A08B8"/>
    <w:rsid w:val="006B1FEB"/>
    <w:rsid w:val="006B4448"/>
    <w:rsid w:val="006C691C"/>
    <w:rsid w:val="006D45F3"/>
    <w:rsid w:val="006E7AB1"/>
    <w:rsid w:val="00705A6A"/>
    <w:rsid w:val="00707428"/>
    <w:rsid w:val="00735DB1"/>
    <w:rsid w:val="0074105A"/>
    <w:rsid w:val="00743780"/>
    <w:rsid w:val="007443DB"/>
    <w:rsid w:val="007823AB"/>
    <w:rsid w:val="007B3DE1"/>
    <w:rsid w:val="007B747A"/>
    <w:rsid w:val="007C6FCE"/>
    <w:rsid w:val="007D0A64"/>
    <w:rsid w:val="007D7F7A"/>
    <w:rsid w:val="007E1954"/>
    <w:rsid w:val="00824C24"/>
    <w:rsid w:val="00833706"/>
    <w:rsid w:val="00834563"/>
    <w:rsid w:val="008534EA"/>
    <w:rsid w:val="00863E2F"/>
    <w:rsid w:val="00866DB5"/>
    <w:rsid w:val="00875210"/>
    <w:rsid w:val="00877691"/>
    <w:rsid w:val="008846D6"/>
    <w:rsid w:val="00885BE9"/>
    <w:rsid w:val="008A0D4A"/>
    <w:rsid w:val="008A59B1"/>
    <w:rsid w:val="008A6134"/>
    <w:rsid w:val="008C0BCF"/>
    <w:rsid w:val="008C1872"/>
    <w:rsid w:val="008E075B"/>
    <w:rsid w:val="008F2297"/>
    <w:rsid w:val="008F5E96"/>
    <w:rsid w:val="00900D3C"/>
    <w:rsid w:val="0090352B"/>
    <w:rsid w:val="009142F6"/>
    <w:rsid w:val="00925D11"/>
    <w:rsid w:val="00935369"/>
    <w:rsid w:val="00965B4F"/>
    <w:rsid w:val="0097064A"/>
    <w:rsid w:val="00995017"/>
    <w:rsid w:val="009A16EB"/>
    <w:rsid w:val="009A5D1B"/>
    <w:rsid w:val="009C2EBC"/>
    <w:rsid w:val="009D49E8"/>
    <w:rsid w:val="009E67E2"/>
    <w:rsid w:val="00A04918"/>
    <w:rsid w:val="00A10057"/>
    <w:rsid w:val="00A37C78"/>
    <w:rsid w:val="00A628B0"/>
    <w:rsid w:val="00A67ABB"/>
    <w:rsid w:val="00A81E01"/>
    <w:rsid w:val="00A879C1"/>
    <w:rsid w:val="00AC468D"/>
    <w:rsid w:val="00AC486C"/>
    <w:rsid w:val="00AE3AF1"/>
    <w:rsid w:val="00B03959"/>
    <w:rsid w:val="00B056E7"/>
    <w:rsid w:val="00B25AF9"/>
    <w:rsid w:val="00B30A76"/>
    <w:rsid w:val="00B31584"/>
    <w:rsid w:val="00B4669C"/>
    <w:rsid w:val="00B65E90"/>
    <w:rsid w:val="00B66F19"/>
    <w:rsid w:val="00B70C48"/>
    <w:rsid w:val="00B72708"/>
    <w:rsid w:val="00BA4A05"/>
    <w:rsid w:val="00BB1051"/>
    <w:rsid w:val="00BD06E9"/>
    <w:rsid w:val="00C06E47"/>
    <w:rsid w:val="00C14667"/>
    <w:rsid w:val="00C22FEC"/>
    <w:rsid w:val="00C63A57"/>
    <w:rsid w:val="00C67E6C"/>
    <w:rsid w:val="00C728B5"/>
    <w:rsid w:val="00C73378"/>
    <w:rsid w:val="00C74F2F"/>
    <w:rsid w:val="00CA429B"/>
    <w:rsid w:val="00CB76BB"/>
    <w:rsid w:val="00CC18BB"/>
    <w:rsid w:val="00D025CD"/>
    <w:rsid w:val="00D10EF2"/>
    <w:rsid w:val="00D151E4"/>
    <w:rsid w:val="00D41AA4"/>
    <w:rsid w:val="00D450D6"/>
    <w:rsid w:val="00D52282"/>
    <w:rsid w:val="00D7304A"/>
    <w:rsid w:val="00D76FB6"/>
    <w:rsid w:val="00DB136C"/>
    <w:rsid w:val="00DC4AD1"/>
    <w:rsid w:val="00DE0A9E"/>
    <w:rsid w:val="00DE2605"/>
    <w:rsid w:val="00DF426F"/>
    <w:rsid w:val="00E03001"/>
    <w:rsid w:val="00E13073"/>
    <w:rsid w:val="00E20302"/>
    <w:rsid w:val="00E53561"/>
    <w:rsid w:val="00E5762F"/>
    <w:rsid w:val="00E67B0C"/>
    <w:rsid w:val="00EA1826"/>
    <w:rsid w:val="00EA60BB"/>
    <w:rsid w:val="00EB18A3"/>
    <w:rsid w:val="00EC0673"/>
    <w:rsid w:val="00ED6C43"/>
    <w:rsid w:val="00F067E3"/>
    <w:rsid w:val="00F15649"/>
    <w:rsid w:val="00F41AC4"/>
    <w:rsid w:val="00F4212D"/>
    <w:rsid w:val="00F42218"/>
    <w:rsid w:val="00F5161C"/>
    <w:rsid w:val="00F71331"/>
    <w:rsid w:val="00F73F2B"/>
    <w:rsid w:val="00FA0938"/>
    <w:rsid w:val="00FA765A"/>
    <w:rsid w:val="00FE36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E73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E3"/>
    <w:rPr>
      <w:rFonts w:ascii="Verdana" w:hAnsi="Verdana"/>
      <w:sz w:val="20"/>
    </w:rPr>
  </w:style>
  <w:style w:type="paragraph" w:styleId="Heading1">
    <w:name w:val="heading 1"/>
    <w:basedOn w:val="Normal"/>
    <w:next w:val="Normal"/>
    <w:link w:val="Heading1Char"/>
    <w:uiPriority w:val="9"/>
    <w:qFormat/>
    <w:rsid w:val="00DE26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021272"/>
    <w:pPr>
      <w:widowControl w:val="0"/>
      <w:autoSpaceDE w:val="0"/>
      <w:autoSpaceDN w:val="0"/>
      <w:spacing w:after="0" w:line="240" w:lineRule="auto"/>
      <w:ind w:left="100"/>
      <w:outlineLvl w:val="2"/>
    </w:pPr>
    <w:rPr>
      <w:rFonts w:ascii="Arial" w:eastAsia="Arial" w:hAnsi="Arial" w:cs="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468D"/>
    <w:rPr>
      <w:sz w:val="16"/>
      <w:szCs w:val="16"/>
    </w:rPr>
  </w:style>
  <w:style w:type="paragraph" w:styleId="CommentText">
    <w:name w:val="annotation text"/>
    <w:basedOn w:val="Normal"/>
    <w:link w:val="CommentTextChar"/>
    <w:uiPriority w:val="99"/>
    <w:unhideWhenUsed/>
    <w:rsid w:val="00AC468D"/>
    <w:pPr>
      <w:spacing w:line="240" w:lineRule="auto"/>
    </w:pPr>
    <w:rPr>
      <w:szCs w:val="20"/>
    </w:rPr>
  </w:style>
  <w:style w:type="character" w:customStyle="1" w:styleId="CommentTextChar">
    <w:name w:val="Comment Text Char"/>
    <w:basedOn w:val="DefaultParagraphFont"/>
    <w:link w:val="CommentText"/>
    <w:uiPriority w:val="99"/>
    <w:rsid w:val="00AC468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AC468D"/>
    <w:rPr>
      <w:b/>
      <w:bCs/>
    </w:rPr>
  </w:style>
  <w:style w:type="character" w:customStyle="1" w:styleId="CommentSubjectChar">
    <w:name w:val="Comment Subject Char"/>
    <w:basedOn w:val="CommentTextChar"/>
    <w:link w:val="CommentSubject"/>
    <w:uiPriority w:val="99"/>
    <w:semiHidden/>
    <w:rsid w:val="00AC468D"/>
    <w:rPr>
      <w:rFonts w:ascii="Verdana" w:hAnsi="Verdana"/>
      <w:b/>
      <w:bCs/>
      <w:sz w:val="20"/>
      <w:szCs w:val="20"/>
    </w:rPr>
  </w:style>
  <w:style w:type="paragraph" w:styleId="BalloonText">
    <w:name w:val="Balloon Text"/>
    <w:basedOn w:val="Normal"/>
    <w:link w:val="BalloonTextChar"/>
    <w:uiPriority w:val="99"/>
    <w:semiHidden/>
    <w:unhideWhenUsed/>
    <w:rsid w:val="00AC4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68D"/>
    <w:rPr>
      <w:rFonts w:ascii="Segoe UI" w:hAnsi="Segoe UI" w:cs="Segoe UI"/>
      <w:sz w:val="18"/>
      <w:szCs w:val="18"/>
    </w:rPr>
  </w:style>
  <w:style w:type="character" w:customStyle="1" w:styleId="Heading3Char">
    <w:name w:val="Heading 3 Char"/>
    <w:basedOn w:val="DefaultParagraphFont"/>
    <w:link w:val="Heading3"/>
    <w:uiPriority w:val="1"/>
    <w:rsid w:val="00021272"/>
    <w:rPr>
      <w:rFonts w:ascii="Arial" w:eastAsia="Arial" w:hAnsi="Arial" w:cs="Arial"/>
      <w:b/>
      <w:bCs/>
      <w:lang w:val="en-US"/>
    </w:rPr>
  </w:style>
  <w:style w:type="character" w:styleId="Hyperlink">
    <w:name w:val="Hyperlink"/>
    <w:basedOn w:val="DefaultParagraphFont"/>
    <w:uiPriority w:val="99"/>
    <w:unhideWhenUsed/>
    <w:rsid w:val="00021272"/>
    <w:rPr>
      <w:color w:val="0563C1" w:themeColor="hyperlink"/>
      <w:u w:val="single"/>
    </w:rPr>
  </w:style>
  <w:style w:type="table" w:styleId="TableGrid">
    <w:name w:val="Table Grid"/>
    <w:basedOn w:val="TableNormal"/>
    <w:uiPriority w:val="39"/>
    <w:rsid w:val="00970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0036"/>
    <w:pPr>
      <w:spacing w:after="0" w:line="240" w:lineRule="auto"/>
    </w:pPr>
    <w:rPr>
      <w:rFonts w:ascii="Verdana" w:hAnsi="Verdana"/>
      <w:sz w:val="20"/>
    </w:rPr>
  </w:style>
  <w:style w:type="paragraph" w:styleId="Header">
    <w:name w:val="header"/>
    <w:basedOn w:val="Normal"/>
    <w:link w:val="HeaderChar"/>
    <w:uiPriority w:val="99"/>
    <w:unhideWhenUsed/>
    <w:rsid w:val="00A87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9C1"/>
    <w:rPr>
      <w:rFonts w:ascii="Verdana" w:hAnsi="Verdana"/>
      <w:sz w:val="20"/>
    </w:rPr>
  </w:style>
  <w:style w:type="paragraph" w:styleId="Footer">
    <w:name w:val="footer"/>
    <w:basedOn w:val="Normal"/>
    <w:link w:val="FooterChar"/>
    <w:uiPriority w:val="99"/>
    <w:unhideWhenUsed/>
    <w:rsid w:val="00A87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9C1"/>
    <w:rPr>
      <w:rFonts w:ascii="Verdana" w:hAnsi="Verdana"/>
      <w:sz w:val="20"/>
    </w:rPr>
  </w:style>
  <w:style w:type="paragraph" w:styleId="ListParagraph">
    <w:name w:val="List Paragraph"/>
    <w:basedOn w:val="Normal"/>
    <w:uiPriority w:val="34"/>
    <w:qFormat/>
    <w:rsid w:val="008534EA"/>
    <w:pPr>
      <w:ind w:left="720"/>
      <w:contextualSpacing/>
    </w:pPr>
  </w:style>
  <w:style w:type="character" w:customStyle="1" w:styleId="UnresolvedMention">
    <w:name w:val="Unresolved Mention"/>
    <w:basedOn w:val="DefaultParagraphFont"/>
    <w:uiPriority w:val="99"/>
    <w:semiHidden/>
    <w:unhideWhenUsed/>
    <w:rsid w:val="0025665E"/>
    <w:rPr>
      <w:color w:val="605E5C"/>
      <w:shd w:val="clear" w:color="auto" w:fill="E1DFDD"/>
    </w:rPr>
  </w:style>
  <w:style w:type="character" w:customStyle="1" w:styleId="Heading1Char">
    <w:name w:val="Heading 1 Char"/>
    <w:basedOn w:val="DefaultParagraphFont"/>
    <w:link w:val="Heading1"/>
    <w:uiPriority w:val="9"/>
    <w:rsid w:val="00DE260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866DB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66DB5"/>
    <w:rPr>
      <w:rFonts w:ascii="Arial" w:eastAsia="Arial" w:hAnsi="Arial" w:cs="Arial"/>
      <w:sz w:val="24"/>
      <w:szCs w:val="24"/>
      <w:lang w:val="en-US"/>
    </w:rPr>
  </w:style>
  <w:style w:type="character" w:styleId="LineNumber">
    <w:name w:val="line number"/>
    <w:basedOn w:val="DefaultParagraphFont"/>
    <w:uiPriority w:val="99"/>
    <w:semiHidden/>
    <w:unhideWhenUsed/>
    <w:rsid w:val="001C42CC"/>
  </w:style>
  <w:style w:type="character" w:styleId="FollowedHyperlink">
    <w:name w:val="FollowedHyperlink"/>
    <w:basedOn w:val="DefaultParagraphFont"/>
    <w:uiPriority w:val="99"/>
    <w:semiHidden/>
    <w:unhideWhenUsed/>
    <w:rsid w:val="00EB1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0498">
      <w:bodyDiv w:val="1"/>
      <w:marLeft w:val="0"/>
      <w:marRight w:val="0"/>
      <w:marTop w:val="0"/>
      <w:marBottom w:val="0"/>
      <w:divBdr>
        <w:top w:val="none" w:sz="0" w:space="0" w:color="auto"/>
        <w:left w:val="none" w:sz="0" w:space="0" w:color="auto"/>
        <w:bottom w:val="none" w:sz="0" w:space="0" w:color="auto"/>
        <w:right w:val="none" w:sz="0" w:space="0" w:color="auto"/>
      </w:divBdr>
    </w:div>
    <w:div w:id="315378068">
      <w:bodyDiv w:val="1"/>
      <w:marLeft w:val="0"/>
      <w:marRight w:val="0"/>
      <w:marTop w:val="0"/>
      <w:marBottom w:val="0"/>
      <w:divBdr>
        <w:top w:val="none" w:sz="0" w:space="0" w:color="auto"/>
        <w:left w:val="none" w:sz="0" w:space="0" w:color="auto"/>
        <w:bottom w:val="none" w:sz="0" w:space="0" w:color="auto"/>
        <w:right w:val="none" w:sz="0" w:space="0" w:color="auto"/>
      </w:divBdr>
    </w:div>
    <w:div w:id="409931086">
      <w:bodyDiv w:val="1"/>
      <w:marLeft w:val="0"/>
      <w:marRight w:val="0"/>
      <w:marTop w:val="0"/>
      <w:marBottom w:val="0"/>
      <w:divBdr>
        <w:top w:val="none" w:sz="0" w:space="0" w:color="auto"/>
        <w:left w:val="none" w:sz="0" w:space="0" w:color="auto"/>
        <w:bottom w:val="none" w:sz="0" w:space="0" w:color="auto"/>
        <w:right w:val="none" w:sz="0" w:space="0" w:color="auto"/>
      </w:divBdr>
    </w:div>
    <w:div w:id="443234476">
      <w:bodyDiv w:val="1"/>
      <w:marLeft w:val="0"/>
      <w:marRight w:val="0"/>
      <w:marTop w:val="0"/>
      <w:marBottom w:val="0"/>
      <w:divBdr>
        <w:top w:val="none" w:sz="0" w:space="0" w:color="auto"/>
        <w:left w:val="none" w:sz="0" w:space="0" w:color="auto"/>
        <w:bottom w:val="none" w:sz="0" w:space="0" w:color="auto"/>
        <w:right w:val="none" w:sz="0" w:space="0" w:color="auto"/>
      </w:divBdr>
    </w:div>
    <w:div w:id="467746220">
      <w:bodyDiv w:val="1"/>
      <w:marLeft w:val="0"/>
      <w:marRight w:val="0"/>
      <w:marTop w:val="0"/>
      <w:marBottom w:val="0"/>
      <w:divBdr>
        <w:top w:val="none" w:sz="0" w:space="0" w:color="auto"/>
        <w:left w:val="none" w:sz="0" w:space="0" w:color="auto"/>
        <w:bottom w:val="none" w:sz="0" w:space="0" w:color="auto"/>
        <w:right w:val="none" w:sz="0" w:space="0" w:color="auto"/>
      </w:divBdr>
    </w:div>
    <w:div w:id="1328240681">
      <w:bodyDiv w:val="1"/>
      <w:marLeft w:val="0"/>
      <w:marRight w:val="0"/>
      <w:marTop w:val="0"/>
      <w:marBottom w:val="0"/>
      <w:divBdr>
        <w:top w:val="none" w:sz="0" w:space="0" w:color="auto"/>
        <w:left w:val="none" w:sz="0" w:space="0" w:color="auto"/>
        <w:bottom w:val="none" w:sz="0" w:space="0" w:color="auto"/>
        <w:right w:val="none" w:sz="0" w:space="0" w:color="auto"/>
      </w:divBdr>
    </w:div>
    <w:div w:id="17922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rcid.org/0000-0002-3859-735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rgina.nakafero@nottingham.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573F99DE79145B2C4B20841E12603" ma:contentTypeVersion="12" ma:contentTypeDescription="Create a new document." ma:contentTypeScope="" ma:versionID="d456085a2e1ac89d493e5f2c4eda3e0b">
  <xsd:schema xmlns:xsd="http://www.w3.org/2001/XMLSchema" xmlns:xs="http://www.w3.org/2001/XMLSchema" xmlns:p="http://schemas.microsoft.com/office/2006/metadata/properties" xmlns:ns3="0c1e910d-4918-42f1-af2c-ed1101d63abc" xmlns:ns4="786e620f-b1da-4f59-878c-ef7546d25bf1" targetNamespace="http://schemas.microsoft.com/office/2006/metadata/properties" ma:root="true" ma:fieldsID="fc76e5f7de8dff22bb1b23591f980aab" ns3:_="" ns4:_="">
    <xsd:import namespace="0c1e910d-4918-42f1-af2c-ed1101d63abc"/>
    <xsd:import namespace="786e620f-b1da-4f59-878c-ef7546d25b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910d-4918-42f1-af2c-ed1101d63a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e620f-b1da-4f59-878c-ef7546d25b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ECE49-560B-4C92-B88C-57545A4AA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910d-4918-42f1-af2c-ed1101d63abc"/>
    <ds:schemaRef ds:uri="786e620f-b1da-4f59-878c-ef7546d25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473F5-CC4E-43BC-97B4-F995A8D7C705}">
  <ds:schemaRefs>
    <ds:schemaRef ds:uri="http://schemas.microsoft.com/sharepoint/v3/contenttype/forms"/>
  </ds:schemaRefs>
</ds:datastoreItem>
</file>

<file path=customXml/itemProps3.xml><?xml version="1.0" encoding="utf-8"?>
<ds:datastoreItem xmlns:ds="http://schemas.openxmlformats.org/officeDocument/2006/customXml" ds:itemID="{4F0EC371-A499-4D92-B557-390A9502514E}">
  <ds:schemaRefs>
    <ds:schemaRef ds:uri="http://schemas.microsoft.com/office/2006/documentManagement/types"/>
    <ds:schemaRef ds:uri="http://purl.org/dc/elements/1.1/"/>
    <ds:schemaRef ds:uri="http://schemas.openxmlformats.org/package/2006/metadata/core-properties"/>
    <ds:schemaRef ds:uri="786e620f-b1da-4f59-878c-ef7546d25bf1"/>
    <ds:schemaRef ds:uri="0c1e910d-4918-42f1-af2c-ed1101d63abc"/>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293D391-04CF-4442-89E7-96C95509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32114</Words>
  <Characters>183053</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2023-01-04T14:13:00Z</dcterms:created>
  <dcterms:modified xsi:type="dcterms:W3CDTF">2023-01-04T14:18:00Z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0x010100F57573F99DE79145B2C4B20841E12603</vt:lpwstr>
  </property>
</Properties>
</file>