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4C43" w14:textId="16021686" w:rsidR="00021272" w:rsidRPr="00B70C48" w:rsidRDefault="00021272" w:rsidP="00021272">
      <w:pPr>
        <w:spacing w:line="480" w:lineRule="auto"/>
        <w:rPr>
          <w:rFonts w:ascii="Arial" w:hAnsi="Arial" w:cs="Arial"/>
          <w:sz w:val="24"/>
          <w:szCs w:val="24"/>
        </w:rPr>
      </w:pPr>
      <w:r w:rsidRPr="00B70C48">
        <w:rPr>
          <w:rFonts w:ascii="Arial" w:hAnsi="Arial" w:cs="Arial"/>
          <w:b/>
          <w:sz w:val="24"/>
          <w:szCs w:val="24"/>
        </w:rPr>
        <w:t>Title:</w:t>
      </w:r>
      <w:r w:rsidRPr="00B70C48">
        <w:rPr>
          <w:rFonts w:ascii="Arial" w:hAnsi="Arial" w:cs="Arial"/>
          <w:sz w:val="24"/>
          <w:szCs w:val="24"/>
        </w:rPr>
        <w:t xml:space="preserve"> </w:t>
      </w:r>
      <w:r w:rsidR="008534EA">
        <w:rPr>
          <w:rFonts w:ascii="Arial" w:hAnsi="Arial" w:cs="Arial"/>
          <w:sz w:val="24"/>
          <w:szCs w:val="24"/>
        </w:rPr>
        <w:t>Is</w:t>
      </w:r>
      <w:r w:rsidRPr="00B70C48">
        <w:rPr>
          <w:rFonts w:ascii="Arial" w:hAnsi="Arial" w:cs="Arial"/>
          <w:sz w:val="24"/>
          <w:szCs w:val="24"/>
        </w:rPr>
        <w:t xml:space="preserve"> vaccination against </w:t>
      </w:r>
      <w:r w:rsidR="0025665E">
        <w:rPr>
          <w:rFonts w:ascii="Arial" w:hAnsi="Arial" w:cs="Arial"/>
          <w:sz w:val="24"/>
          <w:szCs w:val="24"/>
        </w:rPr>
        <w:t>COVID</w:t>
      </w:r>
      <w:r w:rsidRPr="00B70C48">
        <w:rPr>
          <w:rFonts w:ascii="Arial" w:hAnsi="Arial" w:cs="Arial"/>
          <w:sz w:val="24"/>
          <w:szCs w:val="24"/>
        </w:rPr>
        <w:t>-19 associate</w:t>
      </w:r>
      <w:r w:rsidR="008534EA">
        <w:rPr>
          <w:rFonts w:ascii="Arial" w:hAnsi="Arial" w:cs="Arial"/>
          <w:sz w:val="24"/>
          <w:szCs w:val="24"/>
        </w:rPr>
        <w:t>d</w:t>
      </w:r>
      <w:r w:rsidRPr="00B70C48">
        <w:rPr>
          <w:rFonts w:ascii="Arial" w:hAnsi="Arial" w:cs="Arial"/>
          <w:sz w:val="24"/>
          <w:szCs w:val="24"/>
        </w:rPr>
        <w:t xml:space="preserve"> with inflammatory bowel disease flare? Self-controlled case series analysis using</w:t>
      </w:r>
      <w:r w:rsidR="008534EA">
        <w:rPr>
          <w:rFonts w:ascii="Arial" w:hAnsi="Arial" w:cs="Arial"/>
          <w:sz w:val="24"/>
          <w:szCs w:val="24"/>
        </w:rPr>
        <w:t xml:space="preserve"> the</w:t>
      </w:r>
      <w:r w:rsidRPr="00B70C48">
        <w:rPr>
          <w:rFonts w:ascii="Arial" w:hAnsi="Arial" w:cs="Arial"/>
          <w:sz w:val="24"/>
          <w:szCs w:val="24"/>
        </w:rPr>
        <w:t xml:space="preserve"> </w:t>
      </w:r>
      <w:r w:rsidR="00B25AF9">
        <w:rPr>
          <w:rFonts w:ascii="Arial" w:hAnsi="Arial" w:cs="Arial"/>
          <w:sz w:val="24"/>
          <w:szCs w:val="24"/>
        </w:rPr>
        <w:t xml:space="preserve">UK </w:t>
      </w:r>
      <w:r w:rsidR="008534EA">
        <w:rPr>
          <w:rFonts w:ascii="Arial" w:hAnsi="Arial" w:cs="Arial"/>
          <w:sz w:val="24"/>
          <w:szCs w:val="24"/>
        </w:rPr>
        <w:t>CPRD</w:t>
      </w:r>
      <w:r w:rsidRPr="00B70C48">
        <w:rPr>
          <w:rFonts w:ascii="Arial" w:hAnsi="Arial" w:cs="Arial"/>
          <w:sz w:val="24"/>
          <w:szCs w:val="24"/>
        </w:rPr>
        <w:t>.</w:t>
      </w:r>
    </w:p>
    <w:p w14:paraId="24F2595E" w14:textId="2479D2E0" w:rsidR="00021272" w:rsidRPr="00B70C48" w:rsidRDefault="00021272" w:rsidP="00021272">
      <w:pPr>
        <w:spacing w:line="480" w:lineRule="auto"/>
        <w:rPr>
          <w:rFonts w:ascii="Arial" w:hAnsi="Arial" w:cs="Arial"/>
          <w:sz w:val="24"/>
          <w:szCs w:val="24"/>
        </w:rPr>
      </w:pPr>
      <w:r w:rsidRPr="00B70C48">
        <w:rPr>
          <w:rFonts w:ascii="Arial" w:hAnsi="Arial" w:cs="Arial"/>
          <w:b/>
          <w:color w:val="000000" w:themeColor="text1"/>
          <w:spacing w:val="-7"/>
          <w:sz w:val="24"/>
          <w:szCs w:val="24"/>
        </w:rPr>
        <w:t>Authors:</w:t>
      </w:r>
      <w:r w:rsidRPr="00B70C48">
        <w:rPr>
          <w:rFonts w:ascii="Arial" w:hAnsi="Arial" w:cs="Arial"/>
          <w:color w:val="000000" w:themeColor="text1"/>
          <w:spacing w:val="-7"/>
          <w:sz w:val="24"/>
          <w:szCs w:val="24"/>
        </w:rPr>
        <w:t xml:space="preserve"> Dr Tim Card</w:t>
      </w:r>
      <w:r w:rsidRPr="00B70C48">
        <w:rPr>
          <w:rFonts w:ascii="Arial" w:hAnsi="Arial" w:cs="Arial"/>
          <w:color w:val="000000" w:themeColor="text1"/>
          <w:spacing w:val="-7"/>
          <w:sz w:val="24"/>
          <w:szCs w:val="24"/>
          <w:vertAlign w:val="superscript"/>
        </w:rPr>
        <w:t>1,2*</w:t>
      </w:r>
      <w:r w:rsidRPr="00B70C48">
        <w:rPr>
          <w:rFonts w:ascii="Arial" w:hAnsi="Arial" w:cs="Arial"/>
          <w:color w:val="000000" w:themeColor="text1"/>
          <w:spacing w:val="-7"/>
          <w:sz w:val="24"/>
          <w:szCs w:val="24"/>
        </w:rPr>
        <w:t>, Dr Georgina Nakafero</w:t>
      </w:r>
      <w:r w:rsidRPr="00B70C48">
        <w:rPr>
          <w:rFonts w:ascii="Arial" w:hAnsi="Arial" w:cs="Arial"/>
          <w:color w:val="000000" w:themeColor="text1"/>
          <w:spacing w:val="-7"/>
          <w:sz w:val="24"/>
          <w:szCs w:val="24"/>
          <w:vertAlign w:val="superscript"/>
        </w:rPr>
        <w:t>3*</w:t>
      </w:r>
      <w:r w:rsidRPr="00B70C48">
        <w:rPr>
          <w:rFonts w:ascii="Arial" w:hAnsi="Arial" w:cs="Arial"/>
          <w:color w:val="000000" w:themeColor="text1"/>
          <w:spacing w:val="-7"/>
          <w:sz w:val="24"/>
          <w:szCs w:val="24"/>
        </w:rPr>
        <w:t>, Dr Matthew J. Grainge</w:t>
      </w:r>
      <w:r w:rsidRPr="00B70C48">
        <w:rPr>
          <w:rFonts w:ascii="Arial" w:hAnsi="Arial" w:cs="Arial"/>
          <w:color w:val="000000" w:themeColor="text1"/>
          <w:spacing w:val="-7"/>
          <w:sz w:val="24"/>
          <w:szCs w:val="24"/>
          <w:vertAlign w:val="superscript"/>
        </w:rPr>
        <w:t>1</w:t>
      </w:r>
      <w:r w:rsidRPr="00B70C48">
        <w:rPr>
          <w:rFonts w:ascii="Arial" w:hAnsi="Arial" w:cs="Arial"/>
          <w:color w:val="000000" w:themeColor="text1"/>
          <w:spacing w:val="-7"/>
          <w:sz w:val="24"/>
          <w:szCs w:val="24"/>
        </w:rPr>
        <w:t>, Prof. Christian D. Mallen</w:t>
      </w:r>
      <w:r w:rsidRPr="00B70C48">
        <w:rPr>
          <w:rFonts w:ascii="Arial" w:hAnsi="Arial" w:cs="Arial"/>
          <w:color w:val="000000" w:themeColor="text1"/>
          <w:spacing w:val="-7"/>
          <w:sz w:val="24"/>
          <w:szCs w:val="24"/>
          <w:vertAlign w:val="superscript"/>
        </w:rPr>
        <w:t>4</w:t>
      </w:r>
      <w:r w:rsidRPr="00B70C48">
        <w:rPr>
          <w:rFonts w:ascii="Arial" w:hAnsi="Arial" w:cs="Arial"/>
          <w:color w:val="000000" w:themeColor="text1"/>
          <w:spacing w:val="-7"/>
          <w:sz w:val="24"/>
          <w:szCs w:val="24"/>
        </w:rPr>
        <w:t>, Prof. Jonathan S. Nguyen Van-Tam</w:t>
      </w:r>
      <w:r w:rsidRPr="00B70C48">
        <w:rPr>
          <w:rFonts w:ascii="Arial" w:hAnsi="Arial" w:cs="Arial"/>
          <w:color w:val="000000" w:themeColor="text1"/>
          <w:spacing w:val="-7"/>
          <w:sz w:val="24"/>
          <w:szCs w:val="24"/>
          <w:vertAlign w:val="superscript"/>
        </w:rPr>
        <w:t>1</w:t>
      </w:r>
      <w:r w:rsidRPr="00B70C48">
        <w:rPr>
          <w:rFonts w:ascii="Arial" w:hAnsi="Arial" w:cs="Arial"/>
          <w:b/>
          <w:color w:val="000000" w:themeColor="text1"/>
          <w:spacing w:val="-7"/>
          <w:sz w:val="24"/>
          <w:szCs w:val="24"/>
        </w:rPr>
        <w:t xml:space="preserve">, </w:t>
      </w:r>
      <w:r w:rsidRPr="00B70C48">
        <w:rPr>
          <w:rFonts w:ascii="Arial" w:hAnsi="Arial" w:cs="Arial"/>
          <w:color w:val="000000" w:themeColor="text1"/>
          <w:spacing w:val="-7"/>
          <w:sz w:val="24"/>
          <w:szCs w:val="24"/>
        </w:rPr>
        <w:t>Prof. Hywel C. Williams</w:t>
      </w:r>
      <w:r w:rsidRPr="00B70C48">
        <w:rPr>
          <w:rFonts w:ascii="Arial" w:hAnsi="Arial" w:cs="Arial"/>
          <w:color w:val="000000" w:themeColor="text1"/>
          <w:spacing w:val="-7"/>
          <w:sz w:val="24"/>
          <w:szCs w:val="24"/>
          <w:vertAlign w:val="superscript"/>
        </w:rPr>
        <w:t>1</w:t>
      </w:r>
      <w:r w:rsidRPr="00B70C48">
        <w:rPr>
          <w:rFonts w:ascii="Arial" w:hAnsi="Arial" w:cs="Arial"/>
          <w:color w:val="000000" w:themeColor="text1"/>
          <w:spacing w:val="-7"/>
          <w:sz w:val="24"/>
          <w:szCs w:val="24"/>
        </w:rPr>
        <w:t>, Prof. Abhishek Abhishek</w:t>
      </w:r>
      <w:r w:rsidRPr="00B70C48">
        <w:rPr>
          <w:rFonts w:ascii="Arial" w:hAnsi="Arial" w:cs="Arial"/>
          <w:color w:val="000000" w:themeColor="text1"/>
          <w:spacing w:val="-7"/>
          <w:sz w:val="24"/>
          <w:szCs w:val="24"/>
          <w:vertAlign w:val="superscript"/>
        </w:rPr>
        <w:t>3</w:t>
      </w:r>
      <w:r w:rsidRPr="00B70C48">
        <w:rPr>
          <w:rFonts w:ascii="Arial" w:hAnsi="Arial" w:cs="Arial"/>
          <w:color w:val="000000" w:themeColor="text1"/>
          <w:spacing w:val="-7"/>
          <w:sz w:val="24"/>
          <w:szCs w:val="24"/>
        </w:rPr>
        <w:t>.</w:t>
      </w:r>
    </w:p>
    <w:p w14:paraId="005B3961" w14:textId="77777777" w:rsidR="00021272" w:rsidRPr="00B70C48" w:rsidRDefault="00021272" w:rsidP="00021272">
      <w:pPr>
        <w:spacing w:line="480" w:lineRule="auto"/>
        <w:rPr>
          <w:rFonts w:ascii="Arial" w:hAnsi="Arial" w:cs="Arial"/>
          <w:color w:val="000000" w:themeColor="text1"/>
          <w:spacing w:val="-7"/>
          <w:sz w:val="24"/>
          <w:szCs w:val="24"/>
        </w:rPr>
      </w:pPr>
      <w:r w:rsidRPr="00B70C48">
        <w:rPr>
          <w:rFonts w:ascii="Arial" w:hAnsi="Arial" w:cs="Arial"/>
          <w:b/>
          <w:color w:val="000000" w:themeColor="text1"/>
          <w:spacing w:val="-7"/>
          <w:sz w:val="24"/>
          <w:szCs w:val="24"/>
        </w:rPr>
        <w:t>Affiliations:</w:t>
      </w:r>
      <w:r w:rsidRPr="00B70C48">
        <w:rPr>
          <w:rFonts w:ascii="Arial" w:hAnsi="Arial" w:cs="Arial"/>
          <w:color w:val="000000" w:themeColor="text1"/>
          <w:spacing w:val="-7"/>
          <w:sz w:val="24"/>
          <w:szCs w:val="24"/>
        </w:rPr>
        <w:t xml:space="preserve"> </w:t>
      </w:r>
      <w:r w:rsidRPr="00B70C48">
        <w:rPr>
          <w:rFonts w:ascii="Arial" w:hAnsi="Arial" w:cs="Arial"/>
          <w:color w:val="000000" w:themeColor="text1"/>
          <w:spacing w:val="-7"/>
          <w:sz w:val="24"/>
          <w:szCs w:val="24"/>
          <w:vertAlign w:val="superscript"/>
        </w:rPr>
        <w:t>1</w:t>
      </w:r>
      <w:r w:rsidRPr="00B70C48">
        <w:rPr>
          <w:rFonts w:ascii="Arial" w:hAnsi="Arial" w:cs="Arial"/>
          <w:color w:val="000000" w:themeColor="text1"/>
          <w:spacing w:val="-7"/>
          <w:sz w:val="24"/>
          <w:szCs w:val="24"/>
        </w:rPr>
        <w:t xml:space="preserve">Lifespan and Population Health, School of Medicine, University of Nottingham, Nottingham. </w:t>
      </w:r>
      <w:r w:rsidRPr="00B70C48">
        <w:rPr>
          <w:rFonts w:ascii="Arial" w:hAnsi="Arial" w:cs="Arial"/>
          <w:color w:val="000000" w:themeColor="text1"/>
          <w:spacing w:val="-7"/>
          <w:sz w:val="24"/>
          <w:szCs w:val="24"/>
          <w:vertAlign w:val="superscript"/>
        </w:rPr>
        <w:t>2</w:t>
      </w:r>
      <w:r w:rsidRPr="00B70C48">
        <w:rPr>
          <w:rFonts w:ascii="Arial" w:hAnsi="Arial" w:cs="Arial"/>
          <w:color w:val="000000" w:themeColor="text1"/>
          <w:spacing w:val="-7"/>
          <w:sz w:val="24"/>
          <w:szCs w:val="24"/>
        </w:rPr>
        <w:t xml:space="preserve">Nottingham Digestive Diseases Centre, Translational Medical Sciences, School of Medicine, University of Nottingham. </w:t>
      </w:r>
      <w:r w:rsidRPr="00B70C48">
        <w:rPr>
          <w:rFonts w:ascii="Arial" w:hAnsi="Arial" w:cs="Arial"/>
          <w:color w:val="000000" w:themeColor="text1"/>
          <w:spacing w:val="-7"/>
          <w:sz w:val="24"/>
          <w:szCs w:val="24"/>
          <w:vertAlign w:val="superscript"/>
        </w:rPr>
        <w:t>3</w:t>
      </w:r>
      <w:r w:rsidRPr="00B70C48">
        <w:rPr>
          <w:rFonts w:ascii="Arial" w:hAnsi="Arial" w:cs="Arial"/>
          <w:color w:val="000000" w:themeColor="text1"/>
          <w:spacing w:val="-7"/>
          <w:sz w:val="24"/>
          <w:szCs w:val="24"/>
        </w:rPr>
        <w:t xml:space="preserve">Academic Rheumatology, School of Medicine, University of Nottingham, Nottingham. </w:t>
      </w:r>
      <w:r w:rsidRPr="00B70C48">
        <w:rPr>
          <w:rFonts w:ascii="Arial" w:hAnsi="Arial" w:cs="Arial"/>
          <w:color w:val="000000" w:themeColor="text1"/>
          <w:spacing w:val="-7"/>
          <w:sz w:val="24"/>
          <w:szCs w:val="24"/>
          <w:vertAlign w:val="superscript"/>
        </w:rPr>
        <w:t>4</w:t>
      </w:r>
      <w:r w:rsidRPr="00B70C48">
        <w:rPr>
          <w:rFonts w:ascii="Arial" w:hAnsi="Arial" w:cs="Arial"/>
          <w:color w:val="000000" w:themeColor="text1"/>
          <w:spacing w:val="-7"/>
          <w:sz w:val="24"/>
          <w:szCs w:val="24"/>
        </w:rPr>
        <w:t>Primary Care Centre Versus Arthritis, School of Medicine, Keele University, Keele.</w:t>
      </w:r>
    </w:p>
    <w:p w14:paraId="46B4E3A1" w14:textId="77777777" w:rsidR="00021272" w:rsidRPr="00B70C48" w:rsidRDefault="00021272" w:rsidP="00021272">
      <w:pPr>
        <w:spacing w:line="480" w:lineRule="auto"/>
        <w:rPr>
          <w:rFonts w:ascii="Arial" w:hAnsi="Arial" w:cs="Arial"/>
          <w:color w:val="000000" w:themeColor="text1"/>
          <w:spacing w:val="-7"/>
          <w:sz w:val="24"/>
          <w:szCs w:val="24"/>
        </w:rPr>
      </w:pPr>
      <w:r w:rsidRPr="00B70C48">
        <w:rPr>
          <w:rFonts w:ascii="Arial" w:hAnsi="Arial" w:cs="Arial"/>
          <w:color w:val="000000" w:themeColor="text1"/>
          <w:spacing w:val="-7"/>
          <w:sz w:val="24"/>
          <w:szCs w:val="24"/>
        </w:rPr>
        <w:t>*Equal contribution</w:t>
      </w:r>
    </w:p>
    <w:p w14:paraId="248D6378" w14:textId="77777777" w:rsidR="00021272" w:rsidRPr="00B70C48" w:rsidRDefault="00021272" w:rsidP="00021272">
      <w:pPr>
        <w:pStyle w:val="Heading3"/>
        <w:spacing w:before="154" w:line="480" w:lineRule="auto"/>
        <w:ind w:left="0"/>
        <w:jc w:val="both"/>
        <w:rPr>
          <w:b w:val="0"/>
          <w:bCs w:val="0"/>
          <w:color w:val="000000" w:themeColor="text1"/>
          <w:spacing w:val="-7"/>
          <w:sz w:val="24"/>
          <w:szCs w:val="24"/>
        </w:rPr>
      </w:pPr>
      <w:r w:rsidRPr="00B70C48">
        <w:rPr>
          <w:color w:val="000000" w:themeColor="text1"/>
          <w:spacing w:val="-7"/>
          <w:sz w:val="24"/>
          <w:szCs w:val="24"/>
        </w:rPr>
        <w:t xml:space="preserve">Corresponding author: </w:t>
      </w:r>
      <w:r w:rsidRPr="00B70C48">
        <w:rPr>
          <w:b w:val="0"/>
          <w:color w:val="000000" w:themeColor="text1"/>
          <w:spacing w:val="-7"/>
          <w:sz w:val="24"/>
          <w:szCs w:val="24"/>
        </w:rPr>
        <w:t>Dr</w:t>
      </w:r>
      <w:r w:rsidRPr="00B70C48">
        <w:rPr>
          <w:color w:val="000000" w:themeColor="text1"/>
          <w:spacing w:val="-7"/>
          <w:sz w:val="24"/>
          <w:szCs w:val="24"/>
        </w:rPr>
        <w:t xml:space="preserve"> </w:t>
      </w:r>
      <w:r w:rsidRPr="00B70C48">
        <w:rPr>
          <w:b w:val="0"/>
          <w:color w:val="000000" w:themeColor="text1"/>
          <w:spacing w:val="-7"/>
          <w:sz w:val="24"/>
          <w:szCs w:val="24"/>
        </w:rPr>
        <w:t>Georgina Nakafero</w:t>
      </w:r>
    </w:p>
    <w:p w14:paraId="5F2DBB7F" w14:textId="77777777" w:rsidR="00021272" w:rsidRPr="00B70C48" w:rsidRDefault="00021272" w:rsidP="00021272">
      <w:pPr>
        <w:pStyle w:val="Heading3"/>
        <w:spacing w:before="154" w:line="480" w:lineRule="auto"/>
        <w:ind w:left="0"/>
        <w:jc w:val="both"/>
        <w:rPr>
          <w:b w:val="0"/>
          <w:bCs w:val="0"/>
          <w:color w:val="000000" w:themeColor="text1"/>
          <w:spacing w:val="-7"/>
          <w:sz w:val="24"/>
          <w:szCs w:val="24"/>
        </w:rPr>
      </w:pPr>
      <w:r w:rsidRPr="00B70C48">
        <w:rPr>
          <w:color w:val="000000" w:themeColor="text1"/>
          <w:spacing w:val="-7"/>
          <w:sz w:val="24"/>
          <w:szCs w:val="24"/>
        </w:rPr>
        <w:t xml:space="preserve">Address for correspondence: </w:t>
      </w:r>
    </w:p>
    <w:p w14:paraId="787EED38" w14:textId="77777777" w:rsidR="00021272" w:rsidRPr="00B70C48" w:rsidRDefault="00021272" w:rsidP="00021272">
      <w:pPr>
        <w:pStyle w:val="Heading3"/>
        <w:spacing w:line="480" w:lineRule="auto"/>
        <w:ind w:left="0"/>
        <w:rPr>
          <w:color w:val="000000" w:themeColor="text1"/>
          <w:spacing w:val="-7"/>
          <w:sz w:val="24"/>
          <w:szCs w:val="24"/>
        </w:rPr>
      </w:pPr>
      <w:r w:rsidRPr="00B70C48">
        <w:rPr>
          <w:b w:val="0"/>
          <w:color w:val="000000" w:themeColor="text1"/>
          <w:spacing w:val="-7"/>
          <w:sz w:val="24"/>
          <w:szCs w:val="24"/>
        </w:rPr>
        <w:t>Dr G Nakafero</w:t>
      </w:r>
    </w:p>
    <w:p w14:paraId="385F87BD" w14:textId="77777777" w:rsidR="00021272" w:rsidRPr="00B70C48" w:rsidRDefault="00021272" w:rsidP="00021272">
      <w:pPr>
        <w:pStyle w:val="Heading3"/>
        <w:spacing w:line="480" w:lineRule="auto"/>
        <w:ind w:left="0"/>
        <w:rPr>
          <w:color w:val="000000" w:themeColor="text1"/>
          <w:spacing w:val="-7"/>
          <w:sz w:val="24"/>
          <w:szCs w:val="24"/>
        </w:rPr>
      </w:pPr>
      <w:r w:rsidRPr="00B70C48">
        <w:rPr>
          <w:b w:val="0"/>
          <w:color w:val="000000" w:themeColor="text1"/>
          <w:spacing w:val="-7"/>
          <w:sz w:val="24"/>
          <w:szCs w:val="24"/>
        </w:rPr>
        <w:t xml:space="preserve">A23, Academic Rheumatology, </w:t>
      </w:r>
    </w:p>
    <w:p w14:paraId="43E72405" w14:textId="77777777" w:rsidR="00021272" w:rsidRPr="00B70C48" w:rsidRDefault="00021272" w:rsidP="00021272">
      <w:pPr>
        <w:pStyle w:val="Heading3"/>
        <w:spacing w:line="480" w:lineRule="auto"/>
        <w:ind w:left="0"/>
        <w:rPr>
          <w:color w:val="000000" w:themeColor="text1"/>
          <w:spacing w:val="-7"/>
          <w:sz w:val="24"/>
          <w:szCs w:val="24"/>
        </w:rPr>
      </w:pPr>
      <w:r w:rsidRPr="00B70C48">
        <w:rPr>
          <w:b w:val="0"/>
          <w:color w:val="000000" w:themeColor="text1"/>
          <w:spacing w:val="-7"/>
          <w:sz w:val="24"/>
          <w:szCs w:val="24"/>
        </w:rPr>
        <w:t xml:space="preserve">Clinical Sciences Building, </w:t>
      </w:r>
    </w:p>
    <w:p w14:paraId="155D9CCD" w14:textId="77777777" w:rsidR="00021272" w:rsidRPr="00B70C48" w:rsidRDefault="00021272" w:rsidP="00021272">
      <w:pPr>
        <w:pStyle w:val="Heading3"/>
        <w:spacing w:line="480" w:lineRule="auto"/>
        <w:ind w:left="0"/>
        <w:rPr>
          <w:color w:val="000000" w:themeColor="text1"/>
          <w:spacing w:val="-7"/>
          <w:sz w:val="24"/>
          <w:szCs w:val="24"/>
        </w:rPr>
      </w:pPr>
      <w:r w:rsidRPr="00B70C48">
        <w:rPr>
          <w:b w:val="0"/>
          <w:color w:val="000000" w:themeColor="text1"/>
          <w:spacing w:val="-7"/>
          <w:sz w:val="24"/>
          <w:szCs w:val="24"/>
        </w:rPr>
        <w:t xml:space="preserve">School of Medicine, </w:t>
      </w:r>
    </w:p>
    <w:p w14:paraId="435514CD" w14:textId="77777777" w:rsidR="00021272" w:rsidRPr="00B70C48" w:rsidRDefault="00021272" w:rsidP="00021272">
      <w:pPr>
        <w:pStyle w:val="Heading3"/>
        <w:spacing w:line="480" w:lineRule="auto"/>
        <w:ind w:left="0"/>
        <w:rPr>
          <w:color w:val="000000" w:themeColor="text1"/>
          <w:spacing w:val="-7"/>
          <w:sz w:val="24"/>
          <w:szCs w:val="24"/>
        </w:rPr>
      </w:pPr>
      <w:r w:rsidRPr="00B70C48">
        <w:rPr>
          <w:b w:val="0"/>
          <w:color w:val="000000" w:themeColor="text1"/>
          <w:spacing w:val="-7"/>
          <w:sz w:val="24"/>
          <w:szCs w:val="24"/>
        </w:rPr>
        <w:t>The University of Nottingham, Nottingham, UK</w:t>
      </w:r>
    </w:p>
    <w:p w14:paraId="320BDC62" w14:textId="77777777" w:rsidR="00021272" w:rsidRPr="00B70C48" w:rsidRDefault="00021272" w:rsidP="00021272">
      <w:pPr>
        <w:pStyle w:val="Heading3"/>
        <w:spacing w:line="480" w:lineRule="auto"/>
        <w:ind w:left="0"/>
        <w:rPr>
          <w:sz w:val="24"/>
          <w:szCs w:val="24"/>
        </w:rPr>
      </w:pPr>
      <w:r w:rsidRPr="00B70C48">
        <w:rPr>
          <w:color w:val="000000" w:themeColor="text1"/>
          <w:spacing w:val="-7"/>
          <w:sz w:val="24"/>
          <w:szCs w:val="24"/>
        </w:rPr>
        <w:t xml:space="preserve">Email: </w:t>
      </w:r>
      <w:hyperlink r:id="rId11" w:history="1">
        <w:r w:rsidRPr="00B70C48">
          <w:rPr>
            <w:rStyle w:val="Hyperlink"/>
            <w:b w:val="0"/>
            <w:sz w:val="24"/>
            <w:szCs w:val="24"/>
          </w:rPr>
          <w:t>georgina.nakafero@nottingham.ac.uk</w:t>
        </w:r>
      </w:hyperlink>
      <w:r w:rsidRPr="00B70C48">
        <w:rPr>
          <w:sz w:val="24"/>
          <w:szCs w:val="24"/>
        </w:rPr>
        <w:t xml:space="preserve">             </w:t>
      </w:r>
      <w:r w:rsidRPr="00B70C48">
        <w:rPr>
          <w:sz w:val="24"/>
          <w:szCs w:val="24"/>
        </w:rPr>
        <w:tab/>
      </w:r>
      <w:r w:rsidRPr="00B70C48">
        <w:rPr>
          <w:sz w:val="24"/>
          <w:szCs w:val="24"/>
        </w:rPr>
        <w:tab/>
      </w:r>
      <w:r w:rsidRPr="00B70C48">
        <w:rPr>
          <w:sz w:val="24"/>
          <w:szCs w:val="24"/>
        </w:rPr>
        <w:tab/>
      </w:r>
    </w:p>
    <w:p w14:paraId="0C126243" w14:textId="77777777" w:rsidR="00021272" w:rsidRPr="00B70C48" w:rsidRDefault="00021272" w:rsidP="00021272">
      <w:pPr>
        <w:pStyle w:val="Heading3"/>
        <w:spacing w:line="480" w:lineRule="auto"/>
        <w:ind w:left="0"/>
        <w:rPr>
          <w:color w:val="000000" w:themeColor="text1"/>
          <w:spacing w:val="-7"/>
          <w:sz w:val="24"/>
          <w:szCs w:val="24"/>
        </w:rPr>
      </w:pPr>
      <w:r w:rsidRPr="00B70C48">
        <w:rPr>
          <w:color w:val="000000" w:themeColor="text1"/>
          <w:spacing w:val="-7"/>
          <w:sz w:val="24"/>
          <w:szCs w:val="24"/>
        </w:rPr>
        <w:t xml:space="preserve">Phone: </w:t>
      </w:r>
      <w:r w:rsidRPr="00B70C48">
        <w:rPr>
          <w:b w:val="0"/>
          <w:color w:val="000000" w:themeColor="text1"/>
          <w:spacing w:val="-7"/>
          <w:sz w:val="24"/>
          <w:szCs w:val="24"/>
        </w:rPr>
        <w:t>01158231655</w:t>
      </w:r>
      <w:r w:rsidRPr="00B70C48">
        <w:rPr>
          <w:color w:val="000000" w:themeColor="text1"/>
          <w:spacing w:val="-7"/>
          <w:sz w:val="24"/>
          <w:szCs w:val="24"/>
        </w:rPr>
        <w:t xml:space="preserve"> </w:t>
      </w:r>
    </w:p>
    <w:p w14:paraId="385062D5" w14:textId="77777777" w:rsidR="00021272" w:rsidRPr="00B70C48" w:rsidRDefault="00021272" w:rsidP="00021272">
      <w:pPr>
        <w:spacing w:line="480" w:lineRule="auto"/>
        <w:jc w:val="both"/>
        <w:rPr>
          <w:rFonts w:ascii="Arial" w:hAnsi="Arial" w:cs="Arial"/>
          <w:sz w:val="24"/>
          <w:szCs w:val="24"/>
        </w:rPr>
      </w:pPr>
      <w:r w:rsidRPr="00B70C48">
        <w:rPr>
          <w:rFonts w:ascii="Arial" w:hAnsi="Arial" w:cs="Arial"/>
          <w:b/>
          <w:sz w:val="24"/>
          <w:szCs w:val="24"/>
        </w:rPr>
        <w:t>ORCiD iD</w:t>
      </w:r>
      <w:r w:rsidRPr="00B70C48">
        <w:rPr>
          <w:rFonts w:ascii="Arial" w:hAnsi="Arial" w:cs="Arial"/>
          <w:sz w:val="24"/>
          <w:szCs w:val="24"/>
        </w:rPr>
        <w:t xml:space="preserve">: </w:t>
      </w:r>
      <w:hyperlink r:id="rId12" w:history="1">
        <w:r w:rsidRPr="00B70C48">
          <w:rPr>
            <w:rStyle w:val="Hyperlink"/>
            <w:rFonts w:ascii="Arial" w:hAnsi="Arial" w:cs="Arial"/>
            <w:sz w:val="24"/>
            <w:szCs w:val="24"/>
          </w:rPr>
          <w:t>https://orcid.org/0000-0002-3859-7354</w:t>
        </w:r>
      </w:hyperlink>
    </w:p>
    <w:p w14:paraId="7EEC4B95" w14:textId="6926C1CF" w:rsidR="00021272" w:rsidRPr="00B70C48" w:rsidRDefault="00021272" w:rsidP="00021272">
      <w:pPr>
        <w:pStyle w:val="Heading3"/>
        <w:spacing w:line="480" w:lineRule="auto"/>
        <w:ind w:left="0"/>
        <w:rPr>
          <w:color w:val="000000" w:themeColor="text1"/>
          <w:spacing w:val="-7"/>
          <w:sz w:val="24"/>
          <w:szCs w:val="24"/>
        </w:rPr>
      </w:pPr>
      <w:r w:rsidRPr="00B70C48">
        <w:rPr>
          <w:color w:val="000000" w:themeColor="text1"/>
          <w:spacing w:val="-7"/>
          <w:sz w:val="24"/>
          <w:szCs w:val="24"/>
        </w:rPr>
        <w:t>Full-text (word-count):</w:t>
      </w:r>
      <w:r w:rsidR="00A879C1">
        <w:rPr>
          <w:color w:val="000000" w:themeColor="text1"/>
          <w:spacing w:val="-7"/>
          <w:sz w:val="24"/>
          <w:szCs w:val="24"/>
        </w:rPr>
        <w:t xml:space="preserve"> 2</w:t>
      </w:r>
      <w:r w:rsidR="0025665E">
        <w:rPr>
          <w:color w:val="000000" w:themeColor="text1"/>
          <w:spacing w:val="-7"/>
          <w:sz w:val="24"/>
          <w:szCs w:val="24"/>
        </w:rPr>
        <w:t>750</w:t>
      </w:r>
      <w:r w:rsidRPr="00B70C48">
        <w:rPr>
          <w:color w:val="000000" w:themeColor="text1"/>
          <w:spacing w:val="-7"/>
          <w:sz w:val="24"/>
          <w:szCs w:val="24"/>
        </w:rPr>
        <w:tab/>
      </w:r>
      <w:r w:rsidRPr="00B70C48">
        <w:rPr>
          <w:color w:val="000000" w:themeColor="text1"/>
          <w:spacing w:val="-7"/>
          <w:sz w:val="24"/>
          <w:szCs w:val="24"/>
        </w:rPr>
        <w:tab/>
      </w:r>
      <w:r w:rsidRPr="00B70C48">
        <w:rPr>
          <w:color w:val="000000" w:themeColor="text1"/>
          <w:spacing w:val="-7"/>
          <w:sz w:val="24"/>
          <w:szCs w:val="24"/>
        </w:rPr>
        <w:tab/>
      </w:r>
      <w:r w:rsidRPr="00B70C48">
        <w:rPr>
          <w:color w:val="000000" w:themeColor="text1"/>
          <w:spacing w:val="-7"/>
          <w:sz w:val="24"/>
          <w:szCs w:val="24"/>
        </w:rPr>
        <w:tab/>
      </w:r>
      <w:r w:rsidRPr="00B70C48">
        <w:rPr>
          <w:color w:val="000000" w:themeColor="text1"/>
          <w:spacing w:val="-7"/>
          <w:sz w:val="24"/>
          <w:szCs w:val="24"/>
        </w:rPr>
        <w:tab/>
      </w:r>
      <w:r w:rsidRPr="00B70C48">
        <w:rPr>
          <w:color w:val="000000" w:themeColor="text1"/>
          <w:spacing w:val="-7"/>
          <w:sz w:val="24"/>
          <w:szCs w:val="24"/>
        </w:rPr>
        <w:tab/>
      </w:r>
      <w:r w:rsidRPr="00B70C48">
        <w:rPr>
          <w:color w:val="000000" w:themeColor="text1"/>
          <w:spacing w:val="-7"/>
          <w:sz w:val="24"/>
          <w:szCs w:val="24"/>
        </w:rPr>
        <w:tab/>
      </w:r>
    </w:p>
    <w:p w14:paraId="4A1C9AE6" w14:textId="535F1281" w:rsidR="00021272" w:rsidRPr="00B70C48" w:rsidRDefault="00021272" w:rsidP="00021272">
      <w:pPr>
        <w:pStyle w:val="Heading3"/>
        <w:spacing w:line="480" w:lineRule="auto"/>
        <w:ind w:left="0"/>
        <w:rPr>
          <w:b w:val="0"/>
          <w:color w:val="000000" w:themeColor="text1"/>
          <w:spacing w:val="-7"/>
          <w:sz w:val="24"/>
          <w:szCs w:val="24"/>
        </w:rPr>
      </w:pPr>
      <w:r w:rsidRPr="00B70C48">
        <w:rPr>
          <w:color w:val="000000" w:themeColor="text1"/>
          <w:spacing w:val="-7"/>
          <w:sz w:val="24"/>
          <w:szCs w:val="24"/>
        </w:rPr>
        <w:t xml:space="preserve">Abstract: </w:t>
      </w:r>
      <w:r w:rsidR="004D72E1">
        <w:rPr>
          <w:color w:val="000000" w:themeColor="text1"/>
          <w:spacing w:val="-7"/>
          <w:sz w:val="24"/>
          <w:szCs w:val="24"/>
        </w:rPr>
        <w:t xml:space="preserve"> 250</w:t>
      </w:r>
    </w:p>
    <w:p w14:paraId="466F487D" w14:textId="0EE605B5" w:rsidR="00021272" w:rsidRDefault="00021272" w:rsidP="00021272">
      <w:pPr>
        <w:pStyle w:val="Heading3"/>
        <w:spacing w:line="480" w:lineRule="auto"/>
        <w:ind w:left="0"/>
        <w:rPr>
          <w:b w:val="0"/>
          <w:color w:val="000000" w:themeColor="text1"/>
          <w:spacing w:val="-7"/>
          <w:sz w:val="24"/>
          <w:szCs w:val="24"/>
        </w:rPr>
      </w:pPr>
      <w:r w:rsidRPr="00B70C48">
        <w:rPr>
          <w:color w:val="000000" w:themeColor="text1"/>
          <w:spacing w:val="-7"/>
          <w:sz w:val="24"/>
          <w:szCs w:val="24"/>
        </w:rPr>
        <w:t>Keywords:</w:t>
      </w:r>
      <w:r w:rsidRPr="00B70C48">
        <w:rPr>
          <w:b w:val="0"/>
          <w:color w:val="000000" w:themeColor="text1"/>
          <w:spacing w:val="-7"/>
          <w:sz w:val="24"/>
          <w:szCs w:val="24"/>
        </w:rPr>
        <w:t xml:space="preserve"> </w:t>
      </w:r>
      <w:r w:rsidR="0025665E">
        <w:rPr>
          <w:b w:val="0"/>
          <w:color w:val="000000" w:themeColor="text1"/>
          <w:spacing w:val="-7"/>
          <w:sz w:val="24"/>
          <w:szCs w:val="24"/>
        </w:rPr>
        <w:t>COVID</w:t>
      </w:r>
      <w:r w:rsidRPr="00B70C48">
        <w:rPr>
          <w:b w:val="0"/>
          <w:color w:val="000000" w:themeColor="text1"/>
          <w:spacing w:val="-7"/>
          <w:sz w:val="24"/>
          <w:szCs w:val="24"/>
        </w:rPr>
        <w:t>-19, inflammatory bowel disease, vaccination, side-effect</w:t>
      </w:r>
    </w:p>
    <w:p w14:paraId="2931A96D" w14:textId="5637247D" w:rsidR="008534EA" w:rsidRDefault="008534EA" w:rsidP="00021272">
      <w:pPr>
        <w:pStyle w:val="Heading3"/>
        <w:spacing w:line="480" w:lineRule="auto"/>
        <w:ind w:left="0"/>
        <w:rPr>
          <w:b w:val="0"/>
          <w:color w:val="000000" w:themeColor="text1"/>
          <w:spacing w:val="-7"/>
          <w:sz w:val="24"/>
          <w:szCs w:val="24"/>
        </w:rPr>
      </w:pPr>
    </w:p>
    <w:p w14:paraId="072676BF" w14:textId="77777777" w:rsidR="008534EA" w:rsidRDefault="008534EA" w:rsidP="008534EA">
      <w:pPr>
        <w:spacing w:line="480" w:lineRule="auto"/>
        <w:rPr>
          <w:rFonts w:ascii="Arial" w:hAnsi="Arial" w:cs="Arial"/>
          <w:b/>
          <w:sz w:val="24"/>
          <w:szCs w:val="24"/>
        </w:rPr>
      </w:pPr>
      <w:r w:rsidRPr="00B65E90">
        <w:rPr>
          <w:rFonts w:ascii="Arial" w:hAnsi="Arial" w:cs="Arial"/>
          <w:b/>
          <w:sz w:val="24"/>
          <w:szCs w:val="24"/>
        </w:rPr>
        <w:t>Acknowledgements</w:t>
      </w:r>
    </w:p>
    <w:p w14:paraId="69A641B8" w14:textId="4D4AE4ED" w:rsidR="008534EA" w:rsidRDefault="008534EA" w:rsidP="008534EA">
      <w:pPr>
        <w:spacing w:line="480" w:lineRule="auto"/>
        <w:rPr>
          <w:rFonts w:ascii="Arial" w:hAnsi="Arial" w:cs="Arial"/>
          <w:sz w:val="24"/>
          <w:szCs w:val="24"/>
        </w:rPr>
      </w:pPr>
      <w:r w:rsidRPr="00B65E90">
        <w:rPr>
          <w:rFonts w:ascii="Arial" w:hAnsi="Arial" w:cs="Arial"/>
          <w:sz w:val="24"/>
          <w:szCs w:val="24"/>
        </w:rPr>
        <w:t>This work was funded</w:t>
      </w:r>
      <w:r>
        <w:rPr>
          <w:rFonts w:ascii="Arial" w:hAnsi="Arial" w:cs="Arial"/>
          <w:sz w:val="24"/>
          <w:szCs w:val="24"/>
        </w:rPr>
        <w:t xml:space="preserve"> by a grant from the NIHR. No funding beyond this was sought or gained for this work. All authors declare that they have no conflict of interests.</w:t>
      </w:r>
    </w:p>
    <w:p w14:paraId="00325F34" w14:textId="77777777" w:rsidR="008534EA" w:rsidRDefault="008534EA" w:rsidP="008534EA">
      <w:pPr>
        <w:spacing w:line="480" w:lineRule="auto"/>
        <w:rPr>
          <w:rFonts w:ascii="Arial" w:hAnsi="Arial" w:cs="Arial"/>
          <w:b/>
          <w:sz w:val="24"/>
          <w:szCs w:val="24"/>
        </w:rPr>
      </w:pPr>
      <w:r w:rsidRPr="00642613">
        <w:rPr>
          <w:rFonts w:ascii="Arial" w:hAnsi="Arial" w:cs="Arial"/>
          <w:b/>
          <w:sz w:val="24"/>
          <w:szCs w:val="24"/>
        </w:rPr>
        <w:t>Contributorship</w:t>
      </w:r>
      <w:r>
        <w:rPr>
          <w:rFonts w:ascii="Arial" w:hAnsi="Arial" w:cs="Arial"/>
          <w:b/>
          <w:sz w:val="24"/>
          <w:szCs w:val="24"/>
        </w:rPr>
        <w:t xml:space="preserve"> Statement</w:t>
      </w:r>
    </w:p>
    <w:p w14:paraId="4B4FDF94" w14:textId="1B6E315D" w:rsidR="008534EA" w:rsidRDefault="008534EA" w:rsidP="008534EA">
      <w:pPr>
        <w:spacing w:line="480" w:lineRule="auto"/>
        <w:rPr>
          <w:rFonts w:ascii="Arial" w:hAnsi="Arial" w:cs="Arial"/>
          <w:sz w:val="24"/>
          <w:szCs w:val="24"/>
        </w:rPr>
      </w:pPr>
      <w:r>
        <w:rPr>
          <w:rFonts w:ascii="Arial" w:hAnsi="Arial" w:cs="Arial"/>
          <w:sz w:val="24"/>
          <w:szCs w:val="24"/>
        </w:rPr>
        <w:t>The study was conceived by Prof Abhishek. All authors were involved in the design of the study. The analysis was carried out by Dr Nakafero. Drs Card and Nakafero jointly wrote the first draft. All authors edited the first and all subsequent drafts and approved the final draft for submission. Prof Abhishek is the guarantor of the article.</w:t>
      </w:r>
    </w:p>
    <w:p w14:paraId="1C7FB025" w14:textId="77777777" w:rsidR="008534EA" w:rsidRPr="00B70C48" w:rsidRDefault="008534EA" w:rsidP="00021272">
      <w:pPr>
        <w:pStyle w:val="Heading3"/>
        <w:spacing w:line="480" w:lineRule="auto"/>
        <w:ind w:left="0"/>
        <w:rPr>
          <w:b w:val="0"/>
          <w:color w:val="000000" w:themeColor="text1"/>
          <w:spacing w:val="-7"/>
          <w:sz w:val="24"/>
          <w:szCs w:val="24"/>
        </w:rPr>
      </w:pPr>
    </w:p>
    <w:p w14:paraId="36D7CB74" w14:textId="0FA4F9EF" w:rsidR="00021272" w:rsidRDefault="00021272" w:rsidP="00021272">
      <w:pPr>
        <w:pStyle w:val="Heading3"/>
        <w:spacing w:line="480" w:lineRule="auto"/>
        <w:ind w:left="0"/>
        <w:rPr>
          <w:b w:val="0"/>
          <w:color w:val="000000" w:themeColor="text1"/>
          <w:spacing w:val="-7"/>
          <w:sz w:val="24"/>
          <w:szCs w:val="24"/>
        </w:rPr>
      </w:pPr>
    </w:p>
    <w:p w14:paraId="471502AA" w14:textId="0C14207B" w:rsidR="00021272" w:rsidRDefault="00021272">
      <w:pPr>
        <w:rPr>
          <w:rFonts w:ascii="Arial" w:eastAsia="Arial" w:hAnsi="Arial" w:cs="Arial"/>
          <w:bCs/>
          <w:color w:val="000000" w:themeColor="text1"/>
          <w:spacing w:val="-7"/>
          <w:sz w:val="24"/>
          <w:szCs w:val="24"/>
          <w:lang w:val="en-US"/>
        </w:rPr>
      </w:pPr>
      <w:r>
        <w:rPr>
          <w:b/>
          <w:color w:val="000000" w:themeColor="text1"/>
          <w:spacing w:val="-7"/>
          <w:sz w:val="24"/>
          <w:szCs w:val="24"/>
        </w:rPr>
        <w:br w:type="page"/>
      </w:r>
    </w:p>
    <w:p w14:paraId="4F146B73" w14:textId="77777777" w:rsidR="00021272" w:rsidRDefault="00021272" w:rsidP="00021272">
      <w:pPr>
        <w:pStyle w:val="Heading3"/>
        <w:spacing w:line="480" w:lineRule="auto"/>
        <w:ind w:left="0"/>
        <w:jc w:val="both"/>
        <w:rPr>
          <w:b w:val="0"/>
          <w:color w:val="000000" w:themeColor="text1"/>
          <w:spacing w:val="-7"/>
          <w:sz w:val="24"/>
          <w:szCs w:val="24"/>
        </w:rPr>
      </w:pPr>
      <w:r w:rsidRPr="00271F72">
        <w:rPr>
          <w:color w:val="000000" w:themeColor="text1"/>
          <w:spacing w:val="-7"/>
        </w:rPr>
        <w:lastRenderedPageBreak/>
        <w:t>Abstract:</w:t>
      </w:r>
    </w:p>
    <w:p w14:paraId="5D6AFAC2" w14:textId="2975ACA0" w:rsidR="00021272" w:rsidRDefault="00021272" w:rsidP="00021272">
      <w:pPr>
        <w:pStyle w:val="Heading3"/>
        <w:spacing w:line="480" w:lineRule="auto"/>
        <w:ind w:left="0"/>
        <w:jc w:val="both"/>
        <w:rPr>
          <w:b w:val="0"/>
          <w:color w:val="000000" w:themeColor="text1"/>
          <w:spacing w:val="-7"/>
          <w:sz w:val="24"/>
          <w:szCs w:val="24"/>
        </w:rPr>
      </w:pPr>
      <w:r w:rsidRPr="00923D5A">
        <w:rPr>
          <w:b w:val="0"/>
          <w:bCs w:val="0"/>
          <w:color w:val="000000" w:themeColor="text1"/>
          <w:spacing w:val="-7"/>
          <w:sz w:val="24"/>
          <w:szCs w:val="24"/>
        </w:rPr>
        <w:t xml:space="preserve">Objectives: To investigate the association between vaccination against </w:t>
      </w:r>
      <w:r w:rsidR="0025665E">
        <w:rPr>
          <w:b w:val="0"/>
          <w:bCs w:val="0"/>
          <w:color w:val="000000" w:themeColor="text1"/>
          <w:spacing w:val="-7"/>
          <w:sz w:val="24"/>
          <w:szCs w:val="24"/>
        </w:rPr>
        <w:t>COVID</w:t>
      </w:r>
      <w:r w:rsidRPr="00923D5A">
        <w:rPr>
          <w:b w:val="0"/>
          <w:bCs w:val="0"/>
          <w:color w:val="000000" w:themeColor="text1"/>
          <w:spacing w:val="-7"/>
          <w:sz w:val="24"/>
          <w:szCs w:val="24"/>
        </w:rPr>
        <w:t xml:space="preserve">-19 and </w:t>
      </w:r>
      <w:r>
        <w:rPr>
          <w:b w:val="0"/>
          <w:bCs w:val="0"/>
          <w:color w:val="000000" w:themeColor="text1"/>
          <w:spacing w:val="-7"/>
          <w:sz w:val="24"/>
          <w:szCs w:val="24"/>
        </w:rPr>
        <w:t>inflammatory bowel disease</w:t>
      </w:r>
      <w:r w:rsidRPr="00923D5A">
        <w:rPr>
          <w:b w:val="0"/>
          <w:bCs w:val="0"/>
          <w:color w:val="000000" w:themeColor="text1"/>
          <w:spacing w:val="-7"/>
          <w:sz w:val="24"/>
          <w:szCs w:val="24"/>
        </w:rPr>
        <w:t xml:space="preserve"> (I</w:t>
      </w:r>
      <w:r>
        <w:rPr>
          <w:b w:val="0"/>
          <w:bCs w:val="0"/>
          <w:color w:val="000000" w:themeColor="text1"/>
          <w:spacing w:val="-7"/>
          <w:sz w:val="24"/>
          <w:szCs w:val="24"/>
        </w:rPr>
        <w:t>BD</w:t>
      </w:r>
      <w:r w:rsidRPr="00923D5A">
        <w:rPr>
          <w:b w:val="0"/>
          <w:bCs w:val="0"/>
          <w:color w:val="000000" w:themeColor="text1"/>
          <w:spacing w:val="-7"/>
          <w:sz w:val="24"/>
          <w:szCs w:val="24"/>
        </w:rPr>
        <w:t xml:space="preserve">) flare. </w:t>
      </w:r>
    </w:p>
    <w:p w14:paraId="6C22D877" w14:textId="7D7B134E" w:rsidR="00021272" w:rsidRPr="005D675A" w:rsidRDefault="00021272" w:rsidP="00021272">
      <w:pPr>
        <w:pStyle w:val="Heading3"/>
        <w:spacing w:line="480" w:lineRule="auto"/>
        <w:ind w:left="0"/>
        <w:jc w:val="both"/>
        <w:rPr>
          <w:b w:val="0"/>
          <w:color w:val="000000" w:themeColor="text1"/>
          <w:spacing w:val="-7"/>
          <w:sz w:val="24"/>
          <w:szCs w:val="24"/>
        </w:rPr>
      </w:pPr>
      <w:r w:rsidRPr="00923D5A">
        <w:rPr>
          <w:b w:val="0"/>
          <w:bCs w:val="0"/>
          <w:color w:val="000000" w:themeColor="text1"/>
          <w:spacing w:val="-7"/>
          <w:sz w:val="24"/>
          <w:szCs w:val="24"/>
        </w:rPr>
        <w:t xml:space="preserve">Methods: Patients with </w:t>
      </w:r>
      <w:r>
        <w:rPr>
          <w:b w:val="0"/>
          <w:bCs w:val="0"/>
          <w:color w:val="000000" w:themeColor="text1"/>
          <w:spacing w:val="-7"/>
          <w:sz w:val="24"/>
          <w:szCs w:val="24"/>
        </w:rPr>
        <w:t>IBD</w:t>
      </w:r>
      <w:r w:rsidRPr="00923D5A">
        <w:rPr>
          <w:b w:val="0"/>
          <w:bCs w:val="0"/>
          <w:color w:val="000000" w:themeColor="text1"/>
          <w:spacing w:val="-7"/>
          <w:sz w:val="24"/>
          <w:szCs w:val="24"/>
        </w:rPr>
        <w:t xml:space="preserve"> vaccinated against </w:t>
      </w:r>
      <w:r w:rsidR="0025665E">
        <w:rPr>
          <w:b w:val="0"/>
          <w:bCs w:val="0"/>
          <w:color w:val="000000" w:themeColor="text1"/>
          <w:spacing w:val="-7"/>
          <w:sz w:val="24"/>
          <w:szCs w:val="24"/>
        </w:rPr>
        <w:t>COVID</w:t>
      </w:r>
      <w:r w:rsidRPr="00923D5A">
        <w:rPr>
          <w:b w:val="0"/>
          <w:bCs w:val="0"/>
          <w:color w:val="000000" w:themeColor="text1"/>
          <w:spacing w:val="-7"/>
          <w:sz w:val="24"/>
          <w:szCs w:val="24"/>
        </w:rPr>
        <w:t xml:space="preserve">-19 who consulted for disease flare between 01/12/2020 and 31/12/2021 were ascertained </w:t>
      </w:r>
      <w:r w:rsidR="001876A8">
        <w:rPr>
          <w:b w:val="0"/>
          <w:bCs w:val="0"/>
          <w:color w:val="000000" w:themeColor="text1"/>
          <w:spacing w:val="-7"/>
          <w:sz w:val="24"/>
          <w:szCs w:val="24"/>
        </w:rPr>
        <w:t>from the</w:t>
      </w:r>
      <w:r w:rsidRPr="00923D5A">
        <w:rPr>
          <w:b w:val="0"/>
          <w:bCs w:val="0"/>
          <w:color w:val="000000" w:themeColor="text1"/>
          <w:spacing w:val="-7"/>
          <w:sz w:val="24"/>
          <w:szCs w:val="24"/>
        </w:rPr>
        <w:t xml:space="preserve"> Clinical Practice Research Datalink (</w:t>
      </w:r>
      <w:r w:rsidR="008534EA">
        <w:rPr>
          <w:b w:val="0"/>
          <w:bCs w:val="0"/>
          <w:color w:val="000000" w:themeColor="text1"/>
          <w:spacing w:val="-7"/>
          <w:sz w:val="24"/>
          <w:szCs w:val="24"/>
        </w:rPr>
        <w:t>CPRD</w:t>
      </w:r>
      <w:r w:rsidRPr="00923D5A">
        <w:rPr>
          <w:b w:val="0"/>
          <w:bCs w:val="0"/>
          <w:color w:val="000000" w:themeColor="text1"/>
          <w:spacing w:val="-7"/>
          <w:sz w:val="24"/>
          <w:szCs w:val="24"/>
        </w:rPr>
        <w:t xml:space="preserve">). </w:t>
      </w:r>
      <w:r>
        <w:rPr>
          <w:b w:val="0"/>
          <w:bCs w:val="0"/>
          <w:color w:val="000000" w:themeColor="text1"/>
          <w:spacing w:val="-7"/>
          <w:sz w:val="24"/>
          <w:szCs w:val="24"/>
        </w:rPr>
        <w:t>IBD</w:t>
      </w:r>
      <w:r w:rsidRPr="00923D5A">
        <w:rPr>
          <w:b w:val="0"/>
          <w:bCs w:val="0"/>
          <w:color w:val="000000" w:themeColor="text1"/>
          <w:spacing w:val="-7"/>
          <w:sz w:val="24"/>
          <w:szCs w:val="24"/>
        </w:rPr>
        <w:t xml:space="preserve"> flare</w:t>
      </w:r>
      <w:r w:rsidR="00D76FB6">
        <w:rPr>
          <w:b w:val="0"/>
          <w:bCs w:val="0"/>
          <w:color w:val="000000" w:themeColor="text1"/>
          <w:spacing w:val="-7"/>
          <w:sz w:val="24"/>
          <w:szCs w:val="24"/>
        </w:rPr>
        <w:t>s</w:t>
      </w:r>
      <w:r w:rsidRPr="00923D5A">
        <w:rPr>
          <w:b w:val="0"/>
          <w:bCs w:val="0"/>
          <w:color w:val="000000" w:themeColor="text1"/>
          <w:spacing w:val="-7"/>
          <w:sz w:val="24"/>
          <w:szCs w:val="24"/>
        </w:rPr>
        <w:t xml:space="preserve"> </w:t>
      </w:r>
      <w:r w:rsidR="00D76FB6">
        <w:rPr>
          <w:b w:val="0"/>
          <w:bCs w:val="0"/>
          <w:color w:val="000000" w:themeColor="text1"/>
          <w:spacing w:val="-7"/>
          <w:sz w:val="24"/>
          <w:szCs w:val="24"/>
        </w:rPr>
        <w:t>were</w:t>
      </w:r>
      <w:r w:rsidR="00D76FB6" w:rsidRPr="00923D5A">
        <w:rPr>
          <w:b w:val="0"/>
          <w:bCs w:val="0"/>
          <w:color w:val="000000" w:themeColor="text1"/>
          <w:spacing w:val="-7"/>
          <w:sz w:val="24"/>
          <w:szCs w:val="24"/>
        </w:rPr>
        <w:t xml:space="preserve"> </w:t>
      </w:r>
      <w:r w:rsidR="00D76FB6">
        <w:rPr>
          <w:b w:val="0"/>
          <w:bCs w:val="0"/>
          <w:color w:val="000000" w:themeColor="text1"/>
          <w:spacing w:val="-7"/>
          <w:sz w:val="24"/>
          <w:szCs w:val="24"/>
        </w:rPr>
        <w:t>identified</w:t>
      </w:r>
      <w:r w:rsidR="00D76FB6" w:rsidRPr="00923D5A">
        <w:rPr>
          <w:b w:val="0"/>
          <w:bCs w:val="0"/>
          <w:color w:val="000000" w:themeColor="text1"/>
          <w:spacing w:val="-7"/>
          <w:sz w:val="24"/>
          <w:szCs w:val="24"/>
        </w:rPr>
        <w:t xml:space="preserve"> </w:t>
      </w:r>
      <w:r w:rsidRPr="00923D5A">
        <w:rPr>
          <w:b w:val="0"/>
          <w:bCs w:val="0"/>
          <w:color w:val="000000" w:themeColor="text1"/>
          <w:spacing w:val="-7"/>
          <w:sz w:val="24"/>
          <w:szCs w:val="24"/>
        </w:rPr>
        <w:t>using</w:t>
      </w:r>
      <w:r w:rsidR="00A10057">
        <w:rPr>
          <w:b w:val="0"/>
          <w:bCs w:val="0"/>
          <w:color w:val="000000" w:themeColor="text1"/>
          <w:spacing w:val="-7"/>
          <w:sz w:val="24"/>
          <w:szCs w:val="24"/>
        </w:rPr>
        <w:t xml:space="preserve"> </w:t>
      </w:r>
      <w:r w:rsidRPr="00923D5A">
        <w:rPr>
          <w:b w:val="0"/>
          <w:bCs w:val="0"/>
          <w:color w:val="000000" w:themeColor="text1"/>
          <w:spacing w:val="-7"/>
          <w:sz w:val="24"/>
          <w:szCs w:val="24"/>
        </w:rPr>
        <w:t>consultation and corticosteroid prescription</w:t>
      </w:r>
      <w:r w:rsidR="00D76FB6">
        <w:rPr>
          <w:b w:val="0"/>
          <w:bCs w:val="0"/>
          <w:color w:val="000000" w:themeColor="text1"/>
          <w:spacing w:val="-7"/>
          <w:sz w:val="24"/>
          <w:szCs w:val="24"/>
        </w:rPr>
        <w:t xml:space="preserve"> records.</w:t>
      </w:r>
      <w:r w:rsidRPr="00923D5A">
        <w:rPr>
          <w:b w:val="0"/>
          <w:bCs w:val="0"/>
          <w:color w:val="000000" w:themeColor="text1"/>
          <w:spacing w:val="-7"/>
          <w:sz w:val="24"/>
          <w:szCs w:val="24"/>
        </w:rPr>
        <w:t xml:space="preserve"> Vaccination</w:t>
      </w:r>
      <w:r w:rsidR="00D76FB6">
        <w:rPr>
          <w:b w:val="0"/>
          <w:bCs w:val="0"/>
          <w:color w:val="000000" w:themeColor="text1"/>
          <w:spacing w:val="-7"/>
          <w:sz w:val="24"/>
          <w:szCs w:val="24"/>
        </w:rPr>
        <w:t>s</w:t>
      </w:r>
      <w:r w:rsidRPr="00923D5A">
        <w:rPr>
          <w:b w:val="0"/>
          <w:bCs w:val="0"/>
          <w:color w:val="000000" w:themeColor="text1"/>
          <w:spacing w:val="-7"/>
          <w:sz w:val="24"/>
          <w:szCs w:val="24"/>
        </w:rPr>
        <w:t xml:space="preserve"> </w:t>
      </w:r>
      <w:r w:rsidR="00D76FB6">
        <w:rPr>
          <w:b w:val="0"/>
          <w:bCs w:val="0"/>
          <w:color w:val="000000" w:themeColor="text1"/>
          <w:spacing w:val="-7"/>
          <w:sz w:val="24"/>
          <w:szCs w:val="24"/>
        </w:rPr>
        <w:t>were</w:t>
      </w:r>
      <w:r w:rsidR="00D76FB6" w:rsidRPr="00923D5A">
        <w:rPr>
          <w:b w:val="0"/>
          <w:bCs w:val="0"/>
          <w:color w:val="000000" w:themeColor="text1"/>
          <w:spacing w:val="-7"/>
          <w:sz w:val="24"/>
          <w:szCs w:val="24"/>
        </w:rPr>
        <w:t xml:space="preserve"> </w:t>
      </w:r>
      <w:r w:rsidR="00D76FB6">
        <w:rPr>
          <w:b w:val="0"/>
          <w:bCs w:val="0"/>
          <w:color w:val="000000" w:themeColor="text1"/>
          <w:spacing w:val="-7"/>
          <w:sz w:val="24"/>
          <w:szCs w:val="24"/>
        </w:rPr>
        <w:t>identified</w:t>
      </w:r>
      <w:r w:rsidR="00D76FB6" w:rsidRPr="00923D5A">
        <w:rPr>
          <w:b w:val="0"/>
          <w:bCs w:val="0"/>
          <w:color w:val="000000" w:themeColor="text1"/>
          <w:spacing w:val="-7"/>
          <w:sz w:val="24"/>
          <w:szCs w:val="24"/>
        </w:rPr>
        <w:t xml:space="preserve"> </w:t>
      </w:r>
      <w:r w:rsidRPr="00923D5A">
        <w:rPr>
          <w:b w:val="0"/>
          <w:bCs w:val="0"/>
          <w:color w:val="000000" w:themeColor="text1"/>
          <w:spacing w:val="-7"/>
          <w:sz w:val="24"/>
          <w:szCs w:val="24"/>
        </w:rPr>
        <w:t>using product codes and vaccination</w:t>
      </w:r>
      <w:r w:rsidR="0025665E">
        <w:rPr>
          <w:b w:val="0"/>
          <w:bCs w:val="0"/>
          <w:color w:val="000000" w:themeColor="text1"/>
          <w:spacing w:val="-7"/>
          <w:sz w:val="24"/>
          <w:szCs w:val="24"/>
        </w:rPr>
        <w:t xml:space="preserve"> dates</w:t>
      </w:r>
      <w:r w:rsidRPr="00923D5A">
        <w:rPr>
          <w:b w:val="0"/>
          <w:bCs w:val="0"/>
          <w:color w:val="000000" w:themeColor="text1"/>
          <w:spacing w:val="-7"/>
          <w:sz w:val="24"/>
          <w:szCs w:val="24"/>
        </w:rPr>
        <w:t xml:space="preserve">. The </w:t>
      </w:r>
      <w:r w:rsidR="0025665E">
        <w:rPr>
          <w:b w:val="0"/>
          <w:bCs w:val="0"/>
          <w:color w:val="000000" w:themeColor="text1"/>
          <w:spacing w:val="-7"/>
          <w:sz w:val="24"/>
          <w:szCs w:val="24"/>
        </w:rPr>
        <w:t>study</w:t>
      </w:r>
      <w:r w:rsidRPr="00923D5A">
        <w:rPr>
          <w:b w:val="0"/>
          <w:bCs w:val="0"/>
          <w:color w:val="000000" w:themeColor="text1"/>
          <w:spacing w:val="-7"/>
          <w:sz w:val="24"/>
          <w:szCs w:val="24"/>
        </w:rPr>
        <w:t xml:space="preserve"> period was partitioned into vaccine-exposed (</w:t>
      </w:r>
      <w:r w:rsidR="0025665E">
        <w:rPr>
          <w:b w:val="0"/>
          <w:bCs w:val="0"/>
          <w:color w:val="000000" w:themeColor="text1"/>
          <w:spacing w:val="-7"/>
          <w:sz w:val="24"/>
          <w:szCs w:val="24"/>
        </w:rPr>
        <w:t xml:space="preserve">vaccination date and </w:t>
      </w:r>
      <w:r w:rsidRPr="00923D5A">
        <w:rPr>
          <w:b w:val="0"/>
          <w:bCs w:val="0"/>
          <w:color w:val="000000" w:themeColor="text1"/>
          <w:spacing w:val="-7"/>
          <w:sz w:val="24"/>
          <w:szCs w:val="24"/>
        </w:rPr>
        <w:t>21-days</w:t>
      </w:r>
      <w:r w:rsidR="00D76FB6">
        <w:rPr>
          <w:b w:val="0"/>
          <w:bCs w:val="0"/>
          <w:color w:val="000000" w:themeColor="text1"/>
          <w:spacing w:val="-7"/>
          <w:sz w:val="24"/>
          <w:szCs w:val="24"/>
        </w:rPr>
        <w:t xml:space="preserve"> </w:t>
      </w:r>
      <w:r w:rsidR="0025665E">
        <w:rPr>
          <w:b w:val="0"/>
          <w:bCs w:val="0"/>
          <w:color w:val="000000" w:themeColor="text1"/>
          <w:spacing w:val="-7"/>
          <w:sz w:val="24"/>
          <w:szCs w:val="24"/>
        </w:rPr>
        <w:t xml:space="preserve">immediately </w:t>
      </w:r>
      <w:r w:rsidR="00D76FB6">
        <w:rPr>
          <w:b w:val="0"/>
          <w:bCs w:val="0"/>
          <w:color w:val="000000" w:themeColor="text1"/>
          <w:spacing w:val="-7"/>
          <w:sz w:val="24"/>
          <w:szCs w:val="24"/>
        </w:rPr>
        <w:t>after</w:t>
      </w:r>
      <w:r w:rsidRPr="00923D5A">
        <w:rPr>
          <w:b w:val="0"/>
          <w:bCs w:val="0"/>
          <w:color w:val="000000" w:themeColor="text1"/>
          <w:spacing w:val="-7"/>
          <w:sz w:val="24"/>
          <w:szCs w:val="24"/>
        </w:rPr>
        <w:t>), pre-vaccination (7-days</w:t>
      </w:r>
      <w:r w:rsidR="0025665E">
        <w:rPr>
          <w:b w:val="0"/>
          <w:bCs w:val="0"/>
          <w:color w:val="000000" w:themeColor="text1"/>
          <w:spacing w:val="-7"/>
          <w:sz w:val="24"/>
          <w:szCs w:val="24"/>
        </w:rPr>
        <w:t xml:space="preserve"> immediately before vaccination</w:t>
      </w:r>
      <w:r w:rsidRPr="00923D5A">
        <w:rPr>
          <w:b w:val="0"/>
          <w:bCs w:val="0"/>
          <w:color w:val="000000" w:themeColor="text1"/>
          <w:spacing w:val="-7"/>
          <w:sz w:val="24"/>
          <w:szCs w:val="24"/>
        </w:rPr>
        <w:t xml:space="preserve">), and </w:t>
      </w:r>
      <w:r>
        <w:rPr>
          <w:b w:val="0"/>
          <w:bCs w:val="0"/>
          <w:color w:val="000000" w:themeColor="text1"/>
          <w:spacing w:val="-7"/>
          <w:sz w:val="24"/>
          <w:szCs w:val="24"/>
        </w:rPr>
        <w:t xml:space="preserve">the </w:t>
      </w:r>
      <w:r w:rsidRPr="00923D5A">
        <w:rPr>
          <w:b w:val="0"/>
          <w:bCs w:val="0"/>
          <w:color w:val="000000" w:themeColor="text1"/>
          <w:spacing w:val="-7"/>
          <w:sz w:val="24"/>
          <w:szCs w:val="24"/>
        </w:rPr>
        <w:t>remaining vaccine-unexposed periods. Participants contributed dat</w:t>
      </w:r>
      <w:r>
        <w:rPr>
          <w:b w:val="0"/>
          <w:bCs w:val="0"/>
          <w:color w:val="000000" w:themeColor="text1"/>
          <w:spacing w:val="-7"/>
          <w:sz w:val="24"/>
          <w:szCs w:val="24"/>
        </w:rPr>
        <w:t>a</w:t>
      </w:r>
      <w:r w:rsidRPr="00923D5A">
        <w:rPr>
          <w:b w:val="0"/>
          <w:bCs w:val="0"/>
          <w:color w:val="000000" w:themeColor="text1"/>
          <w:spacing w:val="-7"/>
          <w:sz w:val="24"/>
          <w:szCs w:val="24"/>
        </w:rPr>
        <w:t xml:space="preserve"> with multiple vaccination</w:t>
      </w:r>
      <w:r>
        <w:rPr>
          <w:b w:val="0"/>
          <w:bCs w:val="0"/>
          <w:color w:val="000000" w:themeColor="text1"/>
          <w:spacing w:val="-7"/>
          <w:sz w:val="24"/>
          <w:szCs w:val="24"/>
        </w:rPr>
        <w:t>s</w:t>
      </w:r>
      <w:r w:rsidRPr="00923D5A">
        <w:rPr>
          <w:b w:val="0"/>
          <w:bCs w:val="0"/>
          <w:color w:val="000000" w:themeColor="text1"/>
          <w:spacing w:val="-7"/>
          <w:sz w:val="24"/>
          <w:szCs w:val="24"/>
        </w:rPr>
        <w:t xml:space="preserve"> and </w:t>
      </w:r>
      <w:r>
        <w:rPr>
          <w:b w:val="0"/>
          <w:bCs w:val="0"/>
          <w:color w:val="000000" w:themeColor="text1"/>
          <w:spacing w:val="-7"/>
          <w:sz w:val="24"/>
          <w:szCs w:val="24"/>
        </w:rPr>
        <w:t>IBD</w:t>
      </w:r>
      <w:r w:rsidRPr="00923D5A">
        <w:rPr>
          <w:b w:val="0"/>
          <w:bCs w:val="0"/>
          <w:color w:val="000000" w:themeColor="text1"/>
          <w:spacing w:val="-7"/>
          <w:sz w:val="24"/>
          <w:szCs w:val="24"/>
        </w:rPr>
        <w:t xml:space="preserve"> flares. Season adjusted incidence rate ratios (aIRR) and 95% confidence intervals (CI) were calculated using self-controlled case-series analysis.</w:t>
      </w:r>
    </w:p>
    <w:p w14:paraId="0FD72DF7" w14:textId="4EACC99D" w:rsidR="00021272" w:rsidRPr="00923D5A" w:rsidRDefault="00021272" w:rsidP="00021272">
      <w:pPr>
        <w:pStyle w:val="Heading3"/>
        <w:spacing w:line="480" w:lineRule="auto"/>
        <w:ind w:left="0"/>
        <w:jc w:val="both"/>
        <w:rPr>
          <w:b w:val="0"/>
          <w:bCs w:val="0"/>
          <w:color w:val="000000" w:themeColor="text1"/>
          <w:spacing w:val="-7"/>
          <w:sz w:val="24"/>
          <w:szCs w:val="24"/>
        </w:rPr>
      </w:pPr>
      <w:r w:rsidRPr="00923D5A">
        <w:rPr>
          <w:b w:val="0"/>
          <w:bCs w:val="0"/>
          <w:color w:val="000000" w:themeColor="text1"/>
          <w:spacing w:val="-7"/>
          <w:sz w:val="24"/>
          <w:szCs w:val="24"/>
        </w:rPr>
        <w:t xml:space="preserve">Results: Data for </w:t>
      </w:r>
      <w:r>
        <w:rPr>
          <w:b w:val="0"/>
          <w:bCs w:val="0"/>
          <w:color w:val="000000" w:themeColor="text1"/>
          <w:spacing w:val="-7"/>
          <w:sz w:val="24"/>
          <w:szCs w:val="24"/>
        </w:rPr>
        <w:t>1911</w:t>
      </w:r>
      <w:r w:rsidRPr="00923D5A">
        <w:rPr>
          <w:b w:val="0"/>
          <w:bCs w:val="0"/>
          <w:color w:val="000000" w:themeColor="text1"/>
          <w:spacing w:val="-7"/>
          <w:sz w:val="24"/>
          <w:szCs w:val="24"/>
        </w:rPr>
        <w:t xml:space="preserve"> </w:t>
      </w:r>
      <w:r>
        <w:rPr>
          <w:b w:val="0"/>
          <w:bCs w:val="0"/>
          <w:color w:val="000000" w:themeColor="text1"/>
          <w:spacing w:val="-7"/>
          <w:sz w:val="24"/>
          <w:szCs w:val="24"/>
        </w:rPr>
        <w:t>IBD</w:t>
      </w:r>
      <w:r w:rsidRPr="00923D5A">
        <w:rPr>
          <w:b w:val="0"/>
          <w:bCs w:val="0"/>
          <w:color w:val="000000" w:themeColor="text1"/>
          <w:spacing w:val="-7"/>
          <w:sz w:val="24"/>
          <w:szCs w:val="24"/>
        </w:rPr>
        <w:t xml:space="preserve"> cases, </w:t>
      </w:r>
      <w:r>
        <w:rPr>
          <w:b w:val="0"/>
          <w:bCs w:val="0"/>
          <w:color w:val="000000" w:themeColor="text1"/>
          <w:spacing w:val="-7"/>
          <w:sz w:val="24"/>
          <w:szCs w:val="24"/>
        </w:rPr>
        <w:t>5</w:t>
      </w:r>
      <w:r w:rsidRPr="00923D5A">
        <w:rPr>
          <w:b w:val="0"/>
          <w:bCs w:val="0"/>
          <w:color w:val="000000" w:themeColor="text1"/>
          <w:spacing w:val="-7"/>
          <w:sz w:val="24"/>
          <w:szCs w:val="24"/>
        </w:rPr>
        <w:t xml:space="preserve">2% female, mean age </w:t>
      </w:r>
      <w:r>
        <w:rPr>
          <w:b w:val="0"/>
          <w:bCs w:val="0"/>
          <w:color w:val="000000" w:themeColor="text1"/>
          <w:spacing w:val="-7"/>
          <w:sz w:val="24"/>
          <w:szCs w:val="24"/>
        </w:rPr>
        <w:t>49</w:t>
      </w:r>
      <w:r w:rsidRPr="00923D5A">
        <w:rPr>
          <w:b w:val="0"/>
          <w:bCs w:val="0"/>
          <w:color w:val="000000" w:themeColor="text1"/>
          <w:spacing w:val="-7"/>
          <w:sz w:val="24"/>
          <w:szCs w:val="24"/>
        </w:rPr>
        <w:t xml:space="preserve"> years, and 6</w:t>
      </w:r>
      <w:r>
        <w:rPr>
          <w:b w:val="0"/>
          <w:bCs w:val="0"/>
          <w:color w:val="000000" w:themeColor="text1"/>
          <w:spacing w:val="-7"/>
          <w:sz w:val="24"/>
          <w:szCs w:val="24"/>
        </w:rPr>
        <w:t>3</w:t>
      </w:r>
      <w:r w:rsidRPr="00923D5A">
        <w:rPr>
          <w:b w:val="0"/>
          <w:bCs w:val="0"/>
          <w:color w:val="000000" w:themeColor="text1"/>
          <w:spacing w:val="-7"/>
          <w:sz w:val="24"/>
          <w:szCs w:val="24"/>
        </w:rPr>
        <w:t xml:space="preserve">% with </w:t>
      </w:r>
      <w:r>
        <w:rPr>
          <w:b w:val="0"/>
          <w:bCs w:val="0"/>
          <w:color w:val="000000" w:themeColor="text1"/>
          <w:spacing w:val="-7"/>
          <w:sz w:val="24"/>
          <w:szCs w:val="24"/>
        </w:rPr>
        <w:t xml:space="preserve">ulcerative colitis </w:t>
      </w:r>
      <w:r w:rsidR="0025665E">
        <w:rPr>
          <w:b w:val="0"/>
          <w:bCs w:val="0"/>
          <w:color w:val="000000" w:themeColor="text1"/>
          <w:spacing w:val="-7"/>
          <w:sz w:val="24"/>
          <w:szCs w:val="24"/>
        </w:rPr>
        <w:t xml:space="preserve">(UC) </w:t>
      </w:r>
      <w:r w:rsidRPr="00923D5A">
        <w:rPr>
          <w:b w:val="0"/>
          <w:bCs w:val="0"/>
          <w:color w:val="000000" w:themeColor="text1"/>
          <w:spacing w:val="-7"/>
          <w:sz w:val="24"/>
          <w:szCs w:val="24"/>
        </w:rPr>
        <w:t>were in</w:t>
      </w:r>
      <w:r>
        <w:rPr>
          <w:b w:val="0"/>
          <w:bCs w:val="0"/>
          <w:color w:val="000000" w:themeColor="text1"/>
          <w:spacing w:val="-7"/>
          <w:sz w:val="24"/>
          <w:szCs w:val="24"/>
        </w:rPr>
        <w:t>cluded</w:t>
      </w:r>
      <w:r w:rsidRPr="00923D5A">
        <w:rPr>
          <w:b w:val="0"/>
          <w:bCs w:val="0"/>
          <w:color w:val="000000" w:themeColor="text1"/>
          <w:spacing w:val="-7"/>
          <w:sz w:val="24"/>
          <w:szCs w:val="24"/>
        </w:rPr>
        <w:t xml:space="preserve">. </w:t>
      </w:r>
      <w:r w:rsidR="0025665E">
        <w:rPr>
          <w:b w:val="0"/>
          <w:bCs w:val="0"/>
          <w:color w:val="000000" w:themeColor="text1"/>
          <w:spacing w:val="-7"/>
          <w:sz w:val="24"/>
          <w:szCs w:val="24"/>
        </w:rPr>
        <w:t>COVID</w:t>
      </w:r>
      <w:r w:rsidRPr="00923D5A">
        <w:rPr>
          <w:b w:val="0"/>
          <w:bCs w:val="0"/>
          <w:color w:val="000000" w:themeColor="text1"/>
          <w:spacing w:val="-7"/>
          <w:sz w:val="24"/>
          <w:szCs w:val="24"/>
        </w:rPr>
        <w:t xml:space="preserve">-19 vaccination was </w:t>
      </w:r>
      <w:r>
        <w:rPr>
          <w:b w:val="0"/>
          <w:bCs w:val="0"/>
          <w:color w:val="000000" w:themeColor="text1"/>
          <w:spacing w:val="-7"/>
          <w:sz w:val="24"/>
          <w:szCs w:val="24"/>
        </w:rPr>
        <w:t xml:space="preserve">not </w:t>
      </w:r>
      <w:r w:rsidRPr="00923D5A">
        <w:rPr>
          <w:b w:val="0"/>
          <w:bCs w:val="0"/>
          <w:color w:val="000000" w:themeColor="text1"/>
          <w:spacing w:val="-7"/>
          <w:sz w:val="24"/>
          <w:szCs w:val="24"/>
        </w:rPr>
        <w:t xml:space="preserve">associated with </w:t>
      </w:r>
      <w:r>
        <w:rPr>
          <w:b w:val="0"/>
          <w:bCs w:val="0"/>
          <w:color w:val="000000" w:themeColor="text1"/>
          <w:spacing w:val="-7"/>
          <w:sz w:val="24"/>
          <w:szCs w:val="24"/>
        </w:rPr>
        <w:t>increased IBD</w:t>
      </w:r>
      <w:r w:rsidRPr="00923D5A">
        <w:rPr>
          <w:b w:val="0"/>
          <w:bCs w:val="0"/>
          <w:color w:val="000000" w:themeColor="text1"/>
          <w:spacing w:val="-7"/>
          <w:sz w:val="24"/>
          <w:szCs w:val="24"/>
        </w:rPr>
        <w:t xml:space="preserve"> flares in the vaccin</w:t>
      </w:r>
      <w:r>
        <w:rPr>
          <w:b w:val="0"/>
          <w:bCs w:val="0"/>
          <w:color w:val="000000" w:themeColor="text1"/>
          <w:spacing w:val="-7"/>
          <w:sz w:val="24"/>
          <w:szCs w:val="24"/>
        </w:rPr>
        <w:t>e</w:t>
      </w:r>
      <w:r w:rsidRPr="00923D5A">
        <w:rPr>
          <w:b w:val="0"/>
          <w:bCs w:val="0"/>
          <w:color w:val="000000" w:themeColor="text1"/>
          <w:spacing w:val="-7"/>
          <w:sz w:val="24"/>
          <w:szCs w:val="24"/>
        </w:rPr>
        <w:t xml:space="preserve">-exposed period when all vaccinations were considered (aIRR (95%CI) </w:t>
      </w:r>
      <w:r w:rsidRPr="00923D5A">
        <w:rPr>
          <w:b w:val="0"/>
          <w:bCs w:val="0"/>
          <w:sz w:val="24"/>
          <w:szCs w:val="24"/>
        </w:rPr>
        <w:t>0.89 (0.</w:t>
      </w:r>
      <w:r>
        <w:rPr>
          <w:b w:val="0"/>
          <w:bCs w:val="0"/>
          <w:sz w:val="24"/>
          <w:szCs w:val="24"/>
        </w:rPr>
        <w:t>77</w:t>
      </w:r>
      <w:r w:rsidRPr="00923D5A">
        <w:rPr>
          <w:b w:val="0"/>
          <w:bCs w:val="0"/>
          <w:sz w:val="24"/>
          <w:szCs w:val="24"/>
        </w:rPr>
        <w:t>-</w:t>
      </w:r>
      <w:r>
        <w:rPr>
          <w:b w:val="0"/>
          <w:bCs w:val="0"/>
          <w:sz w:val="24"/>
          <w:szCs w:val="24"/>
        </w:rPr>
        <w:t>1</w:t>
      </w:r>
      <w:r w:rsidRPr="00923D5A">
        <w:rPr>
          <w:b w:val="0"/>
          <w:bCs w:val="0"/>
          <w:sz w:val="24"/>
          <w:szCs w:val="24"/>
        </w:rPr>
        <w:t>.</w:t>
      </w:r>
      <w:r>
        <w:rPr>
          <w:b w:val="0"/>
          <w:bCs w:val="0"/>
          <w:sz w:val="24"/>
          <w:szCs w:val="24"/>
        </w:rPr>
        <w:t>02</w:t>
      </w:r>
      <w:r w:rsidRPr="00923D5A">
        <w:rPr>
          <w:b w:val="0"/>
          <w:bCs w:val="0"/>
          <w:sz w:val="24"/>
          <w:szCs w:val="24"/>
        </w:rPr>
        <w:t>)</w:t>
      </w:r>
      <w:r>
        <w:rPr>
          <w:b w:val="0"/>
          <w:bCs w:val="0"/>
          <w:sz w:val="24"/>
          <w:szCs w:val="24"/>
        </w:rPr>
        <w:t>, 0.79 (0.66-0.95</w:t>
      </w:r>
      <w:r w:rsidRPr="00923D5A">
        <w:rPr>
          <w:b w:val="0"/>
          <w:bCs w:val="0"/>
          <w:color w:val="000000" w:themeColor="text1"/>
          <w:spacing w:val="-7"/>
          <w:sz w:val="24"/>
          <w:szCs w:val="24"/>
        </w:rPr>
        <w:t>)</w:t>
      </w:r>
      <w:r>
        <w:rPr>
          <w:b w:val="0"/>
          <w:bCs w:val="0"/>
          <w:color w:val="000000" w:themeColor="text1"/>
          <w:spacing w:val="-7"/>
          <w:sz w:val="24"/>
          <w:szCs w:val="24"/>
        </w:rPr>
        <w:t>, and 1.00 (0.79–1.27) in IBD</w:t>
      </w:r>
      <w:r w:rsidR="00C74F2F">
        <w:rPr>
          <w:b w:val="0"/>
          <w:bCs w:val="0"/>
          <w:color w:val="000000" w:themeColor="text1"/>
          <w:spacing w:val="-7"/>
          <w:sz w:val="24"/>
          <w:szCs w:val="24"/>
        </w:rPr>
        <w:t xml:space="preserve"> overall</w:t>
      </w:r>
      <w:r>
        <w:rPr>
          <w:b w:val="0"/>
          <w:bCs w:val="0"/>
          <w:color w:val="000000" w:themeColor="text1"/>
          <w:spacing w:val="-7"/>
          <w:sz w:val="24"/>
          <w:szCs w:val="24"/>
        </w:rPr>
        <w:t xml:space="preserve">, </w:t>
      </w:r>
      <w:r w:rsidR="0025665E">
        <w:rPr>
          <w:b w:val="0"/>
          <w:bCs w:val="0"/>
          <w:color w:val="000000" w:themeColor="text1"/>
          <w:spacing w:val="-7"/>
          <w:sz w:val="24"/>
          <w:szCs w:val="24"/>
        </w:rPr>
        <w:t>UC</w:t>
      </w:r>
      <w:r>
        <w:rPr>
          <w:b w:val="0"/>
          <w:bCs w:val="0"/>
          <w:color w:val="000000" w:themeColor="text1"/>
          <w:spacing w:val="-7"/>
          <w:sz w:val="24"/>
          <w:szCs w:val="24"/>
        </w:rPr>
        <w:t>, and Crohn’s disease respectively)</w:t>
      </w:r>
      <w:r w:rsidRPr="00923D5A">
        <w:rPr>
          <w:b w:val="0"/>
          <w:bCs w:val="0"/>
          <w:color w:val="000000" w:themeColor="text1"/>
          <w:spacing w:val="-7"/>
          <w:sz w:val="24"/>
          <w:szCs w:val="24"/>
        </w:rPr>
        <w:t xml:space="preserve">. </w:t>
      </w:r>
      <w:r w:rsidR="006227A7">
        <w:rPr>
          <w:b w:val="0"/>
          <w:bCs w:val="0"/>
          <w:color w:val="000000" w:themeColor="text1"/>
          <w:spacing w:val="-7"/>
          <w:sz w:val="24"/>
          <w:szCs w:val="24"/>
        </w:rPr>
        <w:t xml:space="preserve">Analyses stratified to include only </w:t>
      </w:r>
      <w:r w:rsidR="006227A7" w:rsidRPr="00923D5A">
        <w:rPr>
          <w:b w:val="0"/>
          <w:bCs w:val="0"/>
          <w:sz w:val="24"/>
          <w:szCs w:val="24"/>
        </w:rPr>
        <w:t>first</w:t>
      </w:r>
      <w:r w:rsidR="006227A7">
        <w:rPr>
          <w:b w:val="0"/>
          <w:bCs w:val="0"/>
          <w:sz w:val="24"/>
          <w:szCs w:val="24"/>
        </w:rPr>
        <w:t xml:space="preserve">, </w:t>
      </w:r>
      <w:r w:rsidR="006227A7" w:rsidRPr="00923D5A">
        <w:rPr>
          <w:b w:val="0"/>
          <w:bCs w:val="0"/>
          <w:sz w:val="24"/>
          <w:szCs w:val="24"/>
        </w:rPr>
        <w:t xml:space="preserve">second or third </w:t>
      </w:r>
      <w:r w:rsidR="0025665E">
        <w:rPr>
          <w:b w:val="0"/>
          <w:bCs w:val="0"/>
          <w:sz w:val="24"/>
          <w:szCs w:val="24"/>
        </w:rPr>
        <w:t>COVID</w:t>
      </w:r>
      <w:r w:rsidR="006227A7" w:rsidRPr="00923D5A">
        <w:rPr>
          <w:b w:val="0"/>
          <w:bCs w:val="0"/>
          <w:sz w:val="24"/>
          <w:szCs w:val="24"/>
        </w:rPr>
        <w:t xml:space="preserve">-19 vaccinations </w:t>
      </w:r>
      <w:r w:rsidR="006227A7">
        <w:rPr>
          <w:b w:val="0"/>
          <w:bCs w:val="0"/>
          <w:color w:val="000000" w:themeColor="text1"/>
          <w:spacing w:val="-7"/>
          <w:sz w:val="24"/>
          <w:szCs w:val="24"/>
        </w:rPr>
        <w:t>found</w:t>
      </w:r>
      <w:r w:rsidRPr="00923D5A">
        <w:rPr>
          <w:b w:val="0"/>
          <w:bCs w:val="0"/>
          <w:sz w:val="24"/>
          <w:szCs w:val="24"/>
        </w:rPr>
        <w:t xml:space="preserve"> </w:t>
      </w:r>
      <w:r>
        <w:rPr>
          <w:b w:val="0"/>
          <w:bCs w:val="0"/>
          <w:sz w:val="24"/>
          <w:szCs w:val="24"/>
        </w:rPr>
        <w:t xml:space="preserve">no </w:t>
      </w:r>
      <w:r w:rsidR="006227A7">
        <w:rPr>
          <w:b w:val="0"/>
          <w:bCs w:val="0"/>
          <w:sz w:val="24"/>
          <w:szCs w:val="24"/>
        </w:rPr>
        <w:t xml:space="preserve">significant </w:t>
      </w:r>
      <w:r>
        <w:rPr>
          <w:b w:val="0"/>
          <w:bCs w:val="0"/>
          <w:sz w:val="24"/>
          <w:szCs w:val="24"/>
        </w:rPr>
        <w:t xml:space="preserve">association between vaccination and IBD flares </w:t>
      </w:r>
      <w:r w:rsidRPr="00923D5A">
        <w:rPr>
          <w:b w:val="0"/>
          <w:bCs w:val="0"/>
          <w:sz w:val="24"/>
          <w:szCs w:val="24"/>
        </w:rPr>
        <w:t xml:space="preserve">in the </w:t>
      </w:r>
      <w:r w:rsidR="0025665E">
        <w:rPr>
          <w:b w:val="0"/>
          <w:bCs w:val="0"/>
          <w:sz w:val="24"/>
          <w:szCs w:val="24"/>
        </w:rPr>
        <w:t>vaccine exposed period</w:t>
      </w:r>
      <w:r w:rsidRPr="00923D5A">
        <w:rPr>
          <w:b w:val="0"/>
          <w:bCs w:val="0"/>
          <w:sz w:val="24"/>
          <w:szCs w:val="24"/>
        </w:rPr>
        <w:t xml:space="preserve"> (</w:t>
      </w:r>
      <w:r w:rsidRPr="00923D5A">
        <w:rPr>
          <w:b w:val="0"/>
          <w:bCs w:val="0"/>
          <w:color w:val="000000" w:themeColor="text1"/>
          <w:spacing w:val="-7"/>
          <w:sz w:val="24"/>
          <w:szCs w:val="24"/>
        </w:rPr>
        <w:t xml:space="preserve">aIRR (95%CI) </w:t>
      </w:r>
      <w:r w:rsidRPr="00923D5A">
        <w:rPr>
          <w:b w:val="0"/>
          <w:bCs w:val="0"/>
          <w:sz w:val="24"/>
          <w:szCs w:val="24"/>
        </w:rPr>
        <w:t>0.</w:t>
      </w:r>
      <w:r>
        <w:rPr>
          <w:b w:val="0"/>
          <w:bCs w:val="0"/>
          <w:sz w:val="24"/>
          <w:szCs w:val="24"/>
        </w:rPr>
        <w:t xml:space="preserve">87 </w:t>
      </w:r>
      <w:r w:rsidRPr="00923D5A">
        <w:rPr>
          <w:b w:val="0"/>
          <w:bCs w:val="0"/>
          <w:sz w:val="24"/>
          <w:szCs w:val="24"/>
        </w:rPr>
        <w:t>(0.</w:t>
      </w:r>
      <w:r>
        <w:rPr>
          <w:b w:val="0"/>
          <w:bCs w:val="0"/>
          <w:sz w:val="24"/>
          <w:szCs w:val="24"/>
        </w:rPr>
        <w:t>71</w:t>
      </w:r>
      <w:r w:rsidRPr="00923D5A">
        <w:rPr>
          <w:b w:val="0"/>
          <w:bCs w:val="0"/>
          <w:sz w:val="24"/>
          <w:szCs w:val="24"/>
        </w:rPr>
        <w:t>-</w:t>
      </w:r>
      <w:r>
        <w:rPr>
          <w:b w:val="0"/>
          <w:bCs w:val="0"/>
          <w:sz w:val="24"/>
          <w:szCs w:val="24"/>
        </w:rPr>
        <w:t>1</w:t>
      </w:r>
      <w:r w:rsidRPr="00923D5A">
        <w:rPr>
          <w:b w:val="0"/>
          <w:bCs w:val="0"/>
          <w:sz w:val="24"/>
          <w:szCs w:val="24"/>
        </w:rPr>
        <w:t>.</w:t>
      </w:r>
      <w:r>
        <w:rPr>
          <w:b w:val="0"/>
          <w:bCs w:val="0"/>
          <w:sz w:val="24"/>
          <w:szCs w:val="24"/>
        </w:rPr>
        <w:t>06</w:t>
      </w:r>
      <w:r w:rsidRPr="00923D5A">
        <w:rPr>
          <w:b w:val="0"/>
          <w:bCs w:val="0"/>
          <w:sz w:val="24"/>
          <w:szCs w:val="24"/>
        </w:rPr>
        <w:t>), 0.9</w:t>
      </w:r>
      <w:r>
        <w:rPr>
          <w:b w:val="0"/>
          <w:bCs w:val="0"/>
          <w:sz w:val="24"/>
          <w:szCs w:val="24"/>
        </w:rPr>
        <w:t xml:space="preserve">3 </w:t>
      </w:r>
      <w:r w:rsidRPr="00923D5A">
        <w:rPr>
          <w:b w:val="0"/>
          <w:bCs w:val="0"/>
          <w:sz w:val="24"/>
          <w:szCs w:val="24"/>
        </w:rPr>
        <w:t>(0.7</w:t>
      </w:r>
      <w:r>
        <w:rPr>
          <w:b w:val="0"/>
          <w:bCs w:val="0"/>
          <w:sz w:val="24"/>
          <w:szCs w:val="24"/>
        </w:rPr>
        <w:t>5</w:t>
      </w:r>
      <w:r w:rsidRPr="00923D5A">
        <w:rPr>
          <w:b w:val="0"/>
          <w:bCs w:val="0"/>
          <w:sz w:val="24"/>
          <w:szCs w:val="24"/>
        </w:rPr>
        <w:t>-1.1</w:t>
      </w:r>
      <w:r>
        <w:rPr>
          <w:b w:val="0"/>
          <w:bCs w:val="0"/>
          <w:sz w:val="24"/>
          <w:szCs w:val="24"/>
        </w:rPr>
        <w:t>5</w:t>
      </w:r>
      <w:r w:rsidRPr="00923D5A">
        <w:rPr>
          <w:b w:val="0"/>
          <w:bCs w:val="0"/>
          <w:sz w:val="24"/>
          <w:szCs w:val="24"/>
        </w:rPr>
        <w:t xml:space="preserve">) and </w:t>
      </w:r>
      <w:r>
        <w:rPr>
          <w:b w:val="0"/>
          <w:bCs w:val="0"/>
          <w:sz w:val="24"/>
          <w:szCs w:val="24"/>
        </w:rPr>
        <w:t>0</w:t>
      </w:r>
      <w:r w:rsidRPr="00923D5A">
        <w:rPr>
          <w:b w:val="0"/>
          <w:bCs w:val="0"/>
          <w:sz w:val="24"/>
          <w:szCs w:val="24"/>
        </w:rPr>
        <w:t>.</w:t>
      </w:r>
      <w:r>
        <w:rPr>
          <w:b w:val="0"/>
          <w:bCs w:val="0"/>
          <w:sz w:val="24"/>
          <w:szCs w:val="24"/>
        </w:rPr>
        <w:t xml:space="preserve">86 </w:t>
      </w:r>
      <w:r w:rsidRPr="00923D5A">
        <w:rPr>
          <w:b w:val="0"/>
          <w:bCs w:val="0"/>
          <w:sz w:val="24"/>
          <w:szCs w:val="24"/>
        </w:rPr>
        <w:t>(0.</w:t>
      </w:r>
      <w:r>
        <w:rPr>
          <w:b w:val="0"/>
          <w:bCs w:val="0"/>
          <w:sz w:val="24"/>
          <w:szCs w:val="24"/>
        </w:rPr>
        <w:t>63</w:t>
      </w:r>
      <w:r w:rsidRPr="00923D5A">
        <w:rPr>
          <w:b w:val="0"/>
          <w:bCs w:val="0"/>
          <w:sz w:val="24"/>
          <w:szCs w:val="24"/>
        </w:rPr>
        <w:t>-1.</w:t>
      </w:r>
      <w:r>
        <w:rPr>
          <w:b w:val="0"/>
          <w:bCs w:val="0"/>
          <w:sz w:val="24"/>
          <w:szCs w:val="24"/>
        </w:rPr>
        <w:t>17</w:t>
      </w:r>
      <w:r w:rsidRPr="00923D5A">
        <w:rPr>
          <w:b w:val="0"/>
          <w:bCs w:val="0"/>
          <w:sz w:val="24"/>
          <w:szCs w:val="24"/>
        </w:rPr>
        <w:t>)</w:t>
      </w:r>
      <w:r w:rsidRPr="00923D5A">
        <w:rPr>
          <w:b w:val="0"/>
          <w:bCs w:val="0"/>
          <w:color w:val="000000" w:themeColor="text1"/>
          <w:spacing w:val="-7"/>
          <w:sz w:val="24"/>
          <w:szCs w:val="24"/>
        </w:rPr>
        <w:t xml:space="preserve"> respectively)</w:t>
      </w:r>
      <w:r w:rsidRPr="00923D5A">
        <w:rPr>
          <w:b w:val="0"/>
          <w:bCs w:val="0"/>
          <w:sz w:val="24"/>
          <w:szCs w:val="24"/>
        </w:rPr>
        <w:t>.</w:t>
      </w:r>
      <w:r w:rsidRPr="00923D5A">
        <w:rPr>
          <w:b w:val="0"/>
          <w:bCs w:val="0"/>
          <w:color w:val="000000" w:themeColor="text1"/>
          <w:spacing w:val="-7"/>
          <w:sz w:val="24"/>
          <w:szCs w:val="24"/>
        </w:rPr>
        <w:t xml:space="preserve"> </w:t>
      </w:r>
      <w:r w:rsidR="006227A7">
        <w:rPr>
          <w:b w:val="0"/>
          <w:bCs w:val="0"/>
          <w:color w:val="000000" w:themeColor="text1"/>
          <w:spacing w:val="-7"/>
          <w:sz w:val="24"/>
          <w:szCs w:val="24"/>
        </w:rPr>
        <w:t>Similarly</w:t>
      </w:r>
      <w:r w:rsidR="003B6908">
        <w:rPr>
          <w:b w:val="0"/>
          <w:bCs w:val="0"/>
          <w:color w:val="000000" w:themeColor="text1"/>
          <w:spacing w:val="-7"/>
          <w:sz w:val="24"/>
          <w:szCs w:val="24"/>
        </w:rPr>
        <w:t>,</w:t>
      </w:r>
      <w:r w:rsidR="006227A7">
        <w:rPr>
          <w:b w:val="0"/>
          <w:bCs w:val="0"/>
          <w:color w:val="000000" w:themeColor="text1"/>
          <w:spacing w:val="-7"/>
          <w:sz w:val="24"/>
          <w:szCs w:val="24"/>
        </w:rPr>
        <w:t xml:space="preserve"> stratification by </w:t>
      </w:r>
      <w:r w:rsidR="0025665E">
        <w:rPr>
          <w:b w:val="0"/>
          <w:bCs w:val="0"/>
          <w:color w:val="000000" w:themeColor="text1"/>
          <w:spacing w:val="-7"/>
          <w:sz w:val="24"/>
          <w:szCs w:val="24"/>
        </w:rPr>
        <w:t>COVID</w:t>
      </w:r>
      <w:r w:rsidR="006227A7">
        <w:rPr>
          <w:b w:val="0"/>
          <w:bCs w:val="0"/>
          <w:color w:val="000000" w:themeColor="text1"/>
          <w:spacing w:val="-7"/>
          <w:sz w:val="24"/>
          <w:szCs w:val="24"/>
        </w:rPr>
        <w:t>-19 before vaccination</w:t>
      </w:r>
      <w:r w:rsidRPr="00923D5A">
        <w:rPr>
          <w:b w:val="0"/>
          <w:bCs w:val="0"/>
          <w:color w:val="000000" w:themeColor="text1"/>
          <w:spacing w:val="-7"/>
          <w:sz w:val="24"/>
          <w:szCs w:val="24"/>
        </w:rPr>
        <w:t xml:space="preserve">, and </w:t>
      </w:r>
      <w:r w:rsidR="006227A7">
        <w:rPr>
          <w:b w:val="0"/>
          <w:bCs w:val="0"/>
          <w:color w:val="000000" w:themeColor="text1"/>
          <w:spacing w:val="-7"/>
          <w:sz w:val="24"/>
          <w:szCs w:val="24"/>
        </w:rPr>
        <w:t xml:space="preserve">by </w:t>
      </w:r>
      <w:r w:rsidRPr="00923D5A">
        <w:rPr>
          <w:b w:val="0"/>
          <w:bCs w:val="0"/>
          <w:color w:val="000000" w:themeColor="text1"/>
          <w:spacing w:val="-7"/>
          <w:sz w:val="24"/>
          <w:szCs w:val="24"/>
        </w:rPr>
        <w:t xml:space="preserve">vaccination with vectored DNA or mRNA vaccine </w:t>
      </w:r>
      <w:r w:rsidR="006227A7">
        <w:rPr>
          <w:b w:val="0"/>
          <w:bCs w:val="0"/>
          <w:color w:val="000000" w:themeColor="text1"/>
          <w:spacing w:val="-7"/>
          <w:sz w:val="24"/>
          <w:szCs w:val="24"/>
        </w:rPr>
        <w:t>did not reveal an increased risk of flare in any of these subgroups</w:t>
      </w:r>
      <w:r w:rsidRPr="00923D5A">
        <w:rPr>
          <w:b w:val="0"/>
          <w:bCs w:val="0"/>
          <w:color w:val="000000" w:themeColor="text1"/>
          <w:spacing w:val="-7"/>
          <w:sz w:val="24"/>
          <w:szCs w:val="24"/>
        </w:rPr>
        <w:t xml:space="preserve">. </w:t>
      </w:r>
    </w:p>
    <w:p w14:paraId="6E74FF01" w14:textId="53028EEA" w:rsidR="00531420" w:rsidRDefault="00021272" w:rsidP="00EA1826">
      <w:pPr>
        <w:spacing w:line="480" w:lineRule="auto"/>
        <w:rPr>
          <w:rFonts w:ascii="Arial" w:eastAsia="Arial" w:hAnsi="Arial" w:cs="Arial"/>
          <w:bCs/>
          <w:lang w:val="en-US"/>
        </w:rPr>
      </w:pPr>
      <w:r w:rsidRPr="00EA1826">
        <w:rPr>
          <w:rFonts w:ascii="Arial" w:hAnsi="Arial" w:cs="Arial"/>
          <w:sz w:val="24"/>
          <w:szCs w:val="24"/>
        </w:rPr>
        <w:t xml:space="preserve">Conclusion: Vaccination against </w:t>
      </w:r>
      <w:r w:rsidR="0025665E">
        <w:rPr>
          <w:rFonts w:ascii="Arial" w:hAnsi="Arial" w:cs="Arial"/>
          <w:sz w:val="24"/>
          <w:szCs w:val="24"/>
        </w:rPr>
        <w:t>COVID</w:t>
      </w:r>
      <w:r w:rsidRPr="00EA1826">
        <w:rPr>
          <w:rFonts w:ascii="Arial" w:hAnsi="Arial" w:cs="Arial"/>
          <w:sz w:val="24"/>
          <w:szCs w:val="24"/>
        </w:rPr>
        <w:t xml:space="preserve">-19 was not associated with IBD flares regardless of prior </w:t>
      </w:r>
      <w:r w:rsidR="0025665E">
        <w:rPr>
          <w:rFonts w:ascii="Arial" w:hAnsi="Arial" w:cs="Arial"/>
          <w:sz w:val="24"/>
          <w:szCs w:val="24"/>
        </w:rPr>
        <w:t>COVID</w:t>
      </w:r>
      <w:r w:rsidRPr="00EA1826">
        <w:rPr>
          <w:rFonts w:ascii="Arial" w:hAnsi="Arial" w:cs="Arial"/>
          <w:sz w:val="24"/>
          <w:szCs w:val="24"/>
        </w:rPr>
        <w:t xml:space="preserve">-19 </w:t>
      </w:r>
      <w:r w:rsidR="00F41AC4">
        <w:rPr>
          <w:rFonts w:ascii="Arial" w:hAnsi="Arial" w:cs="Arial"/>
          <w:sz w:val="24"/>
          <w:szCs w:val="24"/>
        </w:rPr>
        <w:t xml:space="preserve">infection </w:t>
      </w:r>
      <w:r w:rsidRPr="00EA1826">
        <w:rPr>
          <w:rFonts w:ascii="Arial" w:hAnsi="Arial" w:cs="Arial"/>
          <w:sz w:val="24"/>
          <w:szCs w:val="24"/>
        </w:rPr>
        <w:t>and whether mRNA or DNA vaccin</w:t>
      </w:r>
      <w:r w:rsidR="0025665E">
        <w:rPr>
          <w:rFonts w:ascii="Arial" w:hAnsi="Arial" w:cs="Arial"/>
          <w:sz w:val="24"/>
          <w:szCs w:val="24"/>
        </w:rPr>
        <w:t>es</w:t>
      </w:r>
      <w:r w:rsidRPr="00EA1826">
        <w:rPr>
          <w:rFonts w:ascii="Arial" w:hAnsi="Arial" w:cs="Arial"/>
          <w:sz w:val="24"/>
          <w:szCs w:val="24"/>
        </w:rPr>
        <w:t xml:space="preserve"> were used.</w:t>
      </w:r>
      <w:r w:rsidR="00531420">
        <w:br w:type="page"/>
      </w:r>
    </w:p>
    <w:p w14:paraId="49E9C5D0" w14:textId="32D8AE1F" w:rsidR="00B65E90" w:rsidRPr="00531420" w:rsidRDefault="0032390D" w:rsidP="00EA1826">
      <w:pPr>
        <w:pStyle w:val="Heading3"/>
        <w:spacing w:line="480" w:lineRule="auto"/>
        <w:ind w:left="0"/>
        <w:rPr>
          <w:color w:val="000000" w:themeColor="text1"/>
          <w:spacing w:val="-7"/>
          <w:sz w:val="24"/>
          <w:szCs w:val="24"/>
        </w:rPr>
      </w:pPr>
      <w:r>
        <w:rPr>
          <w:color w:val="000000" w:themeColor="text1"/>
          <w:spacing w:val="-7"/>
          <w:sz w:val="24"/>
          <w:szCs w:val="24"/>
        </w:rPr>
        <w:lastRenderedPageBreak/>
        <w:t>Study Highlights</w:t>
      </w:r>
    </w:p>
    <w:p w14:paraId="505AD074" w14:textId="77777777" w:rsidR="008534EA" w:rsidRDefault="008534EA" w:rsidP="00EA1826">
      <w:pPr>
        <w:spacing w:line="480" w:lineRule="auto"/>
        <w:rPr>
          <w:rFonts w:ascii="Arial" w:hAnsi="Arial" w:cs="Arial"/>
          <w:b/>
          <w:sz w:val="24"/>
          <w:szCs w:val="24"/>
        </w:rPr>
      </w:pPr>
      <w:r w:rsidRPr="008534EA">
        <w:rPr>
          <w:rFonts w:ascii="Arial" w:hAnsi="Arial" w:cs="Arial"/>
          <w:b/>
          <w:sz w:val="24"/>
          <w:szCs w:val="24"/>
        </w:rPr>
        <w:t>WHAT IS KNOWN</w:t>
      </w:r>
    </w:p>
    <w:p w14:paraId="1686F95D" w14:textId="77777777" w:rsidR="008534EA" w:rsidRPr="008534EA" w:rsidRDefault="005A2B6A" w:rsidP="008534EA">
      <w:pPr>
        <w:pStyle w:val="ListParagraph"/>
        <w:numPr>
          <w:ilvl w:val="0"/>
          <w:numId w:val="2"/>
        </w:numPr>
        <w:spacing w:line="480" w:lineRule="auto"/>
        <w:rPr>
          <w:rFonts w:ascii="Arial" w:hAnsi="Arial" w:cs="Arial"/>
          <w:sz w:val="24"/>
          <w:szCs w:val="24"/>
        </w:rPr>
      </w:pPr>
      <w:r w:rsidRPr="008534EA">
        <w:rPr>
          <w:rFonts w:ascii="Arial" w:hAnsi="Arial" w:cs="Arial"/>
          <w:sz w:val="24"/>
          <w:szCs w:val="24"/>
        </w:rPr>
        <w:t>Reports of post vaccination</w:t>
      </w:r>
      <w:r w:rsidR="0032390D" w:rsidRPr="008534EA">
        <w:rPr>
          <w:rFonts w:ascii="Arial" w:hAnsi="Arial" w:cs="Arial"/>
          <w:sz w:val="24"/>
          <w:szCs w:val="24"/>
        </w:rPr>
        <w:t xml:space="preserve"> Inflammatory Bowel Disease</w:t>
      </w:r>
      <w:r w:rsidRPr="008534EA">
        <w:rPr>
          <w:rFonts w:ascii="Arial" w:hAnsi="Arial" w:cs="Arial"/>
          <w:sz w:val="24"/>
          <w:szCs w:val="24"/>
        </w:rPr>
        <w:t xml:space="preserve"> </w:t>
      </w:r>
      <w:r w:rsidR="0032390D" w:rsidRPr="008534EA">
        <w:rPr>
          <w:rFonts w:ascii="Arial" w:hAnsi="Arial" w:cs="Arial"/>
          <w:sz w:val="24"/>
          <w:szCs w:val="24"/>
        </w:rPr>
        <w:t>(</w:t>
      </w:r>
      <w:r w:rsidRPr="008534EA">
        <w:rPr>
          <w:rFonts w:ascii="Arial" w:hAnsi="Arial" w:cs="Arial"/>
          <w:sz w:val="24"/>
          <w:szCs w:val="24"/>
        </w:rPr>
        <w:t>IBD</w:t>
      </w:r>
      <w:r w:rsidR="0032390D" w:rsidRPr="008534EA">
        <w:rPr>
          <w:rFonts w:ascii="Arial" w:hAnsi="Arial" w:cs="Arial"/>
          <w:sz w:val="24"/>
          <w:szCs w:val="24"/>
        </w:rPr>
        <w:t>)</w:t>
      </w:r>
      <w:r w:rsidRPr="008534EA">
        <w:rPr>
          <w:rFonts w:ascii="Arial" w:hAnsi="Arial" w:cs="Arial"/>
          <w:sz w:val="24"/>
          <w:szCs w:val="24"/>
        </w:rPr>
        <w:t xml:space="preserve"> flares may add to va</w:t>
      </w:r>
      <w:r w:rsidR="008534EA" w:rsidRPr="008534EA">
        <w:rPr>
          <w:rFonts w:ascii="Arial" w:hAnsi="Arial" w:cs="Arial"/>
          <w:sz w:val="24"/>
          <w:szCs w:val="24"/>
        </w:rPr>
        <w:t>ccine hesitancy in IBD patients.</w:t>
      </w:r>
    </w:p>
    <w:p w14:paraId="68EAAF11" w14:textId="7BAAC96A" w:rsidR="00531420" w:rsidRPr="008534EA" w:rsidRDefault="008534EA" w:rsidP="008534EA">
      <w:pPr>
        <w:pStyle w:val="ListParagraph"/>
        <w:numPr>
          <w:ilvl w:val="0"/>
          <w:numId w:val="2"/>
        </w:numPr>
        <w:spacing w:line="480" w:lineRule="auto"/>
        <w:rPr>
          <w:rFonts w:ascii="Arial" w:hAnsi="Arial" w:cs="Arial"/>
          <w:sz w:val="24"/>
          <w:szCs w:val="24"/>
        </w:rPr>
      </w:pPr>
      <w:r w:rsidRPr="008534EA">
        <w:rPr>
          <w:rFonts w:ascii="Arial" w:hAnsi="Arial" w:cs="Arial"/>
          <w:sz w:val="24"/>
          <w:szCs w:val="24"/>
        </w:rPr>
        <w:t>T</w:t>
      </w:r>
      <w:r w:rsidR="005A2B6A" w:rsidRPr="008534EA">
        <w:rPr>
          <w:rFonts w:ascii="Arial" w:hAnsi="Arial" w:cs="Arial"/>
          <w:sz w:val="24"/>
          <w:szCs w:val="24"/>
        </w:rPr>
        <w:t xml:space="preserve">here is as yet no definitive study to demonstrate that such flares are not more common </w:t>
      </w:r>
      <w:r w:rsidR="003B6908" w:rsidRPr="008534EA">
        <w:rPr>
          <w:rFonts w:ascii="Arial" w:hAnsi="Arial" w:cs="Arial"/>
          <w:sz w:val="24"/>
          <w:szCs w:val="24"/>
        </w:rPr>
        <w:t xml:space="preserve">post vaccination </w:t>
      </w:r>
      <w:r w:rsidR="005A2B6A" w:rsidRPr="008534EA">
        <w:rPr>
          <w:rFonts w:ascii="Arial" w:hAnsi="Arial" w:cs="Arial"/>
          <w:sz w:val="24"/>
          <w:szCs w:val="24"/>
        </w:rPr>
        <w:t>than would be expected by chance.</w:t>
      </w:r>
    </w:p>
    <w:p w14:paraId="437EC5BC" w14:textId="77777777" w:rsidR="008534EA" w:rsidRDefault="008534EA" w:rsidP="00EA1826">
      <w:pPr>
        <w:spacing w:line="480" w:lineRule="auto"/>
        <w:rPr>
          <w:rFonts w:ascii="Arial" w:hAnsi="Arial" w:cs="Arial"/>
          <w:b/>
          <w:sz w:val="24"/>
          <w:szCs w:val="24"/>
        </w:rPr>
      </w:pPr>
      <w:r w:rsidRPr="008534EA">
        <w:rPr>
          <w:rFonts w:ascii="Arial" w:hAnsi="Arial" w:cs="Arial"/>
          <w:b/>
          <w:sz w:val="24"/>
          <w:szCs w:val="24"/>
        </w:rPr>
        <w:t>WHAT IS NEW HERE</w:t>
      </w:r>
    </w:p>
    <w:p w14:paraId="654C2A8B" w14:textId="1CC0D8A2" w:rsidR="005A2B6A" w:rsidRPr="008534EA" w:rsidRDefault="005A2B6A" w:rsidP="008534EA">
      <w:pPr>
        <w:pStyle w:val="ListParagraph"/>
        <w:numPr>
          <w:ilvl w:val="0"/>
          <w:numId w:val="1"/>
        </w:numPr>
        <w:spacing w:line="480" w:lineRule="auto"/>
        <w:rPr>
          <w:rFonts w:ascii="Arial" w:hAnsi="Arial" w:cs="Arial"/>
          <w:b/>
          <w:color w:val="000000" w:themeColor="text1"/>
          <w:spacing w:val="-7"/>
          <w:sz w:val="24"/>
          <w:szCs w:val="24"/>
        </w:rPr>
      </w:pPr>
      <w:r w:rsidRPr="008534EA">
        <w:rPr>
          <w:rFonts w:ascii="Arial" w:hAnsi="Arial" w:cs="Arial"/>
          <w:sz w:val="24"/>
          <w:szCs w:val="24"/>
        </w:rPr>
        <w:t xml:space="preserve">Vaccination against </w:t>
      </w:r>
      <w:r w:rsidR="0025665E">
        <w:rPr>
          <w:rFonts w:ascii="Arial" w:hAnsi="Arial" w:cs="Arial"/>
          <w:sz w:val="24"/>
          <w:szCs w:val="24"/>
        </w:rPr>
        <w:t>COVID</w:t>
      </w:r>
      <w:r w:rsidRPr="008534EA">
        <w:rPr>
          <w:rFonts w:ascii="Arial" w:hAnsi="Arial" w:cs="Arial"/>
          <w:sz w:val="24"/>
          <w:szCs w:val="24"/>
        </w:rPr>
        <w:t xml:space="preserve">-19 with either vectored DNA or mRNA vaccines </w:t>
      </w:r>
      <w:r w:rsidR="0025665E">
        <w:rPr>
          <w:rFonts w:ascii="Arial" w:hAnsi="Arial" w:cs="Arial"/>
          <w:sz w:val="24"/>
          <w:szCs w:val="24"/>
        </w:rPr>
        <w:t>wa</w:t>
      </w:r>
      <w:r w:rsidR="008534EA" w:rsidRPr="008534EA">
        <w:rPr>
          <w:rFonts w:ascii="Arial" w:hAnsi="Arial" w:cs="Arial"/>
          <w:sz w:val="24"/>
          <w:szCs w:val="24"/>
        </w:rPr>
        <w:t>s</w:t>
      </w:r>
      <w:r w:rsidRPr="008534EA">
        <w:rPr>
          <w:rFonts w:ascii="Arial" w:hAnsi="Arial" w:cs="Arial"/>
          <w:sz w:val="24"/>
          <w:szCs w:val="24"/>
        </w:rPr>
        <w:t xml:space="preserve"> not associated with a </w:t>
      </w:r>
      <w:r w:rsidR="007D0A64" w:rsidRPr="008534EA">
        <w:rPr>
          <w:rFonts w:ascii="Arial" w:hAnsi="Arial" w:cs="Arial"/>
          <w:sz w:val="24"/>
          <w:szCs w:val="24"/>
        </w:rPr>
        <w:t>short-term</w:t>
      </w:r>
      <w:r w:rsidRPr="008534EA">
        <w:rPr>
          <w:rFonts w:ascii="Arial" w:hAnsi="Arial" w:cs="Arial"/>
          <w:sz w:val="24"/>
          <w:szCs w:val="24"/>
        </w:rPr>
        <w:t xml:space="preserve"> increase in IBD flares.</w:t>
      </w:r>
      <w:r w:rsidRPr="008534EA">
        <w:rPr>
          <w:rFonts w:ascii="Arial" w:hAnsi="Arial" w:cs="Arial"/>
          <w:b/>
          <w:color w:val="000000" w:themeColor="text1"/>
          <w:spacing w:val="-7"/>
          <w:sz w:val="24"/>
          <w:szCs w:val="24"/>
        </w:rPr>
        <w:t xml:space="preserve"> </w:t>
      </w:r>
    </w:p>
    <w:p w14:paraId="525FF017" w14:textId="1085A6AE" w:rsidR="00B65E90" w:rsidRPr="008534EA" w:rsidRDefault="008534EA" w:rsidP="008534EA">
      <w:pPr>
        <w:pStyle w:val="ListParagraph"/>
        <w:numPr>
          <w:ilvl w:val="0"/>
          <w:numId w:val="1"/>
        </w:numPr>
        <w:spacing w:line="480" w:lineRule="auto"/>
        <w:rPr>
          <w:rFonts w:ascii="Arial" w:hAnsi="Arial" w:cs="Arial"/>
          <w:color w:val="000000" w:themeColor="text1"/>
          <w:spacing w:val="-7"/>
          <w:sz w:val="24"/>
          <w:szCs w:val="24"/>
        </w:rPr>
      </w:pPr>
      <w:r w:rsidRPr="008534EA">
        <w:rPr>
          <w:rFonts w:ascii="Arial" w:hAnsi="Arial" w:cs="Arial"/>
          <w:color w:val="000000" w:themeColor="text1"/>
          <w:spacing w:val="-7"/>
          <w:sz w:val="24"/>
          <w:szCs w:val="24"/>
        </w:rPr>
        <w:t>P</w:t>
      </w:r>
      <w:r w:rsidR="00557F78" w:rsidRPr="008534EA">
        <w:rPr>
          <w:rFonts w:ascii="Arial" w:hAnsi="Arial" w:cs="Arial"/>
          <w:color w:val="000000" w:themeColor="text1"/>
          <w:spacing w:val="-7"/>
          <w:sz w:val="24"/>
          <w:szCs w:val="24"/>
        </w:rPr>
        <w:t>rescribing clinicians and</w:t>
      </w:r>
      <w:r w:rsidR="005A2B6A" w:rsidRPr="008534EA">
        <w:rPr>
          <w:rFonts w:ascii="Arial" w:hAnsi="Arial" w:cs="Arial"/>
          <w:color w:val="000000" w:themeColor="text1"/>
          <w:spacing w:val="-7"/>
          <w:sz w:val="24"/>
          <w:szCs w:val="24"/>
        </w:rPr>
        <w:t xml:space="preserve"> vaccine hesitant patients </w:t>
      </w:r>
      <w:r w:rsidRPr="008534EA">
        <w:rPr>
          <w:rFonts w:ascii="Arial" w:hAnsi="Arial" w:cs="Arial"/>
          <w:color w:val="000000" w:themeColor="text1"/>
          <w:spacing w:val="-7"/>
          <w:sz w:val="24"/>
          <w:szCs w:val="24"/>
        </w:rPr>
        <w:t xml:space="preserve">should be reassured </w:t>
      </w:r>
      <w:r w:rsidR="005A2B6A" w:rsidRPr="008534EA">
        <w:rPr>
          <w:rFonts w:ascii="Arial" w:hAnsi="Arial" w:cs="Arial"/>
          <w:color w:val="000000" w:themeColor="text1"/>
          <w:spacing w:val="-7"/>
          <w:sz w:val="24"/>
          <w:szCs w:val="24"/>
        </w:rPr>
        <w:t xml:space="preserve">that </w:t>
      </w:r>
      <w:r w:rsidR="0025665E">
        <w:rPr>
          <w:rFonts w:ascii="Arial" w:hAnsi="Arial" w:cs="Arial"/>
          <w:color w:val="000000" w:themeColor="text1"/>
          <w:spacing w:val="-7"/>
          <w:sz w:val="24"/>
          <w:szCs w:val="24"/>
        </w:rPr>
        <w:t>COVID</w:t>
      </w:r>
      <w:r w:rsidR="003B6908" w:rsidRPr="008534EA">
        <w:rPr>
          <w:rFonts w:ascii="Arial" w:hAnsi="Arial" w:cs="Arial"/>
          <w:color w:val="000000" w:themeColor="text1"/>
          <w:spacing w:val="-7"/>
          <w:sz w:val="24"/>
          <w:szCs w:val="24"/>
        </w:rPr>
        <w:t>-19</w:t>
      </w:r>
      <w:r w:rsidR="005A2B6A" w:rsidRPr="008534EA">
        <w:rPr>
          <w:rFonts w:ascii="Arial" w:hAnsi="Arial" w:cs="Arial"/>
          <w:color w:val="000000" w:themeColor="text1"/>
          <w:spacing w:val="-7"/>
          <w:sz w:val="24"/>
          <w:szCs w:val="24"/>
        </w:rPr>
        <w:t xml:space="preserve"> vaccination does not precipitate IBD flares.</w:t>
      </w:r>
    </w:p>
    <w:p w14:paraId="55F2EB29" w14:textId="77777777" w:rsidR="00531420" w:rsidRPr="00EA1826" w:rsidRDefault="00531420" w:rsidP="00EA1826">
      <w:pPr>
        <w:spacing w:line="480" w:lineRule="auto"/>
        <w:rPr>
          <w:rFonts w:ascii="Arial" w:hAnsi="Arial" w:cs="Arial"/>
          <w:b/>
          <w:color w:val="000000" w:themeColor="text1"/>
          <w:spacing w:val="-7"/>
          <w:sz w:val="24"/>
          <w:szCs w:val="24"/>
        </w:rPr>
      </w:pPr>
      <w:r w:rsidRPr="00EA1826">
        <w:rPr>
          <w:rFonts w:ascii="Arial" w:hAnsi="Arial" w:cs="Arial"/>
          <w:b/>
          <w:color w:val="000000" w:themeColor="text1"/>
          <w:spacing w:val="-7"/>
          <w:sz w:val="24"/>
          <w:szCs w:val="24"/>
        </w:rPr>
        <w:br w:type="page"/>
      </w:r>
    </w:p>
    <w:p w14:paraId="1AB1A6FE" w14:textId="341D85DF" w:rsidR="00B31584" w:rsidRPr="00021272" w:rsidRDefault="00B31584" w:rsidP="000736FB">
      <w:pPr>
        <w:spacing w:line="480" w:lineRule="auto"/>
        <w:rPr>
          <w:rFonts w:ascii="Arial" w:hAnsi="Arial" w:cs="Arial"/>
          <w:b/>
          <w:sz w:val="24"/>
          <w:szCs w:val="24"/>
        </w:rPr>
      </w:pPr>
      <w:r w:rsidRPr="00021272">
        <w:rPr>
          <w:rFonts w:ascii="Arial" w:hAnsi="Arial" w:cs="Arial"/>
          <w:b/>
          <w:sz w:val="24"/>
          <w:szCs w:val="24"/>
        </w:rPr>
        <w:lastRenderedPageBreak/>
        <w:t>Introduction</w:t>
      </w:r>
    </w:p>
    <w:p w14:paraId="42A57191" w14:textId="77777777" w:rsidR="00B31584" w:rsidRPr="00021272" w:rsidRDefault="00B31584" w:rsidP="000736FB">
      <w:pPr>
        <w:spacing w:line="480" w:lineRule="auto"/>
        <w:rPr>
          <w:rFonts w:ascii="Arial" w:hAnsi="Arial" w:cs="Arial"/>
          <w:sz w:val="24"/>
          <w:szCs w:val="24"/>
        </w:rPr>
      </w:pPr>
    </w:p>
    <w:p w14:paraId="1F5CAA67" w14:textId="72582518" w:rsidR="0097064A" w:rsidRPr="00021272" w:rsidRDefault="00001255" w:rsidP="000736FB">
      <w:pPr>
        <w:spacing w:line="480" w:lineRule="auto"/>
        <w:rPr>
          <w:rFonts w:ascii="Arial" w:hAnsi="Arial" w:cs="Arial"/>
          <w:sz w:val="24"/>
          <w:szCs w:val="24"/>
        </w:rPr>
      </w:pPr>
      <w:r w:rsidRPr="00021272">
        <w:rPr>
          <w:rFonts w:ascii="Arial" w:hAnsi="Arial" w:cs="Arial"/>
          <w:sz w:val="24"/>
          <w:szCs w:val="24"/>
        </w:rPr>
        <w:t>It has been recogni</w:t>
      </w:r>
      <w:r w:rsidR="0025665E">
        <w:rPr>
          <w:rFonts w:ascii="Arial" w:hAnsi="Arial" w:cs="Arial"/>
          <w:sz w:val="24"/>
          <w:szCs w:val="24"/>
        </w:rPr>
        <w:t>z</w:t>
      </w:r>
      <w:r w:rsidRPr="00021272">
        <w:rPr>
          <w:rFonts w:ascii="Arial" w:hAnsi="Arial" w:cs="Arial"/>
          <w:sz w:val="24"/>
          <w:szCs w:val="24"/>
        </w:rPr>
        <w:t>ed for some years that patients with IBD receiving immunosuppressive medication should be advised to receive vaccination against a number of infections</w:t>
      </w:r>
      <w:r w:rsidR="003B6908">
        <w:rPr>
          <w:rFonts w:ascii="Arial" w:hAnsi="Arial" w:cs="Arial"/>
          <w:sz w:val="24"/>
          <w:szCs w:val="24"/>
        </w:rPr>
        <w:t xml:space="preserve"> </w:t>
      </w:r>
      <w:r w:rsidR="002F7550"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{"citationItems":[{"id":"ITEM-1","itemData":{"DOI":"10.1097/00054725-200409000-00028","ISSN":"1078-0998","PMID":"15472534","abstract":"During the past 2 decades, medical therapy for Crohn's disease (CD) and ulcerative colitis (UC) has grown to incorporate a variety of immunesuppressing agents. At the same time, basic insights into the aberrant mucosal immune response underlying inflammatory bowel disease (IBD) have expanded dramatically. The interplay of host susceptibility to infection and the safety and efficacy of immunization for vaccine-preventable diseases has been explored in other immune-mediated disease states but only rarely in IBD. The purpose of this review is to formulate best-practice recommendations for immunization in children and adults with IBD by considering the effects of the IBD disease state and its treatments on both the safety and efficacy of immunization. To do so, we first considered the routine recommendations for immunization of children, adults and distinct populations at increased risk for vaccine-preventable disease. Because it was rarely possible to examine direct data on safety and efficacy of immunization in IBD populations, we relied to a large extent upon extrapolation from similar populations and from knowledge of basic mechanisms. The literature suggests that efficacy of immunization may be diminished in some patients whose immune status is compromised by immune suppression. However, except for live agent vaccines, most immunizations may be safely administered to patients with IBD even when immune compromised. Conversely, protection against vaccine-preventable illness may be of even greater benefit to those at risk for morbid or lethal complications of infections because of an immune compromised state. We conclude that for most patients with IBD, recommendations for immunization do not deviate from recommended schedules for the general population.","author":[{"dropping-particle":"","family":"Sands","given":"Bruce E","non-dropping-particle":"","parse-names":false,"suffix":""},{"dropping-particle":"","family":"Cuffari","given":"Carmen","non-dropping-particle":"","parse-names":false,"suffix":""},{"dropping-particle":"","family":"Katz","given":"Jeffry","non-dropping-particle":"","parse-names":false,"suffix":""},{"dropping-particle":"","family":"Kugathasan","given":"Subra","non-dropping-particle":"","parse-names":false,"suffix":""},{"dropping-particle":"","family":"Onken","given":"Jane","non-dropping-particle":"","parse-names":false,"suffix":""},{"dropping-particle":"","family":"Vitek","given":"Charles","non-dropping-particle":"","parse-names":false,"suffix":""},{"dropping-particle":"","family":"Orenstein","given":"Walter","non-dropping-particle":"","parse-names":false,"suffix":""}],"container-title":"Inflammatory bowel diseases","id":"ITEM-1","issue":"5","issued":{"date-parts":[["2004","9"]]},"page":"677-92","title":"Guidelines for immunizations in patients with inflammatory bowel disease.","type":"article-journal","volume":"10"},"uris":["http://www.mendeley.com/documents/?uuid=41631dd2-3510-4186-a896-e39944748858"]},{"id":"ITEM-2","itemData":{"ISSN":"00015644","PMID":"20458849","abstract":"In an era of increasing use of immunomodulator (IM) therapy, opportunistic infections have emerged as a pivotal safety issue in patients with inflammatory bowel disease (IBD). Today's challenge to the physician is not only to manage IBD, but also to recognise, prevent and treat common and uncommon infections. The recent European ECCO guidelines on the management and prevention of opportunistic infections in patients with IBD provide clinicians with guidance on the prevention, detection and management of opportunistic infections in patients with IBD. Proposals may appear radical, potentially changing current practice, but we believe that the recommendations will help optimise patient outcomes by reducing morbidity and mortality related to opportunistic infections in patients with IBD. In this ongoing process, prevention is far the first and most important step. Prevention of opportunistic infections relies on recognition of risk factors for infection, the use of primary or secondary chemoprophylaxis, careful monitoring (clinical and laboratory work-up) before and during the use of immunomodulators, vaccination and education of the patient. Special recommendations should also be given to patients before travel. Additionally, this paper discusses how the ECCO guidelines can be implemented in Belgium according to reimbursement legislation. (Acta gastro enterol. belg., 2010, 73, 41-45).","author":[{"dropping-particle":"","family":"Rahier","given":"Jean Françoi","non-dropping-particle":"","parse-names":false,"suffix":""},{"dropping-particle":"","family":"Moreels","given":"T.","non-dropping-particle":"","parse-names":false,"suffix":""},{"dropping-particle":"","family":"Munter","given":"P.","non-dropping-particle":"De","parse-names":false,"suffix":""},{"dropping-particle":"","family":"D'Haens","given":"G.","non-dropping-particle":"","parse-names":false,"suffix":""}],"container-title":"Acta Gastro-Enterologica Belgica","id":"ITEM-2","issue":"1","issued":{"date-parts":[["2010"]]},"page":"41-45","title":"Prevention of opportunistic infections in patients with inflammatory bowel disease and implications of the ECCO consensus in Belgium","type":"article-journal","volume":"73"},"uris":["http://www.mendeley.com/documents/?uuid=6889d972-472f-4728-a6ce-7a4896165dee"]}],"mendeley":{"formattedCitation":"(1,2)","plainTextFormattedCitation":"(1,2)","previouslyFormattedCitation":"(1,2)"},"properties":{"noteIndex":0},"schema":"https://github.com/citation-style-language/schema/raw/master/csl-citation.json"}</w:instrText>
      </w:r>
      <w:r w:rsidR="002F7550" w:rsidRPr="00021272">
        <w:rPr>
          <w:rFonts w:ascii="Arial" w:hAnsi="Arial" w:cs="Arial"/>
          <w:sz w:val="24"/>
          <w:szCs w:val="24"/>
        </w:rPr>
        <w:fldChar w:fldCharType="separate"/>
      </w:r>
      <w:r w:rsidR="0032390D" w:rsidRPr="0032390D">
        <w:rPr>
          <w:rFonts w:ascii="Arial" w:hAnsi="Arial" w:cs="Arial"/>
          <w:noProof/>
          <w:sz w:val="24"/>
          <w:szCs w:val="24"/>
        </w:rPr>
        <w:t>(1,2)</w:t>
      </w:r>
      <w:r w:rsidR="002F7550" w:rsidRPr="00021272">
        <w:rPr>
          <w:rFonts w:ascii="Arial" w:hAnsi="Arial" w:cs="Arial"/>
          <w:sz w:val="24"/>
          <w:szCs w:val="24"/>
        </w:rPr>
        <w:fldChar w:fldCharType="end"/>
      </w:r>
      <w:r w:rsidRPr="00021272">
        <w:rPr>
          <w:rFonts w:ascii="Arial" w:hAnsi="Arial" w:cs="Arial"/>
          <w:sz w:val="24"/>
          <w:szCs w:val="24"/>
        </w:rPr>
        <w:t>. These commonly include influenza and pneumococcus, but there are variations around the world</w:t>
      </w:r>
      <w:r w:rsidR="003B6908">
        <w:rPr>
          <w:rFonts w:ascii="Arial" w:hAnsi="Arial" w:cs="Arial"/>
          <w:sz w:val="24"/>
          <w:szCs w:val="24"/>
        </w:rPr>
        <w:t xml:space="preserve"> </w:t>
      </w:r>
      <w:r w:rsidR="002F7550"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{"citationItems":[{"id":"ITEM-1","itemData":{"DOI":"10.1016/j.jaut.2017.03.011","ISSN":"10959157","PMID":"28381345","abstract":"Background Immunosuppressed patients are at risk of severe viral infections-related complications. National and international vaccination guidelines have been developed to decrease the mortality risk associated with these infections. However, a summary of these guidelines and the value of immunisation in this population is missing. Objectives To summarize specific guidelines regarding vaccination in immunosuppressed patients. Methods We performed a literature search based on last update vaccine guidelines in immunosuppressed adult patients published between 1/1/2005–1/31/2016 in English or French language using PubMed, Cochrane and Embase, as well as relevant medical society websites. Results Of the 389 citations identified, 12 guidelines were selected Three additional guidelines were selected by searching on the websites from medical societies of each specialty. 15 guidelines were included, involving 19 medical societies issued from the US (n = 6), international collaboration (n = 3), UK (n = 2), Canada (n = 1), Australia (n = 1), France (n = 1), and Germany (n = 1). These guidelines provide recommendations on vaccination in asplenic patients (n = 5), cancer patients (n = 4), HIV patients (n = 5), hematopoietic stem cell recipients (n = 4), inflammatory bowel diseases patients (n = 5), psoriasis patients (n = 4), primary immunocompromised patients (n = 3), inflammatory rheumatic diseases patients (n = 6), and solid organ transplant recipients (n = 5). All guidelines recommended pneumococcal and injectable influenza vaccines. Other inactivated vaccines were recommended only in high risk patients. Live vaccines were usually contraindicated in patients under immunosuppressive therapy and/or in HIV patients with a CD4 count under 200/mm3. Conclusion Pneumococcal and injectable influenza are the two essential vaccines recommended in all immunocompromised patients. Other inactivated vaccines are only indicated in high risk patients. Live vaccines are usually contraindicated.","author":[{"dropping-particle":"","family":"Lopez","given":"Anthony","non-dropping-particle":"","parse-names":false,"suffix":""},{"dropping-particle":"","family":"Mariette","given":"Xavier","non-dropping-particle":"","parse-names":false,"suffix":""},{"dropping-particle":"","family":"Bachelez","given":"Hervé","non-dropping-particle":"","parse-names":false,"suffix":""},{"dropping-particle":"","family":"Belot","given":"Alexandre","non-dropping-particle":"","parse-names":false,"suffix":""},{"dropping-particle":"","family":"Bonnotte","given":"Bernard","non-dropping-particle":"","parse-names":false,"suffix":""},{"dropping-particle":"","family":"Hachulla","given":"Eric","non-dropping-particle":"","parse-names":false,"suffix":""},{"dropping-particle":"","family":"Lahfa","given":"Morad","non-dropping-particle":"","parse-names":false,"suffix":""},{"dropping-particle":"","family":"Lortholary","given":"Olivier","non-dropping-particle":"","parse-names":false,"suffix":""},{"dropping-particle":"","family":"Loulergue","given":"Pierre","non-dropping-particle":"","parse-names":false,"suffix":""},{"dropping-particle":"","family":"Paul","given":"Stéphane","non-dropping-particle":"","parse-names":false,"suffix":""},{"dropping-particle":"","family":"Roblin","given":"Xavier","non-dropping-particle":"","parse-names":false,"suffix":""},{"dropping-particle":"","family":"Sibilia","given":"Jean","non-dropping-particle":"","parse-names":false,"suffix":""},{"dropping-particle":"","family":"Blum","given":"Mariela","non-dropping-particle":"","parse-names":false,"suffix":""},{"dropping-particle":"","family":"Danese","given":"Silvio","non-dropping-particle":"","parse-names":false,"suffix":""},{"dropping-particle":"","family":"Bonovas","given":"Stefanos","non-dropping-particle":"","parse-names":false,"suffix":""},{"dropping-particle":"","family":"Peyrin-Biroulet","given":"Laurent","non-dropping-particle":"","parse-names":false,"suffix":""}],"container-title":"Journal of Autoimmunity","id":"ITEM-1","issued":{"date-parts":[["2017"]]},"page":"10-27","title":"Vaccination recommendations for the adult immunosuppressed patient: A systematic review and comprehensive field synopsis","type":"article-journal","volume":"80"},"uris":["http://www.mendeley.com/documents/?uuid=0aa8963d-ae5d-4d1a-a92b-447289aac72c"]}],"mendeley":{"formattedCitation":"(3)","plainTextFormattedCitation":"(3)","previouslyFormattedCitation":"(3)"},"properties":{"noteIndex":0},"schema":"https://github.com/citation-style-language/schema/raw/master/csl-citation.json"}</w:instrText>
      </w:r>
      <w:r w:rsidR="002F7550" w:rsidRPr="00021272">
        <w:rPr>
          <w:rFonts w:ascii="Arial" w:hAnsi="Arial" w:cs="Arial"/>
          <w:sz w:val="24"/>
          <w:szCs w:val="24"/>
        </w:rPr>
        <w:fldChar w:fldCharType="separate"/>
      </w:r>
      <w:r w:rsidR="0032390D" w:rsidRPr="0032390D">
        <w:rPr>
          <w:rFonts w:ascii="Arial" w:hAnsi="Arial" w:cs="Arial"/>
          <w:noProof/>
          <w:sz w:val="24"/>
          <w:szCs w:val="24"/>
        </w:rPr>
        <w:t>(3)</w:t>
      </w:r>
      <w:r w:rsidR="002F7550" w:rsidRPr="00021272">
        <w:rPr>
          <w:rFonts w:ascii="Arial" w:hAnsi="Arial" w:cs="Arial"/>
          <w:sz w:val="24"/>
          <w:szCs w:val="24"/>
        </w:rPr>
        <w:fldChar w:fldCharType="end"/>
      </w:r>
      <w:r w:rsidRPr="00021272">
        <w:rPr>
          <w:rFonts w:ascii="Arial" w:hAnsi="Arial" w:cs="Arial"/>
          <w:sz w:val="24"/>
          <w:szCs w:val="24"/>
        </w:rPr>
        <w:t>.</w:t>
      </w:r>
      <w:r w:rsidR="002F7550" w:rsidRPr="00021272">
        <w:rPr>
          <w:rFonts w:ascii="Arial" w:hAnsi="Arial" w:cs="Arial"/>
          <w:sz w:val="24"/>
          <w:szCs w:val="24"/>
        </w:rPr>
        <w:t xml:space="preserve"> </w:t>
      </w:r>
      <w:r w:rsidR="00431B1A" w:rsidRPr="00021272">
        <w:rPr>
          <w:rFonts w:ascii="Arial" w:hAnsi="Arial" w:cs="Arial"/>
          <w:sz w:val="24"/>
          <w:szCs w:val="24"/>
        </w:rPr>
        <w:t>Despite this the uptake of vaccination has often been suboptimal</w:t>
      </w:r>
      <w:r w:rsidR="003B6908">
        <w:rPr>
          <w:rFonts w:ascii="Arial" w:hAnsi="Arial" w:cs="Arial"/>
          <w:sz w:val="24"/>
          <w:szCs w:val="24"/>
        </w:rPr>
        <w:t xml:space="preserve"> </w:t>
      </w:r>
      <w:r w:rsidR="00431B1A"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10.7861/clinmedicine.11-3-301","ISSN":"1470-2118","PMID":"21902095","author":[{"dropping-particle":"","family":"Hanna","given":"M","non-dropping-particle":"","parse-names":false,"suffix":""},{"dropping-particle":"","family":"Poullis","given":"A","non-dropping-particle":"","parse-names":false,"suffix":""}],"container-title":"Clinical medicine (London, England)","id":"ITEM-1","issue":"3","issued":{"date-parts":[["2011","6"]]},"page":"301","title":"Sub-optimal H1N1 vaccine uptake by immunocompromised inflammatory bowel disease patients.","type":"article-journal","volume":"11"},"uris":["http://www.mendeley.com/documents/?uuid=67297adb-ffdf-425a-8772-2c3b48569b39"]},{"id":"ITEM-2","itemData":{"DOI":"10.1016/j.crohns.2011.12.013","ISSN":"18739946","PMID":"22398092","abstract":"Background: There is no information as to the extent by which Spanish gastroenterologists adhere to Crohn's disease (CD) management guidelines. The objective of this study was to evaluate the degree of adherence of Spanish gastroenterologists to the European Crohn's and Colitis Organisation (ECCO) guidelines and to determine whether differences in adherence exist between gastroenterologists specialized in inflammatory bowel diseases (GSIBDs) and general gastroenterologists (GGs). Methods: This was a prospective, nation-wide, questionnaire-based survey covering aspects related to diagnosis, treatment, follow-up, and safety considered by the physicians in their daily management of CD, as well as demographic traits seen in clinical practice. Results: The overall degree of adherence to guidelines by both GSIBDs and GGs was high. However, the use of imaging techniques in diagnosis, follow-up, and in relapsed patients differed between the two groups. In the diagnosis of perianal disease, GSIBDs used magnetic resonance and surgical exploration under anesthesia more frequently than GGs. In terms of therapeutic choices, the adherence to guidelines was good in both groups. However, GSIBDs showed significantly higher adherence in some areas: thiopurines were used less in refractory cases and methotrexate was used more commonly in corticoid-dependent, azathioprine-intolerant patients, and in patients under biological treatment. Request for infection studies and vaccinations at diagnosis or prior to treatment was more common among GSIBDs. Conclusions: Guideline adherence among Spanish gastroenterologists is high. However, there are significant differences between IBD-specialized (more adherent in general) and non-specialized gastroenterologists. © 2012 European Crohn's and Colitis Organisation.","author":[{"dropping-particle":"","family":"Hinojosa","given":"J.","non-dropping-particle":"","parse-names":false,"suffix":""},{"dropping-particle":"","family":"Gisbert","given":"J. P.","non-dropping-particle":"","parse-names":false,"suffix":""},{"dropping-particle":"","family":"Gomollón","given":"F.","non-dropping-particle":"","parse-names":false,"suffix":""},{"dropping-particle":"","family":"López San Román","given":"A.","non-dropping-particle":"","parse-names":false,"suffix":""}],"container-title":"Journal of Crohn's and Colitis","id":"ITEM-2","issue":"7","issued":{"date-parts":[["2012"]]},"page":"763-770","publisher":"European Crohn's and Colitis Organisation","title":"Adherence of gastroenterologists to European Crohn's and Colitis Organisation Consensus on Crohn's disease: A real-life survey in Spain","type":"article-journal","volume":"6"},"uris":["http://www.mendeley.com/documents/?uuid=701486bf-caf8-4b9c-bc5d-936a84705791"]},{"id":"ITEM-3","itemData":{"ISSN":"15547914","abstract":"Patients with inflammatory bowel disease (IBD) are at an increased risk for vaccine-preventable illnesses, such as pneumococcal pneumonia and influenza. We hypothesized that a patient-directed educational program would increase vaccination rates of patients with IBD. We developed a written educational form that was given to all patients over a 15-month period. The form included information about the importance of vaccination and asked patients about their vaccination status. If patients indicated that they were not vaccinated, they were offered a vaccination at the time of their visit. For influenza, the vaccination rates during 3 seasons were compared. For pneumococcal pneumonia, the vaccination rates during a 6-month period before the introduction of the educational program and the rates during the 15-month period after implementation of the intervention were compared. Our form increased the percentage of patients who reported having an influenza vaccination (23% vs 47%; P&lt;.001) and the percentage of patients who reported having a pneumococcal pneumonia vaccination (21% vs 32%; P&lt;.001). We concluded that a simple written educational form designed to assess vaccination status and enable providers to offer same-day influenza and pneumococcal pneumonia vaccinations resulted in a significant increase in influenza and pneumococcal pneumonia vaccination rates among patients in an IBD specialty clinic.","author":[{"dropping-particle":"","family":"Reich","given":"Jason S.","non-dropping-particle":"","parse-names":false,"suffix":""},{"dropping-particle":"","family":"Miller","given":"Hannah L.","non-dropping-particle":"","parse-names":false,"suffix":""},{"dropping-particle":"","family":"Wasan","given":"Sharmeel K.","non-dropping-particle":"","parse-names":false,"suffix":""},{"dropping-particle":"","family":"Noronha","given":"Ansu","non-dropping-particle":"","parse-names":false,"suffix":""},{"dropping-particle":"","family":"Ardagna","given":"Eileen","non-dropping-particle":"","parse-names":false,"suffix":""},{"dropping-particle":"","family":"Sullivan","given":"Kathleen","non-dropping-particle":"","parse-names":false,"suffix":""},{"dropping-particle":"","family":"Jacobson","given":"Brian","non-dropping-particle":"","parse-names":false,"suffix":""},{"dropping-particle":"","family":"Farraye","given":"Francis A.","non-dropping-particle":"","parse-names":false,"suffix":""}],"container-title":"Gastroenterology and Hepatology","id":"ITEM-3","issue":"6","issued":{"date-parts":[["2015"]]},"page":"396-401","title":"Influenza and pneumococcal vaccination rates in patients with inflammatory bowel disease","type":"article-journal","volume":"11"},"uris":["http://www.mendeley.com/documents/?uuid=fc2c81ef-d78e-4af2-afce-6b2a626ac840"]},{"id":"ITEM-4","itemData":{"DOI":"10.1097/01.MIB.0000437737.68841.87","ISBN":"8586542555","ISSN":"1536-4844","PMID":"24374881","abstract":"BACKGROUND Immunosuppressive agents used to treat inflammatory bowel disease (IBD) can increase the risk for infections, several of which are preventable through vaccination. Our study aimed to describe vaccine utilization by immunosuppression status, examine reasons for vaccine refusal, and identify characteristics associated with lack of influenza vaccination in patients with IBD. METHODS We administered an online survey between February 2012 and April 2012 to an internet-based cohort of patients with IBD in the Crohn's and Colitis Foundation of America Partners program. RESULTS During this time, 958 individuals completed the survey. The median age was 45, 72.8% were female, and 62.0% had Crohn's disease. Self-reported vaccination rates were low. Those on immunosuppression (n = 514) were more likely to be counseled to avoid live vaccines (P &lt; 0.01). However, counseling rates were low (3.5%-19.1% for various live vaccines). Among the 776 individuals who received the influenza vaccine, maintaining health (74.1%), importance of prevention (66.1%), and provider recommendation (38%) were the most frequently cited motivations. Factors associated with lack of influenza vaccine included lower education level (P = 0.01), younger age (P = 0.02), and no chronic immunosuppression use (P &lt; 0.01). Five hundred seventy (59.5%) individuals thought that patients were responsible for keeping track of their vaccines, whereas 428 (44.7%) placed responsibility on their gastroenterologist and 595 (62.1%) on their primary care physician. CONCLUSIONS Vaccine utilization remains suboptimal in patients with IBD. Educational interventions may increase vaccination rates by clarifying misconceptions. Gastroenterologists can play a more active role in health care maintenance in patients with IBD by counseling patients on which vaccines to receive or avoid.","author":[{"dropping-particle":"","family":"Wasan","given":"Sharmeel K.","non-dropping-particle":"","parse-names":false,"suffix":""},{"dropping-particle":"","family":"Calderwood","given":"Audrey H.","non-dropping-particle":"","parse-names":false,"suffix":""},{"dropping-particle":"","family":"Long","given":"Millie D.","non-dropping-particle":"","parse-names":false,"suffix":""},{"dropping-particle":"","family":"Kappelman","given":"Michael D.","non-dropping-particle":"","parse-names":false,"suffix":""},{"dropping-particle":"","family":"Sandler","given":"Robert S.","non-dropping-particle":"","parse-names":false,"suffix":""},{"dropping-particle":"","family":"Farraye","given":"Francis A.","non-dropping-particle":"","parse-names":false,"suffix":""}],"container-title":"Inflammatory bowel diseases","id":"ITEM-4","issue":"2","issued":{"date-parts":[["2014","2"]]},"page":"246-50","title":"Immunization rates and vaccine beliefs among patients with inflammatory bowel disease: an opportunity for improvement.","type":"article-journal","volume":"20"},"uris":["http://www.mendeley.com/documents/?uuid=26bb1b9e-db7e-499e-9a37-c3e4b56e9871"]}],"mendeley":{"formattedCitation":"(4–7)","plainTextFormattedCitation":"(4–7)","previouslyFormattedCitation":"(4–7)"},"properties":{"noteIndex":0},"schema":"https://github.com/citation-style-language/schema/raw/master/csl-citation.json"}</w:instrText>
      </w:r>
      <w:r w:rsidR="00431B1A" w:rsidRPr="00021272">
        <w:rPr>
          <w:rFonts w:ascii="Arial" w:hAnsi="Arial" w:cs="Arial"/>
          <w:sz w:val="24"/>
          <w:szCs w:val="24"/>
        </w:rPr>
        <w:fldChar w:fldCharType="separate"/>
      </w:r>
      <w:r w:rsidR="0032390D" w:rsidRPr="0032390D">
        <w:rPr>
          <w:rFonts w:ascii="Arial" w:hAnsi="Arial" w:cs="Arial"/>
          <w:noProof/>
          <w:sz w:val="24"/>
          <w:szCs w:val="24"/>
        </w:rPr>
        <w:t>(4–7)</w:t>
      </w:r>
      <w:r w:rsidR="00431B1A" w:rsidRPr="00021272">
        <w:rPr>
          <w:rFonts w:ascii="Arial" w:hAnsi="Arial" w:cs="Arial"/>
          <w:sz w:val="24"/>
          <w:szCs w:val="24"/>
        </w:rPr>
        <w:fldChar w:fldCharType="end"/>
      </w:r>
      <w:r w:rsidR="00431B1A" w:rsidRPr="00021272">
        <w:rPr>
          <w:rFonts w:ascii="Arial" w:hAnsi="Arial" w:cs="Arial"/>
          <w:sz w:val="24"/>
          <w:szCs w:val="24"/>
        </w:rPr>
        <w:t>.</w:t>
      </w:r>
      <w:r w:rsidR="00DE0A9E">
        <w:rPr>
          <w:rFonts w:ascii="Arial" w:hAnsi="Arial" w:cs="Arial"/>
          <w:sz w:val="24"/>
          <w:szCs w:val="24"/>
        </w:rPr>
        <w:t xml:space="preserve">  With rates of vaccination at 60-80% being reported</w:t>
      </w:r>
      <w:r w:rsidR="00431B1A" w:rsidRPr="00021272">
        <w:rPr>
          <w:rFonts w:ascii="Arial" w:hAnsi="Arial" w:cs="Arial"/>
          <w:sz w:val="24"/>
          <w:szCs w:val="24"/>
        </w:rPr>
        <w:t xml:space="preserve"> </w:t>
      </w:r>
      <w:r w:rsidR="00DE0A9E">
        <w:rPr>
          <w:rFonts w:ascii="Arial" w:hAnsi="Arial" w:cs="Arial"/>
          <w:sz w:val="24"/>
          <w:szCs w:val="24"/>
        </w:rPr>
        <w:t>seasonal flu vaccine is relatively well accepted, but one UK hospital reported only 32.5% vaccinated during the H1N1 pandemic of 2009</w:t>
      </w:r>
      <w:r w:rsidR="003B6908">
        <w:rPr>
          <w:rFonts w:ascii="Arial" w:hAnsi="Arial" w:cs="Arial"/>
          <w:sz w:val="24"/>
          <w:szCs w:val="24"/>
        </w:rPr>
        <w:t xml:space="preserve"> </w:t>
      </w:r>
      <w:r w:rsidR="00DE0A9E">
        <w:rPr>
          <w:rFonts w:ascii="Arial" w:hAnsi="Arial" w:cs="Arial"/>
          <w:sz w:val="24"/>
          <w:szCs w:val="24"/>
        </w:rPr>
        <w:fldChar w:fldCharType="begin" w:fldLock="1"/>
      </w:r>
      <w:r w:rsidR="00EB18A3">
        <w:rPr>
          <w:rFonts w:ascii="Arial" w:hAnsi="Arial" w:cs="Arial"/>
          <w:sz w:val="24"/>
          <w:szCs w:val="24"/>
        </w:rPr>
        <w:instrText>ADDIN CSL_CITATION {"citationItems":[{"id":"ITEM-1","itemData":{"DOI":"10.7861/clinmedicine.11-3-301","ISSN":"1470-2118","PMID":"21902095","author":[{"dropping-particle":"","family":"Hanna","given":"M","non-dropping-particle":"","parse-names":false,"suffix":""},{"dropping-particle":"","family":"Poullis","given":"A","non-dropping-particle":"","parse-names":false,"suffix":""}],"container-title":"Clinical medicine (London, England)","id":"ITEM-1","issue":"3","issued":{"date-parts":[["2011","6"]]},"page":"301","title":"Sub-optimal H1N1 vaccine uptake by immunocompromised inflammatory bowel disease patients.","type":"article-journal","volume":"11"},"uris":["http://www.mendeley.com/documents/?uuid=67297adb-ffdf-425a-8772-2c3b48569b39"]}],"mendeley":{"formattedCitation":"(4)","plainTextFormattedCitation":"(4)","previouslyFormattedCitation":"(4)"},"properties":{"noteIndex":0},"schema":"https://github.com/citation-style-language/schema/raw/master/csl-citation.json"}</w:instrText>
      </w:r>
      <w:r w:rsidR="00DE0A9E">
        <w:rPr>
          <w:rFonts w:ascii="Arial" w:hAnsi="Arial" w:cs="Arial"/>
          <w:sz w:val="24"/>
          <w:szCs w:val="24"/>
        </w:rPr>
        <w:fldChar w:fldCharType="separate"/>
      </w:r>
      <w:r w:rsidR="0032390D" w:rsidRPr="0032390D">
        <w:rPr>
          <w:rFonts w:ascii="Arial" w:hAnsi="Arial" w:cs="Arial"/>
          <w:noProof/>
          <w:sz w:val="24"/>
          <w:szCs w:val="24"/>
        </w:rPr>
        <w:t>(4)</w:t>
      </w:r>
      <w:r w:rsidR="00DE0A9E">
        <w:rPr>
          <w:rFonts w:ascii="Arial" w:hAnsi="Arial" w:cs="Arial"/>
          <w:sz w:val="24"/>
          <w:szCs w:val="24"/>
        </w:rPr>
        <w:fldChar w:fldCharType="end"/>
      </w:r>
      <w:r w:rsidR="00DE0A9E">
        <w:rPr>
          <w:rFonts w:ascii="Arial" w:hAnsi="Arial" w:cs="Arial"/>
          <w:sz w:val="24"/>
          <w:szCs w:val="24"/>
        </w:rPr>
        <w:t>, and less than 50% have been recorded as receiving Hepatitis B or pneumococcal vaccines as recommended</w:t>
      </w:r>
      <w:r w:rsidR="003B6908">
        <w:rPr>
          <w:rFonts w:ascii="Arial" w:hAnsi="Arial" w:cs="Arial"/>
          <w:sz w:val="24"/>
          <w:szCs w:val="24"/>
        </w:rPr>
        <w:t xml:space="preserve"> </w:t>
      </w:r>
      <w:r w:rsidR="00DE0A9E">
        <w:rPr>
          <w:rFonts w:ascii="Arial" w:hAnsi="Arial" w:cs="Arial"/>
          <w:sz w:val="24"/>
          <w:szCs w:val="24"/>
        </w:rPr>
        <w:fldChar w:fldCharType="begin" w:fldLock="1"/>
      </w:r>
      <w:r w:rsidR="00EB18A3">
        <w:rPr>
          <w:rFonts w:ascii="Arial" w:hAnsi="Arial" w:cs="Arial"/>
          <w:sz w:val="24"/>
          <w:szCs w:val="24"/>
        </w:rPr>
        <w:instrText>ADDIN CSL_CITATION {"citationItems":[{"id":"ITEM-1","itemData":{"DOI":"10.1097/01.MIB.0000437737.68841.87","ISBN":"8586542555","ISSN":"1536-4844","PMID":"24374881","abstract":"BACKGROUND Immunosuppressive agents used to treat inflammatory bowel disease (IBD) can increase the risk for infections, several of which are preventable through vaccination. Our study aimed to describe vaccine utilization by immunosuppression status, examine reasons for vaccine refusal, and identify characteristics associated with lack of influenza vaccination in patients with IBD. METHODS We administered an online survey between February 2012 and April 2012 to an internet-based cohort of patients with IBD in the Crohn's and Colitis Foundation of America Partners program. RESULTS During this time, 958 individuals completed the survey. The median age was 45, 72.8% were female, and 62.0% had Crohn's disease. Self-reported vaccination rates were low. Those on immunosuppression (n = 514) were more likely to be counseled to avoid live vaccines (P &lt; 0.01). However, counseling rates were low (3.5%-19.1% for various live vaccines). Among the 776 individuals who received the influenza vaccine, maintaining health (74.1%), importance of prevention (66.1%), and provider recommendation (38%) were the most frequently cited motivations. Factors associated with lack of influenza vaccine included lower education level (P = 0.01), younger age (P = 0.02), and no chronic immunosuppression use (P &lt; 0.01). Five hundred seventy (59.5%) individuals thought that patients were responsible for keeping track of their vaccines, whereas 428 (44.7%) placed responsibility on their gastroenterologist and 595 (62.1%) on their primary care physician. CONCLUSIONS Vaccine utilization remains suboptimal in patients with IBD. Educational interventions may increase vaccination rates by clarifying misconceptions. Gastroenterologists can play a more active role in health care maintenance in patients with IBD by counseling patients on which vaccines to receive or avoid.","author":[{"dropping-particle":"","family":"Wasan","given":"Sharmeel K.","non-dropping-particle":"","parse-names":false,"suffix":""},{"dropping-particle":"","family":"Calderwood","given":"Audrey H.","non-dropping-particle":"","parse-names":false,"suffix":""},{"dropping-particle":"","family":"Long","given":"Millie D.","non-dropping-particle":"","parse-names":false,"suffix":""},{"dropping-particle":"","family":"Kappelman","given":"Michael D.","non-dropping-particle":"","parse-names":false,"suffix":""},{"dropping-particle":"","family":"Sandler","given":"Robert S.","non-dropping-particle":"","parse-names":false,"suffix":""},{"dropping-particle":"","family":"Farraye","given":"Francis A.","non-dropping-particle":"","parse-names":false,"suffix":""}],"container-title":"Inflammatory bowel diseases","id":"ITEM-1","issue":"2","issued":{"date-parts":[["2014","2"]]},"page":"246-50","title":"Immunization rates and vaccine beliefs among patients with inflammatory bowel disease: an opportunity for improvement.","type":"article-journal","volume":"20"},"uris":["http://www.mendeley.com/documents/?uuid=26bb1b9e-db7e-499e-9a37-c3e4b56e9871"]}],"mendeley":{"formattedCitation":"(7)","plainTextFormattedCitation":"(7)","previouslyFormattedCitation":"(7)"},"properties":{"noteIndex":0},"schema":"https://github.com/citation-style-language/schema/raw/master/csl-citation.json"}</w:instrText>
      </w:r>
      <w:r w:rsidR="00DE0A9E">
        <w:rPr>
          <w:rFonts w:ascii="Arial" w:hAnsi="Arial" w:cs="Arial"/>
          <w:sz w:val="24"/>
          <w:szCs w:val="24"/>
        </w:rPr>
        <w:fldChar w:fldCharType="separate"/>
      </w:r>
      <w:r w:rsidR="0032390D" w:rsidRPr="0032390D">
        <w:rPr>
          <w:rFonts w:ascii="Arial" w:hAnsi="Arial" w:cs="Arial"/>
          <w:noProof/>
          <w:sz w:val="24"/>
          <w:szCs w:val="24"/>
        </w:rPr>
        <w:t>(7)</w:t>
      </w:r>
      <w:r w:rsidR="00DE0A9E">
        <w:rPr>
          <w:rFonts w:ascii="Arial" w:hAnsi="Arial" w:cs="Arial"/>
          <w:sz w:val="24"/>
          <w:szCs w:val="24"/>
        </w:rPr>
        <w:fldChar w:fldCharType="end"/>
      </w:r>
      <w:r w:rsidR="00DE0A9E">
        <w:rPr>
          <w:rFonts w:ascii="Arial" w:hAnsi="Arial" w:cs="Arial"/>
          <w:sz w:val="24"/>
          <w:szCs w:val="24"/>
        </w:rPr>
        <w:t xml:space="preserve">. </w:t>
      </w:r>
      <w:r w:rsidR="00D450D6" w:rsidRPr="00021272">
        <w:rPr>
          <w:rFonts w:ascii="Arial" w:hAnsi="Arial" w:cs="Arial"/>
          <w:sz w:val="24"/>
          <w:szCs w:val="24"/>
        </w:rPr>
        <w:t>A variety of reasons for this have been proposed and have included worries about safety and the risk of IBD flare</w:t>
      </w:r>
      <w:r w:rsidR="00A628B0">
        <w:rPr>
          <w:rFonts w:ascii="Arial" w:hAnsi="Arial" w:cs="Arial"/>
          <w:sz w:val="24"/>
          <w:szCs w:val="24"/>
        </w:rPr>
        <w:t xml:space="preserve"> demonstrated by surveys of patients</w:t>
      </w:r>
      <w:r w:rsidR="003B6908">
        <w:rPr>
          <w:rFonts w:ascii="Arial" w:hAnsi="Arial" w:cs="Arial"/>
          <w:sz w:val="24"/>
          <w:szCs w:val="24"/>
        </w:rPr>
        <w:t xml:space="preserve"> </w:t>
      </w:r>
      <w:r w:rsidR="00D450D6"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{"citationItems":[{"id":"ITEM-1","itemData":{"DOI":"10.1093/ibd/izab266","ISSN":"1536-4844","PMID":"34849941","abstract":"BACKGROUND Patients with inflammatory bowel disease (IBD) have low vaccination rates for vaccine-preventable diseases. Fear of adverse reactions (AEs) appear to negatively affect vaccination efforts. We aimed to systemically review the risks for AEs following immunization for patients with IBD. METHODS We searched PubMed and Embase until April 15, 2020, for studies evaluating the safety of vaccinations among patients with IBD. The primary outcome was the incidence of systemic and local AEs among vaccinated patients. Secondary outcome was the rate of IBD flare following immunization. We utilized a random effects meta-analysis of proportions using the DerSimonian-Laird approach to estimate the safety of immunizations. RESULTS A total of 13 studies with 2116 patients was included in our analysis after fulfilling our inclusion criteria. Seven studies examined the influenza vaccine, 4 the pneumococcal vaccine, 1 the recombinant zoster vaccine, and 1 the hepatitis B vaccine. Follow-up of patients was up to 6 months. The majority of AEs were local, with a pooled incidence of 24% (95% CI, 9%-42%) for all vaccines. Systemic AEs were mostly mild, without resulting in hospitalizations or deaths, with a pooled incidence of 16% (95% CI, 6%-29%) for all vaccines. Flare of inflammatory bowel disease after vaccination found with a pooled incidence of 2% (95% CI, 1%-4%) and we include in the analysis data from all immunizations examined. DISCUSSION Our study demonstrated that AEs after vaccination are mainly local or mildly systemic and do not differ significantly from the expected AE after recommended immunizations for the general population. Thus, gastroenterologists should reinforce that vaccines are safe in patients with IBD.","author":[{"dropping-particle":"","family":"Desalermos","given":"Athanasios","non-dropping-particle":"","parse-names":false,"suffix":""},{"dropping-particle":"","family":"Pimienta","given":"Michael","non-dropping-particle":"","parse-names":false,"suffix":""},{"dropping-particle":"","family":"Kalligeros","given":"Markos","non-dropping-particle":"","parse-names":false,"suffix":""},{"dropping-particle":"","family":"Shehadeh","given":"Fadi","non-dropping-particle":"","parse-names":false,"suffix":""},{"dropping-particle":"","family":"Diamantopoulos","given":"Leonidas","non-dropping-particle":"","parse-names":false,"suffix":""},{"dropping-particle":"","family":"Karamanolis","given":"George","non-dropping-particle":"","parse-names":false,"suffix":""},{"dropping-particle":"","family":"Caldera","given":"Freddy","non-dropping-particle":"","parse-names":false,"suffix":""},{"dropping-particle":"","family":"Farraye","given":"Francis A.","non-dropping-particle":"","parse-names":false,"suffix":""}],"container-title":"Inflammatory bowel diseases","id":"ITEM-1","issued":{"date-parts":[["2021","11","24"]]},"title":"Safety of Immunizations for the Adult Patient With Inflammatory Bowel Disease-A Systematic Review and Meta-analysis.","type":"article-journal"},"uris":["http://www.mendeley.com/documents/?uuid=7b45e91b-eff4-47fa-ba74-857016005794"]}],"mendeley":{"formattedCitation":"(8)","plainTextFormattedCitation":"(8)","previouslyFormattedCitation":"(8)"},"properties":{"noteIndex":0},"schema":"https://github.com/citation-style-language/schema/raw/master/csl-citation.json"}</w:instrText>
      </w:r>
      <w:r w:rsidR="00D450D6" w:rsidRPr="00021272">
        <w:rPr>
          <w:rFonts w:ascii="Arial" w:hAnsi="Arial" w:cs="Arial"/>
          <w:sz w:val="24"/>
          <w:szCs w:val="24"/>
        </w:rPr>
        <w:fldChar w:fldCharType="separate"/>
      </w:r>
      <w:r w:rsidR="0032390D" w:rsidRPr="0032390D">
        <w:rPr>
          <w:rFonts w:ascii="Arial" w:hAnsi="Arial" w:cs="Arial"/>
          <w:noProof/>
          <w:sz w:val="24"/>
          <w:szCs w:val="24"/>
        </w:rPr>
        <w:t>(8)</w:t>
      </w:r>
      <w:r w:rsidR="00D450D6" w:rsidRPr="00021272">
        <w:rPr>
          <w:rFonts w:ascii="Arial" w:hAnsi="Arial" w:cs="Arial"/>
          <w:sz w:val="24"/>
          <w:szCs w:val="24"/>
        </w:rPr>
        <w:fldChar w:fldCharType="end"/>
      </w:r>
      <w:r w:rsidR="00D450D6" w:rsidRPr="00021272">
        <w:rPr>
          <w:rFonts w:ascii="Arial" w:hAnsi="Arial" w:cs="Arial"/>
          <w:sz w:val="24"/>
          <w:szCs w:val="24"/>
        </w:rPr>
        <w:t xml:space="preserve">. </w:t>
      </w:r>
      <w:r w:rsidR="00431B1A" w:rsidRPr="00021272">
        <w:rPr>
          <w:rFonts w:ascii="Arial" w:hAnsi="Arial" w:cs="Arial"/>
          <w:sz w:val="24"/>
          <w:szCs w:val="24"/>
        </w:rPr>
        <w:t xml:space="preserve">This has led to interest in the safety of vaccinations in </w:t>
      </w:r>
      <w:r w:rsidR="00123942">
        <w:rPr>
          <w:rFonts w:ascii="Arial" w:hAnsi="Arial" w:cs="Arial"/>
          <w:sz w:val="24"/>
          <w:szCs w:val="24"/>
        </w:rPr>
        <w:t xml:space="preserve">people with </w:t>
      </w:r>
      <w:r w:rsidR="00431B1A" w:rsidRPr="00021272">
        <w:rPr>
          <w:rFonts w:ascii="Arial" w:hAnsi="Arial" w:cs="Arial"/>
          <w:sz w:val="24"/>
          <w:szCs w:val="24"/>
        </w:rPr>
        <w:t>IBD</w:t>
      </w:r>
      <w:r w:rsidR="00123942">
        <w:rPr>
          <w:rFonts w:ascii="Arial" w:hAnsi="Arial" w:cs="Arial"/>
          <w:sz w:val="24"/>
          <w:szCs w:val="24"/>
        </w:rPr>
        <w:t>,</w:t>
      </w:r>
      <w:r w:rsidR="00431B1A" w:rsidRPr="00021272">
        <w:rPr>
          <w:rFonts w:ascii="Arial" w:hAnsi="Arial" w:cs="Arial"/>
          <w:sz w:val="24"/>
          <w:szCs w:val="24"/>
        </w:rPr>
        <w:t xml:space="preserve"> with specific reference to their effect upon </w:t>
      </w:r>
      <w:r w:rsidR="003B6908">
        <w:rPr>
          <w:rFonts w:ascii="Arial" w:hAnsi="Arial" w:cs="Arial"/>
          <w:sz w:val="24"/>
          <w:szCs w:val="24"/>
        </w:rPr>
        <w:t xml:space="preserve">disease activity </w:t>
      </w:r>
      <w:r w:rsidR="00431B1A"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{"citationItems":[{"id":"ITEM-1","itemData":{"DOI":"10.1136/gut.2010.233981","ISSN":"1468-3288","PMID":"21270121","abstract":"BACKGROUND Safety data are lacking on influenza vaccination in general and on A (H1N1)v vaccination in particular in patients with inflammatory bowel disease (IBD) receiving immmunomodulators and/or biological therapy. AIMS AND METHODS The authors conducted a multicentre observational cohort study to evaluate symptoms associated with influenza H1N1 adjuvanted (Pandemrix, Focetria, FluvalP) and non-adjuvanted (Celvapan) vaccines and to assess the risk of flare of IBD after vaccination. Patients with stable IBD treated with immunomodulators and/or biological therapy were recruited from November 2009 until March 2010 in 12 European countries. Harvey-Bradshaw Index and Partial Mayo Score were used to assess disease activity before and 4 weeks after vaccination in Crohn's disease (CD) and ulcerative colitis (UC). Vaccination-related events up to 7 days after vaccination were recorded. RESULTS Of 575 patients enrolled (407 CD, 159 UC and nine indeterminate colitis; 53.9% female; mean age 40.3 years, SD 13.9), local and systemic symptoms were reported by 34.6% and 15.5% of patients, respectively. The most common local and systemic reactions were pain in 32.8% and fatigue in 6.1% of subjects. Local symptoms were more common with adjuvanted (39.3%) than non-adjuvanted (3.9%) vaccines (p &lt; 0.0001), whereas rates of systemic symptoms were similar with both types (15.0% vs 18.4%, p = 0.44). Among the adjuvanted group, Pandemrix more often induced local reactions than FluvalP and Focetria (51.2% vs 27.6% and 15.4%, p &lt; 0.0001). Solicited adverse events were not associated with any patient characteristics, specific immunomodulatory treatment, or biological therapy. Four weeks after vaccination, absence of flare was observed in 377 patients with CD (96.7%) and 151 with UC (95.6%). CONCLUSION Influenza A (H1N1)v vaccines are well tolerated in patients with IBD. Non-adjuvanted vaccines are associated with fewer local reactions. The risk of IBD flare is probably not increased after H1N1 vaccination.","author":[{"dropping-particle":"","family":"Rahier","given":"Jean-François","non-dropping-particle":"","parse-names":false,"suffix":""},{"dropping-particle":"","family":"Papay","given":"Pavol","non-dropping-particle":"","parse-names":false,"suffix":""},{"dropping-particle":"","family":"Salleron","given":"Julia","non-dropping-particle":"","parse-names":false,"suffix":""},{"dropping-particle":"","family":"Sebastian","given":"Shaji","non-dropping-particle":"","parse-names":false,"suffix":""},{"dropping-particle":"","family":"Marzo","given":"Manuela","non-dropping-particle":"","parse-names":false,"suffix":""},{"dropping-particle":"","family":"Peyrin-Biroulet","given":"Laurent","non-dropping-particle":"","parse-names":false,"suffix":""},{"dropping-particle":"","family":"Garcia-Sanchez","given":"Valle","non-dropping-particle":"","parse-names":false,"suffix":""},{"dropping-particle":"","family":"Fries","given":"Walter","non-dropping-particle":"","parse-names":false,"suffix":""},{"dropping-particle":"","family":"Asseldonk","given":"Dirk P.","non-dropping-particle":"van","parse-names":false,"suffix":""},{"dropping-particle":"","family":"Farkas","given":"Klaudia","non-dropping-particle":"","parse-names":false,"suffix":""},{"dropping-particle":"","family":"Boer","given":"Nanne K.","non-dropping-particle":"de","parse-names":false,"suffix":""},{"dropping-particle":"","family":"Sipponen","given":"Taina","non-dropping-particle":"","parse-names":false,"suffix":""},{"dropping-particle":"","family":"Ellul","given":"Pierre","non-dropping-particle":"","parse-names":false,"suffix":""},{"dropping-particle":"","family":"Louis","given":"Edouard","non-dropping-particle":"","parse-names":false,"suffix":""},{"dropping-particle":"","family":"Peake","given":"Simon T. C.","non-dropping-particle":"","parse-names":false,"suffix":""},{"dropping-particle":"","family":"Kopylov","given":"Uri","non-dropping-particle":"","parse-names":false,"suffix":""},{"dropping-particle":"","family":"Maul","given":"Jochen","non-dropping-particle":"","parse-names":false,"suffix":""},{"dropping-particle":"","family":"Makhoul","given":"Badira","non-dropping-particle":"","parse-names":false,"suffix":""},{"dropping-particle":"","family":"Fiorino","given":"Gionata","non-dropping-particle":"","parse-names":false,"suffix":""},{"dropping-particle":"","family":"Yazdanpanah","given":"Yazdan","non-dropping-particle":"","parse-names":false,"suffix":""},{"dropping-particle":"","family":"Chaparro","given":"Maria","non-dropping-particle":"","parse-names":false,"suffix":""},{"dropping-particle":"","family":"European Crohn's and Colitis Organisation (ECCO)","given":"","non-dropping-particle":"","parse-names":false,"suffix":""}],"container-title":"Gut","id":"ITEM-1","issue":"4","issued":{"date-parts":[["2011","4","1"]]},"page":"456-62","title":"H1N1 vaccines in a large observational cohort of patients with inflammatory bowel disease treated with immunomodulators and biological therapy.","type":"article-journal","volume":"60"},"uris":["http://www.mendeley.com/documents/?uuid=42fa4b07-6a72-4472-89c5-93a1f43d1c32"]}],"mendeley":{"formattedCitation":"(9)","plainTextFormattedCitation":"(9)","previouslyFormattedCitation":"(9)"},"properties":{"noteIndex":0},"schema":"https://github.com/citation-style-language/schema/raw/master/csl-citation.json"}</w:instrText>
      </w:r>
      <w:r w:rsidR="00431B1A" w:rsidRPr="00021272">
        <w:rPr>
          <w:rFonts w:ascii="Arial" w:hAnsi="Arial" w:cs="Arial"/>
          <w:sz w:val="24"/>
          <w:szCs w:val="24"/>
        </w:rPr>
        <w:fldChar w:fldCharType="separate"/>
      </w:r>
      <w:r w:rsidR="0032390D" w:rsidRPr="0032390D">
        <w:rPr>
          <w:rFonts w:ascii="Arial" w:hAnsi="Arial" w:cs="Arial"/>
          <w:noProof/>
          <w:sz w:val="24"/>
          <w:szCs w:val="24"/>
        </w:rPr>
        <w:t>(9)</w:t>
      </w:r>
      <w:r w:rsidR="00431B1A" w:rsidRPr="00021272">
        <w:rPr>
          <w:rFonts w:ascii="Arial" w:hAnsi="Arial" w:cs="Arial"/>
          <w:sz w:val="24"/>
          <w:szCs w:val="24"/>
        </w:rPr>
        <w:fldChar w:fldCharType="end"/>
      </w:r>
      <w:r w:rsidR="00431B1A" w:rsidRPr="00021272">
        <w:rPr>
          <w:rFonts w:ascii="Arial" w:hAnsi="Arial" w:cs="Arial"/>
          <w:sz w:val="24"/>
          <w:szCs w:val="24"/>
        </w:rPr>
        <w:t>.</w:t>
      </w:r>
    </w:p>
    <w:p w14:paraId="410206C3" w14:textId="3A93F94A" w:rsidR="00431B1A" w:rsidRPr="00021272" w:rsidRDefault="008E075B" w:rsidP="000736FB">
      <w:pPr>
        <w:spacing w:line="480" w:lineRule="auto"/>
        <w:rPr>
          <w:rFonts w:ascii="Arial" w:hAnsi="Arial" w:cs="Arial"/>
          <w:sz w:val="24"/>
          <w:szCs w:val="24"/>
        </w:rPr>
      </w:pPr>
      <w:r>
        <w:rPr>
          <w:rFonts w:ascii="Arial" w:hAnsi="Arial" w:cs="Arial"/>
          <w:sz w:val="24"/>
          <w:szCs w:val="24"/>
        </w:rPr>
        <w:t xml:space="preserve">The </w:t>
      </w:r>
      <w:r w:rsidR="006E7AB1" w:rsidRPr="00021272">
        <w:rPr>
          <w:rFonts w:ascii="Arial" w:hAnsi="Arial" w:cs="Arial"/>
          <w:sz w:val="24"/>
          <w:szCs w:val="24"/>
        </w:rPr>
        <w:t xml:space="preserve">recognition </w:t>
      </w:r>
      <w:r w:rsidR="00AC486C" w:rsidRPr="00021272">
        <w:rPr>
          <w:rFonts w:ascii="Arial" w:hAnsi="Arial" w:cs="Arial"/>
          <w:sz w:val="24"/>
          <w:szCs w:val="24"/>
        </w:rPr>
        <w:t>that</w:t>
      </w:r>
      <w:r w:rsidR="006E7AB1" w:rsidRPr="00021272">
        <w:rPr>
          <w:rFonts w:ascii="Arial" w:hAnsi="Arial" w:cs="Arial"/>
          <w:sz w:val="24"/>
          <w:szCs w:val="24"/>
        </w:rPr>
        <w:t xml:space="preserve"> </w:t>
      </w:r>
      <w:r w:rsidR="00E03001" w:rsidRPr="00021272">
        <w:rPr>
          <w:rFonts w:ascii="Arial" w:hAnsi="Arial" w:cs="Arial"/>
          <w:sz w:val="24"/>
          <w:szCs w:val="24"/>
        </w:rPr>
        <w:t xml:space="preserve">some </w:t>
      </w:r>
      <w:r w:rsidR="006E7AB1" w:rsidRPr="00021272">
        <w:rPr>
          <w:rFonts w:ascii="Arial" w:hAnsi="Arial" w:cs="Arial"/>
          <w:sz w:val="24"/>
          <w:szCs w:val="24"/>
        </w:rPr>
        <w:t>IBD patients</w:t>
      </w:r>
      <w:r>
        <w:rPr>
          <w:rFonts w:ascii="Arial" w:hAnsi="Arial" w:cs="Arial"/>
          <w:sz w:val="24"/>
          <w:szCs w:val="24"/>
        </w:rPr>
        <w:t>,</w:t>
      </w:r>
      <w:r w:rsidR="006E7AB1" w:rsidRPr="00021272">
        <w:rPr>
          <w:rFonts w:ascii="Arial" w:hAnsi="Arial" w:cs="Arial"/>
          <w:sz w:val="24"/>
          <w:szCs w:val="24"/>
        </w:rPr>
        <w:t xml:space="preserve"> </w:t>
      </w:r>
      <w:r w:rsidR="00E03001" w:rsidRPr="00021272">
        <w:rPr>
          <w:rFonts w:ascii="Arial" w:hAnsi="Arial" w:cs="Arial"/>
          <w:sz w:val="24"/>
          <w:szCs w:val="24"/>
        </w:rPr>
        <w:t>including those treated with steroids for active flares</w:t>
      </w:r>
      <w:r>
        <w:rPr>
          <w:rFonts w:ascii="Arial" w:hAnsi="Arial" w:cs="Arial"/>
          <w:sz w:val="24"/>
          <w:szCs w:val="24"/>
        </w:rPr>
        <w:t>,</w:t>
      </w:r>
      <w:r w:rsidR="00E03001" w:rsidRPr="00021272">
        <w:rPr>
          <w:rFonts w:ascii="Arial" w:hAnsi="Arial" w:cs="Arial"/>
          <w:sz w:val="24"/>
          <w:szCs w:val="24"/>
        </w:rPr>
        <w:t xml:space="preserve"> </w:t>
      </w:r>
      <w:r w:rsidR="00AC486C" w:rsidRPr="00021272">
        <w:rPr>
          <w:rFonts w:ascii="Arial" w:hAnsi="Arial" w:cs="Arial"/>
          <w:sz w:val="24"/>
          <w:szCs w:val="24"/>
        </w:rPr>
        <w:t>are</w:t>
      </w:r>
      <w:r w:rsidR="00E03001" w:rsidRPr="00021272">
        <w:rPr>
          <w:rFonts w:ascii="Arial" w:hAnsi="Arial" w:cs="Arial"/>
          <w:sz w:val="24"/>
          <w:szCs w:val="24"/>
        </w:rPr>
        <w:t xml:space="preserve"> at</w:t>
      </w:r>
      <w:r w:rsidR="006E7AB1" w:rsidRPr="00021272">
        <w:rPr>
          <w:rFonts w:ascii="Arial" w:hAnsi="Arial" w:cs="Arial"/>
          <w:sz w:val="24"/>
          <w:szCs w:val="24"/>
        </w:rPr>
        <w:t xml:space="preserve"> particular risk from</w:t>
      </w:r>
      <w:r>
        <w:rPr>
          <w:rFonts w:ascii="Arial" w:hAnsi="Arial" w:cs="Arial"/>
          <w:sz w:val="24"/>
          <w:szCs w:val="24"/>
        </w:rPr>
        <w:t xml:space="preserve"> </w:t>
      </w:r>
      <w:r w:rsidR="0025665E">
        <w:rPr>
          <w:rFonts w:ascii="Arial" w:hAnsi="Arial" w:cs="Arial"/>
          <w:sz w:val="24"/>
          <w:szCs w:val="24"/>
        </w:rPr>
        <w:t>COVID</w:t>
      </w:r>
      <w:r>
        <w:rPr>
          <w:rFonts w:ascii="Arial" w:hAnsi="Arial" w:cs="Arial"/>
          <w:sz w:val="24"/>
          <w:szCs w:val="24"/>
        </w:rPr>
        <w:t>-19</w:t>
      </w:r>
      <w:r w:rsidR="00AC486C" w:rsidRPr="00021272">
        <w:rPr>
          <w:rFonts w:ascii="Arial" w:hAnsi="Arial" w:cs="Arial"/>
          <w:sz w:val="24"/>
          <w:szCs w:val="24"/>
        </w:rPr>
        <w:t>,</w:t>
      </w:r>
      <w:r w:rsidR="006E7AB1" w:rsidRPr="00021272">
        <w:rPr>
          <w:rFonts w:ascii="Arial" w:hAnsi="Arial" w:cs="Arial"/>
          <w:sz w:val="24"/>
          <w:szCs w:val="24"/>
        </w:rPr>
        <w:t xml:space="preserve"> caused </w:t>
      </w:r>
      <w:r w:rsidR="00E03001" w:rsidRPr="00021272">
        <w:rPr>
          <w:rFonts w:ascii="Arial" w:hAnsi="Arial" w:cs="Arial"/>
          <w:sz w:val="24"/>
          <w:szCs w:val="24"/>
        </w:rPr>
        <w:t>inevitable concern</w:t>
      </w:r>
      <w:r w:rsidR="003B6908">
        <w:rPr>
          <w:rFonts w:ascii="Arial" w:hAnsi="Arial" w:cs="Arial"/>
          <w:sz w:val="24"/>
          <w:szCs w:val="24"/>
        </w:rPr>
        <w:t xml:space="preserve"> </w:t>
      </w:r>
      <w:r w:rsidR="00E03001"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{"citationItems":[{"id":"ITEM-1","itemData":{"DOI":"10.1093/ibd/izac064","ISSN":"1078-0998","abstract":"BACKGROUND: Data from the first wave of the coronavirus disease 2019 (COVID-19) pandemic suggested that patients with inflammatory bowel disease (IBD) are not at higher risk of being infected by severe acute respiratory syndrome coronavirus 2 (SARS-CoV-2) than the general population and that a worse prognosis is not associated with immunomodulatory drugs, with the possible exception of systemic steroids. METHODS: This retrospective, observational study included consecutive IBD patients from the Sicilian Network for Inflammatory Bowel Disease (SN-IBD) cohort who had a SARS-CoV-2 infection diagnosis (polymerase chain reaction-confirmed presence of the viral genome in a nasopharyngeal swab) during the second COVID-19 pandemic wave (September 2020 to December 2020). Data regarding demographics, IBD features and treatments, and comorbidities were analyzed in correlation with COVID-19 clinical outcomes. RESULTS: Data on 122 patients (mean age, 43.9 ± 16.7 years; males, 50.0%; Crohn's disease, 62.3%; ulcerative colitis, 37.7%) were reported. Twelve patients developed COVID-19-related pneumonia (9.8%), 4 (3.3%) required respiratory assistance (nonmechanical ventilation or orotracheal intubation), and 4 died (case fatality rate, 3.3%). In a multivariable analysis, age (odds ratio [OR], 1.034; 95% CI, 1.006-1.147; P = .032) and severe IBD activity (OR, 13.465; 95% CI, 1.104-164.182; P = .042) were independent predictors of COVID-19-related pneumonia, while severe IBD activity (OR, 15.359; 95% CI, 1.320-178.677; P = .030) was the only independent predictor of severe COVID-19, a composite endpoint defined as the need for respiratory assistance or death. A trend towards a protective role of tumor necrosis factor α inhibitors on pneumonia development was reported (P = .076). CONCLUSIONS: In this cohort of patients with IBD and SARS-CoV-2 infection, severe IBD activity was the only independent risk factor for severe COVID-19. This retrospective, observational study on patients with inflammatory bowel disease and severe acute respiratory syndrome coronavirus 2 infection showed that severe inflammatory bowel disease activity was the only independent risk factor for severe coronavirus disease 2019. eng","author":[{"dropping-particle":"","family":"Macaluso","given":"Fabio Salvatore","non-dropping-particle":"","parse-names":false,"suffix":""},{"dropping-particle":"","family":"Giuliano","given":"Alessandra","non-dropping-particle":"","parse-names":false,"suffix":""},{"dropping-particle":"","family":"Fries,","given":"Walter","non-dropping-particle":"","parse-names":false,"suffix":""},{"dropping-particle":"","family":"Viola","given":"Anna","non-dropping-particle":"","parse-names":false,"suffix":""},{"dropping-particle":"","family":"Abbruzzese","given":"Alfredo","non-dropping-particle":"","parse-names":false,"suffix":""},{"dropping-particle":"","family":"Cappello","given":"Maria","non-dropping-particle":"","parse-names":false,"suffix":""},{"dropping-particle":"","family":"Giuffrida","given":"Enrica","non-dropping-particle":"","parse-names":false,"suffix":""},{"dropping-particle":"","family":"Carrozza","given":"Lucio","non-dropping-particle":"","parse-names":false,"suffix":""},{"dropping-particle":"","family":"Privitera","given":"Antonino Carlo","non-dropping-particle":"","parse-names":false,"suffix":""},{"dropping-particle":"","family":"Magnano","given":"Antonio","non-dropping-particle":"","parse-names":false,"suffix":""},{"dropping-particle":"","family":"Ferracane","given":"Concetta","non-dropping-particle":"","parse-names":false,"suffix":""},{"dropping-particle":"","family":"Scalisi","given":"Giuseppe","non-dropping-particle":"","parse-names":false,"suffix":""},{"dropping-particle":"","family":"Minissale","given":"Maria Giovanna","non-dropping-particle":"","parse-names":false,"suffix":""},{"dropping-particle":"","family":"Giangreco","given":"Emiliano","non-dropping-particle":"","parse-names":false,"suffix":""},{"dropping-particle":"","family":"Garufi","given":"Serena","non-dropping-particle":"","parse-names":false,"suffix":""},{"dropping-particle":"","family":"Bertolami","given":"Carmelo","non-dropping-particle":"","parse-names":false,"suffix":""},{"dropping-particle":"","family":"Cucinotta","given":"Ugo","non-dropping-particle":"","parse-names":false,"suffix":""},{"dropping-particle":"","family":"Graziano","given":"Francesco","non-dropping-particle":"","parse-names":false,"suffix":""},{"dropping-particle":"","family":"Casà","given":"Angelo","non-dropping-particle":"","parse-names":false,"suffix":""},{"dropping-particle":"","family":"Renna","given":"Sara","non-dropping-particle":"","parse-names":false,"suffix":""},{"dropping-particle":"","family":"Teresi","given":"Giulia","non-dropping-particle":"","parse-names":false,"suffix":""},{"dropping-particle":"","family":"Rizzuto","given":"Giulia","non-dropping-particle":"","parse-names":false,"suffix":""},{"dropping-particle":"","family":"Mannino","given":"Mariella","non-dropping-particle":"","parse-names":false,"suffix":""},{"dropping-particle":"","family":"Maida","given":"Marcello","non-dropping-particle":"","parse-names":false,"suffix":""},{"dropping-particle":"","family":"Orlando","given":"Ambrogio","non-dropping-particle":"","parse-names":false,"suffix":""}],"container-title":"Inflammatory Bowel Diseases","id":"ITEM-1","issue":"April","issued":{"date-parts":[["2022","4","6"]]},"page":"1-5","title":"Severe Activity of Inflammatory Bowel Disease is a Risk Factor for Severe COVID-19","type":"article-journal"},"uris":["http://www.mendeley.com/documents/?uuid=cc711eda-5108-4ef5-86fa-d2051b6f8cad"]},{"id":"ITEM-2","itemData":{"DOI":"10.1053/j.gastro.2020.05.032","ISSN":"15280012","PMID":"32425234","abstract":"Background and Aims: The impact of Coronavirus disease 2019 (COVID-19) on patients with inflammatory bowel disease (IBD) is unknown. We sought to characterize the clinical course of COVID-19 among patients with IBD and evaluate the association among demographics, clinical characteristics, and immunosuppressant treatments on COVID-19 outcomes. Methods: Surveillance Epidemiology of Coronavirus Under Research Exclusion for Inflammatory Bowel Disease (SECURE-IBD) is a large, international registry created to monitor outcomes of patients with IBD with confirmed COVID-19. We calculated age-standardized mortality ratios and used multivariable logistic regression to identify factors associated with severe COVID-19, defined as intensive care unit admission, ventilator use, and/or death. Results: 525 cases from 33 countries were reported (median age 43 years, 53% men). Thirty-seven patients (7%) had severe COVID-19, 161 (31%) were hospitalized, and 16 patients died (3% case fatality rate). Standardized mortality ratios for patients with IBD were 1.8 (95% confidence interval [CI], 0.9–2.6), 1.5 (95% CI, 0.7–2.2), and 1.7 (95% CI, 0.9–2.5) relative to data from China, Italy, and the United States, respectively. Risk factors for severe COVID-19 among patients with IBD included increasing age (adjusted odds ratio [aOR], 1.04; 95% CI, 1.01–1.02), ≥2 comorbidities (aOR, 2.9; 95% CI, 1.1–7.8), systemic corticosteroids (aOR, 6.9; 95% CI, 2.3–20.5), and sulfasalazine or 5-aminosalicylate use (aOR, 3.1; 95% CI, 1.3–7.7). Tumor necrosis factor antagonist treatment was not associated with severe COVID-19 (aOR, 0.9; 95% CI, 0.4–2.2). Conclusions: Increasing age, comorbidities, and corticosteroids are associated with severe COVID-19 among patients with IBD, although a causal relationship cannot be definitively established. Notably, tumor necrosis factor antagonists do not appear to be associated with severe COVID-19.","author":[{"dropping-particle":"","family":"Brenner","given":"Erica J.","non-dropping-particle":"","parse-names":false,"suffix":""},{"dropping-particle":"","family":"Ungaro","given":"Ryan C.","non-dropping-particle":"","parse-names":false,"suffix":""},{"dropping-particle":"","family":"Gearry","given":"Richard B.","non-dropping-particle":"","parse-names":false,"suffix":""},{"dropping-particle":"","family":"Kaplan","given":"Gilaad G.","non-dropping-particle":"","parse-names":false,"suffix":""},{"dropping-particle":"","family":"Kissous-Hunt","given":"Michele","non-dropping-particle":"","parse-names":false,"suffix":""},{"dropping-particle":"","family":"Lewis","given":"James D.","non-dropping-particle":"","parse-names":false,"suffix":""},{"dropping-particle":"","family":"Ng","given":"Siew C.","non-dropping-particle":"","parse-names":false,"suffix":""},{"dropping-particle":"","family":"Rahier","given":"Jean Francois","non-dropping-particle":"","parse-names":false,"suffix":""},{"dropping-particle":"","family":"Reinisch","given":"Walter","non-dropping-particle":"","parse-names":false,"suffix":""},{"dropping-particle":"","family":"Ruemmele","given":"Frank M.","non-dropping-particle":"","parse-names":false,"suffix":""},{"dropping-particle":"","family":"Steinwurz","given":"Flavio","non-dropping-particle":"","parse-names":false,"suffix":""},{"dropping-particle":"","family":"Underwood","given":"Fox E.","non-dropping-particle":"","parse-names":false,"suffix":""},{"dropping-particle":"","family":"Zhang","given":"Xian","non-dropping-particle":"","parse-names":false,"suffix":""},{"dropping-particle":"","family":"Colombel","given":"Jean Frederic","non-dropping-particle":"","parse-names":false,"suffix":""},{"dropping-particle":"","family":"Kappelman","given":"Michael D.","non-dropping-particle":"","parse-names":false,"suffix":""}],"container-title":"Gastroenterology","id":"ITEM-2","issue":"2","issued":{"date-parts":[["2020"]]},"page":"481-491.e3","publisher":"Elsevier, Inc","title":"Corticosteroids, But Not TNF Antagonists, Are Associated With Adverse COVID-19 Outcomes in Patients With Inflammatory Bowel Diseases: Results From an International Registry","type":"article-journal","volume":"159"},"uris":["http://www.mendeley.com/documents/?uuid=8c342ed2-761c-4511-b531-6c308a58a1e4"]}],"mendeley":{"formattedCitation":"(10,11)","plainTextFormattedCitation":"(10,11)","previouslyFormattedCitation":"(10,11)"},"properties":{"noteIndex":0},"schema":"https://github.com/citation-style-language/schema/raw/master/csl-citation.json"}</w:instrText>
      </w:r>
      <w:r w:rsidR="00E03001" w:rsidRPr="00021272">
        <w:rPr>
          <w:rFonts w:ascii="Arial" w:hAnsi="Arial" w:cs="Arial"/>
          <w:sz w:val="24"/>
          <w:szCs w:val="24"/>
          <w:vertAlign w:val="superscript"/>
        </w:rPr>
        <w:fldChar w:fldCharType="separate"/>
      </w:r>
      <w:r w:rsidR="0032390D" w:rsidRPr="0032390D">
        <w:rPr>
          <w:rFonts w:ascii="Arial" w:hAnsi="Arial" w:cs="Arial"/>
          <w:noProof/>
          <w:sz w:val="24"/>
          <w:szCs w:val="24"/>
        </w:rPr>
        <w:t>(10,11)</w:t>
      </w:r>
      <w:r w:rsidR="00E03001" w:rsidRPr="00021272">
        <w:rPr>
          <w:rFonts w:ascii="Arial" w:hAnsi="Arial" w:cs="Arial"/>
          <w:sz w:val="24"/>
          <w:szCs w:val="24"/>
        </w:rPr>
        <w:fldChar w:fldCharType="end"/>
      </w:r>
      <w:r w:rsidR="006E7AB1" w:rsidRPr="00021272">
        <w:rPr>
          <w:rFonts w:ascii="Arial" w:hAnsi="Arial" w:cs="Arial"/>
          <w:sz w:val="24"/>
          <w:szCs w:val="24"/>
        </w:rPr>
        <w:t>. The rapid development of vaccinations offered the prospect of alleviating this risk</w:t>
      </w:r>
      <w:r w:rsidR="00B056E7">
        <w:rPr>
          <w:rFonts w:ascii="Arial" w:hAnsi="Arial" w:cs="Arial"/>
          <w:sz w:val="24"/>
          <w:szCs w:val="24"/>
        </w:rPr>
        <w:t>. However</w:t>
      </w:r>
      <w:r w:rsidR="006E7AB1" w:rsidRPr="00021272">
        <w:rPr>
          <w:rFonts w:ascii="Arial" w:hAnsi="Arial" w:cs="Arial"/>
          <w:sz w:val="24"/>
          <w:szCs w:val="24"/>
        </w:rPr>
        <w:t xml:space="preserve"> given the previous experience of vaccination in IBD it is unsurprising that </w:t>
      </w:r>
      <w:r w:rsidR="00485661" w:rsidRPr="00021272">
        <w:rPr>
          <w:rFonts w:ascii="Arial" w:hAnsi="Arial" w:cs="Arial"/>
          <w:sz w:val="24"/>
          <w:szCs w:val="24"/>
        </w:rPr>
        <w:t>though most patient</w:t>
      </w:r>
      <w:r w:rsidR="00FA765A">
        <w:rPr>
          <w:rFonts w:ascii="Arial" w:hAnsi="Arial" w:cs="Arial"/>
          <w:sz w:val="24"/>
          <w:szCs w:val="24"/>
        </w:rPr>
        <w:t>s</w:t>
      </w:r>
      <w:r w:rsidR="00485661" w:rsidRPr="00021272">
        <w:rPr>
          <w:rFonts w:ascii="Arial" w:hAnsi="Arial" w:cs="Arial"/>
          <w:sz w:val="24"/>
          <w:szCs w:val="24"/>
        </w:rPr>
        <w:t xml:space="preserve"> were willing to accept vaccination </w:t>
      </w:r>
      <w:r w:rsidR="006E7AB1" w:rsidRPr="00021272">
        <w:rPr>
          <w:rFonts w:ascii="Arial" w:hAnsi="Arial" w:cs="Arial"/>
          <w:sz w:val="24"/>
          <w:szCs w:val="24"/>
        </w:rPr>
        <w:t xml:space="preserve">it also caused concerns about safety and efficacy </w:t>
      </w:r>
      <w:r w:rsidR="00485661" w:rsidRPr="00021272">
        <w:rPr>
          <w:rFonts w:ascii="Arial" w:hAnsi="Arial" w:cs="Arial"/>
          <w:sz w:val="24"/>
          <w:szCs w:val="24"/>
        </w:rPr>
        <w:t>among others</w:t>
      </w:r>
      <w:r w:rsidR="003B6908">
        <w:rPr>
          <w:rFonts w:ascii="Arial" w:hAnsi="Arial" w:cs="Arial"/>
          <w:sz w:val="24"/>
          <w:szCs w:val="24"/>
        </w:rPr>
        <w:t xml:space="preserve"> </w:t>
      </w:r>
      <w:r w:rsidR="00485661"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{"citationItems":[{"id":"ITEM-1","itemData":{"DOI":"10.3389/fpubh.2021.731578","ISSN":"22962565","PMID":"34708016","abstract":"Objective: To explore the attitudes and views of patients with inflammatory bowel disease (IBD) on COVID-19 vaccination. Methods: An online interview questionnaire concerning the acceptance or hesitancy toward vaccination for COVID-19 was designed and 543 patients with IBD in China were invited to complete the structured self-administered anonymous questionnaire. Results: Of all the participants, 50.7% were indecisive about the vaccination and only 16.0% opted for it. Vaccination hesitancy was significantly associated with women and those without medical or biomedical backgrounds. The acceptance of COVID-19 vaccination was higher in participants with no history of immune-modifying therapies, especially in those without immunosuppressants. Participants who considered vaccination critically important to self-health or the health of others were more likely to choose immediately or later vaccination. Safety and potential adverse reactions, personal hypoimmunity, efficacy, and reliability of COVID-19 vaccines were the top three concerns of the participants that were independent of their willingness for vaccination. Conclusions: This study discloses the presence of hesitancy for COVID-19 vaccination in patients with IBD. Further studies are warranted to evaluate the efficacy and safety of COVID-19 vaccines in IBD individuals, with a specific focus on the impact of immune-modifying therapies. Health education and recommendation from authoritative sources may facilitate COVID-19 vaccination efforts.","author":[{"dropping-particle":"","family":"Wu","given":"Xia","non-dropping-particle":"","parse-names":false,"suffix":""},{"dropping-particle":"","family":"Lin","given":"Jue","non-dropping-particle":"","parse-names":false,"suffix":""},{"dropping-particle":"","family":"Buch","given":"Heena","non-dropping-particle":"","parse-names":false,"suffix":""},{"dropping-particle":"","family":"Ding","given":"Quchen","non-dropping-particle":"","parse-names":false,"suffix":""},{"dropping-particle":"","family":"Zhang","given":"Faming","non-dropping-particle":"","parse-names":false,"suffix":""},{"dropping-particle":"","family":"Cui","given":"Bota","non-dropping-particle":"","parse-names":false,"suffix":""},{"dropping-particle":"","family":"Ji","given":"Guozhong","non-dropping-particle":"","parse-names":false,"suffix":""}],"container-title":"Frontiers in Public Health","id":"ITEM-1","issue":"October","issued":{"date-parts":[["2021"]]},"page":"1-10","title":"The COVID-19 Vaccination Hesitancy Among the People With Inflammatory Bowel Disease in China: A Questionnaire Study","type":"article-journal","volume":"9"},"uris":["http://www.mendeley.com/documents/?uuid=149c59e3-854b-47ad-b83b-9d3e9b395eec"]},{"id":"ITEM-2","itemData":{"DOI":"10.3390/healthcare10010006","ISSN":"22279032","abstract":"Coronavirus disease 2019 (COVID-19) vaccination is recommended for patients with inflammatory bowel disease (IBD). However, the acceptance of COVID-19 vaccines has not been sufficiently evaluated in patients with IBD. We aimed to assess the acceptance and hesitancy of COVID-19 vaccination and related factors among these patients. A retrospective cohort study using a self-reported questionnaire was performed among patients with IBD between 22 June 2021 and 30 August 2021. Of the 187 participants, 10.2% (n = 19) were hesitant to be vaccinated. Patients in the vaccine-hesitant group were younger (p = 0.009) and had a shorter disease duration (p = 0.020). Vedolizumab was prescribed more frequently (p = 0.024) and immunomodulators were less frequently used (p = 0.027) in this group. Multivariable logistic regression analysis identified age (odds ratio [OR]: 0.96, 95% confidence interval [CI]: 0.92–1.00, p = 0.042) and the use of immunomodulators (OR: 0.08, 95% CI: 0.01–0.66, p = 0.019) as independent significant factors for vaccine hesitancy. The COVID-19 vaccine hesitancy rate in patients with IBD in Japan was 10% in this study. The Japanese COVID-19 vaccination campaign appears to be successful. The risk of COVID-19 among patients with IBD requires adequate measures to ensure that vaccines are accepted by vaccine-hesitant patients. These findings may be helpful in achieving adequate vaccination rates.","author":[{"dropping-particle":"","family":"Nishida","given":"Yu","non-dropping-particle":"","parse-names":false,"suffix":""},{"dropping-particle":"","family":"Hosomi","given":"Shuhei","non-dropping-particle":"","parse-names":false,"suffix":""},{"dropping-particle":"","family":"Kobayashi","given":"Yumie","non-dropping-particle":"","parse-names":false,"suffix":""},{"dropping-particle":"","family":"Nakata","given":"Rieko","non-dropping-particle":"","parse-names":false,"suffix":""},{"dropping-particle":"","family":"Ominami","given":"Masaki","non-dropping-particle":"","parse-names":false,"suffix":""},{"dropping-particle":"","family":"Nadatani","given":"Yuji","non-dropping-particle":"","parse-names":false,"suffix":""},{"dropping-particle":"","family":"Fukunaga","given":"Shusei","non-dropping-particle":"","parse-names":false,"suffix":""},{"dropping-particle":"","family":"Otani","given":"Koji","non-dropping-particle":"","parse-names":false,"suffix":""},{"dropping-particle":"","family":"Tanaka","given":"Fumio","non-dropping-particle":"","parse-names":false,"suffix":""},{"dropping-particle":"","family":"Nagami","given":"Yasuaki","non-dropping-particle":"","parse-names":false,"suffix":""},{"dropping-particle":"","family":"Taira","given":"Koichi","non-dropping-particle":"","parse-names":false,"suffix":""},{"dropping-particle":"","family":"Kamata","given":"Noriko","non-dropping-particle":"","parse-names":false,"suffix":""},{"dropping-particle":"","family":"Fujiwara","given":"Yasuhiro","non-dropping-particle":"","parse-names":false,"suffix":""}],"container-title":"Healthcare (Switzerland)","id":"ITEM-2","issue":"1","issued":{"date-parts":[["2022"]]},"title":"Acceptance of covid-19 vaccines among patients with inflammatory bowel disease in Japan","type":"article-journal","volume":"10"},"uris":["http://www.mendeley.com/documents/?uuid=d5bb3f26-a8e9-4807-becd-2a3f5fab750e"]},{"id":"ITEM-3","itemData":{"DOI":"10.1111/imj.15722","ISSN":"1444-0903","abstract":"The majority of the Australian public are willing to have a Coronavirus disease 2019 (COVID-19) vaccination. It is unclear whether people with inflammatory bowel disease (IBD) have the same attitude towards COVID-19 vaccination. A survey was performed to assess the attitude of patients with IBD towards COVID-19 vaccination in South Aus- tralia. Two-thirds of surveyed patients with IBD were willing to accept COVID-19 vac- cine. Females and younger patients were less likely to accept the COVID-19 vaccine, as were those who had never had a discussion around vaccines.","author":[{"dropping-particle":"","family":"Duong","given":"Tuan A","non-dropping-particle":"","parse-names":false,"suffix":""},{"dropping-particle":"V","family":"Bryant","given":"Robert","non-dropping-particle":"","parse-names":false,"suffix":""},{"dropping-particle":"","family":"Andrews","given":"Jane M","non-dropping-particle":"","parse-names":false,"suffix":""},{"dropping-particle":"","family":"Lynch","given":"Kate D","non-dropping-particle":"","parse-names":false,"suffix":""}],"container-title":"Internal Medicine Journal","id":"ITEM-3","issued":{"date-parts":[["2022","5","18"]]},"page":"1-5","title":"Attitudes towards COVID-19 vaccination in patients with inflammatory bowel disease.","type":"article-journal"},"uris":["http://www.mendeley.com/documents/?uuid=cf6c3ca7-ca5e-441e-84e4-6699e071d188"]}],"mendeley":{"formattedCitation":"(12–14)","plainTextFormattedCitation":"(12–14)","previouslyFormattedCitation":"(12–14)"},"properties":{"noteIndex":0},"schema":"https://github.com/citation-style-language/schema/raw/master/csl-citation.json"}</w:instrText>
      </w:r>
      <w:r w:rsidR="00485661" w:rsidRPr="00021272">
        <w:rPr>
          <w:rFonts w:ascii="Arial" w:hAnsi="Arial" w:cs="Arial"/>
          <w:sz w:val="24"/>
          <w:szCs w:val="24"/>
        </w:rPr>
        <w:fldChar w:fldCharType="separate"/>
      </w:r>
      <w:r w:rsidR="0032390D" w:rsidRPr="0032390D">
        <w:rPr>
          <w:rFonts w:ascii="Arial" w:hAnsi="Arial" w:cs="Arial"/>
          <w:noProof/>
          <w:sz w:val="24"/>
          <w:szCs w:val="24"/>
        </w:rPr>
        <w:t>(12–14)</w:t>
      </w:r>
      <w:r w:rsidR="00485661" w:rsidRPr="00021272">
        <w:rPr>
          <w:rFonts w:ascii="Arial" w:hAnsi="Arial" w:cs="Arial"/>
          <w:sz w:val="24"/>
          <w:szCs w:val="24"/>
        </w:rPr>
        <w:fldChar w:fldCharType="end"/>
      </w:r>
      <w:r w:rsidR="006E7AB1" w:rsidRPr="00021272">
        <w:rPr>
          <w:rFonts w:ascii="Arial" w:hAnsi="Arial" w:cs="Arial"/>
          <w:sz w:val="24"/>
          <w:szCs w:val="24"/>
        </w:rPr>
        <w:t>.</w:t>
      </w:r>
      <w:r w:rsidR="00D450D6" w:rsidRPr="00021272">
        <w:rPr>
          <w:rFonts w:ascii="Arial" w:hAnsi="Arial" w:cs="Arial"/>
          <w:sz w:val="24"/>
          <w:szCs w:val="24"/>
        </w:rPr>
        <w:t xml:space="preserve"> These may have been added to by limited reports of possible exacerbation of IBD post vaccination</w:t>
      </w:r>
      <w:r w:rsidR="003B6908">
        <w:rPr>
          <w:rFonts w:ascii="Arial" w:hAnsi="Arial" w:cs="Arial"/>
          <w:sz w:val="24"/>
          <w:szCs w:val="24"/>
        </w:rPr>
        <w:t xml:space="preserve"> </w:t>
      </w:r>
      <w:r w:rsidR="00650F8A"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10.14309/ajg.0000000000001416","ISBN":"0000000000","ISSN":"0002-9270","PMID":"34406140","author":[{"dropping-particle":"","family":"Sangha","given":"Maheep","non-dropping-particle":"","parse-names":false,"suffix":""},{"dropping-particle":"","family":"Roitman","given":"Isabel","non-dropping-particle":"","parse-names":false,"suffix":""},{"dropping-particle":"","family":"Sultan","given":"Keith","non-dropping-particle":"","parse-names":false,"suffix":""},{"dropping-particle":"","family":"Swaminath","given":"Arun","non-dropping-particle":"","parse-names":false,"suffix":""}],"container-title":"American Journal of Gastroenterology","id":"ITEM-1","issue":"12","issued":{"date-parts":[["2021","12","1"]]},"page":"2480-2481","title":"SARS-CoV-2 Immunization in Patients With Inflammatory Bowel Disease May Result in Disease Flares","type":"article-journal","volume":"116"},"uris":["http://www.mendeley.com/documents/?uuid=0bcf24b7-9000-42a3-a545-7d3ee6f02440"]},{"id":"ITEM-2","itemData":{"DOI":"10.3390/jcm11102765","ISSN":"2077-0383","PMID":"35628892","abstract":"BACKGROUND Pediatric inflammatory multisystem syndrome temporally associated with COVID-19/multi-system inflammatory syndrome in children (PIMS-TS/MIS-C) is a potentially life-threatening complication of SARS-CoV-2 infection in children. Gastrointestinal manifestations are prominent in children with PIMS-TS/MIS-C. Thus, it is challenging to differentiate this condition from an exacerbation of inflammatory bowel disease (IBD). We aimed to present the clinical characteristics, and diagnostic and therapeutic difficulties in patients with overlapping IBD and PIMS-TS/MIS-C; Methods: We reviewed medical records of children hospitalized due to overlapping IBD and PIMS-TS/MIS-C in a single pediatric hospital from December 2020 to December 2021; Results: There were four children with overlapping IBD flare and PIMS-TS/MIS-C. In three cases, IBD recognition preceded PIMS-TS/MIS-C onset and PIMS-TS/MIS-C occurred during anti-inflammatory therapy of IBD. All children presented with gastrointestinal symptoms at PIMS-TS/MIS-C onset. All patients received IVIG and ASA treatment. In three children there was a need to use steroids to resolve PIMS-TS/MIS-C symptoms. One child was vaccinated against COVID-19; Conclusions: SARS-CoV-2 infection may affect patients with underlying inflammatory conditions such as IBD, inducing systemic symptoms of PIMS-TS/MIS-C, and probably triggering IBD after PIMS-TS/MIS-C. The resemblance of clinical presentations is the main source of diagnostic and therapeutic challenges in PIMS-TS/MIS-C in patients with underlying IBD.","author":[{"dropping-particle":"","family":"Krawiec","given":"Paulina","non-dropping-particle":"","parse-names":false,"suffix":""},{"dropping-particle":"","family":"Opoka-Winiarska","given":"Violetta","non-dropping-particle":"","parse-names":false,"suffix":""},{"dropping-particle":"","family":"Pac-Kożuchowska","given":"Elżbieta","non-dropping-particle":"","parse-names":false,"suffix":""}],"container-title":"Journal of clinical medicine","id":"ITEM-2","issue":"10","issued":{"date-parts":[["2022","5","13"]]},"title":"Is It Inflammatory Bowel Disease Flare or Pediatric Inflammatory Multisystem Syndrome Temporally Associated with COVID-19?","type":"article-journal","volume":"11"},"uris":["http://www.mendeley.com/documents/?uuid=f74c954e-1006-4ba3-854b-5d9ec8512a7c"]}],"mendeley":{"formattedCitation":"(15,16)","plainTextFormattedCitation":"(15,16)","previouslyFormattedCitation":"(15,16)"},"properties":{"noteIndex":0},"schema":"https://github.com/citation-style-language/schema/raw/master/csl-citation.json"}</w:instrText>
      </w:r>
      <w:r w:rsidR="00650F8A" w:rsidRPr="00021272">
        <w:rPr>
          <w:rFonts w:ascii="Arial" w:hAnsi="Arial" w:cs="Arial"/>
          <w:sz w:val="24"/>
          <w:szCs w:val="24"/>
        </w:rPr>
        <w:fldChar w:fldCharType="separate"/>
      </w:r>
      <w:r w:rsidR="0032390D" w:rsidRPr="0032390D">
        <w:rPr>
          <w:rFonts w:ascii="Arial" w:hAnsi="Arial" w:cs="Arial"/>
          <w:noProof/>
          <w:sz w:val="24"/>
          <w:szCs w:val="24"/>
        </w:rPr>
        <w:t>(15,16)</w:t>
      </w:r>
      <w:r w:rsidR="00650F8A" w:rsidRPr="00021272">
        <w:rPr>
          <w:rFonts w:ascii="Arial" w:hAnsi="Arial" w:cs="Arial"/>
          <w:sz w:val="24"/>
          <w:szCs w:val="24"/>
        </w:rPr>
        <w:fldChar w:fldCharType="end"/>
      </w:r>
      <w:r w:rsidR="00650F8A" w:rsidRPr="00021272">
        <w:rPr>
          <w:rFonts w:ascii="Arial" w:hAnsi="Arial" w:cs="Arial"/>
          <w:sz w:val="24"/>
          <w:szCs w:val="24"/>
        </w:rPr>
        <w:t>.</w:t>
      </w:r>
      <w:r w:rsidR="00485661" w:rsidRPr="00021272">
        <w:rPr>
          <w:rFonts w:ascii="Arial" w:hAnsi="Arial" w:cs="Arial"/>
          <w:sz w:val="24"/>
          <w:szCs w:val="24"/>
        </w:rPr>
        <w:t xml:space="preserve"> </w:t>
      </w:r>
    </w:p>
    <w:p w14:paraId="5C1950DB" w14:textId="726EAA15" w:rsidR="00021272" w:rsidRDefault="00485661" w:rsidP="000736FB">
      <w:pPr>
        <w:spacing w:line="480" w:lineRule="auto"/>
        <w:rPr>
          <w:rFonts w:ascii="Arial" w:hAnsi="Arial" w:cs="Arial"/>
          <w:sz w:val="24"/>
          <w:szCs w:val="24"/>
        </w:rPr>
      </w:pPr>
      <w:r w:rsidRPr="00021272">
        <w:rPr>
          <w:rFonts w:ascii="Arial" w:hAnsi="Arial" w:cs="Arial"/>
          <w:sz w:val="24"/>
          <w:szCs w:val="24"/>
        </w:rPr>
        <w:t>A small number of subsequent studies have now shown evidence specifically in IBD of immunogenicity</w:t>
      </w:r>
      <w:r w:rsidR="003B6908">
        <w:rPr>
          <w:rFonts w:ascii="Arial" w:hAnsi="Arial" w:cs="Arial"/>
          <w:sz w:val="24"/>
          <w:szCs w:val="24"/>
        </w:rPr>
        <w:t xml:space="preserve"> </w:t>
      </w:r>
      <w:r w:rsidR="008A0D4A">
        <w:rPr>
          <w:rFonts w:ascii="Arial" w:hAnsi="Arial" w:cs="Arial"/>
          <w:sz w:val="24"/>
          <w:szCs w:val="24"/>
        </w:rPr>
        <w:fldChar w:fldCharType="begin" w:fldLock="1"/>
      </w:r>
      <w:r w:rsidR="00EB18A3">
        <w:rPr>
          <w:rFonts w:ascii="Arial" w:hAnsi="Arial" w:cs="Arial"/>
          <w:sz w:val="24"/>
          <w:szCs w:val="24"/>
        </w:rPr>
        <w:instrText>ADDIN CSL_CITATION {"citationItems":[{"id":"ITEM-1","itemData":{"DOI":"10.7326/M21-2483","ISSN":"1539-3704","PMID":"34633830","author":[{"dropping-particle":"","family":"Melmed","given":"Gil Y","non-dropping-particle":"","parse-names":false,"suffix":""},{"dropping-particle":"","family":"Botwin","given":"Gregory J","non-dropping-particle":"","parse-names":false,"suffix":""},{"dropping-particle":"","family":"Sobhani","given":"Kimia","non-dropping-particle":"","parse-names":false,"suffix":""},{"dropping-particle":"","family":"Li","given":"Dalin","non-dropping-particle":"","parse-names":false,"suffix":""},{"dropping-particle":"","family":"Prostko","given":"John","non-dropping-particle":"","parse-names":false,"suffix":""},{"dropping-particle":"","family":"Figueiredo","given":"Jane","non-dropping-particle":"","parse-names":false,"suffix":""},{"dropping-particle":"","family":"Cheng","given":"Susan","non-dropping-particle":"","parse-names":false,"suffix":""},{"dropping-particle":"","family":"Braun","given":"Jonathan","non-dropping-particle":"","parse-names":false,"suffix":""},{"dropping-particle":"","family":"McGovern","given":"Dermot P B","non-dropping-particle":"","parse-names":false,"suffix":""}],"container-title":"Annals of internal medicine","id":"ITEM-1","issue":"12","issued":{"date-parts":[["2021"]]},"page":"1768-1770","title":"Antibody Responses After SARS-CoV-2 mRNA Vaccination in Adults With Inflammatory Bowel Disease.","type":"article-journal","volume":"174"},"uris":["http://www.mendeley.com/documents/?uuid=1a0bcd88-c5eb-4d19-af5c-db1cd87425de"]},{"id":"ITEM-2","itemData":{"DOI":"10.1136/gutjnl-2021-324789","ISSN":"14683288","PMID":"33903149","abstract":"Objective Delayed second dose SARS-CoV-2 vaccination trades maximal effectiveness for a lower level of immunity across more of the population. We investigated whether patients with inflammatory bowel disease treated with infliximab have attenuated serological responses to a single dose of a SARS-CoV-2 vaccine. Design Antibody responses and seroconversion rates in infliximab-treated patients (n=865) were compared with a cohort treated with vedolizumab (n=428), a gut-selective anti-integrin α4β7 monoclonal antibody. Our primary outcome was anti-SARS-CoV-2 spike (S) antibody concentrations, measured using the Elecsys anti-SARS-CoV-2 spike (S) antibody assay 3-10 weeks after vaccination, in patients without evidence of prior infection. Secondary outcomes were seroconversion rates (defined by a cut-off of 15 U/mL), and antibody responses following past infection or a second dose of the BNT162b2 vaccine. Results Geometric mean (SD) anti-SARS-CoV-2 antibody concentrations were lower in patients treated with infliximab than vedolizumab, following BNT162b2 (6.0 U/mL (5.9) vs 28.8 U/mL (5.4) p&lt;0.0001) and ChAdOx1 nCoV-19 (4.7 U/mL (4.9)) vs 13.8 U/mL (5.9) p&lt;0.0001) vaccines. In our multivariable models, antibody concentrations were lower in infliximab-treated compared with vedolizumab-treated patients who received the BNT162b2 (fold change (FC) 0.29 (95% CI 0.21 to 0.40), p&lt;0.0001) and ChAdOx1 nCoV-19 (FC 0.39 (95% CI 0.30 to 0.51), p&lt;0.0001) vaccines. In both models, age ≥60 years, immunomodulator use, Crohn's disease and smoking were associated with lower, while non-white ethnicity was associated with higher, anti-SARS-CoV-2 antibody concentrations. Seroconversion rates after a single dose of either vaccine were higher in patients with prior SARS-CoV-2 infection and after two doses of BNT162b2 vaccine. Conclusion Infliximab is associated with attenuated immunogenicity to a single dose of the BNT162b2 and ChAdOx1 nCoV-19 SARS-CoV-2 vaccines. Vaccination after SARS-CoV-2 infection, or a second dose of vaccine, led to seroconversion in most patients. Delayed second dosing should be avoided in patients treated with infliximab. Trial registration number ISRCTN45176516.","author":[{"dropping-particle":"","family":"Kennedy","given":"Nicholas A.","non-dropping-particle":"","parse-names":false,"suffix":""},{"dropping-particle":"","family":"Lin","given":"Simeng","non-dropping-particle":"","parse-names":false,"suffix":""},{"dropping-particle":"","family":"Goodhand","given":"James R.","non-dropping-particle":"","parse-names":false,"suffix":""},{"dropping-particle":"","family":"Chanchlani","given":"Neil","non-dropping-particle":"","parse-names":false,"suffix":""},{"dropping-particle":"","family":"Hamilton","given":"Benjamin","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Cummings","given":"J. R.Fraser","non-dropping-particle":"","parse-names":false,"suffix":""},{"dropping-particle":"","family":"Fraser","given":"Aileen","non-dropping-particle":"","parse-names":false,"suffix":""},{"dropping-particle":"","family":"Irving","given":"Peter M.","non-dropping-particle":"","parse-names":false,"suffix":""},{"dropping-particle":"","family":"Kamperidis","given":"Nikolaos","non-dropping-particle":"","parse-names":false,"suffix":""},{"dropping-particle":"","family":"Kok","given":"Klaartje B.","non-dropping-particle":"","parse-names":false,"suffix":""},{"dropping-particle":"","family":"Lamb","given":"Christopher Andrew","non-dropping-particle":"","parse-names":false,"suffix":""},{"dropping-particle":"","family":"Macdonald","given":"Jonathan","non-dropping-particle":"","parse-names":false,"suffix":""},{"dropping-particle":"","family":"Mehta","given":"Shameer","non-dropping-particle":"","parse-names":false,"suffix":""},{"dropping-particle":"","family":"Pollok","given":"Richard C.G.","non-dropping-particle":"","parse-names":false,"suffix":""},{"dropping-particle":"","family":"Raine","given":"Tim","non-dropping-particle":"","parse-names":false,"suffix":""},{"dropping-particle":"","family":"Smith","given":"Philip J.","non-dropping-particle":"","parse-names":false,"suffix":""},{"dropping-particle":"","family":"Verma","given":"Ajay Mark","non-dropping-particle":"","parse-names":false,"suffix":""},{"dropping-particle":"","family":"Jochum","given":"Simon","non-dropping-particle":"","parse-names":false,"suffix":""},{"dropping-particle":"","family":"McDonald","given":"Timothy J.","non-dropping-particle":"","parse-names":false,"suffix":""},{"dropping-particle":"","family":"Sebastian","given":"Shaji","non-dropping-particle":"","parse-names":false,"suffix":""},{"dropping-particle":"","family":"Lees","given":"Charlie W.","non-dropping-particle":"","parse-names":false,"suffix":""},{"dropping-particle":"","family":"Powell","given":"Nick","non-dropping-particle":"","parse-names":false,"suffix":""},{"dropping-particle":"","family":"Ahmad","given":"Tariq","non-dropping-particle":"","parse-names":false,"suffix":""}],"container-title":"Gut","id":"ITEM-2","issue":"10","issued":{"date-parts":[["2021","10","1"]]},"page":"1884-1893","publisher":"BMJ Publishing Group","title":"Infliximab is associated with attenuated immunogenicity to BNT162b2 and ChAdOx1 nCoV-19 SARS-CoV-2 vaccines in patients with IBD","type":"article-journal","volume":"70"},"uris":["http://www.mendeley.com/documents/?uuid=57abc301-1174-4c34-8037-6c9c0ec88b8a"]}],"mendeley":{"formattedCitation":"(17,18)","plainTextFormattedCitation":"(17,18)","previouslyFormattedCitation":"(17,18)"},"properties":{"noteIndex":0},"schema":"https://github.com/citation-style-language/schema/raw/master/csl-citation.json"}</w:instrText>
      </w:r>
      <w:r w:rsidR="008A0D4A">
        <w:rPr>
          <w:rFonts w:ascii="Arial" w:hAnsi="Arial" w:cs="Arial"/>
          <w:sz w:val="24"/>
          <w:szCs w:val="24"/>
        </w:rPr>
        <w:fldChar w:fldCharType="separate"/>
      </w:r>
      <w:r w:rsidR="0032390D" w:rsidRPr="0032390D">
        <w:rPr>
          <w:rFonts w:ascii="Arial" w:hAnsi="Arial" w:cs="Arial"/>
          <w:noProof/>
          <w:sz w:val="24"/>
          <w:szCs w:val="24"/>
        </w:rPr>
        <w:t>(17,18)</w:t>
      </w:r>
      <w:r w:rsidR="008A0D4A">
        <w:rPr>
          <w:rFonts w:ascii="Arial" w:hAnsi="Arial" w:cs="Arial"/>
          <w:sz w:val="24"/>
          <w:szCs w:val="24"/>
        </w:rPr>
        <w:fldChar w:fldCharType="end"/>
      </w:r>
      <w:r w:rsidRPr="00021272">
        <w:rPr>
          <w:rFonts w:ascii="Arial" w:hAnsi="Arial" w:cs="Arial"/>
          <w:sz w:val="24"/>
          <w:szCs w:val="24"/>
        </w:rPr>
        <w:t>, clinical efficacy and safety</w:t>
      </w:r>
      <w:r w:rsidR="006C691C"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{"citationItems":[{"id":"ITEM-1","itemData":{"DOI":"10.1111/apt.16913","ISSN":"0269-2813","abstract":"Introduction: There are concerns regarding the effectiveness and safety of SARS- CoV- 2 vaccine in inflammatory Bowel Disease (IBD) patients. This systematic review and meta- analysis comprehensively summarises the available literature regarding the safety and effectiveness of SARS- CoV- 2 vaccine in IBD. Methods: Three independent reviewers performed a comprehensive review of all original articles describing the response of SARS- CoV- 2 vaccines in patients with IBD. Primary outcomes were (1) pooled seroconversion rate SARS- CoV- 2 vaccination in IBD patients (2) comparison of breakthrough COVID- 19 infection rate SARS- CoV- 2 vaccination in IBD patients with control cohort and (3) pooled adverse event rate of SARS- CoV- 2 vaccine. All outcomes were evaluated for one and two doses of SARS- CoV- 2 vaccine. Meta- regression was performed. Probability of publication bias was assessed using funnel plots and with Egger’s test. Results: Twenty- one studies yielded a pooled seroconversion rate of 73.7% and 96.8% in IBD patients after one and two doses of SARS- CoV- 2 vaccine respectively. Sub- group analysis revealed non- statistically significant differences between differ- ent immunosuppressive regimens for seroconversion. Meta- regression revealed that the vaccine type and study location independently influenced seroconversion rates. There was no statistically significant difference in breakthrough infection in IBD pa- tients as compared to control after vaccination. Conclusion: In summary, the systematic review and meta- analysis suggest that SARS- CoV- 2 vaccine is safe and effective in IBD patients. As","author":[{"dropping-particle":"","family":"Bhurwal","given":"Abhishek","non-dropping-particle":"","parse-names":false,"suffix":""},{"dropping-particle":"","family":"Mutneja","given":"Hemant","non-dropping-particle":"","parse-names":false,"suffix":""},{"dropping-particle":"","family":"Bansal","given":"Vikas","non-dropping-particle":"","parse-names":false,"suffix":""},{"dropping-particle":"","family":"Goel","given":"Akshay","non-dropping-particle":"","parse-names":false,"suffix":""},{"dropping-particle":"","family":"Arora","given":"Shilpa","non-dropping-particle":"","parse-names":false,"suffix":""},{"dropping-particle":"","family":"Attar","given":"Bashar","non-dropping-particle":"","parse-names":false,"suffix":""},{"dropping-particle":"","family":"Minacapelli","given":"Carlos D.","non-dropping-particle":"","parse-names":false,"suffix":""},{"dropping-particle":"","family":"Kochhar","given":"Gursimran","non-dropping-particle":"","parse-names":false,"suffix":""},{"dropping-particle":"","family":"Chen","given":"Lea Ann","non-dropping-particle":"","parse-names":false,"suffix":""},{"dropping-particle":"","family":"Brant","given":"Steve","non-dropping-particle":"","parse-names":false,"suffix":""},{"dropping-particle":"","family":"Seril","given":"Darren","non-dropping-particle":"","parse-names":false,"suffix":""}],"container-title":"Alimentary Pharmacology &amp; Therapeutics","id":"ITEM-1","issue":"10","issued":{"date-parts":[["2022","5","30"]]},"page":"1244-1264","title":"Effectiveness and safety of SARS</w:instrText>
      </w:r>
      <w:r w:rsidR="00EB18A3">
        <w:rPr>
          <w:rFonts w:ascii="Cambria Math" w:hAnsi="Cambria Math" w:cs="Cambria Math"/>
          <w:sz w:val="24"/>
          <w:szCs w:val="24"/>
        </w:rPr>
        <w:instrText>‐</w:instrText>
      </w:r>
      <w:r w:rsidR="00EB18A3">
        <w:rPr>
          <w:rFonts w:ascii="Arial" w:hAnsi="Arial" w:cs="Arial"/>
          <w:sz w:val="24"/>
          <w:szCs w:val="24"/>
        </w:rPr>
        <w:instrText>CoV</w:instrText>
      </w:r>
      <w:r w:rsidR="00EB18A3">
        <w:rPr>
          <w:rFonts w:ascii="Cambria Math" w:hAnsi="Cambria Math" w:cs="Cambria Math"/>
          <w:sz w:val="24"/>
          <w:szCs w:val="24"/>
        </w:rPr>
        <w:instrText>‐</w:instrText>
      </w:r>
      <w:r w:rsidR="00EB18A3">
        <w:rPr>
          <w:rFonts w:ascii="Arial" w:hAnsi="Arial" w:cs="Arial"/>
          <w:sz w:val="24"/>
          <w:szCs w:val="24"/>
        </w:rPr>
        <w:instrText>2 vaccine in Inflammatory Bowel Disease patients: a systematic review, meta</w:instrText>
      </w:r>
      <w:r w:rsidR="00EB18A3">
        <w:rPr>
          <w:rFonts w:ascii="Cambria Math" w:hAnsi="Cambria Math" w:cs="Cambria Math"/>
          <w:sz w:val="24"/>
          <w:szCs w:val="24"/>
        </w:rPr>
        <w:instrText>‐</w:instrText>
      </w:r>
      <w:r w:rsidR="00EB18A3">
        <w:rPr>
          <w:rFonts w:ascii="Arial" w:hAnsi="Arial" w:cs="Arial"/>
          <w:sz w:val="24"/>
          <w:szCs w:val="24"/>
        </w:rPr>
        <w:instrText>analysis and meta</w:instrText>
      </w:r>
      <w:r w:rsidR="00EB18A3">
        <w:rPr>
          <w:rFonts w:ascii="Cambria Math" w:hAnsi="Cambria Math" w:cs="Cambria Math"/>
          <w:sz w:val="24"/>
          <w:szCs w:val="24"/>
        </w:rPr>
        <w:instrText>‐</w:instrText>
      </w:r>
      <w:r w:rsidR="00EB18A3">
        <w:rPr>
          <w:rFonts w:ascii="Arial" w:hAnsi="Arial" w:cs="Arial"/>
          <w:sz w:val="24"/>
          <w:szCs w:val="24"/>
        </w:rPr>
        <w:instrText>regression","type":"article-journal","volume":"55"},"uris":["http://www.mendeley.com/documents/?uuid=a4597a90-98bc-37cd-9422-6f16f8090619"]}],"mendeley":{"formattedCitation":"(19)","plainTextFormattedCitation":"(19)","previouslyFormattedCitation":"(19)"},"properties":{"noteIndex":0},"schema":"https://github.com/citation-style-language/schema/raw/master/csl-citation.json"}</w:instrText>
      </w:r>
      <w:r w:rsidR="006C691C" w:rsidRPr="00021272">
        <w:rPr>
          <w:rFonts w:ascii="Arial" w:hAnsi="Arial" w:cs="Arial"/>
          <w:sz w:val="24"/>
          <w:szCs w:val="24"/>
        </w:rPr>
        <w:fldChar w:fldCharType="separate"/>
      </w:r>
      <w:r w:rsidR="0032390D" w:rsidRPr="0032390D">
        <w:rPr>
          <w:rFonts w:ascii="Arial" w:hAnsi="Arial" w:cs="Arial"/>
          <w:noProof/>
          <w:sz w:val="24"/>
          <w:szCs w:val="24"/>
        </w:rPr>
        <w:t>(19)</w:t>
      </w:r>
      <w:r w:rsidR="006C691C" w:rsidRPr="00021272">
        <w:rPr>
          <w:rFonts w:ascii="Arial" w:hAnsi="Arial" w:cs="Arial"/>
          <w:sz w:val="24"/>
          <w:szCs w:val="24"/>
        </w:rPr>
        <w:fldChar w:fldCharType="end"/>
      </w:r>
      <w:r w:rsidRPr="00021272">
        <w:rPr>
          <w:rFonts w:ascii="Arial" w:hAnsi="Arial" w:cs="Arial"/>
          <w:sz w:val="24"/>
          <w:szCs w:val="24"/>
        </w:rPr>
        <w:t xml:space="preserve"> of </w:t>
      </w:r>
      <w:r w:rsidR="0025665E">
        <w:rPr>
          <w:rFonts w:ascii="Arial" w:hAnsi="Arial" w:cs="Arial"/>
          <w:sz w:val="24"/>
          <w:szCs w:val="24"/>
        </w:rPr>
        <w:t>COVID</w:t>
      </w:r>
      <w:r w:rsidRPr="00021272">
        <w:rPr>
          <w:rFonts w:ascii="Arial" w:hAnsi="Arial" w:cs="Arial"/>
          <w:sz w:val="24"/>
          <w:szCs w:val="24"/>
        </w:rPr>
        <w:t xml:space="preserve">-19 vaccinations. </w:t>
      </w:r>
      <w:r w:rsidR="00670275">
        <w:rPr>
          <w:rFonts w:ascii="Arial" w:hAnsi="Arial" w:cs="Arial"/>
          <w:sz w:val="24"/>
          <w:szCs w:val="24"/>
        </w:rPr>
        <w:lastRenderedPageBreak/>
        <w:t>The review by Bhurwal et al did not evaluate the association between vaccination against Coivid-19 and IBD flares</w:t>
      </w:r>
      <w:r w:rsidR="00D025CD">
        <w:rPr>
          <w:rFonts w:ascii="Arial" w:hAnsi="Arial" w:cs="Arial"/>
          <w:sz w:val="24"/>
          <w:szCs w:val="24"/>
        </w:rPr>
        <w:fldChar w:fldCharType="begin" w:fldLock="1"/>
      </w:r>
      <w:r w:rsidR="00EB18A3">
        <w:rPr>
          <w:rFonts w:ascii="Arial" w:hAnsi="Arial" w:cs="Arial"/>
          <w:sz w:val="24"/>
          <w:szCs w:val="24"/>
        </w:rPr>
        <w:instrText>ADDIN CSL_CITATION {"citationItems":[{"id":"ITEM-1","itemData":{"DOI":"10.1111/apt.16913","ISSN":"0269-2813","abstract":"Introduction: There are concerns regarding the effectiveness and safety of SARS- CoV- 2 vaccine in inflammatory Bowel Disease (IBD) patients. This systematic review and meta- analysis comprehensively summarises the available literature regarding the safety and effectiveness of SARS- CoV- 2 vaccine in IBD. Methods: Three independent reviewers performed a comprehensive review of all original articles describing the response of SARS- CoV- 2 vaccines in patients with IBD. Primary outcomes were (1) pooled seroconversion rate SARS- CoV- 2 vaccination in IBD patients (2) comparison of breakthrough COVID- 19 infection rate SARS- CoV- 2 vaccination in IBD patients with control cohort and (3) pooled adverse event rate of SARS- CoV- 2 vaccine. All outcomes were evaluated for one and two doses of SARS- CoV- 2 vaccine. Meta- regression was performed. Probability of publication bias was assessed using funnel plots and with Egger’s test. Results: Twenty- one studies yielded a pooled seroconversion rate of 73.7% and 96.8% in IBD patients after one and two doses of SARS- CoV- 2 vaccine respectively. Sub- group analysis revealed non- statistically significant differences between differ- ent immunosuppressive regimens for seroconversion. Meta- regression revealed that the vaccine type and study location independently influenced seroconversion rates. There was no statistically significant difference in breakthrough infection in IBD pa- tients as compared to control after vaccination. Conclusion: In summary, the systematic review and meta- analysis suggest that SARS- CoV- 2 vaccine is safe and effective in IBD patients. As","author":[{"dropping-particle":"","family":"Bhurwal","given":"Abhishek","non-dropping-particle":"","parse-names":false,"suffix":""},{"dropping-particle":"","family":"Mutneja","given":"Hemant","non-dropping-particle":"","parse-names":false,"suffix":""},{"dropping-particle":"","family":"Bansal","given":"Vikas","non-dropping-particle":"","parse-names":false,"suffix":""},{"dropping-particle":"","family":"Goel","given":"Akshay","non-dropping-particle":"","parse-names":false,"suffix":""},{"dropping-particle":"","family":"Arora","given":"Shilpa","non-dropping-particle":"","parse-names":false,"suffix":""},{"dropping-particle":"","family":"Attar","given":"Bashar","non-dropping-particle":"","parse-names":false,"suffix":""},{"dropping-particle":"","family":"Minacapelli","given":"Carlos D.","non-dropping-particle":"","parse-names":false,"suffix":""},{"dropping-particle":"","family":"Kochhar","given":"Gursimran","non-dropping-particle":"","parse-names":false,"suffix":""},{"dropping-particle":"","family":"Chen","given":"Lea Ann","non-dropping-particle":"","parse-names":false,"suffix":""},{"dropping-particle":"","family":"Brant","given":"Steve","non-dropping-particle":"","parse-names":false,"suffix":""},{"dropping-particle":"","family":"Seril","given":"Darren","non-dropping-particle":"","parse-names":false,"suffix":""}],"container-title":"Alimentary Pharmacology &amp; Therapeutics","id":"ITEM-1","issue":"10","issued":{"date-parts":[["2022","5","30"]]},"page":"1244-1264","title":"Effectiveness and safety of SARS</w:instrText>
      </w:r>
      <w:r w:rsidR="00EB18A3">
        <w:rPr>
          <w:rFonts w:ascii="Cambria Math" w:hAnsi="Cambria Math" w:cs="Cambria Math"/>
          <w:sz w:val="24"/>
          <w:szCs w:val="24"/>
        </w:rPr>
        <w:instrText>‐</w:instrText>
      </w:r>
      <w:r w:rsidR="00EB18A3">
        <w:rPr>
          <w:rFonts w:ascii="Arial" w:hAnsi="Arial" w:cs="Arial"/>
          <w:sz w:val="24"/>
          <w:szCs w:val="24"/>
        </w:rPr>
        <w:instrText>CoV</w:instrText>
      </w:r>
      <w:r w:rsidR="00EB18A3">
        <w:rPr>
          <w:rFonts w:ascii="Cambria Math" w:hAnsi="Cambria Math" w:cs="Cambria Math"/>
          <w:sz w:val="24"/>
          <w:szCs w:val="24"/>
        </w:rPr>
        <w:instrText>‐</w:instrText>
      </w:r>
      <w:r w:rsidR="00EB18A3">
        <w:rPr>
          <w:rFonts w:ascii="Arial" w:hAnsi="Arial" w:cs="Arial"/>
          <w:sz w:val="24"/>
          <w:szCs w:val="24"/>
        </w:rPr>
        <w:instrText>2 vaccine in Inflammatory Bowel Disease patients: a systematic review, meta</w:instrText>
      </w:r>
      <w:r w:rsidR="00EB18A3">
        <w:rPr>
          <w:rFonts w:ascii="Cambria Math" w:hAnsi="Cambria Math" w:cs="Cambria Math"/>
          <w:sz w:val="24"/>
          <w:szCs w:val="24"/>
        </w:rPr>
        <w:instrText>‐</w:instrText>
      </w:r>
      <w:r w:rsidR="00EB18A3">
        <w:rPr>
          <w:rFonts w:ascii="Arial" w:hAnsi="Arial" w:cs="Arial"/>
          <w:sz w:val="24"/>
          <w:szCs w:val="24"/>
        </w:rPr>
        <w:instrText>analysis and meta</w:instrText>
      </w:r>
      <w:r w:rsidR="00EB18A3">
        <w:rPr>
          <w:rFonts w:ascii="Cambria Math" w:hAnsi="Cambria Math" w:cs="Cambria Math"/>
          <w:sz w:val="24"/>
          <w:szCs w:val="24"/>
        </w:rPr>
        <w:instrText>‐</w:instrText>
      </w:r>
      <w:r w:rsidR="00EB18A3">
        <w:rPr>
          <w:rFonts w:ascii="Arial" w:hAnsi="Arial" w:cs="Arial"/>
          <w:sz w:val="24"/>
          <w:szCs w:val="24"/>
        </w:rPr>
        <w:instrText>regression","type":"article-journal","volume":"55"},"uris":["http://www.mendeley.com/documents/?uuid=a4597a90-98bc-37cd-9422-6f16f8090619"]}],"mendeley":{"formattedCitation":"(19)","plainTextFormattedCitation":"(19)","previouslyFormattedCitation":"(19)"},"properties":{"noteIndex":0},"schema":"https://github.com/citation-style-language/schema/raw/master/csl-citation.json"}</w:instrText>
      </w:r>
      <w:r w:rsidR="00D025CD">
        <w:rPr>
          <w:rFonts w:ascii="Arial" w:hAnsi="Arial" w:cs="Arial"/>
          <w:sz w:val="24"/>
          <w:szCs w:val="24"/>
        </w:rPr>
        <w:fldChar w:fldCharType="separate"/>
      </w:r>
      <w:r w:rsidR="0032390D" w:rsidRPr="0032390D">
        <w:rPr>
          <w:rFonts w:ascii="Arial" w:hAnsi="Arial" w:cs="Arial"/>
          <w:noProof/>
          <w:sz w:val="24"/>
          <w:szCs w:val="24"/>
        </w:rPr>
        <w:t>(19)</w:t>
      </w:r>
      <w:r w:rsidR="00D025CD">
        <w:rPr>
          <w:rFonts w:ascii="Arial" w:hAnsi="Arial" w:cs="Arial"/>
          <w:sz w:val="24"/>
          <w:szCs w:val="24"/>
        </w:rPr>
        <w:fldChar w:fldCharType="end"/>
      </w:r>
      <w:r w:rsidR="00670275">
        <w:rPr>
          <w:rFonts w:ascii="Arial" w:hAnsi="Arial" w:cs="Arial"/>
          <w:sz w:val="24"/>
          <w:szCs w:val="24"/>
        </w:rPr>
        <w:t xml:space="preserve">. </w:t>
      </w:r>
      <w:r w:rsidRPr="00021272">
        <w:rPr>
          <w:rFonts w:ascii="Arial" w:hAnsi="Arial" w:cs="Arial"/>
          <w:sz w:val="24"/>
          <w:szCs w:val="24"/>
        </w:rPr>
        <w:t xml:space="preserve">These studies have however mainly been case series or surveys from individual or small groups of centres, and/or have related to specific vaccines. The risk of IBD flare </w:t>
      </w:r>
      <w:r w:rsidR="003B6908">
        <w:rPr>
          <w:rFonts w:ascii="Arial" w:hAnsi="Arial" w:cs="Arial"/>
          <w:sz w:val="24"/>
          <w:szCs w:val="24"/>
        </w:rPr>
        <w:t xml:space="preserve">with vaccination against </w:t>
      </w:r>
      <w:r w:rsidR="0025665E">
        <w:rPr>
          <w:rFonts w:ascii="Arial" w:hAnsi="Arial" w:cs="Arial"/>
          <w:sz w:val="24"/>
          <w:szCs w:val="24"/>
        </w:rPr>
        <w:t>COVID</w:t>
      </w:r>
      <w:r w:rsidR="003B6908">
        <w:rPr>
          <w:rFonts w:ascii="Arial" w:hAnsi="Arial" w:cs="Arial"/>
          <w:sz w:val="24"/>
          <w:szCs w:val="24"/>
        </w:rPr>
        <w:t xml:space="preserve">-19 </w:t>
      </w:r>
      <w:r w:rsidRPr="00021272">
        <w:rPr>
          <w:rFonts w:ascii="Arial" w:hAnsi="Arial" w:cs="Arial"/>
          <w:sz w:val="24"/>
          <w:szCs w:val="24"/>
        </w:rPr>
        <w:t>originally suggested</w:t>
      </w:r>
      <w:r w:rsidR="003B6908">
        <w:rPr>
          <w:rFonts w:ascii="Arial" w:hAnsi="Arial" w:cs="Arial"/>
          <w:sz w:val="24"/>
          <w:szCs w:val="24"/>
        </w:rPr>
        <w:t xml:space="preserve"> </w:t>
      </w:r>
      <w:r w:rsidR="001A1C95">
        <w:rPr>
          <w:rFonts w:ascii="Arial" w:hAnsi="Arial" w:cs="Arial"/>
          <w:sz w:val="24"/>
          <w:szCs w:val="24"/>
        </w:rPr>
        <w:fldChar w:fldCharType="begin" w:fldLock="1"/>
      </w:r>
      <w:r w:rsidR="00EB18A3">
        <w:rPr>
          <w:rFonts w:ascii="Arial" w:hAnsi="Arial" w:cs="Arial"/>
          <w:sz w:val="24"/>
          <w:szCs w:val="24"/>
        </w:rPr>
        <w:instrText>ADDIN CSL_CITATION {"citationItems":[{"id":"ITEM-1","itemData":{"DOI":"10.3390/jcm11102765","ISSN":"2077-0383","PMID":"35628892","abstract":"BACKGROUND Pediatric inflammatory multisystem syndrome temporally associated with COVID-19/multi-system inflammatory syndrome in children (PIMS-TS/MIS-C) is a potentially life-threatening complication of SARS-CoV-2 infection in children. Gastrointestinal manifestations are prominent in children with PIMS-TS/MIS-C. Thus, it is challenging to differentiate this condition from an exacerbation of inflammatory bowel disease (IBD). We aimed to present the clinical characteristics, and diagnostic and therapeutic difficulties in patients with overlapping IBD and PIMS-TS/MIS-C; Methods: We reviewed medical records of children hospitalized due to overlapping IBD and PIMS-TS/MIS-C in a single pediatric hospital from December 2020 to December 2021; Results: There were four children with overlapping IBD flare and PIMS-TS/MIS-C. In three cases, IBD recognition preceded PIMS-TS/MIS-C onset and PIMS-TS/MIS-C occurred during anti-inflammatory therapy of IBD. All children presented with gastrointestinal symptoms at PIMS-TS/MIS-C onset. All patients received IVIG and ASA treatment. In three children there was a need to use steroids to resolve PIMS-TS/MIS-C symptoms. One child was vaccinated against COVID-19; Conclusions: SARS-CoV-2 infection may affect patients with underlying inflammatory conditions such as IBD, inducing systemic symptoms of PIMS-TS/MIS-C, and probably triggering IBD after PIMS-TS/MIS-C. The resemblance of clinical presentations is the main source of diagnostic and therapeutic challenges in PIMS-TS/MIS-C in patients with underlying IBD.","author":[{"dropping-particle":"","family":"Krawiec","given":"Paulina","non-dropping-particle":"","parse-names":false,"suffix":""},{"dropping-particle":"","family":"Opoka-Winiarska","given":"Violetta","non-dropping-particle":"","parse-names":false,"suffix":""},{"dropping-particle":"","family":"Pac-Kożuchowska","given":"Elżbieta","non-dropping-particle":"","parse-names":false,"suffix":""}],"container-title":"Journal of clinical medicine","id":"ITEM-1","issue":"10","issued":{"date-parts":[["2022","5","13"]]},"title":"Is It Inflammatory Bowel Disease Flare or Pediatric Inflammatory Multisystem Syndrome Temporally Associated with COVID-19?","type":"article-journal","volume":"11"},"uris":["http://www.mendeley.com/documents/?uuid=f74c954e-1006-4ba3-854b-5d9ec8512a7c"]},{"id":"ITEM-2","itemData":{"DOI":"10.14309/ajg.0000000000001416","ISBN":"0000000000","ISSN":"0002-9270","PMID":"34406140","author":[{"dropping-particle":"","family":"Sangha","given":"Maheep","non-dropping-particle":"","parse-names":false,"suffix":""},{"dropping-particle":"","family":"Roitman","given":"Isabel","non-dropping-particle":"","parse-names":false,"suffix":""},{"dropping-particle":"","family":"Sultan","given":"Keith","non-dropping-particle":"","parse-names":false,"suffix":""},{"dropping-particle":"","family":"Swaminath","given":"Arun","non-dropping-particle":"","parse-names":false,"suffix":""}],"container-title":"American Journal of Gastroenterology","id":"ITEM-2","issue":"12","issued":{"date-parts":[["2021","12","1"]]},"page":"2480-2481","title":"SARS-CoV-2 Immunization in Patients With Inflammatory Bowel Disease May Result in Disease Flares","type":"article-journal","volume":"116"},"uris":["http://www.mendeley.com/documents/?uuid=0bcf24b7-9000-42a3-a545-7d3ee6f02440"]}],"mendeley":{"formattedCitation":"(15,16)","plainTextFormattedCitation":"(15,16)","previouslyFormattedCitation":"(15,16)"},"properties":{"noteIndex":0},"schema":"https://github.com/citation-style-language/schema/raw/master/csl-citation.json"}</w:instrText>
      </w:r>
      <w:r w:rsidR="001A1C95">
        <w:rPr>
          <w:rFonts w:ascii="Arial" w:hAnsi="Arial" w:cs="Arial"/>
          <w:sz w:val="24"/>
          <w:szCs w:val="24"/>
        </w:rPr>
        <w:fldChar w:fldCharType="separate"/>
      </w:r>
      <w:r w:rsidR="0032390D" w:rsidRPr="0032390D">
        <w:rPr>
          <w:rFonts w:ascii="Arial" w:hAnsi="Arial" w:cs="Arial"/>
          <w:noProof/>
          <w:sz w:val="24"/>
          <w:szCs w:val="24"/>
        </w:rPr>
        <w:t>(15,16)</w:t>
      </w:r>
      <w:r w:rsidR="001A1C95">
        <w:rPr>
          <w:rFonts w:ascii="Arial" w:hAnsi="Arial" w:cs="Arial"/>
          <w:sz w:val="24"/>
          <w:szCs w:val="24"/>
        </w:rPr>
        <w:fldChar w:fldCharType="end"/>
      </w:r>
      <w:r w:rsidRPr="00021272">
        <w:rPr>
          <w:rFonts w:ascii="Arial" w:hAnsi="Arial" w:cs="Arial"/>
          <w:sz w:val="24"/>
          <w:szCs w:val="24"/>
        </w:rPr>
        <w:t xml:space="preserve"> has not to date been conclusively excluded in a large representative population. We have therefore carried out a study in the CPRD population which is representative of the overall UK population to </w:t>
      </w:r>
      <w:r w:rsidR="00C74F2F">
        <w:rPr>
          <w:rFonts w:ascii="Arial" w:hAnsi="Arial" w:cs="Arial"/>
          <w:sz w:val="24"/>
          <w:szCs w:val="24"/>
        </w:rPr>
        <w:t xml:space="preserve">clarify </w:t>
      </w:r>
      <w:r w:rsidRPr="00021272">
        <w:rPr>
          <w:rFonts w:ascii="Arial" w:hAnsi="Arial" w:cs="Arial"/>
          <w:sz w:val="24"/>
          <w:szCs w:val="24"/>
        </w:rPr>
        <w:t xml:space="preserve">whether </w:t>
      </w:r>
      <w:r w:rsidR="0025665E">
        <w:rPr>
          <w:rFonts w:ascii="Arial" w:hAnsi="Arial" w:cs="Arial"/>
          <w:sz w:val="24"/>
          <w:szCs w:val="24"/>
        </w:rPr>
        <w:t>COVID</w:t>
      </w:r>
      <w:r w:rsidRPr="00021272">
        <w:rPr>
          <w:rFonts w:ascii="Arial" w:hAnsi="Arial" w:cs="Arial"/>
          <w:sz w:val="24"/>
          <w:szCs w:val="24"/>
        </w:rPr>
        <w:t xml:space="preserve"> vaccination </w:t>
      </w:r>
      <w:r w:rsidR="00C74F2F">
        <w:rPr>
          <w:rFonts w:ascii="Arial" w:hAnsi="Arial" w:cs="Arial"/>
          <w:sz w:val="24"/>
          <w:szCs w:val="24"/>
        </w:rPr>
        <w:t xml:space="preserve">is associated with an </w:t>
      </w:r>
      <w:r w:rsidRPr="00021272">
        <w:rPr>
          <w:rFonts w:ascii="Arial" w:hAnsi="Arial" w:cs="Arial"/>
          <w:sz w:val="24"/>
          <w:szCs w:val="24"/>
        </w:rPr>
        <w:t>increase</w:t>
      </w:r>
      <w:r w:rsidR="00C74F2F">
        <w:rPr>
          <w:rFonts w:ascii="Arial" w:hAnsi="Arial" w:cs="Arial"/>
          <w:sz w:val="24"/>
          <w:szCs w:val="24"/>
        </w:rPr>
        <w:t>d</w:t>
      </w:r>
      <w:r w:rsidRPr="00021272">
        <w:rPr>
          <w:rFonts w:ascii="Arial" w:hAnsi="Arial" w:cs="Arial"/>
          <w:sz w:val="24"/>
          <w:szCs w:val="24"/>
        </w:rPr>
        <w:t xml:space="preserve"> risk of IBD flare.</w:t>
      </w:r>
    </w:p>
    <w:p w14:paraId="4289597D" w14:textId="77777777" w:rsidR="00021272" w:rsidRDefault="00021272">
      <w:pPr>
        <w:rPr>
          <w:rFonts w:ascii="Arial" w:hAnsi="Arial" w:cs="Arial"/>
          <w:sz w:val="24"/>
          <w:szCs w:val="24"/>
        </w:rPr>
      </w:pPr>
      <w:r>
        <w:rPr>
          <w:rFonts w:ascii="Arial" w:hAnsi="Arial" w:cs="Arial"/>
          <w:sz w:val="24"/>
          <w:szCs w:val="24"/>
        </w:rPr>
        <w:br w:type="page"/>
      </w:r>
    </w:p>
    <w:p w14:paraId="7587DE61" w14:textId="77777777" w:rsidR="00485661" w:rsidRPr="00021272" w:rsidRDefault="00485661" w:rsidP="000736FB">
      <w:pPr>
        <w:spacing w:line="480" w:lineRule="auto"/>
        <w:rPr>
          <w:rFonts w:ascii="Arial" w:hAnsi="Arial" w:cs="Arial"/>
          <w:sz w:val="24"/>
          <w:szCs w:val="24"/>
        </w:rPr>
      </w:pPr>
    </w:p>
    <w:p w14:paraId="5A737135" w14:textId="4C74084F" w:rsidR="00B70C48" w:rsidRPr="00B70C48" w:rsidRDefault="00B70C48" w:rsidP="00021272">
      <w:pPr>
        <w:spacing w:line="480" w:lineRule="auto"/>
        <w:rPr>
          <w:rFonts w:ascii="Arial" w:hAnsi="Arial" w:cs="Arial"/>
          <w:b/>
          <w:sz w:val="24"/>
          <w:szCs w:val="24"/>
        </w:rPr>
      </w:pPr>
      <w:r w:rsidRPr="00B70C48">
        <w:rPr>
          <w:rFonts w:ascii="Arial" w:hAnsi="Arial" w:cs="Arial"/>
          <w:b/>
          <w:sz w:val="24"/>
          <w:szCs w:val="24"/>
        </w:rPr>
        <w:t>Methods</w:t>
      </w:r>
      <w:r w:rsidR="00021272" w:rsidRPr="00B70C48">
        <w:rPr>
          <w:rFonts w:ascii="Arial" w:hAnsi="Arial" w:cs="Arial"/>
          <w:b/>
          <w:sz w:val="24"/>
          <w:szCs w:val="24"/>
        </w:rPr>
        <w:t xml:space="preserve"> </w:t>
      </w:r>
    </w:p>
    <w:p w14:paraId="74F3836D" w14:textId="72160CFE"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Data</w:t>
      </w:r>
      <w:r w:rsidR="00B4669C">
        <w:rPr>
          <w:rFonts w:ascii="Arial" w:hAnsi="Arial" w:cs="Arial"/>
          <w:sz w:val="24"/>
          <w:szCs w:val="24"/>
        </w:rPr>
        <w:t>:</w:t>
      </w:r>
      <w:r w:rsidRPr="00021272">
        <w:rPr>
          <w:rFonts w:ascii="Arial" w:hAnsi="Arial" w:cs="Arial"/>
          <w:sz w:val="24"/>
          <w:szCs w:val="24"/>
        </w:rPr>
        <w:t xml:space="preserve"> </w:t>
      </w:r>
      <w:r w:rsidR="00347C8D">
        <w:rPr>
          <w:rFonts w:ascii="Arial" w:hAnsi="Arial" w:cs="Arial"/>
          <w:sz w:val="24"/>
          <w:szCs w:val="24"/>
        </w:rPr>
        <w:t>S</w:t>
      </w:r>
      <w:r w:rsidRPr="00021272">
        <w:rPr>
          <w:rFonts w:ascii="Arial" w:hAnsi="Arial" w:cs="Arial"/>
          <w:sz w:val="24"/>
          <w:szCs w:val="24"/>
        </w:rPr>
        <w:t xml:space="preserve">ource </w:t>
      </w:r>
      <w:r w:rsidR="00347C8D">
        <w:rPr>
          <w:rFonts w:ascii="Arial" w:hAnsi="Arial" w:cs="Arial"/>
          <w:sz w:val="24"/>
          <w:szCs w:val="24"/>
        </w:rPr>
        <w:t>d</w:t>
      </w:r>
      <w:r w:rsidRPr="00021272">
        <w:rPr>
          <w:rFonts w:ascii="Arial" w:hAnsi="Arial" w:cs="Arial"/>
          <w:sz w:val="24"/>
          <w:szCs w:val="24"/>
        </w:rPr>
        <w:t xml:space="preserve">ata were extracted from Clinical Practice Research Datalink (CPRD) Aurum, a longitudinal anonymized electronic database of health records from 19 million patients </w:t>
      </w:r>
      <w:r w:rsidR="008E075B">
        <w:rPr>
          <w:rFonts w:ascii="Arial" w:hAnsi="Arial" w:cs="Arial"/>
          <w:sz w:val="24"/>
          <w:szCs w:val="24"/>
        </w:rPr>
        <w:t>registered with</w:t>
      </w:r>
      <w:r w:rsidRPr="00021272">
        <w:rPr>
          <w:rFonts w:ascii="Arial" w:hAnsi="Arial" w:cs="Arial"/>
          <w:sz w:val="24"/>
          <w:szCs w:val="24"/>
        </w:rPr>
        <w:t xml:space="preserve"> 738 general practices that dates back to 1995</w:t>
      </w:r>
      <w:r w:rsidR="003B6908">
        <w:rPr>
          <w:rFonts w:ascii="Arial" w:hAnsi="Arial" w:cs="Arial"/>
          <w:sz w:val="24"/>
          <w:szCs w:val="24"/>
        </w:rPr>
        <w:t xml:space="preserve"> </w:t>
      </w:r>
      <w:r w:rsidR="0090352B">
        <w:rPr>
          <w:rFonts w:ascii="Arial" w:hAnsi="Arial" w:cs="Arial"/>
          <w:sz w:val="24"/>
          <w:szCs w:val="24"/>
        </w:rPr>
        <w:fldChar w:fldCharType="begin" w:fldLock="1"/>
      </w:r>
      <w:r w:rsidR="00EB18A3">
        <w:rPr>
          <w:rFonts w:ascii="Arial" w:hAnsi="Arial" w:cs="Arial"/>
          <w:sz w:val="24"/>
          <w:szCs w:val="24"/>
        </w:rPr>
        <w:instrText>ADDIN CSL_CITATION {"citationItems":[{"id":"ITEM-1","itemData":{"DOI":"10.1093/ije/dyz034","ISSN":"1464-3685","PMID":"30859197","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epidemiology","id":"ITEM-1","issue":"6","issued":{"date-parts":[["2019","12","1"]]},"page":"1740-1740g","title":"Data resource profile: Clinical Practice Research Datalink (CPRD) Aurum.","type":"article-journal","volume":"48"},"uris":["http://www.mendeley.com/documents/?uuid=a79ea2d9-661c-4e10-bb55-44627f8deb5e"]}],"mendeley":{"formattedCitation":"(20)","plainTextFormattedCitation":"(20)","previouslyFormattedCitation":"(20)"},"properties":{"noteIndex":0},"schema":"https://github.com/citation-style-language/schema/raw/master/csl-citation.json"}</w:instrText>
      </w:r>
      <w:r w:rsidR="0090352B">
        <w:rPr>
          <w:rFonts w:ascii="Arial" w:hAnsi="Arial" w:cs="Arial"/>
          <w:sz w:val="24"/>
          <w:szCs w:val="24"/>
          <w:vertAlign w:val="superscript"/>
        </w:rPr>
        <w:fldChar w:fldCharType="separate"/>
      </w:r>
      <w:r w:rsidR="0032390D" w:rsidRPr="0032390D">
        <w:rPr>
          <w:rFonts w:ascii="Arial" w:hAnsi="Arial" w:cs="Arial"/>
          <w:noProof/>
          <w:sz w:val="24"/>
          <w:szCs w:val="24"/>
        </w:rPr>
        <w:t>(20)</w:t>
      </w:r>
      <w:r w:rsidR="0090352B">
        <w:rPr>
          <w:rFonts w:ascii="Arial" w:hAnsi="Arial" w:cs="Arial"/>
          <w:sz w:val="24"/>
          <w:szCs w:val="24"/>
        </w:rPr>
        <w:fldChar w:fldCharType="end"/>
      </w:r>
      <w:r w:rsidRPr="00021272">
        <w:rPr>
          <w:rFonts w:ascii="Arial" w:hAnsi="Arial" w:cs="Arial"/>
          <w:sz w:val="24"/>
          <w:szCs w:val="24"/>
        </w:rPr>
        <w:t xml:space="preserve">. It includes information on demographic details, lifestyle factors, diagnoses, results of investigations, </w:t>
      </w:r>
      <w:r w:rsidR="008E075B">
        <w:rPr>
          <w:rFonts w:ascii="Arial" w:hAnsi="Arial" w:cs="Arial"/>
          <w:sz w:val="24"/>
          <w:szCs w:val="24"/>
        </w:rPr>
        <w:t xml:space="preserve">consultations, </w:t>
      </w:r>
      <w:r w:rsidRPr="00021272">
        <w:rPr>
          <w:rFonts w:ascii="Arial" w:hAnsi="Arial" w:cs="Arial"/>
          <w:sz w:val="24"/>
          <w:szCs w:val="24"/>
        </w:rPr>
        <w:t xml:space="preserve">primary-care prescription, and vaccinations. Diagnostic and prescription data are recorded using medical codes (a combination of Read 2, SNOMED and local EMIS® codes) and product codes respectively. Data for vaccination against </w:t>
      </w:r>
      <w:r w:rsidR="0025665E">
        <w:rPr>
          <w:rFonts w:ascii="Arial" w:hAnsi="Arial" w:cs="Arial"/>
          <w:sz w:val="24"/>
          <w:szCs w:val="24"/>
        </w:rPr>
        <w:t>COVID</w:t>
      </w:r>
      <w:r w:rsidRPr="00021272">
        <w:rPr>
          <w:rFonts w:ascii="Arial" w:hAnsi="Arial" w:cs="Arial"/>
          <w:sz w:val="24"/>
          <w:szCs w:val="24"/>
        </w:rPr>
        <w:t xml:space="preserve">-19, including date of vaccination and vaccine brand are provided by NHS Digital. </w:t>
      </w:r>
      <w:r w:rsidR="0025665E">
        <w:rPr>
          <w:rFonts w:ascii="Arial" w:hAnsi="Arial" w:cs="Arial"/>
          <w:sz w:val="24"/>
          <w:szCs w:val="24"/>
        </w:rPr>
        <w:t>COVID</w:t>
      </w:r>
      <w:r w:rsidRPr="00021272">
        <w:rPr>
          <w:rFonts w:ascii="Arial" w:hAnsi="Arial" w:cs="Arial"/>
          <w:sz w:val="24"/>
          <w:szCs w:val="24"/>
        </w:rPr>
        <w:t xml:space="preserve">-19 is defined using </w:t>
      </w:r>
      <w:r w:rsidR="0025665E">
        <w:rPr>
          <w:rFonts w:ascii="Arial" w:hAnsi="Arial" w:cs="Arial"/>
          <w:sz w:val="24"/>
          <w:szCs w:val="24"/>
        </w:rPr>
        <w:t>primary-care</w:t>
      </w:r>
      <w:r w:rsidR="0025665E" w:rsidRPr="00021272">
        <w:rPr>
          <w:rFonts w:ascii="Arial" w:hAnsi="Arial" w:cs="Arial"/>
          <w:sz w:val="24"/>
          <w:szCs w:val="24"/>
        </w:rPr>
        <w:t xml:space="preserve"> </w:t>
      </w:r>
      <w:r w:rsidRPr="00021272">
        <w:rPr>
          <w:rFonts w:ascii="Arial" w:hAnsi="Arial" w:cs="Arial"/>
          <w:sz w:val="24"/>
          <w:szCs w:val="24"/>
        </w:rPr>
        <w:t xml:space="preserve">diagnosis, serology, or polymerase chain reaction result. </w:t>
      </w:r>
    </w:p>
    <w:p w14:paraId="3D05E5FB" w14:textId="7A54C2FA"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Approvals</w:t>
      </w:r>
      <w:r w:rsidR="00B4669C">
        <w:rPr>
          <w:rFonts w:ascii="Arial" w:hAnsi="Arial" w:cs="Arial"/>
          <w:sz w:val="24"/>
          <w:szCs w:val="24"/>
        </w:rPr>
        <w:t>:</w:t>
      </w:r>
      <w:r w:rsidRPr="00021272">
        <w:rPr>
          <w:rFonts w:ascii="Arial" w:hAnsi="Arial" w:cs="Arial"/>
          <w:sz w:val="24"/>
          <w:szCs w:val="24"/>
        </w:rPr>
        <w:t xml:space="preserve"> CPRD Research Data Governance (Reference: 21_000670).</w:t>
      </w:r>
      <w:r w:rsidR="006B1FEB" w:rsidRPr="006B1FEB">
        <w:rPr>
          <w:rFonts w:ascii="Arial" w:hAnsi="Arial" w:cs="Arial"/>
          <w:sz w:val="24"/>
          <w:szCs w:val="24"/>
        </w:rPr>
        <w:t xml:space="preserve"> </w:t>
      </w:r>
      <w:r w:rsidR="006B1FEB" w:rsidRPr="00021272">
        <w:rPr>
          <w:rFonts w:ascii="Arial" w:hAnsi="Arial" w:cs="Arial"/>
          <w:sz w:val="24"/>
          <w:szCs w:val="24"/>
        </w:rPr>
        <w:t xml:space="preserve">This study used anonymized patient health records from the CPRD, and did not require individual participant consent.  </w:t>
      </w:r>
    </w:p>
    <w:p w14:paraId="2654B1EA" w14:textId="3C15DD29"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Study design</w:t>
      </w:r>
      <w:r w:rsidR="00B4669C">
        <w:rPr>
          <w:rFonts w:ascii="Arial" w:hAnsi="Arial" w:cs="Arial"/>
          <w:sz w:val="24"/>
          <w:szCs w:val="24"/>
        </w:rPr>
        <w:t>:</w:t>
      </w:r>
      <w:r w:rsidRPr="00021272">
        <w:rPr>
          <w:rFonts w:ascii="Arial" w:hAnsi="Arial" w:cs="Arial"/>
          <w:sz w:val="24"/>
          <w:szCs w:val="24"/>
        </w:rPr>
        <w:t xml:space="preserve"> Self-controlled case series analysis. This method </w:t>
      </w:r>
      <w:r w:rsidR="00684DE5">
        <w:rPr>
          <w:rFonts w:ascii="Arial" w:hAnsi="Arial" w:cs="Arial"/>
          <w:sz w:val="24"/>
          <w:szCs w:val="24"/>
        </w:rPr>
        <w:t>quantifies</w:t>
      </w:r>
      <w:r w:rsidRPr="00021272">
        <w:rPr>
          <w:rFonts w:ascii="Arial" w:hAnsi="Arial" w:cs="Arial"/>
          <w:sz w:val="24"/>
          <w:szCs w:val="24"/>
        </w:rPr>
        <w:t xml:space="preserve"> the association between exposure and outcome using data from exposed participants that developed an outcome and is extensively used in vaccine safety studi</w:t>
      </w:r>
      <w:r w:rsidR="0090352B">
        <w:rPr>
          <w:rFonts w:ascii="Arial" w:hAnsi="Arial" w:cs="Arial"/>
          <w:sz w:val="24"/>
          <w:szCs w:val="24"/>
        </w:rPr>
        <w:t>es</w:t>
      </w:r>
      <w:r w:rsidR="003B6908">
        <w:rPr>
          <w:rFonts w:ascii="Arial" w:hAnsi="Arial" w:cs="Arial"/>
          <w:sz w:val="24"/>
          <w:szCs w:val="24"/>
        </w:rPr>
        <w:t xml:space="preserve"> </w:t>
      </w:r>
      <w:r w:rsidR="0090352B">
        <w:rPr>
          <w:rFonts w:ascii="Arial" w:hAnsi="Arial" w:cs="Arial"/>
          <w:sz w:val="24"/>
          <w:szCs w:val="24"/>
        </w:rPr>
        <w:fldChar w:fldCharType="begin" w:fldLock="1"/>
      </w:r>
      <w:r w:rsidR="00EB18A3">
        <w:rPr>
          <w:rFonts w:ascii="Arial" w:hAnsi="Arial" w:cs="Arial"/>
          <w:sz w:val="24"/>
          <w:szCs w:val="24"/>
        </w:rPr>
        <w:instrText>ADDIN CSL_CITATION {"citationItems":[{"id":"ITEM-1","itemData":{"DOI":"10.1177/0962280208092342","ISSN":"0962-2802","PMID":"18562396","abstract":"The self-controlled case series method is increasingly being used in pharmacoepidemiology, particularly in vaccine safety studies. This method is typically used to evaluate the association between a transient exposure and an acute event, using only cases. We present both parametric and semiparametric models using a motivating example on MMR vaccine and bleeding disorders. We briefly describe approaches for interferent events and a sequential version of the method for prospective surveillance of drug safety. The efficiency of the self-controlled case series method is compared to the that of cohort and case control studies. Some further extensions, to long or indefinite exposures and to bivariate counts, are described.","author":[{"dropping-particle":"","family":"Whitaker","given":"Heather J","non-dropping-particle":"","parse-names":false,"suffix":""},{"dropping-particle":"","family":"Hocine","given":"Mounia N","non-dropping-particle":"","parse-names":false,"suffix":""},{"dropping-particle":"","family":"Farrington","given":"C Paddy","non-dropping-particle":"","parse-names":false,"suffix":""}],"container-title":"Statistical methods in medical research","id":"ITEM-1","issue":"1","issued":{"date-parts":[["2009","2"]]},"page":"7-26","title":"The methodology of self-controlled case series studies.","type":"article-journal","volume":"18"},"uris":["http://www.mendeley.com/documents/?uuid=0bbe1ac2-68a9-46a3-9139-abe8f9bc35be"]},{"id":"ITEM-2","itemData":{"DOI":"10.1136/bmj.i4515","ISSN":"1756-1833","PMID":"27618829","author":[{"dropping-particle":"","family":"Petersen","given":"Irene","non-dropping-particle":"","parse-names":false,"suffix":""},{"dropping-particle":"","family":"Douglas","given":"Ian","non-dropping-particle":"","parse-names":false,"suffix":""},{"dropping-particle":"","family":"Whitaker","given":"Heather","non-dropping-particle":"","parse-names":false,"suffix":""}],"container-title":"BMJ (Clinical research ed.)","id":"ITEM-2","issued":{"date-parts":[["2016","9","12"]]},"page":"i4515","title":"Self controlled case series methods: an alternative to standard epidemiological study designs.","type":"article-journal","volume":"354"},"uris":["http://www.mendeley.com/documents/?uuid=55e778f6-3495-4731-8b45-df35f33efaf5"]}],"mendeley":{"formattedCitation":"(21,22)","plainTextFormattedCitation":"(21,22)","previouslyFormattedCitation":"(21,22)"},"properties":{"noteIndex":0},"schema":"https://github.com/citation-style-language/schema/raw/master/csl-citation.json"}</w:instrText>
      </w:r>
      <w:r w:rsidR="0090352B">
        <w:rPr>
          <w:rFonts w:ascii="Arial" w:hAnsi="Arial" w:cs="Arial"/>
          <w:sz w:val="24"/>
          <w:szCs w:val="24"/>
          <w:vertAlign w:val="superscript"/>
        </w:rPr>
        <w:fldChar w:fldCharType="separate"/>
      </w:r>
      <w:r w:rsidR="0032390D" w:rsidRPr="0032390D">
        <w:rPr>
          <w:rFonts w:ascii="Arial" w:hAnsi="Arial" w:cs="Arial"/>
          <w:noProof/>
          <w:sz w:val="24"/>
          <w:szCs w:val="24"/>
        </w:rPr>
        <w:t>(21,22)</w:t>
      </w:r>
      <w:r w:rsidR="0090352B">
        <w:rPr>
          <w:rFonts w:ascii="Arial" w:hAnsi="Arial" w:cs="Arial"/>
          <w:sz w:val="24"/>
          <w:szCs w:val="24"/>
        </w:rPr>
        <w:fldChar w:fldCharType="end"/>
      </w:r>
      <w:r w:rsidRPr="00021272">
        <w:rPr>
          <w:rFonts w:ascii="Arial" w:hAnsi="Arial" w:cs="Arial"/>
          <w:sz w:val="24"/>
          <w:szCs w:val="24"/>
        </w:rPr>
        <w:t xml:space="preserve">. </w:t>
      </w:r>
      <w:r w:rsidR="0025665E" w:rsidRPr="0025665E">
        <w:rPr>
          <w:rFonts w:ascii="Arial" w:hAnsi="Arial" w:cs="Arial"/>
          <w:sz w:val="24"/>
          <w:szCs w:val="24"/>
          <w:lang w:val="en-US"/>
        </w:rPr>
        <w:t>It has the advantage of implicitly controlling for all between-person confounding, by conditioning on the time of events and analyzing when exposures occur in relation to this within each individual.</w:t>
      </w:r>
    </w:p>
    <w:p w14:paraId="1A3A2EC8" w14:textId="5AF8C6F3" w:rsidR="00021272" w:rsidRPr="00EB18A3" w:rsidRDefault="00021272" w:rsidP="00021272">
      <w:pPr>
        <w:spacing w:line="480" w:lineRule="auto"/>
        <w:rPr>
          <w:rFonts w:ascii="Arial" w:hAnsi="Arial" w:cs="Arial"/>
          <w:sz w:val="24"/>
          <w:szCs w:val="24"/>
          <w:lang w:val="en-US"/>
        </w:rPr>
      </w:pPr>
      <w:r w:rsidRPr="00021272">
        <w:rPr>
          <w:rFonts w:ascii="Arial" w:hAnsi="Arial" w:cs="Arial"/>
          <w:sz w:val="24"/>
          <w:szCs w:val="24"/>
        </w:rPr>
        <w:t xml:space="preserve">Population: Adults aged ≥18 years with ≥1 primary-care consultation for IBD; and ≥1 prescription for </w:t>
      </w:r>
      <w:r w:rsidR="0025665E" w:rsidRPr="0025665E">
        <w:rPr>
          <w:rFonts w:ascii="Arial" w:hAnsi="Arial" w:cs="Arial"/>
          <w:sz w:val="24"/>
          <w:szCs w:val="24"/>
          <w:lang w:val="en-US"/>
        </w:rPr>
        <w:t xml:space="preserve">5-amino salicylate drugs (mesalazine, balsalazide, olsalazine) or </w:t>
      </w:r>
      <w:r w:rsidRPr="00021272">
        <w:rPr>
          <w:rFonts w:ascii="Arial" w:hAnsi="Arial" w:cs="Arial"/>
          <w:sz w:val="24"/>
          <w:szCs w:val="24"/>
        </w:rPr>
        <w:t xml:space="preserve">any conventional immunosuppressing drugs </w:t>
      </w:r>
      <w:r w:rsidR="0025665E" w:rsidRPr="0025665E">
        <w:rPr>
          <w:rFonts w:ascii="Arial" w:hAnsi="Arial" w:cs="Arial"/>
          <w:sz w:val="24"/>
          <w:szCs w:val="24"/>
          <w:lang w:val="en-US"/>
        </w:rPr>
        <w:t xml:space="preserve">i.e. azathioprine, 5-mercaptopurine, </w:t>
      </w:r>
      <w:r w:rsidR="0025665E" w:rsidRPr="0025665E">
        <w:rPr>
          <w:rFonts w:ascii="Arial" w:hAnsi="Arial" w:cs="Arial"/>
          <w:sz w:val="24"/>
          <w:szCs w:val="24"/>
          <w:lang w:val="en-US"/>
        </w:rPr>
        <w:lastRenderedPageBreak/>
        <w:t xml:space="preserve">methotrexate, mycophenolate mofetil, ciclosporin, tacrolimus, sirolimus </w:t>
      </w:r>
      <w:r w:rsidRPr="00021272">
        <w:rPr>
          <w:rFonts w:ascii="Arial" w:hAnsi="Arial" w:cs="Arial"/>
          <w:sz w:val="24"/>
          <w:szCs w:val="24"/>
        </w:rPr>
        <w:t xml:space="preserve">prior to 1st December 2020 were eligible to be included in the study, provided they also received ≥1 vaccination against </w:t>
      </w:r>
      <w:r w:rsidR="0025665E">
        <w:rPr>
          <w:rFonts w:ascii="Arial" w:hAnsi="Arial" w:cs="Arial"/>
          <w:sz w:val="24"/>
          <w:szCs w:val="24"/>
        </w:rPr>
        <w:t>COVID</w:t>
      </w:r>
      <w:r w:rsidRPr="00021272">
        <w:rPr>
          <w:rFonts w:ascii="Arial" w:hAnsi="Arial" w:cs="Arial"/>
          <w:sz w:val="24"/>
          <w:szCs w:val="24"/>
        </w:rPr>
        <w:t xml:space="preserve">-19 and consulted their </w:t>
      </w:r>
      <w:r w:rsidR="0025665E">
        <w:rPr>
          <w:rFonts w:ascii="Arial" w:hAnsi="Arial" w:cs="Arial"/>
          <w:sz w:val="24"/>
          <w:szCs w:val="24"/>
        </w:rPr>
        <w:t>primary-care provider</w:t>
      </w:r>
      <w:r w:rsidRPr="00021272">
        <w:rPr>
          <w:rFonts w:ascii="Arial" w:hAnsi="Arial" w:cs="Arial"/>
          <w:sz w:val="24"/>
          <w:szCs w:val="24"/>
        </w:rPr>
        <w:t xml:space="preserve"> for ≥1 IBD flare in the study period. </w:t>
      </w:r>
      <w:r w:rsidR="0025665E" w:rsidRPr="0025665E">
        <w:rPr>
          <w:rFonts w:ascii="Arial" w:hAnsi="Arial" w:cs="Arial"/>
          <w:sz w:val="24"/>
          <w:szCs w:val="24"/>
          <w:lang w:val="en-US"/>
        </w:rPr>
        <w:t>A primary-care diagnosis of IBD recorded in the CPRD has been validated to have a 92% positive predictive value for probable or highly probably diagnosis of IBD</w:t>
      </w:r>
      <w:r w:rsidR="00EB18A3">
        <w:rPr>
          <w:rFonts w:ascii="Arial" w:hAnsi="Arial" w:cs="Arial"/>
          <w:sz w:val="24"/>
          <w:szCs w:val="24"/>
          <w:lang w:val="en-US"/>
        </w:rPr>
        <w:fldChar w:fldCharType="begin" w:fldLock="1"/>
      </w:r>
      <w:r w:rsidR="00877691">
        <w:rPr>
          <w:rFonts w:ascii="Arial" w:hAnsi="Arial" w:cs="Arial"/>
          <w:sz w:val="24"/>
          <w:szCs w:val="24"/>
          <w:lang w:val="en-US"/>
        </w:rPr>
        <w:instrText>ADDIN CSL_CITATION {"citationItems":[{"id":"ITEM-1","itemData":{"DOI":"10.1002/pds.698","ISSN":"10538569","PMID":"12051120","abstract":"PURPOSE: The objective of this study was to evaluate the validity and completeness of the General Practice Research Database (GPRD) as a tool for research into inflammatory bowel disease epidemiology.\\n\\nMETHODS: Patients diagnosed with inflammatory bowel disease were identified from GPRD. Mailed surveys were sent to the general practitioner caring for a stratified random sample of 170 of these patients and collected information on the diagnosis of inflammatory bowel disease and the most recent surgery and hospitalization.\\n\\nRESULTS: Usable surveys were returned for 157 patients (92%). The inflammatory bowel disease diagnosis was highly probable or probable in 144 (92%, 95% CI 86 to 96%). Among the 53 patients with a potentially incident inflammatory bowel disease diagnosis, 33 (62%) had the first recorded diagnosis in GPRD within 30 days of the date reported in the survey (median difference -8 days; interquartile range 0 to -81 days). Of 12 surgeries and 25 hospitalizations reported in the survey, 11 (92%) and 19 (76%) were identified in GPRD, respectively.\\n\\nCONCLUSIONS: The diagnosis of inflammatory bowel disease in GPRD appears reliable for most patients. Important medical events such as hospitalizations and surgery are recorded at a high rate, although algorithms to identify these events are complex.","author":[{"dropping-particle":"","family":"Lewis","given":"James D.","non-dropping-particle":"","parse-names":false,"suffix":""},{"dropping-particle":"","family":"Brensinger","given":"Colleen","non-dropping-particle":"","parse-names":false,"suffix":""},{"dropping-particle":"","family":"Bilker","given":"Warren B.","non-dropping-particle":"","parse-names":false,"suffix":""},{"dropping-particle":"","family":"Strom","given":"Brian L.","non-dropping-particle":"","parse-names":false,"suffix":""}],"container-title":"Pharmacoepidemiology and Drug Safety","id":"ITEM-1","issue":"3","issued":{"date-parts":[["2002"]]},"note":"From Duplicate 1 ( \n\n\nValidity and completeness of the General Practice Research Database for studies of inflammatory bowel disease.\n\n\n- Lewis, James D; Brensinger, Colleen; Bilker, Warren B; Strom, Brian L )\n\n\n\nJournal Article","page":"211-218","title":"Validity and completeness of the General Practice Research Database for studies of inflammatory bowel disease","type":"article-journal","volume":"11"},"uris":["http://www.mendeley.com/documents/?uuid=b60a3140-9018-4450-987b-58261745ee8d"]}],"mendeley":{"formattedCitation":"(23)","plainTextFormattedCitation":"(23)","previouslyFormattedCitation":"(23)"},"properties":{"noteIndex":0},"schema":"https://github.com/citation-style-language/schema/raw/master/csl-citation.json"}</w:instrText>
      </w:r>
      <w:r w:rsidR="00EB18A3">
        <w:rPr>
          <w:rFonts w:ascii="Arial" w:hAnsi="Arial" w:cs="Arial"/>
          <w:sz w:val="24"/>
          <w:szCs w:val="24"/>
          <w:lang w:val="en-US"/>
        </w:rPr>
        <w:fldChar w:fldCharType="separate"/>
      </w:r>
      <w:r w:rsidR="00EB18A3" w:rsidRPr="00EB18A3">
        <w:rPr>
          <w:rFonts w:ascii="Arial" w:hAnsi="Arial" w:cs="Arial"/>
          <w:noProof/>
          <w:sz w:val="24"/>
          <w:szCs w:val="24"/>
          <w:lang w:val="en-US"/>
        </w:rPr>
        <w:t>(23)</w:t>
      </w:r>
      <w:r w:rsidR="00EB18A3">
        <w:rPr>
          <w:rFonts w:ascii="Arial" w:hAnsi="Arial" w:cs="Arial"/>
          <w:sz w:val="24"/>
          <w:szCs w:val="24"/>
          <w:lang w:val="en-US"/>
        </w:rPr>
        <w:fldChar w:fldCharType="end"/>
      </w:r>
      <w:r w:rsidR="00EB18A3">
        <w:rPr>
          <w:rStyle w:val="Hyperlink"/>
          <w:rFonts w:ascii="Arial" w:hAnsi="Arial" w:cs="Arial"/>
          <w:sz w:val="24"/>
          <w:szCs w:val="24"/>
          <w:lang w:val="en-US"/>
        </w:rPr>
        <w:t xml:space="preserve">. </w:t>
      </w:r>
      <w:r w:rsidR="00B25AF9">
        <w:rPr>
          <w:rFonts w:ascii="Arial" w:hAnsi="Arial" w:cs="Arial"/>
          <w:sz w:val="24"/>
          <w:szCs w:val="24"/>
        </w:rPr>
        <w:t>Codes are provided in supplemental data, as appendix 1.</w:t>
      </w:r>
    </w:p>
    <w:p w14:paraId="45218127" w14:textId="0EB252D1"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Study period</w:t>
      </w:r>
      <w:r w:rsidR="00B4669C">
        <w:rPr>
          <w:rFonts w:ascii="Arial" w:hAnsi="Arial" w:cs="Arial"/>
          <w:sz w:val="24"/>
          <w:szCs w:val="24"/>
        </w:rPr>
        <w:t>:</w:t>
      </w:r>
      <w:r w:rsidRPr="00021272">
        <w:rPr>
          <w:rFonts w:ascii="Arial" w:hAnsi="Arial" w:cs="Arial"/>
          <w:sz w:val="24"/>
          <w:szCs w:val="24"/>
        </w:rPr>
        <w:t xml:space="preserve"> 1st December 2020 to 31st December 2021. Follow-up was censored if death, emigration from participating general practice, or last collection of data from general practice occurred before 31st December 2021.</w:t>
      </w:r>
    </w:p>
    <w:p w14:paraId="31648E7C" w14:textId="14F54FDE"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 xml:space="preserve">Exposure: Vaccination against </w:t>
      </w:r>
      <w:r w:rsidR="0025665E">
        <w:rPr>
          <w:rFonts w:ascii="Arial" w:hAnsi="Arial" w:cs="Arial"/>
          <w:sz w:val="24"/>
          <w:szCs w:val="24"/>
        </w:rPr>
        <w:t>COVID</w:t>
      </w:r>
      <w:r w:rsidRPr="00021272">
        <w:rPr>
          <w:rFonts w:ascii="Arial" w:hAnsi="Arial" w:cs="Arial"/>
          <w:sz w:val="24"/>
          <w:szCs w:val="24"/>
        </w:rPr>
        <w:t>-19 was the exposure of interest and was defined using product codes for vaccines and vaccination dates. Product codes were used to define the vaccine type and brand, specifically vectored DNA (AZD1222) and mRNA (mRNA-1273, BNT1262b2).</w:t>
      </w:r>
    </w:p>
    <w:p w14:paraId="79BAF24D" w14:textId="5801DA5F"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 xml:space="preserve">Outcome: IBD flare was the outcome of interest. It was defined as primary-care consultation with a diagnostic coding for </w:t>
      </w:r>
      <w:r w:rsidR="0090352B">
        <w:rPr>
          <w:rFonts w:ascii="Arial" w:hAnsi="Arial" w:cs="Arial"/>
          <w:sz w:val="24"/>
          <w:szCs w:val="24"/>
        </w:rPr>
        <w:t>IBD</w:t>
      </w:r>
      <w:r w:rsidR="00B03959">
        <w:rPr>
          <w:rFonts w:ascii="Arial" w:hAnsi="Arial" w:cs="Arial"/>
          <w:sz w:val="24"/>
          <w:szCs w:val="24"/>
        </w:rPr>
        <w:t>,</w:t>
      </w:r>
      <w:r w:rsidR="00B03959" w:rsidRPr="00B03959">
        <w:t xml:space="preserve"> </w:t>
      </w:r>
      <w:r w:rsidR="00B03959" w:rsidRPr="00B03959">
        <w:rPr>
          <w:rFonts w:ascii="Arial" w:hAnsi="Arial" w:cs="Arial"/>
          <w:sz w:val="24"/>
          <w:szCs w:val="24"/>
        </w:rPr>
        <w:t xml:space="preserve">diarrhoea, abdominal pain, </w:t>
      </w:r>
      <w:r w:rsidR="003A7F10">
        <w:rPr>
          <w:rFonts w:ascii="Arial" w:hAnsi="Arial" w:cs="Arial"/>
          <w:sz w:val="24"/>
          <w:szCs w:val="24"/>
        </w:rPr>
        <w:t xml:space="preserve">or </w:t>
      </w:r>
      <w:r w:rsidR="00B03959" w:rsidRPr="00B03959">
        <w:rPr>
          <w:rFonts w:ascii="Arial" w:hAnsi="Arial" w:cs="Arial"/>
          <w:sz w:val="24"/>
          <w:szCs w:val="24"/>
        </w:rPr>
        <w:t>rectal-bleeding</w:t>
      </w:r>
      <w:r w:rsidRPr="00021272">
        <w:rPr>
          <w:rFonts w:ascii="Arial" w:hAnsi="Arial" w:cs="Arial"/>
          <w:sz w:val="24"/>
          <w:szCs w:val="24"/>
        </w:rPr>
        <w:t xml:space="preserve"> entered on that date, and accompanied with a corticosteroid prescription on the same or the subsequent date. Date of primary-care consultation for </w:t>
      </w:r>
      <w:r w:rsidR="0090352B">
        <w:rPr>
          <w:rFonts w:ascii="Arial" w:hAnsi="Arial" w:cs="Arial"/>
          <w:sz w:val="24"/>
          <w:szCs w:val="24"/>
        </w:rPr>
        <w:t>IBD</w:t>
      </w:r>
      <w:r w:rsidRPr="00021272">
        <w:rPr>
          <w:rFonts w:ascii="Arial" w:hAnsi="Arial" w:cs="Arial"/>
          <w:sz w:val="24"/>
          <w:szCs w:val="24"/>
        </w:rPr>
        <w:t xml:space="preserve"> flares was used to define the outcome date and participants</w:t>
      </w:r>
      <w:r w:rsidR="001A1C95">
        <w:rPr>
          <w:rFonts w:ascii="Arial" w:hAnsi="Arial" w:cs="Arial"/>
          <w:sz w:val="24"/>
          <w:szCs w:val="24"/>
        </w:rPr>
        <w:t xml:space="preserve"> could</w:t>
      </w:r>
      <w:r w:rsidRPr="00021272">
        <w:rPr>
          <w:rFonts w:ascii="Arial" w:hAnsi="Arial" w:cs="Arial"/>
          <w:sz w:val="24"/>
          <w:szCs w:val="24"/>
        </w:rPr>
        <w:t xml:space="preserve"> contribute</w:t>
      </w:r>
      <w:r w:rsidR="00557F78">
        <w:rPr>
          <w:rFonts w:ascii="Arial" w:hAnsi="Arial" w:cs="Arial"/>
          <w:sz w:val="24"/>
          <w:szCs w:val="24"/>
        </w:rPr>
        <w:t xml:space="preserve"> </w:t>
      </w:r>
      <w:r w:rsidRPr="00021272">
        <w:rPr>
          <w:rFonts w:ascii="Arial" w:hAnsi="Arial" w:cs="Arial"/>
          <w:sz w:val="24"/>
          <w:szCs w:val="24"/>
        </w:rPr>
        <w:t>data with multiple flares.</w:t>
      </w:r>
    </w:p>
    <w:p w14:paraId="13EE6A36" w14:textId="4DDA48AE"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 xml:space="preserve">Exposed and unexposed periods: The study period was divided into </w:t>
      </w:r>
      <w:r w:rsidR="0025665E">
        <w:rPr>
          <w:rFonts w:ascii="Arial" w:hAnsi="Arial" w:cs="Arial"/>
          <w:sz w:val="24"/>
          <w:szCs w:val="24"/>
        </w:rPr>
        <w:t xml:space="preserve">a </w:t>
      </w:r>
      <w:r w:rsidRPr="00021272">
        <w:rPr>
          <w:rFonts w:ascii="Arial" w:hAnsi="Arial" w:cs="Arial"/>
          <w:sz w:val="24"/>
          <w:szCs w:val="24"/>
        </w:rPr>
        <w:t>pre-vaccination</w:t>
      </w:r>
      <w:r w:rsidR="0025665E">
        <w:rPr>
          <w:rFonts w:ascii="Arial" w:hAnsi="Arial" w:cs="Arial"/>
          <w:sz w:val="24"/>
          <w:szCs w:val="24"/>
        </w:rPr>
        <w:t xml:space="preserve"> </w:t>
      </w:r>
      <w:r w:rsidR="0025665E" w:rsidRPr="0025665E">
        <w:rPr>
          <w:rFonts w:ascii="Arial" w:hAnsi="Arial" w:cs="Arial"/>
          <w:sz w:val="24"/>
          <w:szCs w:val="24"/>
          <w:lang w:val="en-US"/>
        </w:rPr>
        <w:t>period that immediately preceded vaccination, a vaccine-exposed period that immediately followed vaccination, and the remaining</w:t>
      </w:r>
      <w:r w:rsidRPr="00021272">
        <w:rPr>
          <w:rFonts w:ascii="Arial" w:hAnsi="Arial" w:cs="Arial"/>
          <w:sz w:val="24"/>
          <w:szCs w:val="24"/>
        </w:rPr>
        <w:t xml:space="preserve"> vaccine-unexposed</w:t>
      </w:r>
      <w:r w:rsidR="0025665E">
        <w:rPr>
          <w:rFonts w:ascii="Arial" w:hAnsi="Arial" w:cs="Arial"/>
          <w:sz w:val="24"/>
          <w:szCs w:val="24"/>
        </w:rPr>
        <w:t xml:space="preserve"> baseline period</w:t>
      </w:r>
      <w:r w:rsidRPr="00021272">
        <w:rPr>
          <w:rFonts w:ascii="Arial" w:hAnsi="Arial" w:cs="Arial"/>
          <w:sz w:val="24"/>
          <w:szCs w:val="24"/>
        </w:rPr>
        <w:t xml:space="preserve"> (Figure 1). The vaccine-exposed </w:t>
      </w:r>
      <w:r w:rsidRPr="00BD06E9">
        <w:rPr>
          <w:rFonts w:ascii="Arial" w:hAnsi="Arial" w:cs="Arial"/>
          <w:sz w:val="24"/>
          <w:szCs w:val="24"/>
        </w:rPr>
        <w:t xml:space="preserve">period was </w:t>
      </w:r>
      <w:r w:rsidR="0025665E" w:rsidRPr="00BD06E9">
        <w:rPr>
          <w:rFonts w:ascii="Arial" w:hAnsi="Arial" w:cs="Arial"/>
          <w:sz w:val="24"/>
          <w:szCs w:val="24"/>
          <w:lang w:val="en-US"/>
        </w:rPr>
        <w:t xml:space="preserve">defined as the date of </w:t>
      </w:r>
      <w:r w:rsidR="0025665E" w:rsidRPr="00BD06E9">
        <w:rPr>
          <w:rFonts w:ascii="Arial" w:hAnsi="Arial" w:cs="Arial"/>
          <w:sz w:val="24"/>
          <w:szCs w:val="24"/>
          <w:lang w:val="en-US"/>
        </w:rPr>
        <w:lastRenderedPageBreak/>
        <w:t>vaccination and the</w:t>
      </w:r>
      <w:r w:rsidR="0025665E" w:rsidRPr="00BD06E9">
        <w:rPr>
          <w:rFonts w:ascii="Arial" w:hAnsi="Arial" w:cs="Arial"/>
          <w:b/>
          <w:sz w:val="24"/>
          <w:szCs w:val="24"/>
          <w:lang w:val="en-US"/>
        </w:rPr>
        <w:t xml:space="preserve"> </w:t>
      </w:r>
      <w:r w:rsidRPr="00BD06E9">
        <w:rPr>
          <w:rFonts w:ascii="Arial" w:hAnsi="Arial" w:cs="Arial"/>
          <w:sz w:val="24"/>
          <w:szCs w:val="24"/>
        </w:rPr>
        <w:t xml:space="preserve">21-days </w:t>
      </w:r>
      <w:r w:rsidR="0025665E" w:rsidRPr="00BD06E9">
        <w:rPr>
          <w:rFonts w:ascii="Arial" w:hAnsi="Arial" w:cs="Arial"/>
          <w:sz w:val="24"/>
          <w:szCs w:val="24"/>
        </w:rPr>
        <w:t xml:space="preserve">immediately after the date of </w:t>
      </w:r>
      <w:r w:rsidRPr="004D5231">
        <w:rPr>
          <w:rFonts w:ascii="Arial" w:hAnsi="Arial" w:cs="Arial"/>
          <w:sz w:val="24"/>
          <w:szCs w:val="24"/>
        </w:rPr>
        <w:t xml:space="preserve">vaccination as it takes approximately 2-3 weeks for primary </w:t>
      </w:r>
      <w:r w:rsidR="0025665E" w:rsidRPr="00FE364A">
        <w:rPr>
          <w:rFonts w:ascii="Arial" w:hAnsi="Arial" w:cs="Arial"/>
          <w:sz w:val="24"/>
          <w:szCs w:val="24"/>
        </w:rPr>
        <w:t>COVID</w:t>
      </w:r>
      <w:r w:rsidRPr="00F15649">
        <w:rPr>
          <w:rFonts w:ascii="Arial" w:hAnsi="Arial" w:cs="Arial"/>
          <w:sz w:val="24"/>
          <w:szCs w:val="24"/>
        </w:rPr>
        <w:t>-19 immunization to induce an immunological response</w:t>
      </w:r>
      <w:r w:rsidR="00A81E01" w:rsidRPr="00BD06E9">
        <w:rPr>
          <w:rFonts w:ascii="Arial" w:hAnsi="Arial" w:cs="Arial"/>
          <w:sz w:val="24"/>
          <w:szCs w:val="24"/>
        </w:rPr>
        <w:fldChar w:fldCharType="begin" w:fldLock="1"/>
      </w:r>
      <w:r w:rsidR="00877691" w:rsidRPr="00F15649">
        <w:rPr>
          <w:rFonts w:ascii="Arial" w:hAnsi="Arial" w:cs="Arial"/>
          <w:sz w:val="24"/>
          <w:szCs w:val="24"/>
        </w:rPr>
        <w:instrText>ADDIN CSL_CITATION {"citationItems":[{"id":"ITEM-1","itemData":{"DOI":"10.1016/S0140-6736(20)31604-4","ISSN":"1474547X","PMID":"32702298","abstract":"Background: The pandemic of severe acute respiratory syndrome coronavirus 2 (SARS-CoV-2) might be curtailed by vaccination. We assessed the safety, reactogenicity, and immunogenicity of a viral vectored coronavirus vaccine that expresses the spike protein of SARS-CoV-2. Methods: We did a phase 1/2, single-blind, randomised controlled trial in five trial sites in the UK of a chimpanzee adenovirus-vectored vaccine (ChAdOx1 nCoV-19) expressing the SARS-CoV-2 spike protein compared with a meningococcal conjugate vaccine (MenACWY) as control. Healthy adults aged 18–55 years with no history of laboratory confirmed SARS-CoV-2 infection or of COVID-19-like symptoms were randomly assigned (1:1) to receive ChAdOx1 nCoV-19 at a dose of 5 × 1010 viral particles or MenACWY as a single intramuscular injection. A protocol amendment in two of the five sites allowed prophylactic paracetamol to be administered before vaccination. Ten participants assigned to a non-randomised, unblinded ChAdOx1 nCoV-19 prime-boost group received a two-dose schedule, with the booster vaccine administered 28 days after the first dose. Humoral responses at baseline and following vaccination were assessed using a standardised total IgG ELISA against trimeric SARS-CoV-2 spike protein, a muliplexed immunoassay, three live SARS-CoV-2 neutralisation assays (a 50% plaque reduction neutralisation assay [PRNT50]; a microneutralisation assay [MNA50, MNA80, and MNA90]; and Marburg VN), and a pseudovirus neutralisation assay. Cellular responses were assessed using an ex-vivo interferon-γ enzyme-linked immunospot assay. The co-primary outcomes are to assess efficacy, as measured by cases of symptomatic virologically confirmed COVID-19, and safety, as measured by the occurrence of serious adverse events. Analyses were done by group allocation in participants who received the vaccine. Safety was assessed over 28 days after vaccination. Here, we report the preliminary findings on safety, reactogenicity, and cellular and humoral immune responses. The study is ongoing, and was registered at ISRCTN, 15281137, and ClinicalTrials.gov, NCT04324606. Findings: Between April 23 and May 21, 2020, 1077 participants were enrolled and assigned to receive either ChAdOx1 nCoV-19 (n=543) or MenACWY (n=534), ten of whom were enrolled in the non-randomised ChAdOx1 nCoV-19 prime-boost group. Local and systemic reactions were more common in the ChAdOx1 nCoV-19 group and many were reduced by use of prophylactic paracetamol, in…","author":[{"dropping-particle":"","family":"Folegatti","given":"Pedro M.","non-dropping-particle":"","parse-names":false,"suffix":""},{"dropping-particle":"","family":"Ewer","given":"Katie J.","non-dropping-particle":"","parse-names":false,"suffix":""},{"dropping-particle":"","family":"Aley","given":"Parvinder K.","non-dropping-particle":"","parse-names":false,"suffix":""},{"dropping-particle":"","family":"Angus","given":"Brian","non-dropping-particle":"","parse-names":false,"suffix":""},{"dropping-particle":"","family":"Becker","given":"Stephan","non-dropping-particle":"","parse-names":false,"suffix":""},{"dropping-particle":"","family":"Belij-Rammerstorfer","given":"Sandra","non-dropping-particle":"","parse-names":false,"suffix":""},{"dropping-particle":"","family":"Bellamy","given":"Duncan","non-dropping-particle":"","parse-names":false,"suffix":""},{"dropping-particle":"","family":"Bibi","given":"Sagida","non-dropping-particle":"","parse-names":false,"suffix":""},{"dropping-particle":"","family":"Bittaye","given":"Mustapha","non-dropping-particle":"","parse-names":false,"suffix":""},{"dropping-particle":"","family":"Clutterbuck","given":"Elizabeth A.","non-dropping-particle":"","parse-names":false,"suffix":""},{"dropping-particle":"","family":"Dold","given":"Christina","non-dropping-particle":"","parse-names":false,"suffix":""},{"dropping-particle":"","family":"Faust","given":"Saul N.","non-dropping-particle":"","parse-names":false,"suffix":""},{"dropping-particle":"","family":"Finn","given":"Adam","non-dropping-particle":"","parse-names":false,"suffix":""},{"dropping-particle":"","family":"Flaxman","given":"Amy L.","non-dropping-particle":"","parse-names":false,"suffix":""},{"dropping-particle":"","family":"Hallis","given":"Bassam","non-dropping-particle":"","parse-names":false,"suffix":""},{"dropping-particle":"","family":"Heath","given":"Paul","non-dropping-particle":"","parse-names":false,"suffix":""},{"dropping-particle":"","family":"Jenkin","given":"Daniel","non-dropping-particle":"","parse-names":false,"suffix":""},{"dropping-particle":"","family":"Lazarus","given":"Rajeka","non-dropping-particle":"","parse-names":false,"suffix":""},{"dropping-particle":"","family":"Makinson","given":"Rebecca","non-dropping-particle":"","parse-names":false,"suffix":""},{"dropping-particle":"","family":"Minassian","given":"Angela M.","non-dropping-particle":"","parse-names":false,"suffix":""},{"dropping-particle":"","family":"Pollock","given":"Katrina M.","non-dropping-particle":"","parse-names":false,"suffix":""},{"dropping-particle":"","family":"Ramasamy","given":"Maheshi","non-dropping-particle":"","parse-names":false,"suffix":""},{"dropping-particle":"","family":"Robinson","given":"Hannah","non-dropping-particle":"","parse-names":false,"suffix":""},{"dropping-particle":"","family":"Snape","given":"Matthew","non-dropping-particle":"","parse-names":false,"suffix":""},{"dropping-particle":"","family":"Tarrant","given":"Richard","non-dropping-particle":"","parse-names":false,"suffix":""},{"dropping-particle":"","family":"Voysey","given":"Merryn","non-dropping-particle":"","parse-names":false,"suffix":""},{"dropping-particle":"","family":"Green","given":"Catherine","non-dropping-particle":"","parse-names":false,"suffix":""},{"dropping-particle":"","family":"Douglas","given":"Alexander D.","non-dropping-particle":"","parse-names":false,"suffix":""},{"dropping-particle":"","family":"Hill","given":"Adrian V.S.","non-dropping-particle":"","parse-names":false,"suffix":""},{"dropping-particle":"","family":"Lambe","given":"Teresa","non-dropping-particle":"","parse-names":false,"suffix":""},{"dropping-particle":"","family":"Gilbert","given":"Sarah C.","non-dropping-particle":"","parse-names":false,"suffix":""},{"dropping-particle":"","family":"Pollard","given":"Andrew J.","non-dropping-particle":"","parse-names":false,"suffix":""},{"dropping-particle":"","family":"Aboagye","given":"Jeremy","non-dropping-particle":"","parse-names":false,"suffix":""},{"dropping-particle":"","family":"Adams","given":"Kelly","non-dropping-particle":"","parse-names":false,"suffix":""},{"dropping-particle":"","family":"Ali","given":"Aabidah","non-dropping-particle":"","parse-names":false,"suffix":""},{"dropping-particle":"","family":"Allen","given":"Elizabeth","non-dropping-particle":"","parse-names":false,"suffix":""},{"dropping-particle":"","family":"Allison","given":"Jennifer L.","non-dropping-particle":"","parse-names":false,"suffix":""},{"dropping-particle":"","family":"Anslow","given":"Rachel","non-dropping-particle":"","parse-names":false,"suffix":""},{"dropping-particle":"","family":"Arbe-Barnes","given":"Edward H.","non-dropping-particle":"","parse-names":false,"suffix":""},{"dropping-particle":"","family":"Babbage","given":"Gavin","non-dropping-particle":"","parse-names":false,"suffix":""},{"dropping-particle":"","family":"Baillie","given":"Kenneth","non-dropping-particle":"","parse-names":false,"suffix":""},{"dropping-particle":"","family":"Baker","given":"Megan","non-dropping-particle":"","parse-names":false,"suffix":""},{"dropping-particle":"","family":"Baker","given":"Natalie","non-dropping-particle":"","parse-names":false,"suffix":""},{"dropping-particle":"","family":"Baker","given":"Philip","non-dropping-particle":"","parse-names":false,"suffix":""},{"dropping-particle":"","family":"Baleanu","given":"Ioana","non-dropping-particle":"","parse-names":false,"suffix":""},{"dropping-particle":"","family":"Ballaminut","given":"Juliana","non-dropping-particle":"","parse-names":false,"suffix":""},{"dropping-particle":"","family":"Barnes","given":"Eleanor","non-dropping-particle":"","parse-names":false,"suffix":""},{"dropping-particle":"","family":"Barrett","given":"Jordan","non-dropping-particle":"","parse-names":false,"suffix":""},{"dropping-particle":"","family":"Bates","given":"Louise","non-dropping-particle":"","parse-names":false,"suffix":""},{"dropping-particle":"","family":"Batten","given":"Alexander","non-dropping-particle":"","parse-names":false,"suffix":""},{"dropping-particle":"","family":"Beadon","given":"Kirsten","non-dropping-particle":"","parse-names":false,"suffix":""},{"dropping-particle":"","family":"Beckley","given":"Rebecca","non-dropping-particle":"","parse-names":false,"suffix":""},{"dropping-particle":"","family":"Berrie","given":"Eleanor","non-dropping-particle":"","parse-names":false,"suffix":""},{"dropping-particle":"","family":"Berry","given":"Lisa","non-dropping-particle":"","parse-names":false,"suffix":""},{"dropping-particle":"","family":"Beveridge","given":"Amy","non-dropping-particle":"","parse-names":false,"suffix":""},{"dropping-particle":"","family":"Bewley","given":"Kevin R.","non-dropping-particle":"","parse-names":false,"suffix":""},{"dropping-particle":"","family":"Bijker","given":"Else Margreet","non-dropping-particle":"","parse-names":false,"suffix":""},{"dropping-particle":"","family":"Bingham","given":"Tracey","non-dropping-particle":"","parse-names":false,"suffix":""},{"dropping-particle":"","family":"Blackwell","given":"Luke","non-dropping-particle":"","parse-names":false,"suffix":""},{"dropping-particle":"","family":"Blundell","given":"Caitlin L.","non-dropping-particle":"","parse-names":false,"suffix":""},{"dropping-particle":"","family":"Bolam","given":"Emma","non-dropping-particle":"","parse-names":false,"suffix":""},{"dropping-particle":"","family":"Boland","given":"Elena","non-dropping-particle":"","parse-names":false,"suffix":""},{"dropping-particle":"","family":"Borthwick","given":"Nicola","non-dropping-particle":"","parse-names":false,"suffix":""},{"dropping-particle":"","family":"Bower","given":"Thomas","non-dropping-particle":"","parse-names":false,"suffix":""},{"dropping-particle":"","family":"Boyd","given":"Amy","non-dropping-particle":"","parse-names":false,"suffix":""},{"dropping-particle":"","family":"Brenner","given":"Tanja","non-dropping-particle":"","parse-names":false,"suffix":""},{"dropping-particle":"","family":"Bright","given":"Philip D.","non-dropping-particle":"","parse-names":false,"suffix":""},{"dropping-particle":"","family":"Brown-O'Sullivan","given":"Charlie","non-dropping-particle":"","parse-names":false,"suffix":""},{"dropping-particle":"","family":"Brunt","given":"Emily","non-dropping-particle":"","parse-names":false,"suffix":""},{"dropping-particle":"","family":"Burbage","given":"Jamie","non-dropping-particle":"","parse-names":false,"suffix":""},{"dropping-particle":"","family":"Burge","given":"Sharon","non-dropping-particle":"","parse-names":false,"suffix":""},{"dropping-particle":"","family":"Buttigieg","given":"Karen R.","non-dropping-particle":"","parse-names":false,"suffix":""},{"dropping-particle":"","family":"Byard","given":"Nicholas","non-dropping-particle":"","parse-names":false,"suffix":""},{"dropping-particle":"","family":"Cabera Puig","given":"Ingrid","non-dropping-particle":"","parse-names":false,"suffix":""},{"dropping-particle":"","family":"Calvert","given":"Anna","non-dropping-particle":"","parse-names":false,"suffix":""},{"dropping-particle":"","family":"Camara","given":"Susana","non-dropping-particle":"","parse-names":false,"suffix":""},{"dropping-particle":"","family":"Cao","given":"Michelangelo","non-dropping-particle":"","parse-names":false,"suffix":""},{"dropping-particle":"","family":"Cappuccini","given":"Federica","non-dropping-particle":"","parse-names":false,"suffix":""},{"dropping-particle":"","family":"Carr","given":"Melanie","non-dropping-particle":"","parse-names":false,"suffix":""},{"dropping-particle":"","family":"Carroll","given":"Miles W.","non-dropping-particle":"","parse-names":false,"suffix":""},{"dropping-particle":"","family":"Carter","given":"Victoria","non-dropping-particle":"","parse-names":false,"suffix":""},{"dropping-particle":"","family":"Cathie","given":"Katrina","non-dropping-particle":"","parse-names":false,"suffix":""},{"dropping-particle":"","family":"Challis","given":"Ruth J.","non-dropping-particle":"","parse-names":false,"suffix":""},{"dropping-particle":"","family":"Charlton","given":"Sue","non-dropping-particle":"","parse-names":false,"suffix":""},{"dropping-particle":"","family":"Chelysheva","given":"Irina","non-dropping-particle":"","parse-names":false,"suffix":""},{"dropping-particle":"","family":"Cho","given":"Jee Sun","non-dropping-particle":"","parse-names":false,"suffix":""},{"dropping-particle":"","family":"Cicconi","given":"Paola","non-dropping-particle":"","parse-names":false,"suffix":""},{"dropping-particle":"","family":"Cifuentes","given":"Liliana","non-dropping-particle":"","parse-names":false,"suffix":""},{"dropping-particle":"","family":"Clark","given":"Helen","non-dropping-particle":"","parse-names":false,"suffix":""},{"dropping-particle":"","family":"Clark","given":"Elizabeth","non-dropping-particle":"","parse-names":false,"suffix":""},{"dropping-particle":"","family":"Cole","given":"Tom","non-dropping-particle":"","parse-names":false,"suffix":""},{"dropping-particle":"","family":"Colin-Jones","given":"Rachel","non-dropping-particle":"","parse-names":false,"suffix":""},{"dropping-particle":"","family":"Conlon","given":"Christopher P.","non-dropping-particle":"","parse-names":false,"suffix":""},{"dropping-particle":"","family":"Cook","given":"Aislinn","non-dropping-particle":"","parse-names":false,"suffix":""},{"dropping-particle":"","family":"Coombes","given":"Naomi S.","non-dropping-particle":"","parse-names":false,"suffix":""},{"dropping-particle":"","family":"Cooper","given":"Rachel","non-dropping-particle":"","parse-names":false,"suffix":""},{"dropping-particle":"","family":"Cosgrove","given":"Catherine A.","non-dropping-particle":"","parse-names":false,"suffix":""},{"dropping-particle":"","family":"Coy","given":"Karen","non-dropping-particle":"","parse-names":false,"suffix":""},{"dropping-particle":"","family":"Crocker","given":"Wendy E.M.","non-dropping-particle":"","parse-names":false,"suffix":""},{"dropping-particle":"","family":"Cunningham","given":"Christina J.","non-dropping-particle":"","parse-names":false,"suffix":""},{"dropping-particle":"","family":"Damratoski","given":"Brad E.","non-dropping-particle":"","parse-names":false,"suffix":""},{"dropping-particle":"","family":"Dando","given":"Lynne","non-dropping-particle":"","parse-names":false,"suffix":""},{"dropping-particle":"","family":"Datoo","given":"Mehreen S.","non-dropping-particle":"","parse-names":false,"suffix":""},{"dropping-particle":"","family":"Davies","given":"Hannah","non-dropping-particle":"","parse-names":false,"suffix":""},{"dropping-particle":"","family":"Graaf","given":"Hans","non-dropping-particle":"De","parse-names":false,"suffix":""},{"dropping-particle":"","family":"Demissie","given":"Tesfaye","non-dropping-particle":"","parse-names":false,"suffix":""},{"dropping-particle":"","family":"Maso","given":"Claudio","non-dropping-particle":"Di","parse-names":false,"suffix":""},{"dropping-particle":"","family":"Dietrich","given":"Isabelle","non-dropping-particle":"","parse-names":false,"suffix":""},{"dropping-particle":"","family":"Dong","given":"Tao","non-dropping-particle":"","parse-names":false,"suffix":""},{"dropping-particle":"","family":"Donnellan","given":"Francesca R.","non-dropping-particle":"","parse-names":false,"suffix":""},{"dropping-particle":"","family":"Douglas","given":"Naomi","non-dropping-particle":"","parse-names":false,"suffix":""},{"dropping-particle":"","family":"Downing","given":"Charlotte","non-dropping-particle":"","parse-names":false,"suffix":""},{"dropping-particle":"","family":"Drake","given":"Jonathan","non-dropping-particle":"","parse-names":false,"suffix":""},{"dropping-particle":"","family":"Drake-Brockman","given":"Rachael","non-dropping-particle":"","parse-names":false,"suffix":""},{"dropping-particle":"","family":"Drury","given":"Ruth Elizabeth","non-dropping-particle":"","parse-names":false,"suffix":""},{"dropping-particle":"","family":"Dunachie","given":"Susanna Jane","non-dropping-particle":"","parse-names":false,"suffix":""},{"dropping-particle":"","family":"Edwards","given":"Nick J.","non-dropping-particle":"","parse-names":false,"suffix":""},{"dropping-particle":"","family":"Edwards","given":"Frances D.L.","non-dropping-particle":"","parse-names":false,"suffix":""},{"dropping-particle":"","family":"Edwards","given":"Chris J.","non-dropping-particle":"","parse-names":false,"suffix":""},{"dropping-particle":"","family":"Elias","given":"Sean C.","non-dropping-particle":"","parse-names":false,"suffix":""},{"dropping-particle":"","family":"Elmore","given":"Michael J.","non-dropping-particle":"","parse-names":false,"suffix":""},{"dropping-particle":"","family":"Emary","given":"Katherine R.W.","non-dropping-particle":"","parse-names":false,"suffix":""},{"dropping-particle":"","family":"English","given":"Marcus Rex","non-dropping-particle":"","parse-names":false,"suffix":""},{"dropping-particle":"","family":"Fagerbrink","given":"Susanne","non-dropping-particle":"","parse-names":false,"suffix":""},{"dropping-particle":"","family":"Felle","given":"Sally","non-dropping-particle":"","parse-names":false,"suffix":""},{"dropping-particle":"","family":"Feng","given":"Shuo","non-dropping-particle":"","parse-names":false,"suffix":""},{"dropping-particle":"","family":"Field","given":"Samantha","non-dropping-particle":"","parse-names":false,"suffix":""},{"dropping-particle":"","family":"Fixmer","given":"Carine","non-dropping-particle":"","parse-names":false,"suffix":""},{"dropping-particle":"","family":"Fletcher","given":"Clare","non-dropping-particle":"","parse-names":false,"suffix":""},{"dropping-particle":"","family":"Ford","given":"Karen J.","non-dropping-particle":"","parse-names":false,"suffix":""},{"dropping-particle":"","family":"Fowler","given":"Jamie","non-dropping-particle":"","parse-names":false,"suffix":""},{"dropping-particle":"","family":"Fox","given":"Polly","non-dropping-particle":"","parse-names":false,"suffix":""},{"dropping-particle":"","family":"Francis","given":"Emma","non-dropping-particle":"","parse-names":false,"suffix":""},{"dropping-particle":"","family":"Frater","given":"John","non-dropping-particle":"","parse-names":false,"suffix":""},{"dropping-particle":"","family":"Furze","given":"Julie","non-dropping-particle":"","parse-names":false,"suffix":""},{"dropping-particle":"","family":"Fuskova","given":"Michelle","non-dropping-particle":"","parse-names":false,"suffix":""},{"dropping-particle":"","family":"Galiza","given":"Eva","non-dropping-particle":"","parse-names":false,"suffix":""},{"dropping-particle":"","family":"Gbesemete","given":"Diane","non-dropping-particle":"","parse-names":false,"suffix":""},{"dropping-particle":"","family":"Gilbride","given":"Ciaran","non-dropping-particle":"","parse-names":false,"suffix":""},{"dropping-particle":"","family":"Godwin","given":"Kerry","non-dropping-particle":"","parse-names":false,"suffix":""},{"dropping-particle":"","family":"Gorini","given":"Giacomo","non-dropping-particle":"","parse-names":false,"suffix":""},{"dropping-particle":"","family":"Goulston","given":"Lyndsey","non-dropping-particle":"","parse-names":false,"suffix":""},{"dropping-particle":"","family":"Grabau","given":"Caroline","non-dropping-particle":"","parse-names":false,"suffix":""},{"dropping-particle":"","family":"Gracie","given":"Lara","non-dropping-particle":"","parse-names":false,"suffix":""},{"dropping-particle":"","family":"Gray","given":"Zoe","non-dropping-particle":"","parse-names":false,"suffix":""},{"dropping-particle":"","family":"Guthrie","given":"Lucy Belle","non-dropping-particle":"","parse-names":false,"suffix":""},{"dropping-particle":"","family":"Hackett","given":"Mark","non-dropping-particle":"","parse-names":false,"suffix":""},{"dropping-particle":"","family":"Halwe","given":"Sandro","non-dropping-particle":"","parse-names":false,"suffix":""},{"dropping-particle":"","family":"Hamilton","given":"Elizabeth","non-dropping-particle":"","parse-names":false,"suffix":""},{"dropping-particle":"","family":"Hamlyn","given":"Joseph","non-dropping-particle":"","parse-names":false,"suffix":""},{"dropping-particle":"","family":"Hanumunthadu","given":"Brama","non-dropping-particle":"","parse-names":false,"suffix":""},{"dropping-particle":"","family":"Harding","given":"Irasha","non-dropping-particle":"","parse-names":false,"suffix":""},{"dropping-particle":"","family":"Harris","given":"Stephanie A.","non-dropping-particle":"","parse-names":false,"suffix":""},{"dropping-particle":"","family":"Harris","given":"Andrew","non-dropping-particle":"","parse-names":false,"suffix":""},{"dropping-particle":"","family":"Harrison","given":"Daisy","non-dropping-particle":"","parse-names":false,"suffix":""},{"dropping-particle":"","family":"Harrison","given":"Clare","non-dropping-particle":"","parse-names":false,"suffix":""},{"dropping-particle":"","family":"Hart","given":"Thomas C.","non-dropping-particle":"","parse-names":false,"suffix":""},{"dropping-particle":"","family":"Haskell","given":"Louise","non-dropping-particle":"","parse-names":false,"suffix":""},{"dropping-particle":"","family":"Hawkins","given":"Sophia","non-dropping-particle":"","parse-names":false,"suffix":""},{"dropping-particle":"","family":"Head","given":"Ian","non-dropping-particle":"","parse-names":false,"suffix":""},{"dropping-particle":"","family":"Henry","given":"John Aaron","non-dropping-particle":"","parse-names":false,"suffix":""},{"dropping-particle":"","family":"Hill","given":"Jennifer","non-dropping-particle":"","parse-names":false,"suffix":""},{"dropping-particle":"","family":"Hodgson","given":"Susanne H.C.","non-dropping-particle":"","parse-names":false,"suffix":""},{"dropping-particle":"","family":"Hou","given":"Mimi M.","non-dropping-particle":"","parse-names":false,"suffix":""},{"dropping-particle":"","family":"Howe","given":"Elizabeth","non-dropping-particle":"","parse-names":false,"suffix":""},{"dropping-particle":"","family":"Howell","given":"Nicola","non-dropping-particle":"","parse-names":false,"suffix":""},{"dropping-particle":"","family":"Hutlin","given":"Cecilia","non-dropping-particle":"","parse-names":false,"suffix":""},{"dropping-particle":"","family":"Ikram","given":"Sabina","non-dropping-particle":"","parse-names":false,"suffix":""},{"dropping-particle":"","family":"Isitt","given":"Catherine","non-dropping-particle":"","parse-names":false,"suffix":""},{"dropping-particle":"","family":"Iveson","given":"Poppy","non-dropping-particle":"","parse-names":false,"suffix":""},{"dropping-particle":"","family":"Jackson","given":"Susan","non-dropping-particle":"","parse-names":false,"suffix":""},{"dropping-particle":"","family":"Jackson","given":"Frederic","non-dropping-particle":"","parse-names":false,"suffix":""},{"dropping-particle":"","family":"James","given":"Sir William","non-dropping-particle":"","parse-names":false,"suffix":""},{"dropping-particle":"","family":"Jenkins","given":"Megan","non-dropping-particle":"","parse-names":false,"suffix":""},{"dropping-particle":"","family":"Jones","given":"Elizabeth","non-dropping-particle":"","parse-names":false,"suffix":""},{"dropping-particle":"","family":"Jones","given":"Kathryn","non-dropping-particle":"","parse-names":false,"suffix":""},{"dropping-particle":"","family":"Jones","given":"Christine E.","non-dropping-particle":"","parse-names":false,"suffix":""},{"dropping-particle":"","family":"Jones","given":"Bryony","non-dropping-particle":"","parse-names":false,"suffix":""},{"dropping-particle":"","family":"Kailath","given":"Reshma","non-dropping-particle":"","parse-names":false,"suffix":""},{"dropping-particle":"","family":"Karampatsas","given":"Konstantinos","non-dropping-particle":"","parse-names":false,"suffix":""},{"dropping-particle":"","family":"Keen","given":"Jade","non-dropping-particle":"","parse-names":false,"suffix":""},{"dropping-particle":"","family":"Kelly","given":"Sarah","non-dropping-particle":"","parse-names":false,"suffix":""},{"dropping-particle":"","family":"Kelly","given":"Dearbhla","non-dropping-particle":"","parse-names":false,"suffix":""},{"dropping-particle":"","family":"Kerr","given":"David","non-dropping-particle":"","parse-names":false,"suffix":""},{"dropping-particle":"","family":"Kerridge","given":"Simon","non-dropping-particle":"","parse-names":false,"suffix":""},{"dropping-particle":"","family":"Khan","given":"Liaquat","non-dropping-particle":"","parse-names":false,"suffix":""},{"dropping-particle":"","family":"Khan","given":"Uzma","non-dropping-particle":"","parse-names":false,"suffix":""},{"dropping-particle":"","family":"Killen","given":"Annabel","non-dropping-particle":"","parse-names":false,"suffix":""},{"dropping-particle":"","family":"Kinch","given":"Jasmin","non-dropping-particle":"","parse-names":false,"suffix":""},{"dropping-particle":"","family":"King","given":"Thomas B.","non-dropping-particle":"","parse-names":false,"suffix":""},{"dropping-particle":"","family":"King","given":"Lloyd","non-dropping-particle":"","parse-names":false,"suffix":""},{"dropping-particle":"","family":"King","given":"Jade","non-dropping-particle":"","parse-names":false,"suffix":""},{"dropping-particle":"","family":"Kingham-Page","given":"Lucy","non-dropping-particle":"","parse-names":false,"suffix":""},{"dropping-particle":"","family":"Klenerman","given":"Paul","non-dropping-particle":"","parse-names":false,"suffix":""},{"dropping-particle":"","family":"Knapper","given":"Francesca","non-dropping-particle":"","parse-names":false,"suffix":""},{"dropping-particle":"","family":"Knight","given":"Julian C.","non-dropping-particle":"","parse-names":false,"suffix":""},{"dropping-particle":"","family":"Knott","given":"Daniel","non-dropping-particle":"","parse-names":false,"suffix":""},{"dropping-particle":"","family":"Koleva","given":"Stanislava","non-dropping-particle":"","parse-names":false,"suffix":""},{"dropping-particle":"","family":"Kupke","given":"Alexandra","non-dropping-particle":"","parse-names":false,"suffix":""},{"dropping-particle":"","family":"Larkworthy","given":"Colin W.","non-dropping-particle":"","parse-names":false,"suffix":""},{"dropping-particle":"","family":"Larwood","given":"Jessica P.J.","non-dropping-particle":"","parse-names":false,"suffix":""},{"dropping-particle":"","family":"Laskey","given":"Anna","non-dropping-particle":"","parse-names":false,"suffix":""},{"dropping-particle":"","family":"Lawrie","given":"Alison M.","non-dropping-particle":"","parse-names":false,"suffix":""},{"dropping-particle":"","family":"Lee","given":"Arlene","non-dropping-particle":"","parse-names":false,"suffix":""},{"dropping-particle":"","family":"Ngan Lee","given":"Kim Yee","non-dropping-particle":"","parse-names":false,"suffix":""},{"dropping-particle":"","family":"Lees","given":"Emily A.","non-dropping-particle":"","parse-names":false,"suffix":""},{"dropping-particle":"","family":"Legge","given":"Helen","non-dropping-particle":"","parse-names":false,"suffix":""},{"dropping-particle":"","family":"Lelliott","given":"Alice","non-dropping-particle":"","parse-names":false,"suffix":""},{"dropping-particle":"","family":"Lemm","given":"Nana Marie","non-dropping-particle":"","parse-names":false,"suffix":""},{"dropping-particle":"","family":"Lias","given":"Amelia M.","non-dropping-particle":"","parse-names":false,"suffix":""},{"dropping-particle":"","family":"Linder","given":"Aline","non-dropping-particle":"","parse-names":false,"suffix":""},{"dropping-particle":"","family":"Lipworth","given":"Samuel","non-dropping-particle":"","parse-names":false,"suffix":""},{"dropping-particle":"","family":"Liu","given":"Xinxue","non-dropping-particle":"","parse-names":false,"suffix":""},{"dropping-particle":"","family":"Liu","given":"Shuchang","non-dropping-particle":"","parse-names":false,"suffix":""},{"dropping-particle":"","family":"Lopez Ramon","given":"Raquel","non-dropping-particle":"","parse-names":false,"suffix":""},{"dropping-particle":"","family":"Lwin","given":"May","non-dropping-particle":"","parse-names":false,"suffix":""},{"dropping-particle":"","family":"Mabesa","given":"Francesca","non-dropping-particle":"","parse-names":false,"suffix":""},{"dropping-particle":"","family":"Madhavan","given":"Meera","non-dropping-particle":"","parse-names":false,"suffix":""},{"dropping-particle":"","family":"Mallett","given":"Garry","non-dropping-particle":"","parse-names":false,"suffix":""},{"dropping-particle":"","family":"Mansatta","given":"Kushal","non-dropping-particle":"","parse-names":false,"suffix":""},{"dropping-particle":"","family":"Marcal","given":"Ines","non-dropping-particle":"","parse-names":false,"suffix":""},{"dropping-particle":"","family":"Marinou","given":"Spyridoula","non-dropping-particle":"","parse-names":false,"suffix":""},{"dropping-particle":"","family":"Marlow","given":"Emma","non-dropping-particle":"","parse-names":false,"suffix":""},{"dropping-particle":"","family":"Marshall","given":"Julia L.","non-dropping-particle":"","parse-names":false,"suffix":""},{"dropping-particle":"","family":"Martin","given":"Jane","non-dropping-particle":"","parse-names":false,"suffix":""},{"dropping-particle":"","family":"McEwan","given":"Joanne","non-dropping-particle":"","parse-names":false,"suffix":""},{"dropping-particle":"","family":"McInroy","given":"Lorna","non-dropping-particle":"","parse-names":false,"suffix":""},{"dropping-particle":"","family":"Meddaugh","given":"Gretchen","non-dropping-particle":"","parse-names":false,"suffix":""},{"dropping-particle":"","family":"Mentzer","given":"Alexander J.","non-dropping-particle":"","parse-names":false,"suffix":""},{"dropping-particle":"","family":"Mirtorabi","given":"Neginsadat","non-dropping-particle":"","parse-names":false,"suffix":""},{"dropping-particle":"","family":"Moore","given":"Maria","non-dropping-particle":"","parse-names":false,"suffix":""},{"dropping-particle":"","family":"Moran","given":"Edward","non-dropping-particle":"","parse-names":false,"suffix":""},{"dropping-particle":"","family":"Morey","given":"Ella","non-dropping-particle":"","parse-names":false,"suffix":""},{"dropping-particle":"","family":"Morgan","given":"Victoria","non-dropping-particle":"","parse-names":false,"suffix":""},{"dropping-particle":"","family":"Morris","given":"Susan Jane","non-dropping-particle":"","parse-names":false,"suffix":""},{"dropping-particle":"","family":"Morrison","given":"Hazel","non-dropping-particle":"","parse-names":false,"suffix":""},{"dropping-particle":"","family":"Morshead","given":"Gertraud","non-dropping-particle":"","parse-names":false,"suffix":""},{"dropping-particle":"","family":"Morter","given":"Richard","non-dropping-particle":"","parse-names":false,"suffix":""},{"dropping-particle":"","family":"Mujadidi","given":"Yama F.","non-dropping-particle":"","parse-names":false,"suffix":""},{"dropping-particle":"","family":"Muller","given":"Jilly","non-dropping-particle":"","parse-names":false,"suffix":""},{"dropping-particle":"","family":"Munera-Huertas","given":"Tatiana","non-dropping-particle":"","parse-names":false,"suffix":""},{"dropping-particle":"","family":"Munro","given":"Claire","non-dropping-particle":"","parse-names":false,"suffix":""},{"dropping-particle":"","family":"Munro","given":"Alasdair","non-dropping-particle":"","parse-names":false,"suffix":""},{"dropping-particle":"","family":"Murphy","given":"Sarah","non-dropping-particle":"","parse-names":false,"suffix":""},{"dropping-particle":"","family":"Munster","given":"Vincent J.","non-dropping-particle":"","parse-names":false,"suffix":""},{"dropping-particle":"","family":"Mweu","given":"Philomena","non-dropping-particle":"","parse-names":false,"suffix":""},{"dropping-particle":"","family":"Noé","given":"Andrés","non-dropping-particle":"","parse-names":false,"suffix":""},{"dropping-particle":"","family":"Nugent","given":"Fay L.","non-dropping-particle":"","parse-names":false,"suffix":""},{"dropping-particle":"","family":"Nuthall","given":"Elizabeth","non-dropping-particle":"","parse-names":false,"suffix":""},{"dropping-particle":"","family":"O'Brien","given":"Katie","non-dropping-particle":"","parse-names":false,"suffix":""},{"dropping-particle":"","family":"O'Connor","given":"Daniel","non-dropping-particle":"","parse-names":false,"suffix":""},{"dropping-particle":"","family":"Oguti","given":"Blanché","non-dropping-particle":"","parse-names":false,"suffix":""},{"dropping-particle":"","family":"Oliver","given":"Jennifer L.","non-dropping-particle":"","parse-names":false,"suffix":""},{"dropping-particle":"","family":"Oliveira","given":"Catarina","non-dropping-particle":"","parse-names":false,"suffix":""},{"dropping-particle":"","family":"O'Reilly","given":"Peter John","non-dropping-particle":"","parse-names":false,"suffix":""},{"dropping-particle":"","family":"Osborn","given":"Mairead","non-dropping-particle":"","parse-names":false,"suffix":""},{"dropping-particle":"","family":"Osborne","given":"Piper","non-dropping-particle":"","parse-names":false,"suffix":""},{"dropping-particle":"","family":"Owen","given":"Cathy","non-dropping-particle":"","parse-names":false,"suffix":""},{"dropping-particle":"","family":"Owens","given":"Daniel","non-dropping-particle":"","parse-names":false,"suffix":""},{"dropping-particle":"","family":"Owino","given":"Nelly","non-dropping-particle":"","parse-names":false,"suffix":""},{"dropping-particle":"","family":"Pacurar","given":"Mihaela","non-dropping-particle":"","parse-names":false,"suffix":""},{"dropping-particle":"","family":"Parker","given":"Kaye","non-dropping-particle":"","parse-names":false,"suffix":""},{"dropping-particle":"","family":"Parracho","given":"Helena","non-dropping-particle":"","parse-names":false,"suffix":""},{"dropping-particle":"","family":"Patrick-Smith","given":"Maia","non-dropping-particle":"","parse-names":false,"suffix":""},{"dropping-particle":"","family":"Payne","given":"Victoria","non-dropping-particle":"","parse-names":false,"suffix":""},{"dropping-particle":"","family":"Pearce","given":"Jennifer","non-dropping-particle":"","parse-names":false,"suffix":""},{"dropping-particle":"","family":"Peng","given":"Yanchun","non-dropping-particle":"","parse-names":false,"suffix":""},{"dropping-particle":"","family":"Peralta Alvarez","given":"Marco Polo","non-dropping-particle":"","parse-names":false,"suffix":""},{"dropping-particle":"","family":"Perring","given":"James","non-dropping-particle":"","parse-names":false,"suffix":""},{"dropping-particle":"","family":"Pfafferott","given":"Katja","non-dropping-particle":"","parse-names":false,"suffix":""},{"dropping-particle":"","family":"Pipini","given":"Dimitra","non-dropping-particle":"","parse-names":false,"suffix":""},{"dropping-particle":"","family":"Plested","given":"Emma","non-dropping-particle":"","parse-names":false,"suffix":""},{"dropping-particle":"","family":"Pluess-Hall","given":"Helen","non-dropping-particle":"","parse-names":false,"suffix":""},{"dropping-particle":"","family":"Pollock","given":"Katrina","non-dropping-particle":"","parse-names":false,"suffix":""},{"dropping-particle":"","family":"Poulton","given":"Ian","non-dropping-particle":"","parse-names":false,"suffix":""},{"dropping-particle":"","family":"Presland","given":"Laura","non-dropping-particle":"","parse-names":false,"suffix":""},{"dropping-particle":"","family":"Provstgaard-Morys","given":"Samuel","non-dropping-particle":"","parse-names":false,"suffix":""},{"dropping-particle":"","family":"Pulido","given":"David","non-dropping-particle":"","parse-names":false,"suffix":""},{"dropping-particle":"","family":"Radia","given":"Kajal","non-dropping-particle":"","parse-names":false,"suffix":""},{"dropping-particle":"","family":"Ramos Lopez","given":"Fernando","non-dropping-particle":"","parse-names":false,"suffix":""},{"dropping-particle":"","family":"Rand","given":"Jade","non-dropping-particle":"","parse-names":false,"suffix":""},{"dropping-particle":"","family":"Ratcliffe","given":"Helen","non-dropping-particle":"","parse-names":false,"suffix":""},{"dropping-particle":"","family":"Rawlinson","given":"Thomas","non-dropping-particle":"","parse-names":false,"suffix":""},{"dropping-particle":"","family":"Rhead","given":"Sarah","non-dropping-particle":"","parse-names":false,"suffix":""},{"dropping-particle":"","family":"Riddell","given":"Amy","non-dropping-particle":"","parse-names":false,"suffix":""},{"dropping-particle":"","family":"Ritchie","given":"Adam John","non-dropping-particle":"","parse-names":false,"suffix":""},{"dropping-particle":"","family":"Roberts","given":"Hannah","non-dropping-particle":"","parse-names":false,"suffix":""},{"dropping-particle":"","family":"Robson","given":"Joanna","non-dropping-particle":"","parse-names":false,"suffix":""},{"dropping-particle":"","family":"Roche","given":"Sophie","non-dropping-particle":"","parse-names":false,"suffix":""},{"dropping-particle":"","family":"Rohde","given":"Cornelius","non-dropping-particle":"","parse-names":false,"suffix":""},{"dropping-particle":"","family":"Rollier","given":"Christine S.","non-dropping-particle":"","parse-names":false,"suffix":""},{"dropping-particle":"","family":"Romani","given":"Rossana","non-dropping-particle":"","parse-names":false,"suffix":""},{"dropping-particle":"","family":"Rudiansyah","given":"Indra","non-dropping-particle":"","parse-names":false,"suffix":""},{"dropping-particle":"","family":"Saich","given":"Stephen","non-dropping-particle":"","parse-names":false,"suffix":""},{"dropping-particle":"","family":"Sajjad","given":"Sara","non-dropping-particle":"","parse-names":false,"suffix":""},{"dropping-particle":"","family":"Salvador","given":"Stephannie","non-dropping-particle":"","parse-names":false,"suffix":""},{"dropping-particle":"","family":"Sanchez Riera","given":"Lidia","non-dropping-particle":"","parse-names":false,"suffix":""},{"dropping-particle":"","family":"Sanders","given":"Helen","non-dropping-particle":"","parse-names":false,"suffix":""},{"dropping-particle":"","family":"Sanders","given":"Katherine","non-dropping-particle":"","parse-names":false,"suffix":""},{"dropping-particle":"","family":"Sapaun","given":"Shari","non-dropping-particle":"","parse-names":false,"suffix":""},{"dropping-particle":"","family":"Sayce","given":"Chloe","non-dropping-particle":"","parse-names":false,"suffix":""},{"dropping-particle":"","family":"Schofield","given":"Ella","non-dropping-particle":"","parse-names":false,"suffix":""},{"dropping-particle":"","family":"Screaton","given":"Gavin","non-dropping-particle":"","parse-names":false,"suffix":""},{"dropping-particle":"","family":"Selby","given":"Beatrice","non-dropping-particle":"","parse-names":false,"suffix":""},{"dropping-particle":"","family":"Semple","given":"Calum","non-dropping-particle":"","parse-names":false,"suffix":""},{"dropping-particle":"","family":"Sharpe","given":"Hannah R.","non-dropping-particle":"","parse-names":false,"suffix":""},{"dropping-particle":"","family":"Shaik","given":"Imam","non-dropping-particle":"","parse-names":false,"suffix":""},{"dropping-particle":"","family":"Shea","given":"Adam","non-dropping-particle":"","parse-names":false,"suffix":""},{"dropping-particle":"","family":"Shelton","given":"Holly","non-dropping-particle":"","parse-names":false,"suffix":""},{"dropping-particle":"","family":"Silk","given":"Sarah","non-dropping-particle":"","parse-names":false,"suffix":""},{"dropping-particle":"","family":"Silva-Reyes","given":"Laura","non-dropping-particle":"","parse-names":false,"suffix":""},{"dropping-particle":"","family":"Skelly","given":"Donal T.","non-dropping-particle":"","parse-names":false,"suffix":""},{"dropping-particle":"","family":"Smee","given":"Heather","non-dropping-particle":"","parse-names":false,"suffix":""},{"dropping-particle":"","family":"Smith","given":"Catherine C.","non-dropping-particle":"","parse-names":false,"suffix":""},{"dropping-particle":"","family":"Smith","given":"David J.","non-dropping-particle":"","parse-names":false,"suffix":""},{"dropping-particle":"","family":"Song","given":"Rinn","non-dropping-particle":"","parse-names":false,"suffix":""},{"dropping-particle":"","family":"Spencer","given":"Alexandra J.","non-dropping-particle":"","parse-names":false,"suffix":""},{"dropping-particle":"","family":"Stafford","given":"Elizabeth","non-dropping-particle":"","parse-names":false,"suffix":""},{"dropping-particle":"","family":"Steele","given":"Amy","non-dropping-particle":"","parse-names":false,"suffix":""},{"dropping-particle":"","family":"Stefanova","given":"Elena","non-dropping-particle":"","parse-names":false,"suffix":""},{"dropping-particle":"","family":"Stockdale","given":"Lisa","non-dropping-particle":"","parse-names":false,"suffix":""},{"dropping-particle":"","family":"Szigeti","given":"Anna","non-dropping-particle":"","parse-names":false,"suffix":""},{"dropping-particle":"","family":"Tahiri-Alaoui","given":"Abdessamad","non-dropping-particle":"","parse-names":false,"suffix":""},{"dropping-particle":"","family":"Tait","given":"Moira","non-dropping-particle":"","parse-names":false,"suffix":""},{"dropping-particle":"","family":"Talbot","given":"Helen","non-dropping-particle":"","parse-names":false,"suffix":""},{"dropping-particle":"","family":"Tanner","given":"Rachel","non-dropping-particle":"","parse-names":false,"suffix":""},{"dropping-particle":"","family":"Taylor","given":"Iona Jennifer","non-dropping-particle":"","parse-names":false,"suffix":""},{"dropping-particle":"","family":"Taylor","given":"Victoria","non-dropping-particle":"","parse-names":false,"suffix":""},{"dropping-particle":"","family":"Water Naude","given":"Rebecca","non-dropping-particle":"Te","parse-names":false,"suffix":""},{"dropping-particle":"","family":"Thakur","given":"Nazia","non-dropping-particle":"","parse-names":false,"suffix":""},{"dropping-particle":"","family":"Themistocleous","given":"Yrene","non-dropping-particle":"","parse-names":false,"suffix":""},{"dropping-particle":"","family":"Themistocleous","given":"Andreas","non-dropping-particle":"","parse-names":false,"suffix":""},{"dropping-particle":"","family":"Thomas","given":"Merin","non-dropping-particle":"","parse-names":false,"suffix":""},{"dropping-particle":"","family":"Thomas","given":"Tonia M.","non-dropping-particle":"","parse-names":false,"suffix":""},{"dropping-particle":"","family":"Thompson","given":"Amber","non-dropping-particle":"","parse-names":false,"suffix":""},{"dropping-particle":"","family":"Thomson-Hill","given":"Samantha","non-dropping-particle":"","parse-names":false,"suffix":""},{"dropping-particle":"","family":"Tomlins","given":"Jennifer","non-dropping-particle":"","parse-names":false,"suffix":""},{"dropping-particle":"","family":"Tonks","given":"Susan","non-dropping-particle":"","parse-names":false,"suffix":""},{"dropping-particle":"","family":"Towner","given":"James","non-dropping-particle":"","parse-names":false,"suffix":""},{"dropping-particle":"","family":"Tran","given":"Nguyen","non-dropping-particle":"","parse-names":false,"suffix":""},{"dropping-particle":"","family":"Tree","given":"Julia A.","non-dropping-particle":"","parse-names":false,"suffix":""},{"dropping-particle":"","family":"Truby","given":"Adam","non-dropping-particle":"","parse-names":false,"suffix":""},{"dropping-particle":"","family":"Turkentine","given":"Kate","non-dropping-particle":"","parse-names":false,"suffix":""},{"dropping-particle":"","family":"Turner","given":"Cheryl","non-dropping-particle":"","parse-names":false,"suffix":""},{"dropping-particle":"","family":"Turner","given":"Nicola","non-dropping-particle":"","parse-names":false,"suffix":""},{"dropping-particle":"","family":"Turner","given":"Sally","non-dropping-particle":"","parse-names":false,"suffix":""},{"dropping-particle":"","family":"Tuthill","given":"Toby","non-dropping-particle":"","parse-names":false,"suffix":""},{"dropping-particle":"","family":"Ulaszewska","given":"Marta","non-dropping-particle":"","parse-names":false,"suffix":""},{"dropping-particle":"","family":"Varughese","given":"Rachel","non-dropping-particle":"","parse-names":false,"suffix":""},{"dropping-particle":"","family":"Doremalen","given":"Neeltje","non-dropping-particle":"Van","parse-names":false,"suffix":""},{"dropping-particle":"","family":"Veighey","given":"Kristin","non-dropping-particle":"","parse-names":false,"suffix":""},{"dropping-particle":"","family":"Verheul","given":"Marije K.","non-dropping-particle":"","parse-names":false,"suffix":""},{"dropping-particle":"","family":"Vichos","given":"Iason","non-dropping-particle":"","parse-names":false,"suffix":""},{"dropping-particle":"","family":"Vitale","given":"Elia","non-dropping-particle":"","parse-names":false,"suffix":""},{"dropping-particle":"","family":"Walker","given":"Laura","non-dropping-particle":"","parse-names":false,"suffix":""},{"dropping-particle":"","family":"Watson","given":"Marion E.E.","non-dropping-particle":"","parse-names":false,"suffix":""},{"dropping-particle":"","family":"Welham","given":"Benjamin","non-dropping-particle":"","parse-names":false,"suffix":""},{"dropping-particle":"","family":"Wheat","given":"Julie","non-dropping-particle":"","parse-names":false,"suffix":""},{"dropping-particle":"","family":"White","given":"Caroline","non-dropping-particle":"","parse-names":false,"suffix":""},{"dropping-particle":"","family":"White","given":"Rachel","non-dropping-particle":"","parse-names":false,"suffix":""},{"dropping-particle":"","family":"Worth","given":"Andrew T.","non-dropping-particle":"","parse-names":false,"suffix":""},{"dropping-particle":"","family":"Wright","given":"Danny","non-dropping-particle":"","parse-names":false,"suffix":""},{"dropping-particle":"","family":"Wright","given":"Suzie","non-dropping-particle":"","parse-names":false,"suffix":""},{"dropping-particle":"","family":"Yao","given":"Xin Li","non-dropping-particle":"","parse-names":false,"suffix":""},{"dropping-particle":"","family":"Yau","given":"Yasmine","non-dropping-particle":"","parse-names":false,"suffix":""}],"container-title":"The Lancet","id":"ITEM-1","issue":"10249","issued":{"date-parts":[["2020"]]},"page":"467-478","title":"Safety and immunogenicity of the ChAdOx1 nCoV-19 vaccine against SARS-CoV-2: a preliminary report of a phase 1/2, single-blind, randomised controlled trial","type":"article-journal","volume":"396"},"uris":["http://www.mendeley.com/documents/?uuid=c5577078-4eda-445d-89cd-9b1c69510f62"]},{"id":"ITEM-2","itemData":{"DOI":"10.1038/s41586-020-2639-4","ISSN":"14764687","PMID":"32785213","abstract":"In March 2020, the World Health Organization (WHO) declared coronavirus disease 2019 (COVID-19), which is caused by severe acute respiratory syndrome coronavirus 2 (SARS-CoV-2)1, a pandemic. With rapidly accumulating numbers of cases and deaths reported globally2, a vaccine is urgently needed. Here we report the available safety, tolerability and immunogenicity data from an ongoing placebo-controlled, observer-blinded dose-escalation study (ClinicalTrials.gov identifier NCT04368728) among 45 healthy adults (18–55 years of age), who were randomized to receive 2 doses—separated by 21 days—of 10 μg, 30 μg or 100 μg of BNT162b1. BNT162b1 is a lipid-nanoparticle-formulated, nucleoside-modified mRNA vaccine that encodes the trimerized receptor-binding domain (RBD) of the spike glycoprotein of SARS-CoV-2. Local reactions and systemic events were dose-dependent, generally mild to moderate, and transient. A second vaccination with 100 μg was not administered because of the increased reactogenicity and a lack of meaningfully increased immunogenicity after a single dose compared with the 30-μg dose. RBD-binding IgG concentrations and SARS-CoV-2 neutralizing titres in sera increased with dose level and after a second dose. Geometric mean neutralizing titres reached 1.9–4.6-fold that of a panel of COVID-19 convalescent human sera, which were obtained at least 14 days after a positive SARS-CoV-2 PCR. These results support further evaluation of this mRNA vaccine candidate.","author":[{"dropping-particle":"","family":"Mulligan","given":"Mark J.","non-dropping-particle":"","parse-names":false,"suffix":""},{"dropping-particle":"","family":"Lyke","given":"Kirsten E.","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Neuzil","given":"Kathleen","non-dropping-particle":"","parse-names":false,"suffix":""},{"dropping-particle":"","family":"Raabe","given":"Vanessa","non-dropping-particle":"","parse-names":false,"suffix":""},{"dropping-particle":"","family":"Bailey","given":"Ruth","non-dropping-particle":"","parse-names":false,"suffix":""},{"dropping-particle":"","family":"Swanson","given":"Kena A.","non-dropping-particle":"","parse-names":false,"suffix":""},{"dropping-particle":"","family":"Li","given":"Ping","non-dropping-particle":"","parse-names":false,"suffix":""},{"dropping-particle":"","family":"Koury","given":"Kenneth","non-dropping-particle":"","parse-names":false,"suffix":""},{"dropping-particle":"","family":"Kalina","given":"Warren","non-dropping-particle":"","parse-names":false,"suffix":""},{"dropping-particle":"","family":"Cooper","given":"David","non-dropping-particle":"","parse-names":false,"suffix":""},{"dropping-particle":"","family":"Fontes-Garfias","given":"Camila","non-dropping-particle":"","parse-names":false,"suffix":""},{"dropping-particle":"","family":"Shi","given":"Pei Yong","non-dropping-particle":"","parse-names":false,"suffix":""},{"dropping-particle":"","family":"Türeci","given":"Özlem","non-dropping-particle":"","parse-names":false,"suffix":""},{"dropping-particle":"","family":"Tompkins","given":"Kristin R.","non-dropping-particle":"","parse-names":false,"suffix":""},{"dropping-particle":"","family":"Walsh","given":"Edward E.","non-dropping-particle":"","parse-names":false,"suffix":""},{"dropping-particle":"","family":"Frenck","given":"Robert","non-dropping-particle":"","parse-names":false,"suffix":""},{"dropping-particle":"","family":"Falsey","given":"Ann R.","non-dropping-particle":"","parse-names":false,"suffix":""},{"dropping-particle":"","family":"Dormitzer","given":"Philip R.","non-dropping-particle":"","parse-names":false,"suffix":""},{"dropping-particle":"","family":"Gruber","given":"William C.","non-dropping-particle":"","parse-names":false,"suffix":""},{"dropping-particle":"","family":"Şahin","given":"Uğur","non-dropping-particle":"","parse-names":false,"suffix":""},{"dropping-particle":"","family":"Jansen","given":"Kathrin U.","non-dropping-particle":"","parse-names":false,"suffix":""}],"container-title":"Nature","id":"ITEM-2","issue":"7830","issued":{"date-parts":[["2020"]]},"page":"589-593","publisher":"Springer US","title":"Phase I/II study of COVID-19 RNA vaccine BNT162b1 in adults","type":"article-journal","volume":"586"},"uris":["http://www.mendeley.com/documents/?uuid=089b061a-87bd-4ab3-864a-6950c53e9d65"]}],"mendeley":{"formattedCitation":"(24,25)","plainTextFormattedCitation":"(24,25)","previouslyFormattedCitation":"(24,25)"},"properties":{"noteIndex":0},"schema":"https://github.com/citation-style-language/schema/raw/master/csl-citation.json"}</w:instrText>
      </w:r>
      <w:r w:rsidR="00A81E01" w:rsidRPr="00F15649">
        <w:rPr>
          <w:rFonts w:ascii="Arial" w:hAnsi="Arial" w:cs="Arial"/>
          <w:sz w:val="24"/>
          <w:szCs w:val="24"/>
          <w:vertAlign w:val="superscript"/>
        </w:rPr>
        <w:fldChar w:fldCharType="separate"/>
      </w:r>
      <w:r w:rsidR="00EB18A3" w:rsidRPr="00BD06E9">
        <w:rPr>
          <w:rFonts w:ascii="Arial" w:hAnsi="Arial" w:cs="Arial"/>
          <w:noProof/>
          <w:sz w:val="24"/>
          <w:szCs w:val="24"/>
        </w:rPr>
        <w:t>(24,25)</w:t>
      </w:r>
      <w:r w:rsidR="00A81E01" w:rsidRPr="00BD06E9">
        <w:rPr>
          <w:rFonts w:ascii="Arial" w:hAnsi="Arial" w:cs="Arial"/>
          <w:sz w:val="24"/>
          <w:szCs w:val="24"/>
        </w:rPr>
        <w:fldChar w:fldCharType="end"/>
      </w:r>
      <w:r w:rsidRPr="00BD06E9">
        <w:rPr>
          <w:rFonts w:ascii="Arial" w:hAnsi="Arial" w:cs="Arial"/>
          <w:sz w:val="24"/>
          <w:szCs w:val="24"/>
        </w:rPr>
        <w:t>. We hypothesized that this period of immune reconstitution was most likely to be ass</w:t>
      </w:r>
      <w:r w:rsidRPr="004D5231">
        <w:rPr>
          <w:rFonts w:ascii="Arial" w:hAnsi="Arial" w:cs="Arial"/>
          <w:sz w:val="24"/>
          <w:szCs w:val="24"/>
        </w:rPr>
        <w:t xml:space="preserve">ociated with </w:t>
      </w:r>
      <w:r w:rsidR="0025665E" w:rsidRPr="004D5231">
        <w:rPr>
          <w:rFonts w:ascii="Arial" w:hAnsi="Arial" w:cs="Arial"/>
          <w:sz w:val="24"/>
          <w:szCs w:val="24"/>
        </w:rPr>
        <w:t xml:space="preserve">increased </w:t>
      </w:r>
      <w:r w:rsidRPr="00FE364A">
        <w:rPr>
          <w:rFonts w:ascii="Arial" w:hAnsi="Arial" w:cs="Arial"/>
          <w:sz w:val="24"/>
          <w:szCs w:val="24"/>
        </w:rPr>
        <w:t xml:space="preserve">disease activity. As patients with disease flare or acute illnesses may delay vaccination, the 7-days </w:t>
      </w:r>
      <w:r w:rsidR="0025665E" w:rsidRPr="00FE364A">
        <w:rPr>
          <w:rFonts w:ascii="Arial" w:hAnsi="Arial" w:cs="Arial"/>
          <w:sz w:val="24"/>
          <w:szCs w:val="24"/>
        </w:rPr>
        <w:t xml:space="preserve">immediately </w:t>
      </w:r>
      <w:r w:rsidRPr="00F15649">
        <w:rPr>
          <w:rFonts w:ascii="Arial" w:hAnsi="Arial" w:cs="Arial"/>
          <w:sz w:val="24"/>
          <w:szCs w:val="24"/>
        </w:rPr>
        <w:t xml:space="preserve">preceding vaccination was considered separate from the vaccine-unexposed </w:t>
      </w:r>
      <w:r w:rsidR="0025665E" w:rsidRPr="00F15649">
        <w:rPr>
          <w:rFonts w:ascii="Arial" w:hAnsi="Arial" w:cs="Arial"/>
          <w:sz w:val="24"/>
          <w:szCs w:val="24"/>
        </w:rPr>
        <w:t xml:space="preserve">baseline </w:t>
      </w:r>
      <w:r w:rsidRPr="00F15649">
        <w:rPr>
          <w:rFonts w:ascii="Arial" w:hAnsi="Arial" w:cs="Arial"/>
          <w:sz w:val="24"/>
          <w:szCs w:val="24"/>
        </w:rPr>
        <w:t xml:space="preserve">period to minimize potential confounding. The vaccine-unexposed </w:t>
      </w:r>
      <w:r w:rsidR="0025665E" w:rsidRPr="00F15649">
        <w:rPr>
          <w:rFonts w:ascii="Arial" w:hAnsi="Arial" w:cs="Arial"/>
          <w:sz w:val="24"/>
          <w:szCs w:val="24"/>
        </w:rPr>
        <w:t xml:space="preserve">baseline </w:t>
      </w:r>
      <w:r w:rsidRPr="00F15649">
        <w:rPr>
          <w:rFonts w:ascii="Arial" w:hAnsi="Arial" w:cs="Arial"/>
          <w:sz w:val="24"/>
          <w:szCs w:val="24"/>
        </w:rPr>
        <w:t>period comprised of the remaining follow-up time post cohort entry and prior to cohort exit.</w:t>
      </w:r>
      <w:r w:rsidR="0025665E" w:rsidRPr="00F15649">
        <w:rPr>
          <w:rFonts w:ascii="Arial" w:hAnsi="Arial" w:cs="Arial"/>
          <w:sz w:val="24"/>
          <w:szCs w:val="24"/>
        </w:rPr>
        <w:t xml:space="preserve"> As illustrated in Figure 1, the vaccine-unexposed baseline period comprised of follow-up time either before or after vaccination against COVID-19.</w:t>
      </w:r>
      <w:r w:rsidR="0025665E">
        <w:rPr>
          <w:b/>
        </w:rPr>
        <w:t xml:space="preserve"> </w:t>
      </w:r>
      <w:r w:rsidRPr="00021272">
        <w:rPr>
          <w:rFonts w:ascii="Arial" w:hAnsi="Arial" w:cs="Arial"/>
          <w:sz w:val="24"/>
          <w:szCs w:val="24"/>
        </w:rPr>
        <w:t xml:space="preserve">  </w:t>
      </w:r>
    </w:p>
    <w:p w14:paraId="3C6D655F" w14:textId="4A2324A2" w:rsidR="00021272" w:rsidRPr="00021272" w:rsidRDefault="00021272" w:rsidP="00021272">
      <w:pPr>
        <w:spacing w:line="480" w:lineRule="auto"/>
        <w:rPr>
          <w:rFonts w:ascii="Arial" w:hAnsi="Arial" w:cs="Arial"/>
          <w:sz w:val="24"/>
          <w:szCs w:val="24"/>
        </w:rPr>
      </w:pPr>
      <w:r w:rsidRPr="00021272">
        <w:rPr>
          <w:rFonts w:ascii="Arial" w:hAnsi="Arial" w:cs="Arial"/>
          <w:sz w:val="24"/>
          <w:szCs w:val="24"/>
        </w:rPr>
        <w:t xml:space="preserve">The study started on the 1st of December 2020, one week before the first </w:t>
      </w:r>
      <w:r w:rsidR="0025665E">
        <w:rPr>
          <w:rFonts w:ascii="Arial" w:hAnsi="Arial" w:cs="Arial"/>
          <w:sz w:val="24"/>
          <w:szCs w:val="24"/>
        </w:rPr>
        <w:t>COVID</w:t>
      </w:r>
      <w:r w:rsidRPr="00021272">
        <w:rPr>
          <w:rFonts w:ascii="Arial" w:hAnsi="Arial" w:cs="Arial"/>
          <w:sz w:val="24"/>
          <w:szCs w:val="24"/>
        </w:rPr>
        <w:t xml:space="preserve">-19 vaccine was administered outside of trial setting in the UK to allow each potential vaccinated participant to have 7 days pre-vaccination period. </w:t>
      </w:r>
    </w:p>
    <w:p w14:paraId="6D88C375" w14:textId="0A67B108" w:rsidR="00021272" w:rsidRDefault="00021272" w:rsidP="00021272">
      <w:pPr>
        <w:spacing w:line="480" w:lineRule="auto"/>
        <w:rPr>
          <w:rFonts w:ascii="Arial" w:hAnsi="Arial" w:cs="Arial"/>
          <w:sz w:val="24"/>
          <w:szCs w:val="24"/>
        </w:rPr>
      </w:pPr>
      <w:r w:rsidRPr="00021272">
        <w:rPr>
          <w:rFonts w:ascii="Arial" w:hAnsi="Arial" w:cs="Arial"/>
          <w:sz w:val="24"/>
          <w:szCs w:val="24"/>
        </w:rPr>
        <w:t>Statistical analyses</w:t>
      </w:r>
      <w:r w:rsidR="00D10EF2">
        <w:rPr>
          <w:rFonts w:ascii="Arial" w:hAnsi="Arial" w:cs="Arial"/>
          <w:sz w:val="24"/>
          <w:szCs w:val="24"/>
        </w:rPr>
        <w:t>:</w:t>
      </w:r>
      <w:r w:rsidRPr="00021272">
        <w:rPr>
          <w:rFonts w:ascii="Arial" w:hAnsi="Arial" w:cs="Arial"/>
          <w:sz w:val="24"/>
          <w:szCs w:val="24"/>
        </w:rPr>
        <w:t xml:space="preserve"> A </w:t>
      </w:r>
      <w:r w:rsidR="0025665E">
        <w:rPr>
          <w:rFonts w:ascii="Arial" w:hAnsi="Arial" w:cs="Arial"/>
          <w:sz w:val="24"/>
          <w:szCs w:val="24"/>
        </w:rPr>
        <w:t xml:space="preserve">multinomial </w:t>
      </w:r>
      <w:r w:rsidRPr="00021272">
        <w:rPr>
          <w:rFonts w:ascii="Arial" w:hAnsi="Arial" w:cs="Arial"/>
          <w:sz w:val="24"/>
          <w:szCs w:val="24"/>
        </w:rPr>
        <w:t xml:space="preserve">Poisson model conditioned on the number of events and adjusted for the four seasons </w:t>
      </w:r>
      <w:r w:rsidR="00575E16">
        <w:rPr>
          <w:rFonts w:ascii="Arial" w:hAnsi="Arial" w:cs="Arial"/>
          <w:sz w:val="24"/>
          <w:szCs w:val="24"/>
        </w:rPr>
        <w:t xml:space="preserve">as </w:t>
      </w:r>
      <w:r w:rsidR="009A16EB">
        <w:rPr>
          <w:rFonts w:ascii="Arial" w:hAnsi="Arial" w:cs="Arial"/>
          <w:sz w:val="24"/>
          <w:szCs w:val="24"/>
        </w:rPr>
        <w:t>categori</w:t>
      </w:r>
      <w:r w:rsidR="00575E16">
        <w:rPr>
          <w:rFonts w:ascii="Arial" w:hAnsi="Arial" w:cs="Arial"/>
          <w:sz w:val="24"/>
          <w:szCs w:val="24"/>
        </w:rPr>
        <w:t>es defined</w:t>
      </w:r>
      <w:r w:rsidR="009A16EB">
        <w:rPr>
          <w:rFonts w:ascii="Arial" w:hAnsi="Arial" w:cs="Arial"/>
          <w:sz w:val="24"/>
          <w:szCs w:val="24"/>
        </w:rPr>
        <w:t xml:space="preserve"> in line with</w:t>
      </w:r>
      <w:r w:rsidR="009A16EB" w:rsidRPr="00021272">
        <w:rPr>
          <w:rFonts w:ascii="Arial" w:hAnsi="Arial" w:cs="Arial"/>
          <w:sz w:val="24"/>
          <w:szCs w:val="24"/>
        </w:rPr>
        <w:t xml:space="preserve"> </w:t>
      </w:r>
      <w:r w:rsidRPr="00021272">
        <w:rPr>
          <w:rFonts w:ascii="Arial" w:hAnsi="Arial" w:cs="Arial"/>
          <w:sz w:val="24"/>
          <w:szCs w:val="24"/>
        </w:rPr>
        <w:t xml:space="preserve">the </w:t>
      </w:r>
      <w:r w:rsidR="0025665E">
        <w:rPr>
          <w:rFonts w:ascii="Arial" w:hAnsi="Arial" w:cs="Arial"/>
          <w:sz w:val="24"/>
          <w:szCs w:val="24"/>
        </w:rPr>
        <w:t>M</w:t>
      </w:r>
      <w:r w:rsidRPr="00021272">
        <w:rPr>
          <w:rFonts w:ascii="Arial" w:hAnsi="Arial" w:cs="Arial"/>
          <w:sz w:val="24"/>
          <w:szCs w:val="24"/>
        </w:rPr>
        <w:t xml:space="preserve">eteorological </w:t>
      </w:r>
      <w:r w:rsidR="0025665E">
        <w:rPr>
          <w:rFonts w:ascii="Arial" w:hAnsi="Arial" w:cs="Arial"/>
          <w:sz w:val="24"/>
          <w:szCs w:val="24"/>
        </w:rPr>
        <w:t>O</w:t>
      </w:r>
      <w:r w:rsidRPr="00021272">
        <w:rPr>
          <w:rFonts w:ascii="Arial" w:hAnsi="Arial" w:cs="Arial"/>
          <w:sz w:val="24"/>
          <w:szCs w:val="24"/>
        </w:rPr>
        <w:t>ffice</w:t>
      </w:r>
      <w:r w:rsidR="009A16EB">
        <w:rPr>
          <w:rFonts w:ascii="Arial" w:hAnsi="Arial" w:cs="Arial"/>
          <w:sz w:val="24"/>
          <w:szCs w:val="24"/>
        </w:rPr>
        <w:t xml:space="preserve"> description</w:t>
      </w:r>
      <w:r w:rsidR="009A16EB">
        <w:rPr>
          <w:rFonts w:ascii="Arial" w:hAnsi="Arial" w:cs="Arial"/>
          <w:sz w:val="24"/>
          <w:szCs w:val="24"/>
        </w:rPr>
        <w:fldChar w:fldCharType="begin" w:fldLock="1"/>
      </w:r>
      <w:r w:rsidR="00877691">
        <w:rPr>
          <w:rFonts w:ascii="Arial" w:hAnsi="Arial" w:cs="Arial"/>
          <w:sz w:val="24"/>
          <w:szCs w:val="24"/>
        </w:rPr>
        <w:instrText>ADDIN CSL_CITATION {"citationItems":[{"id":"ITEM-1","itemData":{"URL":"https://www.metoffice.gov.uk/weather/learn-about/met-office-for-schools/other-content/other-resources/our-seasons","author":[{"dropping-particle":"","family":"Met Office","given":"","non-dropping-particle":"","parse-names":false,"suffix":""}],"id":"ITEM-1","issued":{"date-parts":[["0"]]},"title":"Our seasons","type":"webpage"},"uris":["http://www.mendeley.com/documents/?uuid=54e73409-a763-48f4-bbaa-35d97f049e73"]}],"mendeley":{"formattedCitation":"(26)","plainTextFormattedCitation":"(26)","previouslyFormattedCitation":"(26)"},"properties":{"noteIndex":0},"schema":"https://github.com/citation-style-language/schema/raw/master/csl-citation.json"}</w:instrText>
      </w:r>
      <w:r w:rsidR="009A16EB">
        <w:rPr>
          <w:rFonts w:ascii="Arial" w:hAnsi="Arial" w:cs="Arial"/>
          <w:sz w:val="24"/>
          <w:szCs w:val="24"/>
          <w:vertAlign w:val="superscript"/>
        </w:rPr>
        <w:fldChar w:fldCharType="separate"/>
      </w:r>
      <w:r w:rsidR="00EB18A3" w:rsidRPr="00EB18A3">
        <w:rPr>
          <w:rFonts w:ascii="Arial" w:hAnsi="Arial" w:cs="Arial"/>
          <w:noProof/>
          <w:sz w:val="24"/>
          <w:szCs w:val="24"/>
        </w:rPr>
        <w:t>(26)</w:t>
      </w:r>
      <w:r w:rsidR="009A16EB">
        <w:rPr>
          <w:rFonts w:ascii="Arial" w:hAnsi="Arial" w:cs="Arial"/>
          <w:sz w:val="24"/>
          <w:szCs w:val="24"/>
        </w:rPr>
        <w:fldChar w:fldCharType="end"/>
      </w:r>
      <w:r w:rsidRPr="00021272">
        <w:rPr>
          <w:rFonts w:ascii="Arial" w:hAnsi="Arial" w:cs="Arial"/>
          <w:sz w:val="24"/>
          <w:szCs w:val="24"/>
        </w:rPr>
        <w:t xml:space="preserve"> was fitted to calculate the adjusted incidence rate ratios (aIRR) and 95% confidence interval (CI) for association between vaccination and </w:t>
      </w:r>
      <w:r w:rsidR="0025665E">
        <w:rPr>
          <w:rFonts w:ascii="Arial" w:hAnsi="Arial" w:cs="Arial"/>
          <w:sz w:val="24"/>
          <w:szCs w:val="24"/>
        </w:rPr>
        <w:t>IBD</w:t>
      </w:r>
      <w:r w:rsidRPr="00021272">
        <w:rPr>
          <w:rFonts w:ascii="Arial" w:hAnsi="Arial" w:cs="Arial"/>
          <w:sz w:val="24"/>
          <w:szCs w:val="24"/>
        </w:rPr>
        <w:t xml:space="preserve"> flares. </w:t>
      </w:r>
      <w:r w:rsidR="0025665E" w:rsidRPr="00F15649">
        <w:rPr>
          <w:rFonts w:ascii="Arial" w:hAnsi="Arial" w:cs="Arial"/>
          <w:sz w:val="24"/>
          <w:szCs w:val="24"/>
          <w:lang w:val="en-US"/>
        </w:rPr>
        <w:t>The analyses were adjusted for season as vaccination against COVID-19 predominantly occurred in the winter and spring months in the UK and there is a seasonal pattern to UC</w:t>
      </w:r>
      <w:r w:rsidR="003F3F75">
        <w:rPr>
          <w:rFonts w:ascii="Arial" w:hAnsi="Arial" w:cs="Arial"/>
          <w:sz w:val="24"/>
          <w:szCs w:val="24"/>
          <w:lang w:val="en-US"/>
        </w:rPr>
        <w:fldChar w:fldCharType="begin" w:fldLock="1"/>
      </w:r>
      <w:r w:rsidR="003F3F75">
        <w:rPr>
          <w:rFonts w:ascii="Arial" w:hAnsi="Arial" w:cs="Arial"/>
          <w:sz w:val="24"/>
          <w:szCs w:val="24"/>
          <w:lang w:val="en-US"/>
        </w:rPr>
        <w:instrText>ADDIN CSL_CITATION {"citationItems":[{"id":"ITEM-1","itemData":{"DOI":"10.1007/s00384-015-2250-6","ISSN":"14321262","PMID":"25976931","abstract":"Background: Previous research has yielded conflicting data as to whether the natural history of inflammatory bowel disease follows a seasonal pattern. The purpose of this study was (1) to determine whether the frequency of onset and relapse of inflammatory bowel disease follows a seasonal pattern and (2) to establish a model to predict the frequency of onset, relapse, and severity of inflammatory bowel disease (IBD) with meteorological data based on artificial neural network (ANN). Method: Patients with diagnosis of ulcerative colitis (UC) or Crohn’s disease (CD) between 2003 and 2011 were investigated according to the occurrence of onset and flares of symptoms. The expected onset or relapse was calculated on a monthly basis over the study period. For artificial neural network (ANN), patients from 2003 to 2010 were assigned as training cohort and patients in 2011 were assigned as validation cohort. Mean square error (MSE) and mean absolute percentage error (MAPE) were used to evaluate the predictive accuracy. Results: We found no seasonal pattern of onset (P = 0.248) and relapse (P = 0.394) among UC patients. But, the onset (P = 0.015) and relapse (P = 0.004) of CD were associated with seasonal pattern, with a peak in July and August. ANN had average accuracy to predict the frequency of onset (MSE = 0.076, MAPE = 37.58 %) and severity of IBD (MSE = 0.065, MAPE = 42.15 %) but high accuracy in predicting the frequency of relapse of IBD (MSE = 0.009, MAPE = 17.1 %). Conclusion: The frequency of onset and relapse in IBD showed seasonality only in CD, with a peak in July and August, but not in UC. ANN may have its value in predicting the frequency of relapse among patients with IBD.","author":[{"dropping-particle":"","family":"Peng","given":"Jiang Chen","non-dropping-particle":"","parse-names":false,"suffix":""},{"dropping-particle":"","family":"Ran","given":"Zhi Hua","non-dropping-particle":"","parse-names":false,"suffix":""},{"dropping-particle":"","family":"Shen","given":"Jun","non-dropping-particle":"","parse-names":false,"suffix":""}],"container-title":"International Journal of Colorectal Disease","id":"ITEM-1","issue":"9","issued":{"date-parts":[["2015"]]},"page":"1267-1273","title":"Seasonal variation in onset and relapse of IBD and a model to predict the frequency of onset, relapse, and severity of IBD based on artificial neural network","type":"article-journal","volume":"30"},"uris":["http://www.mendeley.com/documents/?uuid=7cfde01c-2d8d-452a-ac1d-af6c30f3491e"]},{"id":"ITEM-2","itemData":{"ISSN":"0016-5085","PMID":"14988820","abstract":"BACKGROUND &amp; AIMS: Previous research has yielded conflicting data as to whether the natural history of inflammatory bowel disease follows a seasonal pattern. The purpose of this study was to determine whether relapse of inflammatory bowel disease follows a seasonal pattern either across a cohort of patients or within individual patients. METHODS: We used 1988 to 1997 data from the General Practice Research Database to conduct a retrospective cohort study of 1587 patients with Crohn's disease (mean age at start of follow-up, 41 +/- 17 years) and 2773 patients with ulcerative colitis (mean age at start of follow-up, 48 +/- 16 years). Flares of disease were identified by receipt of a new prescription for either corticosteroids or 5-ASA medications following an interval of at least 4 months without prescriptions for either class of medication. Logistic regression was used to adjust the association of season of the year and flare of disease for potential confounding variables. RESULTS: There was no association between season of the year and flare of Crohn's disease (P = 0.66). Season of the year was only weakly associated with flares of ulcerative colitis (P = 0.02). Compared with winter, spring had very slightly higher rates of flares (OR = 1.13, 95% CI: 1.05-1.23). We did not observe seasonal patterns within individual patients experiencing multiple flares (P &gt; 0.05 for Crohn's disease and ulcerative colitis). CONCLUSIONS: Although we observed a slight increase in exacerbations of ulcerative colitis in the spring, in general, these data do not support an association between season of the year and flares.","author":[{"dropping-particle":"","family":"Lewis","given":"James D","non-dropping-particle":"","parse-names":false,"suffix":""},{"dropping-particle":"","family":"Aberra","given":"Faten N","non-dropping-particle":"","parse-names":false,"suffix":""},{"dropping-particle":"","family":"Lichtenstein","given":"Gary R","non-dropping-particle":"","parse-names":false,"suffix":""},{"dropping-particle":"","family":"Bilker","given":"Warren B","non-dropping-particle":"","parse-names":false,"suffix":""},{"dropping-particle":"","family":"Brensinger","given":"Colleen","non-dropping-particle":"","parse-names":false,"suffix":""},{"dropping-particle":"","family":"Strom","given":"Brian L","non-dropping-particle":"","parse-names":false,"suffix":""}],"container-title":"Gastroenterology","id":"ITEM-2","issue":"3","issued":{"date-parts":[["2004","3"]]},"note":"Journal Article","page":"665-73","title":"Seasonal variation in flares of inflammatory bowel disease.","type":"article-journal","volume":"126"},"uris":["http://www.mendeley.com/documents/?uuid=5c75c885-13b9-4ca3-a1f6-fef0ea9c57d2"]}],"mendeley":{"formattedCitation":"(27,28)","plainTextFormattedCitation":"(27,28)"},"properties":{"noteIndex":0},"schema":"https://github.com/citation-style-language/schema/raw/master/csl-citation.json"}</w:instrText>
      </w:r>
      <w:r w:rsidR="003F3F75">
        <w:rPr>
          <w:rFonts w:ascii="Arial" w:hAnsi="Arial" w:cs="Arial"/>
          <w:sz w:val="24"/>
          <w:szCs w:val="24"/>
          <w:lang w:val="en-US"/>
        </w:rPr>
        <w:fldChar w:fldCharType="separate"/>
      </w:r>
      <w:r w:rsidR="003F3F75" w:rsidRPr="003F3F75">
        <w:rPr>
          <w:rFonts w:ascii="Arial" w:hAnsi="Arial" w:cs="Arial"/>
          <w:noProof/>
          <w:sz w:val="24"/>
          <w:szCs w:val="24"/>
          <w:lang w:val="en-US"/>
        </w:rPr>
        <w:t>(27,28)</w:t>
      </w:r>
      <w:r w:rsidR="003F3F75">
        <w:rPr>
          <w:rFonts w:ascii="Arial" w:hAnsi="Arial" w:cs="Arial"/>
          <w:sz w:val="24"/>
          <w:szCs w:val="24"/>
          <w:lang w:val="en-US"/>
        </w:rPr>
        <w:fldChar w:fldCharType="end"/>
      </w:r>
      <w:r w:rsidR="0025665E" w:rsidRPr="00F15649">
        <w:rPr>
          <w:rFonts w:ascii="Arial" w:hAnsi="Arial" w:cs="Arial"/>
          <w:sz w:val="24"/>
          <w:szCs w:val="24"/>
          <w:lang w:val="en-US"/>
        </w:rPr>
        <w:t xml:space="preserve"> </w:t>
      </w:r>
      <w:r w:rsidR="0025665E">
        <w:rPr>
          <w:rFonts w:ascii="Arial" w:hAnsi="Arial" w:cs="Arial"/>
          <w:sz w:val="24"/>
          <w:szCs w:val="24"/>
        </w:rPr>
        <w:t xml:space="preserve"> The </w:t>
      </w:r>
      <w:r w:rsidRPr="00021272">
        <w:rPr>
          <w:rFonts w:ascii="Arial" w:hAnsi="Arial" w:cs="Arial"/>
          <w:sz w:val="24"/>
          <w:szCs w:val="24"/>
        </w:rPr>
        <w:t>7-day</w:t>
      </w:r>
      <w:r w:rsidR="00A37C78">
        <w:rPr>
          <w:rFonts w:ascii="Arial" w:hAnsi="Arial" w:cs="Arial"/>
          <w:sz w:val="24"/>
          <w:szCs w:val="24"/>
        </w:rPr>
        <w:t>s</w:t>
      </w:r>
      <w:r w:rsidRPr="00021272">
        <w:rPr>
          <w:rFonts w:ascii="Arial" w:hAnsi="Arial" w:cs="Arial"/>
          <w:sz w:val="24"/>
          <w:szCs w:val="24"/>
        </w:rPr>
        <w:t xml:space="preserve"> </w:t>
      </w:r>
      <w:r w:rsidR="00A37C78">
        <w:rPr>
          <w:rFonts w:ascii="Arial" w:hAnsi="Arial" w:cs="Arial"/>
          <w:sz w:val="24"/>
          <w:szCs w:val="24"/>
        </w:rPr>
        <w:t>before</w:t>
      </w:r>
      <w:r w:rsidRPr="00021272">
        <w:rPr>
          <w:rFonts w:ascii="Arial" w:hAnsi="Arial" w:cs="Arial"/>
          <w:sz w:val="24"/>
          <w:szCs w:val="24"/>
        </w:rPr>
        <w:t xml:space="preserve"> </w:t>
      </w:r>
      <w:r w:rsidR="00A37C78">
        <w:rPr>
          <w:rFonts w:ascii="Arial" w:hAnsi="Arial" w:cs="Arial"/>
          <w:sz w:val="24"/>
          <w:szCs w:val="24"/>
        </w:rPr>
        <w:t xml:space="preserve">and </w:t>
      </w:r>
      <w:r w:rsidRPr="00021272">
        <w:rPr>
          <w:rFonts w:ascii="Arial" w:hAnsi="Arial" w:cs="Arial"/>
          <w:sz w:val="24"/>
          <w:szCs w:val="24"/>
        </w:rPr>
        <w:t>21-day</w:t>
      </w:r>
      <w:r w:rsidR="00A37C78">
        <w:rPr>
          <w:rFonts w:ascii="Arial" w:hAnsi="Arial" w:cs="Arial"/>
          <w:sz w:val="24"/>
          <w:szCs w:val="24"/>
        </w:rPr>
        <w:t>s</w:t>
      </w:r>
      <w:r w:rsidRPr="00021272">
        <w:rPr>
          <w:rFonts w:ascii="Arial" w:hAnsi="Arial" w:cs="Arial"/>
          <w:sz w:val="24"/>
          <w:szCs w:val="24"/>
        </w:rPr>
        <w:t xml:space="preserve"> </w:t>
      </w:r>
      <w:r w:rsidR="00A37C78">
        <w:rPr>
          <w:rFonts w:ascii="Arial" w:hAnsi="Arial" w:cs="Arial"/>
          <w:sz w:val="24"/>
          <w:szCs w:val="24"/>
        </w:rPr>
        <w:t>after</w:t>
      </w:r>
      <w:r w:rsidRPr="00021272">
        <w:rPr>
          <w:rFonts w:ascii="Arial" w:hAnsi="Arial" w:cs="Arial"/>
          <w:sz w:val="24"/>
          <w:szCs w:val="24"/>
        </w:rPr>
        <w:t xml:space="preserve"> </w:t>
      </w:r>
      <w:r w:rsidR="0025665E">
        <w:rPr>
          <w:rFonts w:ascii="Arial" w:hAnsi="Arial" w:cs="Arial"/>
          <w:sz w:val="24"/>
          <w:szCs w:val="24"/>
        </w:rPr>
        <w:t>COVID</w:t>
      </w:r>
      <w:r w:rsidRPr="00021272">
        <w:rPr>
          <w:rFonts w:ascii="Arial" w:hAnsi="Arial" w:cs="Arial"/>
          <w:sz w:val="24"/>
          <w:szCs w:val="24"/>
        </w:rPr>
        <w:t xml:space="preserve">-19 vaccination </w:t>
      </w:r>
      <w:r w:rsidR="0025665E">
        <w:rPr>
          <w:rFonts w:ascii="Arial" w:hAnsi="Arial" w:cs="Arial"/>
          <w:sz w:val="24"/>
          <w:szCs w:val="24"/>
        </w:rPr>
        <w:t>were</w:t>
      </w:r>
      <w:r w:rsidR="00A37C78">
        <w:rPr>
          <w:rFonts w:ascii="Arial" w:hAnsi="Arial" w:cs="Arial"/>
          <w:sz w:val="24"/>
          <w:szCs w:val="24"/>
        </w:rPr>
        <w:t xml:space="preserve"> the pre-</w:t>
      </w:r>
      <w:r w:rsidR="0025665E">
        <w:rPr>
          <w:rFonts w:ascii="Arial" w:hAnsi="Arial" w:cs="Arial"/>
          <w:sz w:val="24"/>
          <w:szCs w:val="24"/>
        </w:rPr>
        <w:t>vaccination</w:t>
      </w:r>
      <w:r w:rsidR="00A37C78">
        <w:rPr>
          <w:rFonts w:ascii="Arial" w:hAnsi="Arial" w:cs="Arial"/>
          <w:sz w:val="24"/>
          <w:szCs w:val="24"/>
        </w:rPr>
        <w:t xml:space="preserve"> and </w:t>
      </w:r>
      <w:r w:rsidR="0025665E">
        <w:rPr>
          <w:rFonts w:ascii="Arial" w:hAnsi="Arial" w:cs="Arial"/>
          <w:sz w:val="24"/>
          <w:szCs w:val="24"/>
        </w:rPr>
        <w:t>vaccine-</w:t>
      </w:r>
      <w:r w:rsidR="00A37C78">
        <w:rPr>
          <w:rFonts w:ascii="Arial" w:hAnsi="Arial" w:cs="Arial"/>
          <w:sz w:val="24"/>
          <w:szCs w:val="24"/>
        </w:rPr>
        <w:t>exposed period respectively</w:t>
      </w:r>
      <w:r w:rsidR="0025665E">
        <w:rPr>
          <w:rFonts w:ascii="Arial" w:hAnsi="Arial" w:cs="Arial"/>
          <w:sz w:val="24"/>
          <w:szCs w:val="24"/>
        </w:rPr>
        <w:t>. T</w:t>
      </w:r>
      <w:r w:rsidRPr="00021272">
        <w:rPr>
          <w:rFonts w:ascii="Arial" w:hAnsi="Arial" w:cs="Arial"/>
          <w:sz w:val="24"/>
          <w:szCs w:val="24"/>
        </w:rPr>
        <w:t xml:space="preserve">he </w:t>
      </w:r>
      <w:r w:rsidR="007443DB">
        <w:rPr>
          <w:rFonts w:ascii="Arial" w:hAnsi="Arial" w:cs="Arial"/>
          <w:sz w:val="24"/>
          <w:szCs w:val="24"/>
        </w:rPr>
        <w:t xml:space="preserve">remaining study period was considered as the </w:t>
      </w:r>
      <w:r w:rsidRPr="00021272">
        <w:rPr>
          <w:rFonts w:ascii="Arial" w:hAnsi="Arial" w:cs="Arial"/>
          <w:sz w:val="24"/>
          <w:szCs w:val="24"/>
        </w:rPr>
        <w:t xml:space="preserve">vaccine-unexposed </w:t>
      </w:r>
      <w:r w:rsidR="007443DB">
        <w:rPr>
          <w:rFonts w:ascii="Arial" w:hAnsi="Arial" w:cs="Arial"/>
          <w:sz w:val="24"/>
          <w:szCs w:val="24"/>
        </w:rPr>
        <w:t xml:space="preserve">baseline </w:t>
      </w:r>
      <w:r w:rsidRPr="00021272">
        <w:rPr>
          <w:rFonts w:ascii="Arial" w:hAnsi="Arial" w:cs="Arial"/>
          <w:sz w:val="24"/>
          <w:szCs w:val="24"/>
        </w:rPr>
        <w:t xml:space="preserve">period. </w:t>
      </w:r>
      <w:r w:rsidR="007443DB" w:rsidRPr="007443DB">
        <w:rPr>
          <w:rFonts w:ascii="Arial" w:hAnsi="Arial" w:cs="Arial"/>
          <w:sz w:val="24"/>
          <w:szCs w:val="24"/>
        </w:rPr>
        <w:t xml:space="preserve">A sensitivity analysis to account for bias due to late presentation of IBD flares considered 6-week post-vaccination exposed period. Stratified analysis </w:t>
      </w:r>
      <w:r w:rsidR="007443DB" w:rsidRPr="007443DB">
        <w:rPr>
          <w:rFonts w:ascii="Arial" w:hAnsi="Arial" w:cs="Arial"/>
          <w:sz w:val="24"/>
          <w:szCs w:val="24"/>
        </w:rPr>
        <w:lastRenderedPageBreak/>
        <w:t>considered 1st, 2nd or 3rd vaccine doses; and IBD type in the entire dataset. Stratified analysis according to vaccine type (AZD1222 vs. BNT1262b2) and prior COVID-19 considered the first vaccination against COVID-19.</w:t>
      </w:r>
      <w:r w:rsidR="007443DB">
        <w:rPr>
          <w:b/>
        </w:rPr>
        <w:t xml:space="preserve"> </w:t>
      </w:r>
      <w:r w:rsidRPr="00021272">
        <w:rPr>
          <w:rFonts w:ascii="Arial" w:hAnsi="Arial" w:cs="Arial"/>
          <w:sz w:val="24"/>
          <w:szCs w:val="24"/>
        </w:rPr>
        <w:t>p&lt;0.05 (two sided) were considered as statistically significant. Data analyses were carried out using Stata v.16.</w:t>
      </w:r>
    </w:p>
    <w:p w14:paraId="717A0380" w14:textId="77777777" w:rsidR="00021272" w:rsidRDefault="00021272">
      <w:pPr>
        <w:rPr>
          <w:rFonts w:ascii="Arial" w:hAnsi="Arial" w:cs="Arial"/>
          <w:sz w:val="24"/>
          <w:szCs w:val="24"/>
        </w:rPr>
      </w:pPr>
      <w:r>
        <w:rPr>
          <w:rFonts w:ascii="Arial" w:hAnsi="Arial" w:cs="Arial"/>
          <w:sz w:val="24"/>
          <w:szCs w:val="24"/>
        </w:rPr>
        <w:br w:type="page"/>
      </w:r>
    </w:p>
    <w:p w14:paraId="17C0A250" w14:textId="2AF2E1FA" w:rsidR="00B70C48" w:rsidRPr="00B70C48" w:rsidRDefault="00021272" w:rsidP="00021272">
      <w:pPr>
        <w:rPr>
          <w:rFonts w:ascii="Arial" w:hAnsi="Arial" w:cs="Arial"/>
          <w:b/>
          <w:sz w:val="24"/>
          <w:szCs w:val="24"/>
        </w:rPr>
      </w:pPr>
      <w:r w:rsidRPr="00B70C48">
        <w:rPr>
          <w:rFonts w:ascii="Arial" w:hAnsi="Arial" w:cs="Arial"/>
          <w:b/>
          <w:sz w:val="24"/>
          <w:szCs w:val="24"/>
        </w:rPr>
        <w:lastRenderedPageBreak/>
        <w:t xml:space="preserve">Results </w:t>
      </w:r>
    </w:p>
    <w:p w14:paraId="1FEF7927" w14:textId="58CFA8E6" w:rsidR="00021272" w:rsidRPr="00021272" w:rsidRDefault="00021272" w:rsidP="00B70C48">
      <w:pPr>
        <w:spacing w:line="480" w:lineRule="auto"/>
        <w:rPr>
          <w:rFonts w:ascii="Arial" w:hAnsi="Arial" w:cs="Arial"/>
          <w:sz w:val="24"/>
          <w:szCs w:val="24"/>
        </w:rPr>
      </w:pPr>
      <w:r w:rsidRPr="00021272">
        <w:rPr>
          <w:rFonts w:ascii="Arial" w:hAnsi="Arial" w:cs="Arial"/>
          <w:sz w:val="24"/>
          <w:szCs w:val="24"/>
        </w:rPr>
        <w:t>Data for 1911 IBD cases were included (Figure 2). The majority were female (52%) and their mean (</w:t>
      </w:r>
      <w:r w:rsidR="007443DB">
        <w:rPr>
          <w:rFonts w:ascii="Arial" w:hAnsi="Arial" w:cs="Arial"/>
          <w:sz w:val="24"/>
          <w:szCs w:val="24"/>
        </w:rPr>
        <w:t>standard deviation</w:t>
      </w:r>
      <w:r w:rsidRPr="00021272">
        <w:rPr>
          <w:rFonts w:ascii="Arial" w:hAnsi="Arial" w:cs="Arial"/>
          <w:sz w:val="24"/>
          <w:szCs w:val="24"/>
        </w:rPr>
        <w:t xml:space="preserve">) age was 49 (17) years. 1209 (63%) had </w:t>
      </w:r>
      <w:r w:rsidR="00A37C78">
        <w:rPr>
          <w:rFonts w:ascii="Arial" w:hAnsi="Arial" w:cs="Arial"/>
          <w:sz w:val="24"/>
          <w:szCs w:val="24"/>
        </w:rPr>
        <w:t>UC</w:t>
      </w:r>
      <w:r w:rsidRPr="00021272">
        <w:rPr>
          <w:rFonts w:ascii="Arial" w:hAnsi="Arial" w:cs="Arial"/>
          <w:sz w:val="24"/>
          <w:szCs w:val="24"/>
        </w:rPr>
        <w:t xml:space="preserve">, 604 (32%) had Crohn’s disease, 98 (5%) had IBD without any specific coding for subtype. 754 (40%), 1132 (59%), and 23 (1%) participants received BNT162b2, AZD1222 and mRNA-1273 vaccines respectively as their first </w:t>
      </w:r>
      <w:r w:rsidR="007443DB">
        <w:rPr>
          <w:rFonts w:ascii="Arial" w:hAnsi="Arial" w:cs="Arial"/>
          <w:sz w:val="24"/>
          <w:szCs w:val="24"/>
        </w:rPr>
        <w:t xml:space="preserve">vaccine </w:t>
      </w:r>
      <w:r w:rsidRPr="00021272">
        <w:rPr>
          <w:rFonts w:ascii="Arial" w:hAnsi="Arial" w:cs="Arial"/>
          <w:sz w:val="24"/>
          <w:szCs w:val="24"/>
        </w:rPr>
        <w:t xml:space="preserve">dose. 134 (7%) participants had </w:t>
      </w:r>
      <w:r w:rsidR="0025665E">
        <w:rPr>
          <w:rFonts w:ascii="Arial" w:hAnsi="Arial" w:cs="Arial"/>
          <w:sz w:val="24"/>
          <w:szCs w:val="24"/>
        </w:rPr>
        <w:t>COVID</w:t>
      </w:r>
      <w:r w:rsidRPr="00021272">
        <w:rPr>
          <w:rFonts w:ascii="Arial" w:hAnsi="Arial" w:cs="Arial"/>
          <w:sz w:val="24"/>
          <w:szCs w:val="24"/>
        </w:rPr>
        <w:t xml:space="preserve">-19 prior to their first vaccine dose. 1005 (53%), 809 (42%), and 97 (5%) participants received three, two, and one vaccination against </w:t>
      </w:r>
      <w:r w:rsidR="0025665E">
        <w:rPr>
          <w:rFonts w:ascii="Arial" w:hAnsi="Arial" w:cs="Arial"/>
          <w:sz w:val="24"/>
          <w:szCs w:val="24"/>
        </w:rPr>
        <w:t>COVID</w:t>
      </w:r>
      <w:r w:rsidRPr="00021272">
        <w:rPr>
          <w:rFonts w:ascii="Arial" w:hAnsi="Arial" w:cs="Arial"/>
          <w:sz w:val="24"/>
          <w:szCs w:val="24"/>
        </w:rPr>
        <w:t xml:space="preserve">-19 respectively in the study period. 1754 (91.8%), 137 (7.2%) and 20 (1%) </w:t>
      </w:r>
      <w:r w:rsidR="00493E07">
        <w:rPr>
          <w:rFonts w:ascii="Arial" w:hAnsi="Arial" w:cs="Arial"/>
          <w:sz w:val="24"/>
          <w:szCs w:val="24"/>
        </w:rPr>
        <w:t xml:space="preserve">participants </w:t>
      </w:r>
      <w:r w:rsidRPr="00021272">
        <w:rPr>
          <w:rFonts w:ascii="Arial" w:hAnsi="Arial" w:cs="Arial"/>
          <w:sz w:val="24"/>
          <w:szCs w:val="24"/>
        </w:rPr>
        <w:t>had one, two, and more than two IBD flares</w:t>
      </w:r>
      <w:r w:rsidR="007443DB">
        <w:rPr>
          <w:rFonts w:ascii="Arial" w:hAnsi="Arial" w:cs="Arial"/>
          <w:sz w:val="24"/>
          <w:szCs w:val="24"/>
        </w:rPr>
        <w:t xml:space="preserve"> in the study period</w:t>
      </w:r>
      <w:r w:rsidRPr="00021272">
        <w:rPr>
          <w:rFonts w:ascii="Arial" w:hAnsi="Arial" w:cs="Arial"/>
          <w:sz w:val="24"/>
          <w:szCs w:val="24"/>
        </w:rPr>
        <w:t xml:space="preserve">. 74 participants (3.9%) did not contribute data for the entire follow-up period due to death (n = 16 (0.8%)) or transfer out of </w:t>
      </w:r>
      <w:r w:rsidR="007443DB">
        <w:rPr>
          <w:rFonts w:ascii="Arial" w:hAnsi="Arial" w:cs="Arial"/>
          <w:sz w:val="24"/>
          <w:szCs w:val="24"/>
        </w:rPr>
        <w:t>general</w:t>
      </w:r>
      <w:r w:rsidRPr="00021272">
        <w:rPr>
          <w:rFonts w:ascii="Arial" w:hAnsi="Arial" w:cs="Arial"/>
          <w:sz w:val="24"/>
          <w:szCs w:val="24"/>
        </w:rPr>
        <w:t xml:space="preserve"> practice </w:t>
      </w:r>
      <w:r w:rsidR="007443DB">
        <w:rPr>
          <w:rFonts w:ascii="Arial" w:hAnsi="Arial" w:cs="Arial"/>
          <w:sz w:val="24"/>
          <w:szCs w:val="24"/>
        </w:rPr>
        <w:t xml:space="preserve">surgery </w:t>
      </w:r>
      <w:r w:rsidRPr="00021272">
        <w:rPr>
          <w:rFonts w:ascii="Arial" w:hAnsi="Arial" w:cs="Arial"/>
          <w:sz w:val="24"/>
          <w:szCs w:val="24"/>
        </w:rPr>
        <w:t xml:space="preserve">(n = 58 (3%)). </w:t>
      </w:r>
      <w:r w:rsidR="007443DB" w:rsidRPr="00DE2605">
        <w:rPr>
          <w:rFonts w:ascii="Arial" w:hAnsi="Arial" w:cs="Arial"/>
          <w:sz w:val="24"/>
          <w:szCs w:val="24"/>
        </w:rPr>
        <w:t>101 of the 108 (93.5%) patients that had an IBD flare in the 3-week vaccine-exposed period immediately after their first vaccination against COVID-19, received another dose of a COVID-19 vaccine. Similarly, 1713 of the 1803 (95%) patients that did not have an IBD flare in the 3-week vaccine exposed period after their first vaccination against COVID-19 received another dose of a COVID-19 vaccine.</w:t>
      </w:r>
    </w:p>
    <w:p w14:paraId="68DB4D73" w14:textId="67E315A1" w:rsidR="00DE2605" w:rsidRDefault="00021272" w:rsidP="00B70C48">
      <w:pPr>
        <w:spacing w:line="480" w:lineRule="auto"/>
        <w:rPr>
          <w:rFonts w:ascii="Arial" w:hAnsi="Arial" w:cs="Arial"/>
          <w:sz w:val="24"/>
          <w:szCs w:val="24"/>
        </w:rPr>
      </w:pPr>
      <w:r w:rsidRPr="00021272">
        <w:rPr>
          <w:rFonts w:ascii="Arial" w:hAnsi="Arial" w:cs="Arial"/>
          <w:sz w:val="24"/>
          <w:szCs w:val="24"/>
        </w:rPr>
        <w:t>Vaccination</w:t>
      </w:r>
      <w:r w:rsidR="00493E07">
        <w:rPr>
          <w:rFonts w:ascii="Arial" w:hAnsi="Arial" w:cs="Arial"/>
          <w:sz w:val="24"/>
          <w:szCs w:val="24"/>
        </w:rPr>
        <w:t>s</w:t>
      </w:r>
      <w:r w:rsidRPr="00021272">
        <w:rPr>
          <w:rFonts w:ascii="Arial" w:hAnsi="Arial" w:cs="Arial"/>
          <w:sz w:val="24"/>
          <w:szCs w:val="24"/>
        </w:rPr>
        <w:t xml:space="preserve"> against </w:t>
      </w:r>
      <w:r w:rsidR="0025665E">
        <w:rPr>
          <w:rFonts w:ascii="Arial" w:hAnsi="Arial" w:cs="Arial"/>
          <w:sz w:val="24"/>
          <w:szCs w:val="24"/>
        </w:rPr>
        <w:t>COVID</w:t>
      </w:r>
      <w:r w:rsidRPr="00021272">
        <w:rPr>
          <w:rFonts w:ascii="Arial" w:hAnsi="Arial" w:cs="Arial"/>
          <w:sz w:val="24"/>
          <w:szCs w:val="24"/>
        </w:rPr>
        <w:t xml:space="preserve">-19 were not associated with IBD flares in the </w:t>
      </w:r>
      <w:r w:rsidR="007443DB">
        <w:rPr>
          <w:rFonts w:ascii="Arial" w:hAnsi="Arial" w:cs="Arial"/>
          <w:sz w:val="24"/>
          <w:szCs w:val="24"/>
        </w:rPr>
        <w:t xml:space="preserve">21-day </w:t>
      </w:r>
      <w:r w:rsidRPr="00021272">
        <w:rPr>
          <w:rFonts w:ascii="Arial" w:hAnsi="Arial" w:cs="Arial"/>
          <w:sz w:val="24"/>
          <w:szCs w:val="24"/>
        </w:rPr>
        <w:t xml:space="preserve">vaccine-exposed period when all vaccinations were analyzed together </w:t>
      </w:r>
      <w:r w:rsidR="007443DB">
        <w:rPr>
          <w:rFonts w:ascii="Arial" w:hAnsi="Arial" w:cs="Arial"/>
          <w:sz w:val="24"/>
          <w:szCs w:val="24"/>
        </w:rPr>
        <w:t xml:space="preserve">in a single dataset </w:t>
      </w:r>
      <w:r w:rsidRPr="00021272">
        <w:rPr>
          <w:rFonts w:ascii="Arial" w:hAnsi="Arial" w:cs="Arial"/>
          <w:sz w:val="24"/>
          <w:szCs w:val="24"/>
        </w:rPr>
        <w:t>or separately (Table 1). The aIRR (95%CI) for flare in the vaccin</w:t>
      </w:r>
      <w:r w:rsidR="007443DB">
        <w:rPr>
          <w:rFonts w:ascii="Arial" w:hAnsi="Arial" w:cs="Arial"/>
          <w:sz w:val="24"/>
          <w:szCs w:val="24"/>
        </w:rPr>
        <w:t>e</w:t>
      </w:r>
      <w:r w:rsidRPr="00021272">
        <w:rPr>
          <w:rFonts w:ascii="Arial" w:hAnsi="Arial" w:cs="Arial"/>
          <w:sz w:val="24"/>
          <w:szCs w:val="24"/>
        </w:rPr>
        <w:t>-exposed period in those with ulcerative colitis</w:t>
      </w:r>
      <w:r w:rsidR="007B3DE1">
        <w:rPr>
          <w:rFonts w:ascii="Arial" w:hAnsi="Arial" w:cs="Arial"/>
          <w:sz w:val="24"/>
          <w:szCs w:val="24"/>
        </w:rPr>
        <w:t xml:space="preserve"> </w:t>
      </w:r>
      <w:r w:rsidR="007443DB">
        <w:rPr>
          <w:rFonts w:ascii="Arial" w:hAnsi="Arial" w:cs="Arial"/>
          <w:sz w:val="24"/>
          <w:szCs w:val="24"/>
        </w:rPr>
        <w:t xml:space="preserve">(UC) </w:t>
      </w:r>
      <w:r w:rsidRPr="00021272">
        <w:rPr>
          <w:rFonts w:ascii="Arial" w:hAnsi="Arial" w:cs="Arial"/>
          <w:sz w:val="24"/>
          <w:szCs w:val="24"/>
        </w:rPr>
        <w:t xml:space="preserve">was </w:t>
      </w:r>
      <w:r w:rsidR="00C74F2F">
        <w:rPr>
          <w:rFonts w:ascii="Arial" w:hAnsi="Arial" w:cs="Arial"/>
          <w:sz w:val="24"/>
          <w:szCs w:val="24"/>
        </w:rPr>
        <w:t xml:space="preserve">significantly reduced </w:t>
      </w:r>
      <w:r w:rsidR="007B3DE1">
        <w:rPr>
          <w:rFonts w:ascii="Arial" w:hAnsi="Arial" w:cs="Arial"/>
          <w:sz w:val="24"/>
          <w:szCs w:val="24"/>
        </w:rPr>
        <w:t xml:space="preserve">at </w:t>
      </w:r>
      <w:r w:rsidRPr="00021272">
        <w:rPr>
          <w:rFonts w:ascii="Arial" w:hAnsi="Arial" w:cs="Arial"/>
          <w:sz w:val="24"/>
          <w:szCs w:val="24"/>
        </w:rPr>
        <w:t>0.79 (0.66-0.95),</w:t>
      </w:r>
      <w:r w:rsidR="007B3DE1">
        <w:rPr>
          <w:rFonts w:ascii="Arial" w:hAnsi="Arial" w:cs="Arial"/>
          <w:sz w:val="24"/>
          <w:szCs w:val="24"/>
        </w:rPr>
        <w:t xml:space="preserve"> whereas in Crohn’s disease it was unaltered</w:t>
      </w:r>
      <w:r w:rsidRPr="00021272">
        <w:rPr>
          <w:rFonts w:ascii="Arial" w:hAnsi="Arial" w:cs="Arial"/>
          <w:sz w:val="24"/>
          <w:szCs w:val="24"/>
        </w:rPr>
        <w:t xml:space="preserve"> </w:t>
      </w:r>
      <w:r w:rsidR="007B3DE1">
        <w:rPr>
          <w:rFonts w:ascii="Arial" w:hAnsi="Arial" w:cs="Arial"/>
          <w:sz w:val="24"/>
          <w:szCs w:val="24"/>
        </w:rPr>
        <w:t xml:space="preserve">(aIRR </w:t>
      </w:r>
      <w:r w:rsidRPr="00021272">
        <w:rPr>
          <w:rFonts w:ascii="Arial" w:hAnsi="Arial" w:cs="Arial"/>
          <w:sz w:val="24"/>
          <w:szCs w:val="24"/>
        </w:rPr>
        <w:t>1.00 (0.79-1.27)</w:t>
      </w:r>
      <w:r w:rsidR="007B3DE1">
        <w:rPr>
          <w:rFonts w:ascii="Arial" w:hAnsi="Arial" w:cs="Arial"/>
          <w:sz w:val="24"/>
          <w:szCs w:val="24"/>
        </w:rPr>
        <w:t>)</w:t>
      </w:r>
      <w:r w:rsidRPr="00021272">
        <w:rPr>
          <w:rFonts w:ascii="Arial" w:hAnsi="Arial" w:cs="Arial"/>
          <w:sz w:val="24"/>
          <w:szCs w:val="24"/>
        </w:rPr>
        <w:t xml:space="preserve"> (Table 2). Data for 98 patients that could only be classified as IBD were excluded from this analysis. </w:t>
      </w:r>
    </w:p>
    <w:p w14:paraId="4037331B" w14:textId="77777777" w:rsidR="00DE2605" w:rsidRPr="00F71331" w:rsidRDefault="00DE2605" w:rsidP="00F71331">
      <w:pPr>
        <w:spacing w:line="480" w:lineRule="auto"/>
        <w:rPr>
          <w:rFonts w:ascii="Arial" w:hAnsi="Arial" w:cs="Arial"/>
          <w:sz w:val="24"/>
          <w:szCs w:val="24"/>
        </w:rPr>
      </w:pPr>
      <w:r w:rsidRPr="00F71331">
        <w:rPr>
          <w:rFonts w:ascii="Arial" w:hAnsi="Arial" w:cs="Arial"/>
          <w:sz w:val="24"/>
          <w:szCs w:val="24"/>
        </w:rPr>
        <w:lastRenderedPageBreak/>
        <w:t xml:space="preserve">On sensitivity analysis that extended the vaccine-exposed period to 6-weeks immediately after vaccination, there was no association between vaccination against COVID-19 and IBD flare, or Crohn’s disease flare with aIRR (95% CI) </w:t>
      </w:r>
      <w:r w:rsidRPr="00F71331">
        <w:rPr>
          <w:rFonts w:ascii="Arial" w:hAnsi="Arial" w:cs="Arial"/>
          <w:bCs/>
          <w:sz w:val="24"/>
          <w:szCs w:val="24"/>
        </w:rPr>
        <w:t>0.89 (0.79-1.00) and 1.02 (0.83-1.26)</w:t>
      </w:r>
      <w:r w:rsidRPr="00F71331">
        <w:rPr>
          <w:rFonts w:ascii="Arial" w:hAnsi="Arial" w:cs="Arial"/>
          <w:sz w:val="24"/>
          <w:szCs w:val="24"/>
        </w:rPr>
        <w:t xml:space="preserve"> respectively, and </w:t>
      </w:r>
      <w:r w:rsidRPr="00F71331">
        <w:rPr>
          <w:rFonts w:ascii="Arial" w:hAnsi="Arial" w:cs="Arial"/>
          <w:bCs/>
          <w:sz w:val="24"/>
          <w:szCs w:val="24"/>
        </w:rPr>
        <w:t>a negative association with UC flare with aIRR (95% CI) 0.81(0.69-0.94))</w:t>
      </w:r>
      <w:r w:rsidRPr="00F71331">
        <w:rPr>
          <w:rFonts w:ascii="Arial" w:hAnsi="Arial" w:cs="Arial"/>
          <w:sz w:val="24"/>
          <w:szCs w:val="24"/>
        </w:rPr>
        <w:t>.</w:t>
      </w:r>
    </w:p>
    <w:p w14:paraId="42CD4612" w14:textId="75C470C0" w:rsidR="00A879C1" w:rsidRDefault="00021272" w:rsidP="00B70C48">
      <w:pPr>
        <w:spacing w:line="480" w:lineRule="auto"/>
        <w:rPr>
          <w:rFonts w:ascii="Arial" w:hAnsi="Arial" w:cs="Arial"/>
          <w:sz w:val="24"/>
          <w:szCs w:val="24"/>
        </w:rPr>
        <w:sectPr w:rsidR="00A879C1" w:rsidSect="00EB18A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lnNumType w:countBy="1"/>
          <w:cols w:space="708"/>
          <w:docGrid w:linePitch="360"/>
        </w:sectPr>
      </w:pPr>
      <w:r w:rsidRPr="00021272">
        <w:rPr>
          <w:rFonts w:ascii="Arial" w:hAnsi="Arial" w:cs="Arial"/>
          <w:sz w:val="24"/>
          <w:szCs w:val="24"/>
        </w:rPr>
        <w:t xml:space="preserve">After the first </w:t>
      </w:r>
      <w:r w:rsidR="0025665E">
        <w:rPr>
          <w:rFonts w:ascii="Arial" w:hAnsi="Arial" w:cs="Arial"/>
          <w:sz w:val="24"/>
          <w:szCs w:val="24"/>
        </w:rPr>
        <w:t>COVID</w:t>
      </w:r>
      <w:r w:rsidRPr="00021272">
        <w:rPr>
          <w:rFonts w:ascii="Arial" w:hAnsi="Arial" w:cs="Arial"/>
          <w:sz w:val="24"/>
          <w:szCs w:val="24"/>
        </w:rPr>
        <w:t xml:space="preserve">-19 vaccination, the adjusted rate ratios for IBD flare in the vaccination-exposed periods were comparable in those vaccinated with mRNA-BNT162b2 and vectored DNA vaccines with aIRR (95%CI) 0.81 (0.59-1.10) and 0.83 (0.64-1.08) (Table 2). </w:t>
      </w:r>
      <w:r w:rsidR="00102A53">
        <w:rPr>
          <w:rFonts w:ascii="Arial" w:hAnsi="Arial" w:cs="Arial"/>
          <w:sz w:val="24"/>
          <w:szCs w:val="24"/>
        </w:rPr>
        <w:t>In p</w:t>
      </w:r>
      <w:r w:rsidRPr="00021272">
        <w:rPr>
          <w:rFonts w:ascii="Arial" w:hAnsi="Arial" w:cs="Arial"/>
          <w:sz w:val="24"/>
          <w:szCs w:val="24"/>
        </w:rPr>
        <w:t xml:space="preserve">atients with previous </w:t>
      </w:r>
      <w:r w:rsidR="0025665E">
        <w:rPr>
          <w:rFonts w:ascii="Arial" w:hAnsi="Arial" w:cs="Arial"/>
          <w:sz w:val="24"/>
          <w:szCs w:val="24"/>
        </w:rPr>
        <w:t>COVID</w:t>
      </w:r>
      <w:r w:rsidRPr="00021272">
        <w:rPr>
          <w:rFonts w:ascii="Arial" w:hAnsi="Arial" w:cs="Arial"/>
          <w:sz w:val="24"/>
          <w:szCs w:val="24"/>
        </w:rPr>
        <w:t>-19</w:t>
      </w:r>
      <w:r w:rsidR="00102A53">
        <w:rPr>
          <w:rFonts w:ascii="Arial" w:hAnsi="Arial" w:cs="Arial"/>
          <w:sz w:val="24"/>
          <w:szCs w:val="24"/>
        </w:rPr>
        <w:t xml:space="preserve">, the first dose of </w:t>
      </w:r>
      <w:r w:rsidR="0025665E">
        <w:rPr>
          <w:rFonts w:ascii="Arial" w:hAnsi="Arial" w:cs="Arial"/>
          <w:sz w:val="24"/>
          <w:szCs w:val="24"/>
        </w:rPr>
        <w:t>COVID</w:t>
      </w:r>
      <w:r w:rsidR="00102A53">
        <w:rPr>
          <w:rFonts w:ascii="Arial" w:hAnsi="Arial" w:cs="Arial"/>
          <w:sz w:val="24"/>
          <w:szCs w:val="24"/>
        </w:rPr>
        <w:t>-19 vaccine</w:t>
      </w:r>
      <w:r w:rsidRPr="00021272">
        <w:rPr>
          <w:rFonts w:ascii="Arial" w:hAnsi="Arial" w:cs="Arial"/>
          <w:sz w:val="24"/>
          <w:szCs w:val="24"/>
        </w:rPr>
        <w:t xml:space="preserve"> </w:t>
      </w:r>
      <w:r w:rsidR="00102A53">
        <w:rPr>
          <w:rFonts w:ascii="Arial" w:hAnsi="Arial" w:cs="Arial"/>
          <w:sz w:val="24"/>
          <w:szCs w:val="24"/>
        </w:rPr>
        <w:t>was</w:t>
      </w:r>
      <w:r w:rsidRPr="00021272">
        <w:rPr>
          <w:rFonts w:ascii="Arial" w:hAnsi="Arial" w:cs="Arial"/>
          <w:sz w:val="24"/>
          <w:szCs w:val="24"/>
        </w:rPr>
        <w:t xml:space="preserve"> </w:t>
      </w:r>
      <w:r w:rsidR="00102A53">
        <w:rPr>
          <w:rFonts w:ascii="Arial" w:hAnsi="Arial" w:cs="Arial"/>
          <w:sz w:val="24"/>
          <w:szCs w:val="24"/>
        </w:rPr>
        <w:t>associated with a lower risk of</w:t>
      </w:r>
      <w:r w:rsidRPr="00021272">
        <w:rPr>
          <w:rFonts w:ascii="Arial" w:hAnsi="Arial" w:cs="Arial"/>
          <w:sz w:val="24"/>
          <w:szCs w:val="24"/>
        </w:rPr>
        <w:t xml:space="preserve"> IBD flare </w:t>
      </w:r>
      <w:r w:rsidR="00102A53">
        <w:rPr>
          <w:rFonts w:ascii="Arial" w:hAnsi="Arial" w:cs="Arial"/>
          <w:sz w:val="24"/>
          <w:szCs w:val="24"/>
        </w:rPr>
        <w:t xml:space="preserve">within </w:t>
      </w:r>
      <w:r w:rsidRPr="00021272">
        <w:rPr>
          <w:rFonts w:ascii="Arial" w:hAnsi="Arial" w:cs="Arial"/>
          <w:sz w:val="24"/>
          <w:szCs w:val="24"/>
        </w:rPr>
        <w:t>21-days with aIRR (95%CI) 0.58 (0.35-0.95).</w:t>
      </w:r>
      <w:bookmarkStart w:id="0" w:name="_GoBack"/>
      <w:bookmarkEnd w:id="0"/>
    </w:p>
    <w:p w14:paraId="1C181582" w14:textId="4F4C9EAC" w:rsidR="00A879C1" w:rsidRPr="0001788E" w:rsidRDefault="00A879C1" w:rsidP="00A879C1">
      <w:pPr>
        <w:tabs>
          <w:tab w:val="left" w:pos="944"/>
        </w:tabs>
        <w:rPr>
          <w:rFonts w:ascii="Arial" w:hAnsi="Arial" w:cs="Arial"/>
        </w:rPr>
      </w:pPr>
      <w:r w:rsidRPr="0001788E">
        <w:rPr>
          <w:rFonts w:ascii="Arial" w:hAnsi="Arial" w:cs="Arial"/>
        </w:rPr>
        <w:lastRenderedPageBreak/>
        <w:t xml:space="preserve">Table 1: The association between </w:t>
      </w:r>
      <w:r w:rsidR="0025665E">
        <w:rPr>
          <w:rFonts w:ascii="Arial" w:hAnsi="Arial" w:cs="Arial"/>
        </w:rPr>
        <w:t>COVID</w:t>
      </w:r>
      <w:r w:rsidRPr="0001788E">
        <w:rPr>
          <w:rFonts w:ascii="Arial" w:hAnsi="Arial" w:cs="Arial"/>
        </w:rPr>
        <w:t xml:space="preserve">-19 vaccination and </w:t>
      </w:r>
      <w:r w:rsidR="00DE2605">
        <w:rPr>
          <w:rFonts w:ascii="Arial" w:hAnsi="Arial" w:cs="Arial"/>
        </w:rPr>
        <w:t>inflammatory bowel disease (</w:t>
      </w:r>
      <w:r w:rsidRPr="0001788E">
        <w:rPr>
          <w:rFonts w:ascii="Arial" w:hAnsi="Arial" w:cs="Arial"/>
        </w:rPr>
        <w:t>IBD</w:t>
      </w:r>
      <w:r w:rsidR="00DE2605">
        <w:rPr>
          <w:rFonts w:ascii="Arial" w:hAnsi="Arial" w:cs="Arial"/>
        </w:rPr>
        <w:t>)</w:t>
      </w:r>
      <w:r w:rsidRPr="0001788E">
        <w:rPr>
          <w:rFonts w:ascii="Arial" w:hAnsi="Arial" w:cs="Arial"/>
        </w:rPr>
        <w:t xml:space="preserve"> flare </w:t>
      </w:r>
    </w:p>
    <w:tbl>
      <w:tblPr>
        <w:tblStyle w:val="TableGrid"/>
        <w:tblW w:w="5434" w:type="pct"/>
        <w:tblInd w:w="-851" w:type="dxa"/>
        <w:tblLook w:val="04A0" w:firstRow="1" w:lastRow="0" w:firstColumn="1" w:lastColumn="0" w:noHBand="0" w:noVBand="1"/>
      </w:tblPr>
      <w:tblGrid>
        <w:gridCol w:w="1807"/>
        <w:gridCol w:w="3896"/>
        <w:gridCol w:w="1322"/>
        <w:gridCol w:w="2007"/>
        <w:gridCol w:w="2407"/>
        <w:gridCol w:w="2407"/>
        <w:gridCol w:w="1313"/>
      </w:tblGrid>
      <w:tr w:rsidR="00A879C1" w:rsidRPr="0001788E" w14:paraId="497732E3" w14:textId="77777777" w:rsidTr="00A879C1">
        <w:tc>
          <w:tcPr>
            <w:tcW w:w="596" w:type="pct"/>
          </w:tcPr>
          <w:p w14:paraId="62FDDB77" w14:textId="497017DB" w:rsidR="00A879C1" w:rsidRPr="0001788E" w:rsidRDefault="0025665E" w:rsidP="00A879C1">
            <w:pPr>
              <w:rPr>
                <w:rFonts w:ascii="Arial" w:hAnsi="Arial" w:cs="Arial"/>
                <w:bCs/>
                <w:szCs w:val="20"/>
              </w:rPr>
            </w:pPr>
            <w:r>
              <w:rPr>
                <w:rFonts w:ascii="Arial" w:hAnsi="Arial" w:cs="Arial"/>
                <w:bCs/>
                <w:szCs w:val="20"/>
              </w:rPr>
              <w:t>COVID</w:t>
            </w:r>
            <w:r w:rsidR="00A879C1" w:rsidRPr="0001788E">
              <w:rPr>
                <w:rFonts w:ascii="Arial" w:hAnsi="Arial" w:cs="Arial"/>
                <w:bCs/>
                <w:szCs w:val="20"/>
              </w:rPr>
              <w:t>-19 vaccination</w:t>
            </w:r>
          </w:p>
        </w:tc>
        <w:tc>
          <w:tcPr>
            <w:tcW w:w="1285" w:type="pct"/>
          </w:tcPr>
          <w:p w14:paraId="3FD949C2" w14:textId="6C50118F" w:rsidR="00A879C1" w:rsidRPr="0001788E" w:rsidRDefault="00A879C1" w:rsidP="00A879C1">
            <w:pPr>
              <w:rPr>
                <w:rFonts w:ascii="Arial" w:hAnsi="Arial" w:cs="Arial"/>
                <w:bCs/>
                <w:szCs w:val="20"/>
              </w:rPr>
            </w:pPr>
            <w:r w:rsidRPr="0001788E">
              <w:rPr>
                <w:rFonts w:ascii="Arial" w:hAnsi="Arial" w:cs="Arial"/>
                <w:bCs/>
                <w:szCs w:val="20"/>
              </w:rPr>
              <w:t>Risk period</w:t>
            </w:r>
          </w:p>
        </w:tc>
        <w:tc>
          <w:tcPr>
            <w:tcW w:w="436" w:type="pct"/>
          </w:tcPr>
          <w:p w14:paraId="0DEF760A" w14:textId="77777777" w:rsidR="00A879C1" w:rsidRPr="0001788E" w:rsidRDefault="00A879C1" w:rsidP="00A879C1">
            <w:pPr>
              <w:jc w:val="center"/>
              <w:rPr>
                <w:rFonts w:ascii="Arial" w:hAnsi="Arial" w:cs="Arial"/>
                <w:bCs/>
                <w:szCs w:val="20"/>
              </w:rPr>
            </w:pPr>
            <w:r w:rsidRPr="0001788E">
              <w:rPr>
                <w:rFonts w:ascii="Arial" w:hAnsi="Arial" w:cs="Arial"/>
                <w:bCs/>
                <w:szCs w:val="20"/>
              </w:rPr>
              <w:t>Events</w:t>
            </w:r>
          </w:p>
          <w:p w14:paraId="369019F3" w14:textId="77777777" w:rsidR="00A879C1" w:rsidRPr="0001788E" w:rsidRDefault="00A879C1" w:rsidP="00A879C1">
            <w:pPr>
              <w:jc w:val="center"/>
              <w:rPr>
                <w:rFonts w:ascii="Arial" w:hAnsi="Arial" w:cs="Arial"/>
                <w:bCs/>
                <w:szCs w:val="20"/>
              </w:rPr>
            </w:pPr>
            <w:r w:rsidRPr="0001788E">
              <w:rPr>
                <w:rFonts w:ascii="Arial" w:hAnsi="Arial" w:cs="Arial"/>
                <w:bCs/>
                <w:szCs w:val="20"/>
              </w:rPr>
              <w:t>(n)</w:t>
            </w:r>
          </w:p>
        </w:tc>
        <w:tc>
          <w:tcPr>
            <w:tcW w:w="662" w:type="pct"/>
          </w:tcPr>
          <w:p w14:paraId="51406195" w14:textId="77777777" w:rsidR="00A879C1" w:rsidRPr="0001788E" w:rsidRDefault="00A879C1" w:rsidP="00A879C1">
            <w:pPr>
              <w:jc w:val="center"/>
              <w:rPr>
                <w:rFonts w:ascii="Arial" w:hAnsi="Arial" w:cs="Arial"/>
                <w:bCs/>
                <w:szCs w:val="20"/>
              </w:rPr>
            </w:pPr>
            <w:r w:rsidRPr="0001788E">
              <w:rPr>
                <w:rFonts w:ascii="Arial" w:hAnsi="Arial" w:cs="Arial"/>
                <w:bCs/>
                <w:szCs w:val="20"/>
              </w:rPr>
              <w:t>Person-time (days)</w:t>
            </w:r>
          </w:p>
        </w:tc>
        <w:tc>
          <w:tcPr>
            <w:tcW w:w="794" w:type="pct"/>
          </w:tcPr>
          <w:p w14:paraId="2DEC76F5" w14:textId="77777777" w:rsidR="00A879C1" w:rsidRPr="0001788E" w:rsidRDefault="00A879C1" w:rsidP="00A879C1">
            <w:pPr>
              <w:jc w:val="center"/>
              <w:rPr>
                <w:rFonts w:ascii="Arial" w:hAnsi="Arial" w:cs="Arial"/>
                <w:bCs/>
                <w:szCs w:val="20"/>
              </w:rPr>
            </w:pPr>
            <w:r w:rsidRPr="0001788E">
              <w:rPr>
                <w:rFonts w:ascii="Arial" w:hAnsi="Arial" w:cs="Arial"/>
                <w:bCs/>
                <w:szCs w:val="20"/>
              </w:rPr>
              <w:t>Incidence Rate Ratio (95%CI)</w:t>
            </w:r>
          </w:p>
        </w:tc>
        <w:tc>
          <w:tcPr>
            <w:tcW w:w="794" w:type="pct"/>
          </w:tcPr>
          <w:p w14:paraId="639C6912" w14:textId="77777777" w:rsidR="00A879C1" w:rsidRPr="0001788E" w:rsidRDefault="00A879C1" w:rsidP="00A879C1">
            <w:pPr>
              <w:jc w:val="center"/>
              <w:rPr>
                <w:rFonts w:ascii="Arial" w:hAnsi="Arial" w:cs="Arial"/>
                <w:bCs/>
                <w:szCs w:val="20"/>
              </w:rPr>
            </w:pPr>
            <w:r w:rsidRPr="0001788E">
              <w:rPr>
                <w:rFonts w:ascii="Arial" w:hAnsi="Arial" w:cs="Arial"/>
                <w:bCs/>
                <w:szCs w:val="20"/>
              </w:rPr>
              <w:t>Adjusted IRR (95%CI) *</w:t>
            </w:r>
          </w:p>
        </w:tc>
        <w:tc>
          <w:tcPr>
            <w:tcW w:w="433" w:type="pct"/>
          </w:tcPr>
          <w:p w14:paraId="0277D01A" w14:textId="77777777" w:rsidR="00A879C1" w:rsidRPr="0001788E" w:rsidRDefault="00A879C1" w:rsidP="00A879C1">
            <w:pPr>
              <w:jc w:val="center"/>
              <w:rPr>
                <w:rFonts w:ascii="Arial" w:hAnsi="Arial" w:cs="Arial"/>
                <w:bCs/>
                <w:szCs w:val="20"/>
              </w:rPr>
            </w:pPr>
            <w:r w:rsidRPr="0001788E">
              <w:rPr>
                <w:rFonts w:ascii="Arial" w:hAnsi="Arial" w:cs="Arial"/>
                <w:bCs/>
                <w:szCs w:val="20"/>
              </w:rPr>
              <w:t>p-value</w:t>
            </w:r>
          </w:p>
        </w:tc>
      </w:tr>
      <w:tr w:rsidR="00A879C1" w:rsidRPr="0001788E" w14:paraId="0BBB8DA8" w14:textId="77777777" w:rsidTr="00A879C1">
        <w:tc>
          <w:tcPr>
            <w:tcW w:w="596" w:type="pct"/>
            <w:vMerge w:val="restart"/>
          </w:tcPr>
          <w:p w14:paraId="7CE80634" w14:textId="77777777" w:rsidR="00A879C1" w:rsidRPr="0001788E" w:rsidRDefault="00A879C1" w:rsidP="00A879C1">
            <w:pPr>
              <w:rPr>
                <w:rFonts w:ascii="Arial" w:hAnsi="Arial" w:cs="Arial"/>
                <w:szCs w:val="20"/>
              </w:rPr>
            </w:pPr>
            <w:r w:rsidRPr="0001788E">
              <w:rPr>
                <w:rFonts w:ascii="Arial" w:hAnsi="Arial" w:cs="Arial"/>
                <w:szCs w:val="20"/>
              </w:rPr>
              <w:t>All 3 doses</w:t>
            </w:r>
          </w:p>
        </w:tc>
        <w:tc>
          <w:tcPr>
            <w:tcW w:w="1285" w:type="pct"/>
          </w:tcPr>
          <w:p w14:paraId="6C4304A1" w14:textId="56BE9575" w:rsidR="00A879C1" w:rsidRPr="0001788E" w:rsidRDefault="00DE2605" w:rsidP="00A879C1">
            <w:pPr>
              <w:rPr>
                <w:rFonts w:ascii="Arial" w:hAnsi="Arial" w:cs="Arial"/>
                <w:szCs w:val="20"/>
              </w:rPr>
            </w:pPr>
            <w:r>
              <w:rPr>
                <w:rFonts w:ascii="Arial"/>
                <w:spacing w:val="-2"/>
              </w:rPr>
              <w:t>Vaccine unexposed b</w:t>
            </w:r>
            <w:r w:rsidR="00A879C1" w:rsidRPr="0001788E">
              <w:rPr>
                <w:rFonts w:ascii="Arial" w:hAnsi="Arial" w:cs="Arial"/>
                <w:szCs w:val="20"/>
              </w:rPr>
              <w:t>aseline</w:t>
            </w:r>
          </w:p>
        </w:tc>
        <w:tc>
          <w:tcPr>
            <w:tcW w:w="436" w:type="pct"/>
          </w:tcPr>
          <w:p w14:paraId="62158B8C" w14:textId="77777777" w:rsidR="00A879C1" w:rsidRPr="0001788E" w:rsidRDefault="00A879C1" w:rsidP="00A879C1">
            <w:pPr>
              <w:jc w:val="center"/>
              <w:rPr>
                <w:rFonts w:ascii="Arial" w:hAnsi="Arial" w:cs="Arial"/>
                <w:szCs w:val="20"/>
              </w:rPr>
            </w:pPr>
            <w:r w:rsidRPr="0001788E">
              <w:rPr>
                <w:rFonts w:ascii="Arial" w:hAnsi="Arial" w:cs="Arial"/>
                <w:szCs w:val="20"/>
              </w:rPr>
              <w:t>1701</w:t>
            </w:r>
          </w:p>
        </w:tc>
        <w:tc>
          <w:tcPr>
            <w:tcW w:w="662" w:type="pct"/>
          </w:tcPr>
          <w:p w14:paraId="6F976BD3" w14:textId="77777777" w:rsidR="00A879C1" w:rsidRPr="0001788E" w:rsidRDefault="00A879C1" w:rsidP="00A879C1">
            <w:pPr>
              <w:jc w:val="center"/>
              <w:rPr>
                <w:rFonts w:ascii="Arial" w:hAnsi="Arial" w:cs="Arial"/>
                <w:szCs w:val="20"/>
              </w:rPr>
            </w:pPr>
            <w:r w:rsidRPr="0001788E">
              <w:rPr>
                <w:rFonts w:ascii="Arial" w:hAnsi="Arial" w:cs="Arial"/>
                <w:szCs w:val="20"/>
              </w:rPr>
              <w:t>621626</w:t>
            </w:r>
          </w:p>
        </w:tc>
        <w:tc>
          <w:tcPr>
            <w:tcW w:w="794" w:type="pct"/>
            <w:vAlign w:val="center"/>
          </w:tcPr>
          <w:p w14:paraId="1F10620F"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794" w:type="pct"/>
            <w:vAlign w:val="center"/>
          </w:tcPr>
          <w:p w14:paraId="528E9C36"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433" w:type="pct"/>
            <w:vAlign w:val="center"/>
          </w:tcPr>
          <w:p w14:paraId="440B9763" w14:textId="77777777" w:rsidR="00A879C1" w:rsidRPr="0001788E" w:rsidRDefault="00A879C1" w:rsidP="00A879C1">
            <w:pPr>
              <w:jc w:val="center"/>
              <w:rPr>
                <w:rFonts w:ascii="Arial" w:hAnsi="Arial" w:cs="Arial"/>
                <w:szCs w:val="20"/>
              </w:rPr>
            </w:pPr>
            <w:r w:rsidRPr="0001788E">
              <w:rPr>
                <w:rFonts w:ascii="Arial" w:hAnsi="Arial" w:cs="Arial"/>
                <w:szCs w:val="20"/>
              </w:rPr>
              <w:t>-/-</w:t>
            </w:r>
          </w:p>
        </w:tc>
      </w:tr>
      <w:tr w:rsidR="00A879C1" w:rsidRPr="0001788E" w14:paraId="6AC4AB08" w14:textId="77777777" w:rsidTr="00A879C1">
        <w:tc>
          <w:tcPr>
            <w:tcW w:w="596" w:type="pct"/>
            <w:vMerge/>
            <w:vAlign w:val="center"/>
          </w:tcPr>
          <w:p w14:paraId="35360D98" w14:textId="77777777" w:rsidR="00A879C1" w:rsidRPr="0001788E" w:rsidRDefault="00A879C1" w:rsidP="00A879C1">
            <w:pPr>
              <w:rPr>
                <w:rFonts w:ascii="Arial" w:hAnsi="Arial" w:cs="Arial"/>
                <w:szCs w:val="20"/>
              </w:rPr>
            </w:pPr>
          </w:p>
        </w:tc>
        <w:tc>
          <w:tcPr>
            <w:tcW w:w="1285" w:type="pct"/>
          </w:tcPr>
          <w:p w14:paraId="75B45675" w14:textId="723C99AC" w:rsidR="00A879C1" w:rsidRPr="0001788E" w:rsidRDefault="00DE2605" w:rsidP="00A879C1">
            <w:pPr>
              <w:rPr>
                <w:rFonts w:ascii="Arial" w:hAnsi="Arial" w:cs="Arial"/>
                <w:szCs w:val="20"/>
              </w:rPr>
            </w:pPr>
            <w:r>
              <w:rPr>
                <w:rFonts w:ascii="Arial" w:hAnsi="Arial" w:cs="Arial"/>
                <w:szCs w:val="20"/>
              </w:rPr>
              <w:t>P</w:t>
            </w:r>
            <w:r w:rsidR="00A879C1" w:rsidRPr="0001788E">
              <w:rPr>
                <w:rFonts w:ascii="Arial" w:hAnsi="Arial" w:cs="Arial"/>
                <w:szCs w:val="20"/>
              </w:rPr>
              <w:t xml:space="preserve">re-vaccinations </w:t>
            </w:r>
          </w:p>
        </w:tc>
        <w:tc>
          <w:tcPr>
            <w:tcW w:w="436" w:type="pct"/>
          </w:tcPr>
          <w:p w14:paraId="2265C955" w14:textId="77777777" w:rsidR="00A879C1" w:rsidRPr="0001788E" w:rsidRDefault="00A879C1" w:rsidP="00A879C1">
            <w:pPr>
              <w:jc w:val="center"/>
              <w:rPr>
                <w:rFonts w:ascii="Arial" w:hAnsi="Arial" w:cs="Arial"/>
                <w:szCs w:val="20"/>
              </w:rPr>
            </w:pPr>
            <w:r w:rsidRPr="0001788E">
              <w:rPr>
                <w:rFonts w:ascii="Arial" w:hAnsi="Arial" w:cs="Arial"/>
                <w:szCs w:val="20"/>
              </w:rPr>
              <w:t>103</w:t>
            </w:r>
          </w:p>
        </w:tc>
        <w:tc>
          <w:tcPr>
            <w:tcW w:w="662" w:type="pct"/>
          </w:tcPr>
          <w:p w14:paraId="35E97B0D" w14:textId="77777777" w:rsidR="00A879C1" w:rsidRPr="0001788E" w:rsidRDefault="00A879C1" w:rsidP="00A879C1">
            <w:pPr>
              <w:jc w:val="center"/>
              <w:rPr>
                <w:rFonts w:ascii="Arial" w:hAnsi="Arial" w:cs="Arial"/>
                <w:szCs w:val="20"/>
              </w:rPr>
            </w:pPr>
            <w:r w:rsidRPr="0001788E">
              <w:rPr>
                <w:rFonts w:ascii="Arial" w:hAnsi="Arial" w:cs="Arial"/>
                <w:szCs w:val="20"/>
              </w:rPr>
              <w:t>36183</w:t>
            </w:r>
          </w:p>
        </w:tc>
        <w:tc>
          <w:tcPr>
            <w:tcW w:w="794" w:type="pct"/>
          </w:tcPr>
          <w:p w14:paraId="59226BE7" w14:textId="77777777" w:rsidR="00A879C1" w:rsidRPr="0001788E" w:rsidRDefault="00A879C1" w:rsidP="00A879C1">
            <w:pPr>
              <w:jc w:val="center"/>
              <w:rPr>
                <w:rFonts w:ascii="Arial" w:hAnsi="Arial" w:cs="Arial"/>
                <w:szCs w:val="20"/>
              </w:rPr>
            </w:pPr>
            <w:r w:rsidRPr="0001788E">
              <w:rPr>
                <w:rFonts w:ascii="Arial" w:hAnsi="Arial" w:cs="Arial"/>
                <w:szCs w:val="20"/>
              </w:rPr>
              <w:t>1.04 (0.85-1.26)</w:t>
            </w:r>
          </w:p>
        </w:tc>
        <w:tc>
          <w:tcPr>
            <w:tcW w:w="794" w:type="pct"/>
          </w:tcPr>
          <w:p w14:paraId="18925004" w14:textId="77777777" w:rsidR="00A879C1" w:rsidRPr="0001788E" w:rsidRDefault="00A879C1" w:rsidP="00A879C1">
            <w:pPr>
              <w:jc w:val="center"/>
              <w:rPr>
                <w:rFonts w:ascii="Arial" w:hAnsi="Arial" w:cs="Arial"/>
                <w:szCs w:val="20"/>
              </w:rPr>
            </w:pPr>
            <w:r w:rsidRPr="0001788E">
              <w:rPr>
                <w:rFonts w:ascii="Arial" w:hAnsi="Arial" w:cs="Arial"/>
                <w:szCs w:val="20"/>
              </w:rPr>
              <w:t>1.00 (0.82-1.23)</w:t>
            </w:r>
          </w:p>
        </w:tc>
        <w:tc>
          <w:tcPr>
            <w:tcW w:w="433" w:type="pct"/>
          </w:tcPr>
          <w:p w14:paraId="40146DCA" w14:textId="77777777" w:rsidR="00A879C1" w:rsidRPr="0001788E" w:rsidRDefault="00A879C1" w:rsidP="00A879C1">
            <w:pPr>
              <w:jc w:val="center"/>
              <w:rPr>
                <w:rFonts w:ascii="Arial" w:hAnsi="Arial" w:cs="Arial"/>
                <w:szCs w:val="20"/>
              </w:rPr>
            </w:pPr>
            <w:r w:rsidRPr="0001788E">
              <w:rPr>
                <w:rFonts w:ascii="Arial" w:hAnsi="Arial" w:cs="Arial"/>
                <w:szCs w:val="20"/>
              </w:rPr>
              <w:t>0.978</w:t>
            </w:r>
          </w:p>
        </w:tc>
      </w:tr>
      <w:tr w:rsidR="00A879C1" w:rsidRPr="0001788E" w14:paraId="4225BBDB" w14:textId="77777777" w:rsidTr="00A879C1">
        <w:tc>
          <w:tcPr>
            <w:tcW w:w="596" w:type="pct"/>
            <w:vMerge/>
          </w:tcPr>
          <w:p w14:paraId="15E24B25" w14:textId="77777777" w:rsidR="00A879C1" w:rsidRPr="0001788E" w:rsidRDefault="00A879C1" w:rsidP="00A879C1">
            <w:pPr>
              <w:rPr>
                <w:rFonts w:ascii="Arial" w:hAnsi="Arial" w:cs="Arial"/>
                <w:szCs w:val="20"/>
              </w:rPr>
            </w:pPr>
          </w:p>
        </w:tc>
        <w:tc>
          <w:tcPr>
            <w:tcW w:w="1285" w:type="pct"/>
          </w:tcPr>
          <w:p w14:paraId="256979DF" w14:textId="4E4A0AC5" w:rsidR="00A879C1" w:rsidRPr="0001788E" w:rsidRDefault="00DE2605" w:rsidP="00A879C1">
            <w:pPr>
              <w:rPr>
                <w:rFonts w:ascii="Arial" w:hAnsi="Arial" w:cs="Arial"/>
                <w:szCs w:val="20"/>
              </w:rPr>
            </w:pPr>
            <w:r>
              <w:rPr>
                <w:rFonts w:ascii="Arial" w:hAnsi="Arial" w:cs="Arial"/>
                <w:szCs w:val="20"/>
              </w:rPr>
              <w:t>V</w:t>
            </w:r>
            <w:r w:rsidR="00A879C1" w:rsidRPr="0001788E">
              <w:rPr>
                <w:rFonts w:ascii="Arial" w:hAnsi="Arial" w:cs="Arial"/>
                <w:szCs w:val="20"/>
              </w:rPr>
              <w:t>accin</w:t>
            </w:r>
            <w:r>
              <w:rPr>
                <w:rFonts w:ascii="Arial" w:hAnsi="Arial" w:cs="Arial"/>
                <w:szCs w:val="20"/>
              </w:rPr>
              <w:t>e exposed</w:t>
            </w:r>
            <w:r w:rsidR="00A879C1" w:rsidRPr="0001788E">
              <w:rPr>
                <w:rFonts w:ascii="Arial" w:hAnsi="Arial" w:cs="Arial"/>
                <w:szCs w:val="20"/>
              </w:rPr>
              <w:t xml:space="preserve"> </w:t>
            </w:r>
          </w:p>
        </w:tc>
        <w:tc>
          <w:tcPr>
            <w:tcW w:w="436" w:type="pct"/>
          </w:tcPr>
          <w:p w14:paraId="5A753906" w14:textId="77777777" w:rsidR="00A879C1" w:rsidRPr="0001788E" w:rsidRDefault="00A879C1" w:rsidP="00A879C1">
            <w:pPr>
              <w:jc w:val="center"/>
              <w:rPr>
                <w:rFonts w:ascii="Arial" w:hAnsi="Arial" w:cs="Arial"/>
                <w:szCs w:val="20"/>
              </w:rPr>
            </w:pPr>
          </w:p>
        </w:tc>
        <w:tc>
          <w:tcPr>
            <w:tcW w:w="662" w:type="pct"/>
          </w:tcPr>
          <w:p w14:paraId="5E19934A" w14:textId="77777777" w:rsidR="00A879C1" w:rsidRPr="0001788E" w:rsidRDefault="00A879C1" w:rsidP="00A879C1">
            <w:pPr>
              <w:jc w:val="center"/>
              <w:rPr>
                <w:rFonts w:ascii="Arial" w:hAnsi="Arial" w:cs="Arial"/>
                <w:szCs w:val="20"/>
              </w:rPr>
            </w:pPr>
          </w:p>
        </w:tc>
        <w:tc>
          <w:tcPr>
            <w:tcW w:w="794" w:type="pct"/>
          </w:tcPr>
          <w:p w14:paraId="16345E3E" w14:textId="77777777" w:rsidR="00A879C1" w:rsidRPr="0001788E" w:rsidRDefault="00A879C1" w:rsidP="00A879C1">
            <w:pPr>
              <w:jc w:val="center"/>
              <w:rPr>
                <w:rFonts w:ascii="Arial" w:hAnsi="Arial" w:cs="Arial"/>
                <w:szCs w:val="20"/>
              </w:rPr>
            </w:pPr>
          </w:p>
        </w:tc>
        <w:tc>
          <w:tcPr>
            <w:tcW w:w="794" w:type="pct"/>
          </w:tcPr>
          <w:p w14:paraId="72103AA0" w14:textId="77777777" w:rsidR="00A879C1" w:rsidRPr="0001788E" w:rsidRDefault="00A879C1" w:rsidP="00A879C1">
            <w:pPr>
              <w:jc w:val="center"/>
              <w:rPr>
                <w:rFonts w:ascii="Arial" w:hAnsi="Arial" w:cs="Arial"/>
                <w:szCs w:val="20"/>
              </w:rPr>
            </w:pPr>
          </w:p>
        </w:tc>
        <w:tc>
          <w:tcPr>
            <w:tcW w:w="433" w:type="pct"/>
          </w:tcPr>
          <w:p w14:paraId="73A5FE9D" w14:textId="77777777" w:rsidR="00A879C1" w:rsidRPr="0001788E" w:rsidRDefault="00A879C1" w:rsidP="00A879C1">
            <w:pPr>
              <w:jc w:val="center"/>
              <w:rPr>
                <w:rFonts w:ascii="Arial" w:hAnsi="Arial" w:cs="Arial"/>
                <w:szCs w:val="20"/>
              </w:rPr>
            </w:pPr>
          </w:p>
        </w:tc>
      </w:tr>
      <w:tr w:rsidR="00A879C1" w:rsidRPr="0001788E" w14:paraId="6110BB9D" w14:textId="77777777" w:rsidTr="00A879C1">
        <w:tc>
          <w:tcPr>
            <w:tcW w:w="596" w:type="pct"/>
            <w:vMerge/>
            <w:vAlign w:val="center"/>
          </w:tcPr>
          <w:p w14:paraId="3CA48CE9" w14:textId="77777777" w:rsidR="00A879C1" w:rsidRPr="0001788E" w:rsidRDefault="00A879C1" w:rsidP="00A879C1">
            <w:pPr>
              <w:rPr>
                <w:rFonts w:ascii="Arial" w:hAnsi="Arial" w:cs="Arial"/>
                <w:szCs w:val="20"/>
              </w:rPr>
            </w:pPr>
          </w:p>
        </w:tc>
        <w:tc>
          <w:tcPr>
            <w:tcW w:w="1285" w:type="pct"/>
          </w:tcPr>
          <w:p w14:paraId="0FBEA402" w14:textId="77777777" w:rsidR="00A879C1" w:rsidRPr="0001788E" w:rsidRDefault="00A879C1" w:rsidP="00A879C1">
            <w:pPr>
              <w:rPr>
                <w:rFonts w:ascii="Arial" w:hAnsi="Arial" w:cs="Arial"/>
                <w:szCs w:val="20"/>
              </w:rPr>
            </w:pPr>
            <w:r w:rsidRPr="0001788E">
              <w:rPr>
                <w:rFonts w:ascii="Arial" w:hAnsi="Arial" w:cs="Arial"/>
                <w:szCs w:val="20"/>
              </w:rPr>
              <w:t>0 - 21 days</w:t>
            </w:r>
          </w:p>
        </w:tc>
        <w:tc>
          <w:tcPr>
            <w:tcW w:w="436" w:type="pct"/>
          </w:tcPr>
          <w:p w14:paraId="1FA6A0A5" w14:textId="77777777" w:rsidR="00A879C1" w:rsidRPr="0001788E" w:rsidRDefault="00A879C1" w:rsidP="00A879C1">
            <w:pPr>
              <w:jc w:val="center"/>
              <w:rPr>
                <w:rFonts w:ascii="Arial" w:hAnsi="Arial" w:cs="Arial"/>
                <w:szCs w:val="20"/>
              </w:rPr>
            </w:pPr>
            <w:r w:rsidRPr="0001788E">
              <w:rPr>
                <w:rFonts w:ascii="Arial" w:hAnsi="Arial" w:cs="Arial"/>
                <w:szCs w:val="20"/>
              </w:rPr>
              <w:t>269</w:t>
            </w:r>
          </w:p>
        </w:tc>
        <w:tc>
          <w:tcPr>
            <w:tcW w:w="662" w:type="pct"/>
          </w:tcPr>
          <w:p w14:paraId="566D8B18" w14:textId="77777777" w:rsidR="00A879C1" w:rsidRPr="0001788E" w:rsidRDefault="00A879C1" w:rsidP="00A879C1">
            <w:pPr>
              <w:jc w:val="center"/>
              <w:rPr>
                <w:rFonts w:ascii="Arial" w:hAnsi="Arial" w:cs="Arial"/>
                <w:szCs w:val="20"/>
              </w:rPr>
            </w:pPr>
            <w:r w:rsidRPr="0001788E">
              <w:rPr>
                <w:rFonts w:ascii="Arial" w:hAnsi="Arial" w:cs="Arial"/>
                <w:szCs w:val="20"/>
              </w:rPr>
              <w:t>105221</w:t>
            </w:r>
          </w:p>
        </w:tc>
        <w:tc>
          <w:tcPr>
            <w:tcW w:w="794" w:type="pct"/>
          </w:tcPr>
          <w:p w14:paraId="437DF78D" w14:textId="77777777" w:rsidR="00A879C1" w:rsidRPr="0001788E" w:rsidRDefault="00A879C1" w:rsidP="00A879C1">
            <w:pPr>
              <w:jc w:val="center"/>
              <w:rPr>
                <w:rFonts w:ascii="Arial" w:hAnsi="Arial" w:cs="Arial"/>
                <w:szCs w:val="20"/>
              </w:rPr>
            </w:pPr>
            <w:r w:rsidRPr="0001788E">
              <w:rPr>
                <w:rFonts w:ascii="Arial" w:hAnsi="Arial" w:cs="Arial"/>
                <w:szCs w:val="20"/>
              </w:rPr>
              <w:t>0.93 (0.82-1.06)</w:t>
            </w:r>
          </w:p>
        </w:tc>
        <w:tc>
          <w:tcPr>
            <w:tcW w:w="794" w:type="pct"/>
          </w:tcPr>
          <w:p w14:paraId="528EC246" w14:textId="77777777" w:rsidR="00A879C1" w:rsidRPr="0001788E" w:rsidRDefault="00A879C1" w:rsidP="00A879C1">
            <w:pPr>
              <w:jc w:val="center"/>
              <w:rPr>
                <w:rFonts w:ascii="Arial" w:hAnsi="Arial" w:cs="Arial"/>
                <w:szCs w:val="20"/>
              </w:rPr>
            </w:pPr>
            <w:r w:rsidRPr="0001788E">
              <w:rPr>
                <w:rFonts w:ascii="Arial" w:hAnsi="Arial" w:cs="Arial"/>
                <w:szCs w:val="20"/>
              </w:rPr>
              <w:t>0.89 (0.77-1.02)</w:t>
            </w:r>
          </w:p>
        </w:tc>
        <w:tc>
          <w:tcPr>
            <w:tcW w:w="433" w:type="pct"/>
          </w:tcPr>
          <w:p w14:paraId="49BFE067" w14:textId="77777777" w:rsidR="00A879C1" w:rsidRPr="0001788E" w:rsidRDefault="00A879C1" w:rsidP="00A879C1">
            <w:pPr>
              <w:jc w:val="center"/>
              <w:rPr>
                <w:rFonts w:ascii="Arial" w:hAnsi="Arial" w:cs="Arial"/>
                <w:szCs w:val="20"/>
              </w:rPr>
            </w:pPr>
            <w:r w:rsidRPr="0001788E">
              <w:rPr>
                <w:rFonts w:ascii="Arial" w:hAnsi="Arial" w:cs="Arial"/>
                <w:szCs w:val="20"/>
              </w:rPr>
              <w:t>0.09</w:t>
            </w:r>
          </w:p>
        </w:tc>
      </w:tr>
      <w:tr w:rsidR="00A879C1" w:rsidRPr="0001788E" w14:paraId="1DE4F41E" w14:textId="77777777" w:rsidTr="00A879C1">
        <w:tc>
          <w:tcPr>
            <w:tcW w:w="596" w:type="pct"/>
            <w:vMerge/>
            <w:vAlign w:val="center"/>
          </w:tcPr>
          <w:p w14:paraId="59FA5AF6" w14:textId="77777777" w:rsidR="00A879C1" w:rsidRPr="0001788E" w:rsidRDefault="00A879C1" w:rsidP="00A879C1">
            <w:pPr>
              <w:rPr>
                <w:rFonts w:ascii="Arial" w:hAnsi="Arial" w:cs="Arial"/>
                <w:szCs w:val="20"/>
              </w:rPr>
            </w:pPr>
          </w:p>
        </w:tc>
        <w:tc>
          <w:tcPr>
            <w:tcW w:w="1285" w:type="pct"/>
          </w:tcPr>
          <w:p w14:paraId="748082E7" w14:textId="77777777" w:rsidR="00A879C1" w:rsidRPr="0001788E" w:rsidRDefault="00A879C1" w:rsidP="00A879C1">
            <w:pPr>
              <w:jc w:val="right"/>
              <w:rPr>
                <w:rFonts w:ascii="Arial" w:hAnsi="Arial" w:cs="Arial"/>
                <w:szCs w:val="20"/>
              </w:rPr>
            </w:pPr>
            <w:r w:rsidRPr="0001788E">
              <w:rPr>
                <w:rFonts w:ascii="Arial" w:hAnsi="Arial" w:cs="Arial"/>
                <w:szCs w:val="20"/>
              </w:rPr>
              <w:t>0 - 7 days</w:t>
            </w:r>
          </w:p>
        </w:tc>
        <w:tc>
          <w:tcPr>
            <w:tcW w:w="436" w:type="pct"/>
          </w:tcPr>
          <w:p w14:paraId="012ADB92" w14:textId="77777777" w:rsidR="00A879C1" w:rsidRPr="0001788E" w:rsidRDefault="00A879C1" w:rsidP="00A879C1">
            <w:pPr>
              <w:jc w:val="center"/>
              <w:rPr>
                <w:rFonts w:ascii="Arial" w:hAnsi="Arial" w:cs="Arial"/>
                <w:szCs w:val="20"/>
              </w:rPr>
            </w:pPr>
            <w:r w:rsidRPr="0001788E">
              <w:rPr>
                <w:rFonts w:ascii="Arial" w:hAnsi="Arial" w:cs="Arial"/>
                <w:szCs w:val="20"/>
              </w:rPr>
              <w:t>105</w:t>
            </w:r>
          </w:p>
        </w:tc>
        <w:tc>
          <w:tcPr>
            <w:tcW w:w="662" w:type="pct"/>
          </w:tcPr>
          <w:p w14:paraId="6436290F" w14:textId="77777777" w:rsidR="00A879C1" w:rsidRPr="0001788E" w:rsidRDefault="00A879C1" w:rsidP="00A879C1">
            <w:pPr>
              <w:jc w:val="center"/>
              <w:rPr>
                <w:rFonts w:ascii="Arial" w:hAnsi="Arial" w:cs="Arial"/>
                <w:szCs w:val="20"/>
              </w:rPr>
            </w:pPr>
            <w:r w:rsidRPr="0001788E">
              <w:rPr>
                <w:rFonts w:ascii="Arial" w:hAnsi="Arial" w:cs="Arial"/>
                <w:szCs w:val="20"/>
              </w:rPr>
              <w:t>35873</w:t>
            </w:r>
          </w:p>
        </w:tc>
        <w:tc>
          <w:tcPr>
            <w:tcW w:w="794" w:type="pct"/>
          </w:tcPr>
          <w:p w14:paraId="0CD2070F" w14:textId="77777777" w:rsidR="00A879C1" w:rsidRPr="0001788E" w:rsidRDefault="00A879C1" w:rsidP="00A879C1">
            <w:pPr>
              <w:jc w:val="center"/>
              <w:rPr>
                <w:rFonts w:ascii="Arial" w:hAnsi="Arial" w:cs="Arial"/>
                <w:szCs w:val="20"/>
              </w:rPr>
            </w:pPr>
            <w:r w:rsidRPr="0001788E">
              <w:rPr>
                <w:rFonts w:ascii="Arial" w:hAnsi="Arial" w:cs="Arial"/>
                <w:szCs w:val="20"/>
              </w:rPr>
              <w:t>1.07 (0.87-1.30)</w:t>
            </w:r>
          </w:p>
        </w:tc>
        <w:tc>
          <w:tcPr>
            <w:tcW w:w="794" w:type="pct"/>
          </w:tcPr>
          <w:p w14:paraId="70658AE3" w14:textId="77777777" w:rsidR="00A879C1" w:rsidRPr="0001788E" w:rsidRDefault="00A879C1" w:rsidP="00A879C1">
            <w:pPr>
              <w:jc w:val="center"/>
              <w:rPr>
                <w:rFonts w:ascii="Arial" w:hAnsi="Arial" w:cs="Arial"/>
                <w:szCs w:val="20"/>
              </w:rPr>
            </w:pPr>
            <w:r w:rsidRPr="0001788E">
              <w:rPr>
                <w:rFonts w:ascii="Arial" w:hAnsi="Arial" w:cs="Arial"/>
                <w:szCs w:val="20"/>
              </w:rPr>
              <w:t>1.02 (0.84-1.25)</w:t>
            </w:r>
          </w:p>
        </w:tc>
        <w:tc>
          <w:tcPr>
            <w:tcW w:w="433" w:type="pct"/>
          </w:tcPr>
          <w:p w14:paraId="028E0866" w14:textId="77777777" w:rsidR="00A879C1" w:rsidRPr="0001788E" w:rsidRDefault="00A879C1" w:rsidP="00A879C1">
            <w:pPr>
              <w:jc w:val="center"/>
              <w:rPr>
                <w:rFonts w:ascii="Arial" w:hAnsi="Arial" w:cs="Arial"/>
                <w:szCs w:val="20"/>
              </w:rPr>
            </w:pPr>
            <w:r w:rsidRPr="0001788E">
              <w:rPr>
                <w:rFonts w:ascii="Arial" w:hAnsi="Arial" w:cs="Arial"/>
                <w:szCs w:val="20"/>
              </w:rPr>
              <w:t>0.839</w:t>
            </w:r>
          </w:p>
        </w:tc>
      </w:tr>
      <w:tr w:rsidR="00A879C1" w:rsidRPr="0001788E" w14:paraId="2C766353" w14:textId="77777777" w:rsidTr="00A879C1">
        <w:trPr>
          <w:trHeight w:val="367"/>
        </w:trPr>
        <w:tc>
          <w:tcPr>
            <w:tcW w:w="596" w:type="pct"/>
            <w:vMerge/>
          </w:tcPr>
          <w:p w14:paraId="7375EC2E" w14:textId="77777777" w:rsidR="00A879C1" w:rsidRPr="0001788E" w:rsidRDefault="00A879C1" w:rsidP="00A879C1">
            <w:pPr>
              <w:rPr>
                <w:rFonts w:ascii="Arial" w:hAnsi="Arial" w:cs="Arial"/>
                <w:szCs w:val="20"/>
              </w:rPr>
            </w:pPr>
          </w:p>
        </w:tc>
        <w:tc>
          <w:tcPr>
            <w:tcW w:w="1285" w:type="pct"/>
          </w:tcPr>
          <w:p w14:paraId="0DF283EB" w14:textId="77777777" w:rsidR="00A879C1" w:rsidRPr="0001788E" w:rsidRDefault="00A879C1" w:rsidP="00A879C1">
            <w:pPr>
              <w:jc w:val="right"/>
              <w:rPr>
                <w:rFonts w:ascii="Arial" w:hAnsi="Arial" w:cs="Arial"/>
                <w:szCs w:val="20"/>
              </w:rPr>
            </w:pPr>
            <w:r w:rsidRPr="0001788E">
              <w:rPr>
                <w:rFonts w:ascii="Arial" w:hAnsi="Arial" w:cs="Arial"/>
                <w:szCs w:val="20"/>
              </w:rPr>
              <w:t xml:space="preserve">8 - 14 days  </w:t>
            </w:r>
          </w:p>
        </w:tc>
        <w:tc>
          <w:tcPr>
            <w:tcW w:w="436" w:type="pct"/>
          </w:tcPr>
          <w:p w14:paraId="2BBB94BB" w14:textId="77777777" w:rsidR="00A879C1" w:rsidRPr="0001788E" w:rsidRDefault="00A879C1" w:rsidP="00A879C1">
            <w:pPr>
              <w:jc w:val="center"/>
              <w:rPr>
                <w:rFonts w:ascii="Arial" w:hAnsi="Arial" w:cs="Arial"/>
                <w:szCs w:val="20"/>
              </w:rPr>
            </w:pPr>
            <w:r w:rsidRPr="0001788E">
              <w:rPr>
                <w:rFonts w:ascii="Arial" w:hAnsi="Arial" w:cs="Arial"/>
                <w:szCs w:val="20"/>
              </w:rPr>
              <w:t>77</w:t>
            </w:r>
          </w:p>
        </w:tc>
        <w:tc>
          <w:tcPr>
            <w:tcW w:w="662" w:type="pct"/>
          </w:tcPr>
          <w:p w14:paraId="564592EA" w14:textId="77777777" w:rsidR="00A879C1" w:rsidRPr="0001788E" w:rsidRDefault="00A879C1" w:rsidP="00A879C1">
            <w:pPr>
              <w:jc w:val="center"/>
              <w:rPr>
                <w:rFonts w:ascii="Arial" w:hAnsi="Arial" w:cs="Arial"/>
                <w:szCs w:val="20"/>
              </w:rPr>
            </w:pPr>
            <w:r w:rsidRPr="0001788E">
              <w:rPr>
                <w:rFonts w:ascii="Arial" w:hAnsi="Arial" w:cs="Arial"/>
                <w:szCs w:val="20"/>
              </w:rPr>
              <w:t>35091</w:t>
            </w:r>
          </w:p>
        </w:tc>
        <w:tc>
          <w:tcPr>
            <w:tcW w:w="794" w:type="pct"/>
          </w:tcPr>
          <w:p w14:paraId="4621F1B3" w14:textId="77777777" w:rsidR="00A879C1" w:rsidRPr="0001788E" w:rsidRDefault="00A879C1" w:rsidP="00A879C1">
            <w:pPr>
              <w:jc w:val="center"/>
              <w:rPr>
                <w:rFonts w:ascii="Arial" w:hAnsi="Arial" w:cs="Arial"/>
                <w:szCs w:val="20"/>
              </w:rPr>
            </w:pPr>
            <w:r w:rsidRPr="0001788E">
              <w:rPr>
                <w:rFonts w:ascii="Arial" w:hAnsi="Arial" w:cs="Arial"/>
                <w:szCs w:val="20"/>
              </w:rPr>
              <w:t>0.80 (0.64-1.00)</w:t>
            </w:r>
          </w:p>
        </w:tc>
        <w:tc>
          <w:tcPr>
            <w:tcW w:w="794" w:type="pct"/>
          </w:tcPr>
          <w:p w14:paraId="1F423FF0" w14:textId="77777777" w:rsidR="00A879C1" w:rsidRPr="0001788E" w:rsidRDefault="00A879C1" w:rsidP="00A879C1">
            <w:pPr>
              <w:jc w:val="center"/>
              <w:rPr>
                <w:rFonts w:ascii="Arial" w:hAnsi="Arial" w:cs="Arial"/>
                <w:szCs w:val="20"/>
              </w:rPr>
            </w:pPr>
            <w:r w:rsidRPr="0001788E">
              <w:rPr>
                <w:rFonts w:ascii="Arial" w:hAnsi="Arial" w:cs="Arial"/>
                <w:szCs w:val="20"/>
              </w:rPr>
              <w:t>0.76 (0.60-0.96)</w:t>
            </w:r>
          </w:p>
        </w:tc>
        <w:tc>
          <w:tcPr>
            <w:tcW w:w="433" w:type="pct"/>
          </w:tcPr>
          <w:p w14:paraId="4B9BA0D8" w14:textId="77777777" w:rsidR="00A879C1" w:rsidRPr="0001788E" w:rsidRDefault="00A879C1" w:rsidP="00A879C1">
            <w:pPr>
              <w:jc w:val="center"/>
              <w:rPr>
                <w:rFonts w:ascii="Arial" w:hAnsi="Arial" w:cs="Arial"/>
                <w:szCs w:val="20"/>
              </w:rPr>
            </w:pPr>
            <w:r w:rsidRPr="0001788E">
              <w:rPr>
                <w:rFonts w:ascii="Arial" w:hAnsi="Arial" w:cs="Arial"/>
                <w:szCs w:val="20"/>
              </w:rPr>
              <w:t>0.02</w:t>
            </w:r>
          </w:p>
        </w:tc>
      </w:tr>
      <w:tr w:rsidR="00A879C1" w:rsidRPr="0001788E" w14:paraId="6F105447" w14:textId="77777777" w:rsidTr="00A879C1">
        <w:trPr>
          <w:trHeight w:val="343"/>
        </w:trPr>
        <w:tc>
          <w:tcPr>
            <w:tcW w:w="596" w:type="pct"/>
            <w:vMerge/>
            <w:vAlign w:val="center"/>
          </w:tcPr>
          <w:p w14:paraId="54CD2D5C" w14:textId="77777777" w:rsidR="00A879C1" w:rsidRPr="0001788E" w:rsidRDefault="00A879C1" w:rsidP="00A879C1">
            <w:pPr>
              <w:rPr>
                <w:rFonts w:ascii="Arial" w:hAnsi="Arial" w:cs="Arial"/>
                <w:szCs w:val="20"/>
              </w:rPr>
            </w:pPr>
          </w:p>
        </w:tc>
        <w:tc>
          <w:tcPr>
            <w:tcW w:w="1285" w:type="pct"/>
          </w:tcPr>
          <w:p w14:paraId="5E5203D4" w14:textId="77777777" w:rsidR="00A879C1" w:rsidRPr="0001788E" w:rsidRDefault="00A879C1" w:rsidP="00A879C1">
            <w:pPr>
              <w:jc w:val="right"/>
              <w:rPr>
                <w:rFonts w:ascii="Arial" w:hAnsi="Arial" w:cs="Arial"/>
                <w:szCs w:val="20"/>
              </w:rPr>
            </w:pPr>
            <w:r w:rsidRPr="0001788E">
              <w:rPr>
                <w:rFonts w:ascii="Arial" w:hAnsi="Arial" w:cs="Arial"/>
                <w:szCs w:val="20"/>
              </w:rPr>
              <w:t>15 - 21 days</w:t>
            </w:r>
          </w:p>
        </w:tc>
        <w:tc>
          <w:tcPr>
            <w:tcW w:w="436" w:type="pct"/>
          </w:tcPr>
          <w:p w14:paraId="0B69BAF4" w14:textId="77777777" w:rsidR="00A879C1" w:rsidRPr="0001788E" w:rsidRDefault="00A879C1" w:rsidP="00A879C1">
            <w:pPr>
              <w:jc w:val="center"/>
              <w:rPr>
                <w:rFonts w:ascii="Arial" w:hAnsi="Arial" w:cs="Arial"/>
                <w:szCs w:val="20"/>
              </w:rPr>
            </w:pPr>
            <w:r w:rsidRPr="0001788E">
              <w:rPr>
                <w:rFonts w:ascii="Arial" w:hAnsi="Arial" w:cs="Arial"/>
                <w:szCs w:val="20"/>
              </w:rPr>
              <w:t>87</w:t>
            </w:r>
          </w:p>
        </w:tc>
        <w:tc>
          <w:tcPr>
            <w:tcW w:w="662" w:type="pct"/>
          </w:tcPr>
          <w:p w14:paraId="7235DB6F" w14:textId="77777777" w:rsidR="00A879C1" w:rsidRPr="0001788E" w:rsidRDefault="00A879C1" w:rsidP="00A879C1">
            <w:pPr>
              <w:jc w:val="center"/>
              <w:rPr>
                <w:rFonts w:ascii="Arial" w:hAnsi="Arial" w:cs="Arial"/>
                <w:szCs w:val="20"/>
              </w:rPr>
            </w:pPr>
            <w:r w:rsidRPr="0001788E">
              <w:rPr>
                <w:rFonts w:ascii="Arial" w:hAnsi="Arial" w:cs="Arial"/>
                <w:szCs w:val="20"/>
              </w:rPr>
              <w:t>34257</w:t>
            </w:r>
          </w:p>
        </w:tc>
        <w:tc>
          <w:tcPr>
            <w:tcW w:w="794" w:type="pct"/>
          </w:tcPr>
          <w:p w14:paraId="17302564" w14:textId="77777777" w:rsidR="00A879C1" w:rsidRPr="0001788E" w:rsidRDefault="00A879C1" w:rsidP="00A879C1">
            <w:pPr>
              <w:jc w:val="center"/>
              <w:rPr>
                <w:rFonts w:ascii="Arial" w:hAnsi="Arial" w:cs="Arial"/>
                <w:szCs w:val="20"/>
              </w:rPr>
            </w:pPr>
            <w:r w:rsidRPr="0001788E">
              <w:rPr>
                <w:rFonts w:ascii="Arial" w:hAnsi="Arial" w:cs="Arial"/>
                <w:szCs w:val="20"/>
              </w:rPr>
              <w:t>0.92 (0.74-1.15)</w:t>
            </w:r>
          </w:p>
        </w:tc>
        <w:tc>
          <w:tcPr>
            <w:tcW w:w="794" w:type="pct"/>
          </w:tcPr>
          <w:p w14:paraId="2D172EBE" w14:textId="77777777" w:rsidR="00A879C1" w:rsidRPr="0001788E" w:rsidRDefault="00A879C1" w:rsidP="00A879C1">
            <w:pPr>
              <w:jc w:val="center"/>
              <w:rPr>
                <w:rFonts w:ascii="Arial" w:hAnsi="Arial" w:cs="Arial"/>
                <w:szCs w:val="20"/>
              </w:rPr>
            </w:pPr>
            <w:r w:rsidRPr="0001788E">
              <w:rPr>
                <w:rFonts w:ascii="Arial" w:hAnsi="Arial" w:cs="Arial"/>
                <w:szCs w:val="20"/>
              </w:rPr>
              <w:t>0.87 (0.70-1.09)</w:t>
            </w:r>
          </w:p>
        </w:tc>
        <w:tc>
          <w:tcPr>
            <w:tcW w:w="433" w:type="pct"/>
          </w:tcPr>
          <w:p w14:paraId="6D68F873" w14:textId="77777777" w:rsidR="00A879C1" w:rsidRPr="0001788E" w:rsidRDefault="00A879C1" w:rsidP="00A879C1">
            <w:pPr>
              <w:jc w:val="center"/>
              <w:rPr>
                <w:rFonts w:ascii="Arial" w:hAnsi="Arial" w:cs="Arial"/>
                <w:szCs w:val="20"/>
              </w:rPr>
            </w:pPr>
            <w:r w:rsidRPr="0001788E">
              <w:rPr>
                <w:rFonts w:ascii="Arial" w:hAnsi="Arial" w:cs="Arial"/>
                <w:szCs w:val="20"/>
              </w:rPr>
              <w:t>0.231</w:t>
            </w:r>
          </w:p>
        </w:tc>
      </w:tr>
      <w:tr w:rsidR="00A879C1" w:rsidRPr="0001788E" w14:paraId="4D06618C" w14:textId="77777777" w:rsidTr="00A879C1">
        <w:tc>
          <w:tcPr>
            <w:tcW w:w="596" w:type="pct"/>
            <w:vMerge w:val="restart"/>
          </w:tcPr>
          <w:p w14:paraId="607E1569" w14:textId="77777777" w:rsidR="00A879C1" w:rsidRPr="0001788E" w:rsidRDefault="00A879C1" w:rsidP="00A879C1">
            <w:pPr>
              <w:rPr>
                <w:rFonts w:ascii="Arial" w:hAnsi="Arial" w:cs="Arial"/>
                <w:szCs w:val="20"/>
              </w:rPr>
            </w:pPr>
            <w:r w:rsidRPr="0001788E">
              <w:rPr>
                <w:rFonts w:ascii="Arial" w:hAnsi="Arial" w:cs="Arial"/>
                <w:szCs w:val="20"/>
              </w:rPr>
              <w:t>1</w:t>
            </w:r>
            <w:r w:rsidRPr="0001788E">
              <w:rPr>
                <w:rFonts w:ascii="Arial" w:hAnsi="Arial" w:cs="Arial"/>
                <w:szCs w:val="20"/>
                <w:vertAlign w:val="superscript"/>
              </w:rPr>
              <w:t>st</w:t>
            </w:r>
            <w:r w:rsidRPr="0001788E">
              <w:rPr>
                <w:rFonts w:ascii="Arial" w:hAnsi="Arial" w:cs="Arial"/>
                <w:szCs w:val="20"/>
              </w:rPr>
              <w:t xml:space="preserve"> dose</w:t>
            </w:r>
          </w:p>
        </w:tc>
        <w:tc>
          <w:tcPr>
            <w:tcW w:w="1285" w:type="pct"/>
          </w:tcPr>
          <w:p w14:paraId="60085374" w14:textId="098C1677" w:rsidR="00A879C1" w:rsidRPr="0001788E" w:rsidRDefault="00DE2605" w:rsidP="00A879C1">
            <w:pPr>
              <w:rPr>
                <w:rFonts w:ascii="Arial" w:hAnsi="Arial" w:cs="Arial"/>
                <w:szCs w:val="20"/>
              </w:rPr>
            </w:pPr>
            <w:r>
              <w:rPr>
                <w:rFonts w:ascii="Arial"/>
                <w:spacing w:val="-2"/>
              </w:rPr>
              <w:t>Vaccine unexposed b</w:t>
            </w:r>
            <w:r w:rsidR="00A879C1" w:rsidRPr="0001788E">
              <w:rPr>
                <w:rFonts w:ascii="Arial" w:hAnsi="Arial" w:cs="Arial"/>
                <w:szCs w:val="20"/>
              </w:rPr>
              <w:t>aseline</w:t>
            </w:r>
          </w:p>
        </w:tc>
        <w:tc>
          <w:tcPr>
            <w:tcW w:w="436" w:type="pct"/>
          </w:tcPr>
          <w:p w14:paraId="3A768213" w14:textId="77777777" w:rsidR="00A879C1" w:rsidRPr="0001788E" w:rsidRDefault="00A879C1" w:rsidP="00A879C1">
            <w:pPr>
              <w:jc w:val="center"/>
              <w:rPr>
                <w:rFonts w:ascii="Arial" w:hAnsi="Arial" w:cs="Arial"/>
                <w:szCs w:val="20"/>
              </w:rPr>
            </w:pPr>
            <w:r w:rsidRPr="0001788E">
              <w:rPr>
                <w:rFonts w:ascii="Arial" w:hAnsi="Arial" w:cs="Arial"/>
                <w:szCs w:val="20"/>
              </w:rPr>
              <w:t>1701</w:t>
            </w:r>
          </w:p>
        </w:tc>
        <w:tc>
          <w:tcPr>
            <w:tcW w:w="662" w:type="pct"/>
          </w:tcPr>
          <w:p w14:paraId="6F68F32F" w14:textId="77777777" w:rsidR="00A879C1" w:rsidRPr="0001788E" w:rsidRDefault="00A879C1" w:rsidP="00A879C1">
            <w:pPr>
              <w:jc w:val="center"/>
              <w:rPr>
                <w:rFonts w:ascii="Arial" w:hAnsi="Arial" w:cs="Arial"/>
                <w:szCs w:val="20"/>
              </w:rPr>
            </w:pPr>
            <w:r w:rsidRPr="0001788E">
              <w:rPr>
                <w:rFonts w:ascii="Arial" w:hAnsi="Arial" w:cs="Arial"/>
                <w:szCs w:val="20"/>
              </w:rPr>
              <w:t>621626</w:t>
            </w:r>
          </w:p>
        </w:tc>
        <w:tc>
          <w:tcPr>
            <w:tcW w:w="794" w:type="pct"/>
            <w:vAlign w:val="center"/>
          </w:tcPr>
          <w:p w14:paraId="28463B93"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794" w:type="pct"/>
            <w:vAlign w:val="center"/>
          </w:tcPr>
          <w:p w14:paraId="296846A7"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433" w:type="pct"/>
            <w:vAlign w:val="center"/>
          </w:tcPr>
          <w:p w14:paraId="206B3CC0" w14:textId="77777777" w:rsidR="00A879C1" w:rsidRPr="0001788E" w:rsidRDefault="00A879C1" w:rsidP="00A879C1">
            <w:pPr>
              <w:jc w:val="center"/>
              <w:rPr>
                <w:rFonts w:ascii="Arial" w:hAnsi="Arial" w:cs="Arial"/>
                <w:szCs w:val="20"/>
              </w:rPr>
            </w:pPr>
            <w:r w:rsidRPr="0001788E">
              <w:rPr>
                <w:rFonts w:ascii="Arial" w:hAnsi="Arial" w:cs="Arial"/>
                <w:szCs w:val="20"/>
              </w:rPr>
              <w:t>-/-</w:t>
            </w:r>
          </w:p>
        </w:tc>
      </w:tr>
      <w:tr w:rsidR="00A879C1" w:rsidRPr="0001788E" w14:paraId="39BD6D5A" w14:textId="77777777" w:rsidTr="00A879C1">
        <w:tc>
          <w:tcPr>
            <w:tcW w:w="596" w:type="pct"/>
            <w:vMerge/>
          </w:tcPr>
          <w:p w14:paraId="08D922DC" w14:textId="77777777" w:rsidR="00A879C1" w:rsidRPr="0001788E" w:rsidRDefault="00A879C1" w:rsidP="00A879C1">
            <w:pPr>
              <w:rPr>
                <w:rFonts w:ascii="Arial" w:hAnsi="Arial" w:cs="Arial"/>
                <w:szCs w:val="20"/>
              </w:rPr>
            </w:pPr>
          </w:p>
        </w:tc>
        <w:tc>
          <w:tcPr>
            <w:tcW w:w="1285" w:type="pct"/>
          </w:tcPr>
          <w:p w14:paraId="0D1B1416" w14:textId="5E46801C" w:rsidR="00A879C1" w:rsidRPr="0001788E" w:rsidRDefault="00DE2605" w:rsidP="00A879C1">
            <w:pPr>
              <w:rPr>
                <w:rFonts w:ascii="Arial" w:hAnsi="Arial" w:cs="Arial"/>
                <w:szCs w:val="20"/>
              </w:rPr>
            </w:pPr>
            <w:r>
              <w:rPr>
                <w:rFonts w:ascii="Arial" w:hAnsi="Arial" w:cs="Arial"/>
                <w:szCs w:val="20"/>
              </w:rPr>
              <w:t>P</w:t>
            </w:r>
            <w:r w:rsidR="00A879C1" w:rsidRPr="0001788E">
              <w:rPr>
                <w:rFonts w:ascii="Arial" w:hAnsi="Arial" w:cs="Arial"/>
                <w:szCs w:val="20"/>
              </w:rPr>
              <w:t xml:space="preserve">re-vaccination </w:t>
            </w:r>
          </w:p>
        </w:tc>
        <w:tc>
          <w:tcPr>
            <w:tcW w:w="436" w:type="pct"/>
          </w:tcPr>
          <w:p w14:paraId="62DE5260" w14:textId="77777777" w:rsidR="00A879C1" w:rsidRPr="0001788E" w:rsidRDefault="00A879C1" w:rsidP="00A879C1">
            <w:pPr>
              <w:jc w:val="center"/>
              <w:rPr>
                <w:rFonts w:ascii="Arial" w:hAnsi="Arial" w:cs="Arial"/>
                <w:szCs w:val="20"/>
              </w:rPr>
            </w:pPr>
            <w:r w:rsidRPr="0001788E">
              <w:rPr>
                <w:rFonts w:ascii="Arial" w:hAnsi="Arial" w:cs="Arial"/>
                <w:szCs w:val="20"/>
              </w:rPr>
              <w:t>41</w:t>
            </w:r>
          </w:p>
        </w:tc>
        <w:tc>
          <w:tcPr>
            <w:tcW w:w="662" w:type="pct"/>
          </w:tcPr>
          <w:p w14:paraId="060B2A89" w14:textId="77777777" w:rsidR="00A879C1" w:rsidRPr="0001788E" w:rsidRDefault="00A879C1" w:rsidP="00A879C1">
            <w:pPr>
              <w:jc w:val="center"/>
              <w:rPr>
                <w:rFonts w:ascii="Arial" w:hAnsi="Arial" w:cs="Arial"/>
                <w:szCs w:val="20"/>
              </w:rPr>
            </w:pPr>
            <w:r w:rsidRPr="0001788E">
              <w:rPr>
                <w:rFonts w:ascii="Arial" w:hAnsi="Arial" w:cs="Arial"/>
                <w:szCs w:val="20"/>
              </w:rPr>
              <w:t>14637</w:t>
            </w:r>
          </w:p>
        </w:tc>
        <w:tc>
          <w:tcPr>
            <w:tcW w:w="794" w:type="pct"/>
          </w:tcPr>
          <w:p w14:paraId="756B6E55" w14:textId="77777777" w:rsidR="00A879C1" w:rsidRPr="0001788E" w:rsidRDefault="00A879C1" w:rsidP="00A879C1">
            <w:pPr>
              <w:jc w:val="center"/>
              <w:rPr>
                <w:rFonts w:ascii="Arial" w:hAnsi="Arial" w:cs="Arial"/>
                <w:szCs w:val="20"/>
              </w:rPr>
            </w:pPr>
            <w:r w:rsidRPr="0001788E">
              <w:rPr>
                <w:rFonts w:ascii="Arial" w:hAnsi="Arial" w:cs="Arial"/>
                <w:szCs w:val="20"/>
              </w:rPr>
              <w:t>1.01 (0.74-1.38)</w:t>
            </w:r>
          </w:p>
        </w:tc>
        <w:tc>
          <w:tcPr>
            <w:tcW w:w="794" w:type="pct"/>
          </w:tcPr>
          <w:p w14:paraId="3574A54C" w14:textId="77777777" w:rsidR="00A879C1" w:rsidRPr="0001788E" w:rsidRDefault="00A879C1" w:rsidP="00A879C1">
            <w:pPr>
              <w:jc w:val="center"/>
              <w:rPr>
                <w:rFonts w:ascii="Arial" w:hAnsi="Arial" w:cs="Arial"/>
                <w:szCs w:val="20"/>
              </w:rPr>
            </w:pPr>
            <w:r w:rsidRPr="0001788E">
              <w:rPr>
                <w:rFonts w:ascii="Arial" w:hAnsi="Arial" w:cs="Arial"/>
                <w:szCs w:val="20"/>
              </w:rPr>
              <w:t>0.92 (0.67-1.26)</w:t>
            </w:r>
          </w:p>
        </w:tc>
        <w:tc>
          <w:tcPr>
            <w:tcW w:w="433" w:type="pct"/>
          </w:tcPr>
          <w:p w14:paraId="56F6162C" w14:textId="77777777" w:rsidR="00A879C1" w:rsidRPr="0001788E" w:rsidRDefault="00A879C1" w:rsidP="00A879C1">
            <w:pPr>
              <w:jc w:val="center"/>
              <w:rPr>
                <w:rFonts w:ascii="Arial" w:hAnsi="Arial" w:cs="Arial"/>
                <w:szCs w:val="20"/>
              </w:rPr>
            </w:pPr>
            <w:r w:rsidRPr="0001788E">
              <w:rPr>
                <w:rFonts w:ascii="Arial" w:hAnsi="Arial" w:cs="Arial"/>
                <w:szCs w:val="20"/>
              </w:rPr>
              <w:t>0.604</w:t>
            </w:r>
          </w:p>
        </w:tc>
      </w:tr>
      <w:tr w:rsidR="00A879C1" w:rsidRPr="0001788E" w14:paraId="5DE980CB" w14:textId="77777777" w:rsidTr="00A879C1">
        <w:tc>
          <w:tcPr>
            <w:tcW w:w="596" w:type="pct"/>
            <w:vMerge/>
            <w:vAlign w:val="center"/>
          </w:tcPr>
          <w:p w14:paraId="3318E798" w14:textId="77777777" w:rsidR="00A879C1" w:rsidRPr="0001788E" w:rsidRDefault="00A879C1" w:rsidP="00A879C1">
            <w:pPr>
              <w:rPr>
                <w:rFonts w:ascii="Arial" w:hAnsi="Arial" w:cs="Arial"/>
                <w:szCs w:val="20"/>
              </w:rPr>
            </w:pPr>
          </w:p>
        </w:tc>
        <w:tc>
          <w:tcPr>
            <w:tcW w:w="1285" w:type="pct"/>
          </w:tcPr>
          <w:p w14:paraId="5D797A26" w14:textId="0E7E8B9D" w:rsidR="00A879C1" w:rsidRPr="0001788E" w:rsidRDefault="00630573" w:rsidP="00A879C1">
            <w:pPr>
              <w:rPr>
                <w:rFonts w:ascii="Arial" w:hAnsi="Arial" w:cs="Arial"/>
                <w:szCs w:val="20"/>
              </w:rPr>
            </w:pPr>
            <w:r>
              <w:rPr>
                <w:rFonts w:ascii="Arial" w:hAnsi="Arial" w:cs="Arial"/>
                <w:szCs w:val="20"/>
              </w:rPr>
              <w:t>V</w:t>
            </w:r>
            <w:r w:rsidR="00A879C1" w:rsidRPr="0001788E">
              <w:rPr>
                <w:rFonts w:ascii="Arial" w:hAnsi="Arial" w:cs="Arial"/>
                <w:szCs w:val="20"/>
              </w:rPr>
              <w:t>accin</w:t>
            </w:r>
            <w:r>
              <w:rPr>
                <w:rFonts w:ascii="Arial" w:hAnsi="Arial" w:cs="Arial"/>
                <w:szCs w:val="20"/>
              </w:rPr>
              <w:t>e exposed</w:t>
            </w:r>
            <w:r w:rsidR="00A879C1" w:rsidRPr="0001788E">
              <w:rPr>
                <w:rFonts w:ascii="Arial" w:hAnsi="Arial" w:cs="Arial"/>
                <w:szCs w:val="20"/>
              </w:rPr>
              <w:t xml:space="preserve"> </w:t>
            </w:r>
          </w:p>
        </w:tc>
        <w:tc>
          <w:tcPr>
            <w:tcW w:w="436" w:type="pct"/>
          </w:tcPr>
          <w:p w14:paraId="184FEC08" w14:textId="77777777" w:rsidR="00A879C1" w:rsidRPr="0001788E" w:rsidRDefault="00A879C1" w:rsidP="00A879C1">
            <w:pPr>
              <w:jc w:val="center"/>
              <w:rPr>
                <w:rFonts w:ascii="Arial" w:hAnsi="Arial" w:cs="Arial"/>
                <w:szCs w:val="20"/>
              </w:rPr>
            </w:pPr>
          </w:p>
        </w:tc>
        <w:tc>
          <w:tcPr>
            <w:tcW w:w="662" w:type="pct"/>
          </w:tcPr>
          <w:p w14:paraId="4D1EBBC8" w14:textId="77777777" w:rsidR="00A879C1" w:rsidRPr="0001788E" w:rsidRDefault="00A879C1" w:rsidP="00A879C1">
            <w:pPr>
              <w:jc w:val="center"/>
              <w:rPr>
                <w:rFonts w:ascii="Arial" w:hAnsi="Arial" w:cs="Arial"/>
                <w:szCs w:val="20"/>
              </w:rPr>
            </w:pPr>
          </w:p>
        </w:tc>
        <w:tc>
          <w:tcPr>
            <w:tcW w:w="794" w:type="pct"/>
          </w:tcPr>
          <w:p w14:paraId="2F16CF6F" w14:textId="77777777" w:rsidR="00A879C1" w:rsidRPr="0001788E" w:rsidRDefault="00A879C1" w:rsidP="00A879C1">
            <w:pPr>
              <w:jc w:val="center"/>
              <w:rPr>
                <w:rFonts w:ascii="Arial" w:hAnsi="Arial" w:cs="Arial"/>
                <w:szCs w:val="20"/>
              </w:rPr>
            </w:pPr>
          </w:p>
        </w:tc>
        <w:tc>
          <w:tcPr>
            <w:tcW w:w="794" w:type="pct"/>
          </w:tcPr>
          <w:p w14:paraId="19209EC2" w14:textId="77777777" w:rsidR="00A879C1" w:rsidRPr="0001788E" w:rsidRDefault="00A879C1" w:rsidP="00A879C1">
            <w:pPr>
              <w:jc w:val="center"/>
              <w:rPr>
                <w:rFonts w:ascii="Arial" w:hAnsi="Arial" w:cs="Arial"/>
                <w:szCs w:val="20"/>
              </w:rPr>
            </w:pPr>
          </w:p>
        </w:tc>
        <w:tc>
          <w:tcPr>
            <w:tcW w:w="433" w:type="pct"/>
          </w:tcPr>
          <w:p w14:paraId="13772C41" w14:textId="77777777" w:rsidR="00A879C1" w:rsidRPr="0001788E" w:rsidRDefault="00A879C1" w:rsidP="00A879C1">
            <w:pPr>
              <w:jc w:val="center"/>
              <w:rPr>
                <w:rFonts w:ascii="Arial" w:hAnsi="Arial" w:cs="Arial"/>
                <w:szCs w:val="20"/>
              </w:rPr>
            </w:pPr>
          </w:p>
        </w:tc>
      </w:tr>
      <w:tr w:rsidR="00A879C1" w:rsidRPr="0001788E" w14:paraId="2F52DCCB" w14:textId="77777777" w:rsidTr="00A879C1">
        <w:tc>
          <w:tcPr>
            <w:tcW w:w="596" w:type="pct"/>
            <w:vMerge/>
            <w:vAlign w:val="center"/>
          </w:tcPr>
          <w:p w14:paraId="61FEDB03" w14:textId="77777777" w:rsidR="00A879C1" w:rsidRPr="0001788E" w:rsidRDefault="00A879C1" w:rsidP="00A879C1">
            <w:pPr>
              <w:rPr>
                <w:rFonts w:ascii="Arial" w:hAnsi="Arial" w:cs="Arial"/>
                <w:b/>
                <w:bCs/>
                <w:szCs w:val="20"/>
              </w:rPr>
            </w:pPr>
          </w:p>
        </w:tc>
        <w:tc>
          <w:tcPr>
            <w:tcW w:w="1285" w:type="pct"/>
          </w:tcPr>
          <w:p w14:paraId="0924F82E" w14:textId="77777777" w:rsidR="00A879C1" w:rsidRPr="0001788E" w:rsidRDefault="00A879C1" w:rsidP="00A879C1">
            <w:pPr>
              <w:rPr>
                <w:rFonts w:ascii="Arial" w:hAnsi="Arial" w:cs="Arial"/>
                <w:szCs w:val="20"/>
              </w:rPr>
            </w:pPr>
            <w:r w:rsidRPr="0001788E">
              <w:rPr>
                <w:rFonts w:ascii="Arial" w:hAnsi="Arial" w:cs="Arial"/>
                <w:szCs w:val="20"/>
              </w:rPr>
              <w:t>0 - 21 days</w:t>
            </w:r>
          </w:p>
        </w:tc>
        <w:tc>
          <w:tcPr>
            <w:tcW w:w="436" w:type="pct"/>
          </w:tcPr>
          <w:p w14:paraId="6A51BA60" w14:textId="77777777" w:rsidR="00A879C1" w:rsidRPr="0001788E" w:rsidRDefault="00A879C1" w:rsidP="00A879C1">
            <w:pPr>
              <w:jc w:val="center"/>
              <w:rPr>
                <w:rFonts w:ascii="Arial" w:hAnsi="Arial" w:cs="Arial"/>
                <w:szCs w:val="20"/>
                <w:highlight w:val="yellow"/>
              </w:rPr>
            </w:pPr>
            <w:r w:rsidRPr="0001788E">
              <w:rPr>
                <w:rFonts w:ascii="Arial" w:hAnsi="Arial" w:cs="Arial"/>
                <w:szCs w:val="20"/>
              </w:rPr>
              <w:t>114</w:t>
            </w:r>
          </w:p>
        </w:tc>
        <w:tc>
          <w:tcPr>
            <w:tcW w:w="662" w:type="pct"/>
          </w:tcPr>
          <w:p w14:paraId="5C67E185" w14:textId="77777777" w:rsidR="00A879C1" w:rsidRPr="0001788E" w:rsidRDefault="00A879C1" w:rsidP="00A879C1">
            <w:pPr>
              <w:jc w:val="center"/>
              <w:rPr>
                <w:rFonts w:ascii="Arial" w:hAnsi="Arial" w:cs="Arial"/>
                <w:szCs w:val="20"/>
              </w:rPr>
            </w:pPr>
            <w:r w:rsidRPr="0001788E">
              <w:rPr>
                <w:rFonts w:ascii="Arial" w:hAnsi="Arial" w:cs="Arial"/>
                <w:szCs w:val="20"/>
              </w:rPr>
              <w:t>43853</w:t>
            </w:r>
          </w:p>
        </w:tc>
        <w:tc>
          <w:tcPr>
            <w:tcW w:w="794" w:type="pct"/>
          </w:tcPr>
          <w:p w14:paraId="184393B2" w14:textId="77777777" w:rsidR="00A879C1" w:rsidRPr="0001788E" w:rsidRDefault="00A879C1" w:rsidP="00A879C1">
            <w:pPr>
              <w:jc w:val="center"/>
              <w:rPr>
                <w:rFonts w:ascii="Arial" w:hAnsi="Arial" w:cs="Arial"/>
                <w:szCs w:val="20"/>
              </w:rPr>
            </w:pPr>
            <w:r w:rsidRPr="0001788E">
              <w:rPr>
                <w:rFonts w:ascii="Arial" w:hAnsi="Arial" w:cs="Arial"/>
                <w:szCs w:val="20"/>
              </w:rPr>
              <w:t>0.94 (0.77-1.13)</w:t>
            </w:r>
          </w:p>
        </w:tc>
        <w:tc>
          <w:tcPr>
            <w:tcW w:w="794" w:type="pct"/>
          </w:tcPr>
          <w:p w14:paraId="7385C81C" w14:textId="77777777" w:rsidR="00A879C1" w:rsidRPr="0001788E" w:rsidRDefault="00A879C1" w:rsidP="00A879C1">
            <w:pPr>
              <w:jc w:val="center"/>
              <w:rPr>
                <w:rFonts w:ascii="Arial" w:hAnsi="Arial" w:cs="Arial"/>
                <w:szCs w:val="20"/>
              </w:rPr>
            </w:pPr>
            <w:r w:rsidRPr="0001788E">
              <w:rPr>
                <w:rFonts w:ascii="Arial" w:hAnsi="Arial" w:cs="Arial"/>
                <w:szCs w:val="20"/>
              </w:rPr>
              <w:t>0.87 (0.71-1.06)</w:t>
            </w:r>
          </w:p>
        </w:tc>
        <w:tc>
          <w:tcPr>
            <w:tcW w:w="433" w:type="pct"/>
          </w:tcPr>
          <w:p w14:paraId="6E5AE011" w14:textId="77777777" w:rsidR="00A879C1" w:rsidRPr="0001788E" w:rsidRDefault="00A879C1" w:rsidP="00A879C1">
            <w:pPr>
              <w:jc w:val="center"/>
              <w:rPr>
                <w:rFonts w:ascii="Arial" w:hAnsi="Arial" w:cs="Arial"/>
                <w:szCs w:val="20"/>
              </w:rPr>
            </w:pPr>
            <w:r w:rsidRPr="0001788E">
              <w:rPr>
                <w:rFonts w:ascii="Arial" w:hAnsi="Arial" w:cs="Arial"/>
                <w:szCs w:val="20"/>
              </w:rPr>
              <w:t>0.159</w:t>
            </w:r>
          </w:p>
        </w:tc>
      </w:tr>
      <w:tr w:rsidR="00A879C1" w:rsidRPr="0001788E" w14:paraId="14F13C68" w14:textId="77777777" w:rsidTr="00A879C1">
        <w:tc>
          <w:tcPr>
            <w:tcW w:w="596" w:type="pct"/>
            <w:vMerge/>
            <w:vAlign w:val="center"/>
          </w:tcPr>
          <w:p w14:paraId="18ED31E3" w14:textId="77777777" w:rsidR="00A879C1" w:rsidRPr="0001788E" w:rsidRDefault="00A879C1" w:rsidP="00A879C1">
            <w:pPr>
              <w:rPr>
                <w:rFonts w:ascii="Arial" w:hAnsi="Arial" w:cs="Arial"/>
                <w:b/>
                <w:bCs/>
                <w:szCs w:val="20"/>
              </w:rPr>
            </w:pPr>
          </w:p>
        </w:tc>
        <w:tc>
          <w:tcPr>
            <w:tcW w:w="1285" w:type="pct"/>
          </w:tcPr>
          <w:p w14:paraId="5E9F98A5" w14:textId="77777777" w:rsidR="00A879C1" w:rsidRPr="0001788E" w:rsidRDefault="00A879C1" w:rsidP="00A879C1">
            <w:pPr>
              <w:jc w:val="right"/>
              <w:rPr>
                <w:rFonts w:ascii="Arial" w:hAnsi="Arial" w:cs="Arial"/>
                <w:szCs w:val="20"/>
              </w:rPr>
            </w:pPr>
            <w:r w:rsidRPr="0001788E">
              <w:rPr>
                <w:rFonts w:ascii="Arial" w:hAnsi="Arial" w:cs="Arial"/>
                <w:szCs w:val="20"/>
              </w:rPr>
              <w:t>0 - 7 days</w:t>
            </w:r>
          </w:p>
        </w:tc>
        <w:tc>
          <w:tcPr>
            <w:tcW w:w="436" w:type="pct"/>
          </w:tcPr>
          <w:p w14:paraId="2BAFE136" w14:textId="77777777" w:rsidR="00A879C1" w:rsidRPr="0001788E" w:rsidRDefault="00A879C1" w:rsidP="00A879C1">
            <w:pPr>
              <w:jc w:val="center"/>
              <w:rPr>
                <w:rFonts w:ascii="Arial" w:hAnsi="Arial" w:cs="Arial"/>
                <w:szCs w:val="20"/>
              </w:rPr>
            </w:pPr>
            <w:r w:rsidRPr="0001788E">
              <w:rPr>
                <w:rFonts w:ascii="Arial" w:hAnsi="Arial" w:cs="Arial"/>
                <w:szCs w:val="20"/>
              </w:rPr>
              <w:t>48</w:t>
            </w:r>
          </w:p>
        </w:tc>
        <w:tc>
          <w:tcPr>
            <w:tcW w:w="662" w:type="pct"/>
          </w:tcPr>
          <w:p w14:paraId="155FA458" w14:textId="77777777" w:rsidR="00A879C1" w:rsidRPr="0001788E" w:rsidRDefault="00A879C1" w:rsidP="00A879C1">
            <w:pPr>
              <w:jc w:val="center"/>
              <w:rPr>
                <w:rFonts w:ascii="Arial" w:hAnsi="Arial" w:cs="Arial"/>
                <w:szCs w:val="20"/>
              </w:rPr>
            </w:pPr>
            <w:r w:rsidRPr="0001788E">
              <w:rPr>
                <w:rFonts w:ascii="Arial" w:hAnsi="Arial" w:cs="Arial"/>
                <w:szCs w:val="20"/>
              </w:rPr>
              <w:t>14635</w:t>
            </w:r>
          </w:p>
        </w:tc>
        <w:tc>
          <w:tcPr>
            <w:tcW w:w="794" w:type="pct"/>
          </w:tcPr>
          <w:p w14:paraId="113081A3" w14:textId="77777777" w:rsidR="00A879C1" w:rsidRPr="0001788E" w:rsidRDefault="00A879C1" w:rsidP="00A879C1">
            <w:pPr>
              <w:jc w:val="center"/>
              <w:rPr>
                <w:rFonts w:ascii="Arial" w:hAnsi="Arial" w:cs="Arial"/>
                <w:szCs w:val="20"/>
              </w:rPr>
            </w:pPr>
            <w:r w:rsidRPr="0001788E">
              <w:rPr>
                <w:rFonts w:ascii="Arial" w:hAnsi="Arial" w:cs="Arial"/>
                <w:szCs w:val="20"/>
              </w:rPr>
              <w:t>1.18 (0.89-1.57)</w:t>
            </w:r>
          </w:p>
        </w:tc>
        <w:tc>
          <w:tcPr>
            <w:tcW w:w="794" w:type="pct"/>
          </w:tcPr>
          <w:p w14:paraId="0CEA1080" w14:textId="77777777" w:rsidR="00A879C1" w:rsidRPr="0001788E" w:rsidRDefault="00A879C1" w:rsidP="00A879C1">
            <w:pPr>
              <w:jc w:val="center"/>
              <w:rPr>
                <w:rFonts w:ascii="Arial" w:hAnsi="Arial" w:cs="Arial"/>
                <w:szCs w:val="20"/>
              </w:rPr>
            </w:pPr>
            <w:r w:rsidRPr="0001788E">
              <w:rPr>
                <w:rFonts w:ascii="Arial" w:hAnsi="Arial" w:cs="Arial"/>
                <w:szCs w:val="20"/>
              </w:rPr>
              <w:t>1.08 (0.81-1.45)</w:t>
            </w:r>
          </w:p>
        </w:tc>
        <w:tc>
          <w:tcPr>
            <w:tcW w:w="433" w:type="pct"/>
          </w:tcPr>
          <w:p w14:paraId="0A87C084" w14:textId="77777777" w:rsidR="00A879C1" w:rsidRPr="0001788E" w:rsidRDefault="00A879C1" w:rsidP="00A879C1">
            <w:pPr>
              <w:jc w:val="center"/>
              <w:rPr>
                <w:rFonts w:ascii="Arial" w:hAnsi="Arial" w:cs="Arial"/>
                <w:szCs w:val="20"/>
              </w:rPr>
            </w:pPr>
            <w:r w:rsidRPr="0001788E">
              <w:rPr>
                <w:rFonts w:ascii="Arial" w:hAnsi="Arial" w:cs="Arial"/>
                <w:szCs w:val="20"/>
              </w:rPr>
              <w:t>0.584</w:t>
            </w:r>
          </w:p>
        </w:tc>
      </w:tr>
      <w:tr w:rsidR="00A879C1" w:rsidRPr="0001788E" w14:paraId="627C777E" w14:textId="77777777" w:rsidTr="00A879C1">
        <w:tc>
          <w:tcPr>
            <w:tcW w:w="596" w:type="pct"/>
            <w:vMerge/>
          </w:tcPr>
          <w:p w14:paraId="05A71AF5" w14:textId="77777777" w:rsidR="00A879C1" w:rsidRPr="0001788E" w:rsidRDefault="00A879C1" w:rsidP="00A879C1">
            <w:pPr>
              <w:rPr>
                <w:rFonts w:ascii="Arial" w:hAnsi="Arial" w:cs="Arial"/>
                <w:b/>
                <w:bCs/>
                <w:szCs w:val="20"/>
              </w:rPr>
            </w:pPr>
          </w:p>
        </w:tc>
        <w:tc>
          <w:tcPr>
            <w:tcW w:w="1285" w:type="pct"/>
          </w:tcPr>
          <w:p w14:paraId="76C1CCD1" w14:textId="77777777" w:rsidR="00A879C1" w:rsidRPr="0001788E" w:rsidRDefault="00A879C1" w:rsidP="00A879C1">
            <w:pPr>
              <w:jc w:val="right"/>
              <w:rPr>
                <w:rFonts w:ascii="Arial" w:hAnsi="Arial" w:cs="Arial"/>
                <w:szCs w:val="20"/>
              </w:rPr>
            </w:pPr>
            <w:r w:rsidRPr="0001788E">
              <w:rPr>
                <w:rFonts w:ascii="Arial" w:hAnsi="Arial" w:cs="Arial"/>
                <w:szCs w:val="20"/>
              </w:rPr>
              <w:t xml:space="preserve">8 - 14 days  </w:t>
            </w:r>
          </w:p>
        </w:tc>
        <w:tc>
          <w:tcPr>
            <w:tcW w:w="436" w:type="pct"/>
          </w:tcPr>
          <w:p w14:paraId="03DB6763" w14:textId="77777777" w:rsidR="00A879C1" w:rsidRPr="0001788E" w:rsidRDefault="00A879C1" w:rsidP="00A879C1">
            <w:pPr>
              <w:jc w:val="center"/>
              <w:rPr>
                <w:rFonts w:ascii="Arial" w:hAnsi="Arial" w:cs="Arial"/>
                <w:szCs w:val="20"/>
              </w:rPr>
            </w:pPr>
            <w:r w:rsidRPr="0001788E">
              <w:rPr>
                <w:rFonts w:ascii="Arial" w:hAnsi="Arial" w:cs="Arial"/>
                <w:szCs w:val="20"/>
              </w:rPr>
              <w:t>30</w:t>
            </w:r>
          </w:p>
        </w:tc>
        <w:tc>
          <w:tcPr>
            <w:tcW w:w="662" w:type="pct"/>
          </w:tcPr>
          <w:p w14:paraId="131A0561" w14:textId="77777777" w:rsidR="00A879C1" w:rsidRPr="0001788E" w:rsidRDefault="00A879C1" w:rsidP="00A879C1">
            <w:pPr>
              <w:jc w:val="center"/>
              <w:rPr>
                <w:rFonts w:ascii="Arial" w:hAnsi="Arial" w:cs="Arial"/>
                <w:szCs w:val="20"/>
              </w:rPr>
            </w:pPr>
            <w:r w:rsidRPr="0001788E">
              <w:rPr>
                <w:rFonts w:ascii="Arial" w:hAnsi="Arial" w:cs="Arial"/>
                <w:szCs w:val="20"/>
              </w:rPr>
              <w:t>14629</w:t>
            </w:r>
          </w:p>
        </w:tc>
        <w:tc>
          <w:tcPr>
            <w:tcW w:w="794" w:type="pct"/>
          </w:tcPr>
          <w:p w14:paraId="684D077E" w14:textId="77777777" w:rsidR="00A879C1" w:rsidRPr="0001788E" w:rsidRDefault="00A879C1" w:rsidP="00A879C1">
            <w:pPr>
              <w:jc w:val="center"/>
              <w:rPr>
                <w:rFonts w:ascii="Arial" w:hAnsi="Arial" w:cs="Arial"/>
                <w:szCs w:val="20"/>
              </w:rPr>
            </w:pPr>
            <w:r w:rsidRPr="0001788E">
              <w:rPr>
                <w:rFonts w:ascii="Arial" w:hAnsi="Arial" w:cs="Arial"/>
                <w:szCs w:val="20"/>
              </w:rPr>
              <w:t>0.74 (0.51-1.06)</w:t>
            </w:r>
          </w:p>
        </w:tc>
        <w:tc>
          <w:tcPr>
            <w:tcW w:w="794" w:type="pct"/>
          </w:tcPr>
          <w:p w14:paraId="6E2561E2" w14:textId="77777777" w:rsidR="00A879C1" w:rsidRPr="0001788E" w:rsidRDefault="00A879C1" w:rsidP="00A879C1">
            <w:pPr>
              <w:jc w:val="center"/>
              <w:rPr>
                <w:rFonts w:ascii="Arial" w:hAnsi="Arial" w:cs="Arial"/>
                <w:szCs w:val="20"/>
              </w:rPr>
            </w:pPr>
            <w:r w:rsidRPr="0001788E">
              <w:rPr>
                <w:rFonts w:ascii="Arial" w:hAnsi="Arial" w:cs="Arial"/>
                <w:szCs w:val="20"/>
              </w:rPr>
              <w:t>0.68 (0.47-0.98)</w:t>
            </w:r>
          </w:p>
        </w:tc>
        <w:tc>
          <w:tcPr>
            <w:tcW w:w="433" w:type="pct"/>
          </w:tcPr>
          <w:p w14:paraId="2B2917A2" w14:textId="77777777" w:rsidR="00A879C1" w:rsidRPr="0001788E" w:rsidRDefault="00A879C1" w:rsidP="00A879C1">
            <w:pPr>
              <w:jc w:val="center"/>
              <w:rPr>
                <w:rFonts w:ascii="Arial" w:hAnsi="Arial" w:cs="Arial"/>
                <w:szCs w:val="20"/>
              </w:rPr>
            </w:pPr>
            <w:r w:rsidRPr="0001788E">
              <w:rPr>
                <w:rFonts w:ascii="Arial" w:hAnsi="Arial" w:cs="Arial"/>
                <w:szCs w:val="20"/>
              </w:rPr>
              <w:t>0.038</w:t>
            </w:r>
          </w:p>
        </w:tc>
      </w:tr>
      <w:tr w:rsidR="00A879C1" w:rsidRPr="0001788E" w14:paraId="01E8A211" w14:textId="77777777" w:rsidTr="00A879C1">
        <w:trPr>
          <w:trHeight w:val="211"/>
        </w:trPr>
        <w:tc>
          <w:tcPr>
            <w:tcW w:w="596" w:type="pct"/>
            <w:vMerge/>
          </w:tcPr>
          <w:p w14:paraId="5C010E37" w14:textId="77777777" w:rsidR="00A879C1" w:rsidRPr="0001788E" w:rsidRDefault="00A879C1" w:rsidP="00A879C1">
            <w:pPr>
              <w:rPr>
                <w:rFonts w:ascii="Arial" w:hAnsi="Arial" w:cs="Arial"/>
                <w:b/>
                <w:bCs/>
                <w:szCs w:val="20"/>
              </w:rPr>
            </w:pPr>
          </w:p>
        </w:tc>
        <w:tc>
          <w:tcPr>
            <w:tcW w:w="1285" w:type="pct"/>
          </w:tcPr>
          <w:p w14:paraId="2F8B2DF8" w14:textId="77777777" w:rsidR="00A879C1" w:rsidRPr="0001788E" w:rsidRDefault="00A879C1" w:rsidP="00A879C1">
            <w:pPr>
              <w:jc w:val="right"/>
              <w:rPr>
                <w:rFonts w:ascii="Arial" w:hAnsi="Arial" w:cs="Arial"/>
                <w:szCs w:val="20"/>
              </w:rPr>
            </w:pPr>
            <w:r w:rsidRPr="0001788E">
              <w:rPr>
                <w:rFonts w:ascii="Arial" w:hAnsi="Arial" w:cs="Arial"/>
                <w:szCs w:val="20"/>
              </w:rPr>
              <w:t>15 - 21 days</w:t>
            </w:r>
          </w:p>
        </w:tc>
        <w:tc>
          <w:tcPr>
            <w:tcW w:w="436" w:type="pct"/>
          </w:tcPr>
          <w:p w14:paraId="096F62B5" w14:textId="77777777" w:rsidR="00A879C1" w:rsidRPr="0001788E" w:rsidRDefault="00A879C1" w:rsidP="00A879C1">
            <w:pPr>
              <w:jc w:val="center"/>
              <w:rPr>
                <w:rFonts w:ascii="Arial" w:hAnsi="Arial" w:cs="Arial"/>
                <w:szCs w:val="20"/>
              </w:rPr>
            </w:pPr>
            <w:r w:rsidRPr="0001788E">
              <w:rPr>
                <w:rFonts w:ascii="Arial" w:hAnsi="Arial" w:cs="Arial"/>
                <w:szCs w:val="20"/>
              </w:rPr>
              <w:t>36</w:t>
            </w:r>
          </w:p>
        </w:tc>
        <w:tc>
          <w:tcPr>
            <w:tcW w:w="662" w:type="pct"/>
          </w:tcPr>
          <w:p w14:paraId="112A648B" w14:textId="77777777" w:rsidR="00A879C1" w:rsidRPr="0001788E" w:rsidRDefault="00A879C1" w:rsidP="00A879C1">
            <w:pPr>
              <w:jc w:val="center"/>
              <w:rPr>
                <w:rFonts w:ascii="Arial" w:hAnsi="Arial" w:cs="Arial"/>
                <w:szCs w:val="20"/>
              </w:rPr>
            </w:pPr>
            <w:r w:rsidRPr="0001788E">
              <w:rPr>
                <w:rFonts w:ascii="Arial" w:hAnsi="Arial" w:cs="Arial"/>
                <w:szCs w:val="20"/>
              </w:rPr>
              <w:t>14589</w:t>
            </w:r>
          </w:p>
        </w:tc>
        <w:tc>
          <w:tcPr>
            <w:tcW w:w="794" w:type="pct"/>
          </w:tcPr>
          <w:p w14:paraId="225FD11C" w14:textId="77777777" w:rsidR="00A879C1" w:rsidRPr="0001788E" w:rsidRDefault="00A879C1" w:rsidP="00A879C1">
            <w:pPr>
              <w:jc w:val="center"/>
              <w:rPr>
                <w:rFonts w:ascii="Arial" w:hAnsi="Arial" w:cs="Arial"/>
                <w:szCs w:val="20"/>
              </w:rPr>
            </w:pPr>
            <w:r w:rsidRPr="0001788E">
              <w:rPr>
                <w:rFonts w:ascii="Arial" w:hAnsi="Arial" w:cs="Arial"/>
                <w:szCs w:val="20"/>
              </w:rPr>
              <w:t>0.89 (0.64-1.24)</w:t>
            </w:r>
          </w:p>
        </w:tc>
        <w:tc>
          <w:tcPr>
            <w:tcW w:w="794" w:type="pct"/>
          </w:tcPr>
          <w:p w14:paraId="50E5E3E1" w14:textId="77777777" w:rsidR="00A879C1" w:rsidRPr="0001788E" w:rsidRDefault="00A879C1" w:rsidP="00A879C1">
            <w:pPr>
              <w:jc w:val="center"/>
              <w:rPr>
                <w:rFonts w:ascii="Arial" w:hAnsi="Arial" w:cs="Arial"/>
                <w:szCs w:val="20"/>
              </w:rPr>
            </w:pPr>
            <w:r w:rsidRPr="0001788E">
              <w:rPr>
                <w:rFonts w:ascii="Arial" w:hAnsi="Arial" w:cs="Arial"/>
                <w:szCs w:val="20"/>
              </w:rPr>
              <w:t>0.83 (0.59-1.15)</w:t>
            </w:r>
          </w:p>
        </w:tc>
        <w:tc>
          <w:tcPr>
            <w:tcW w:w="433" w:type="pct"/>
          </w:tcPr>
          <w:p w14:paraId="1E641E3C" w14:textId="77777777" w:rsidR="00A879C1" w:rsidRPr="0001788E" w:rsidRDefault="00A879C1" w:rsidP="00A879C1">
            <w:pPr>
              <w:jc w:val="center"/>
              <w:rPr>
                <w:rFonts w:ascii="Arial" w:hAnsi="Arial" w:cs="Arial"/>
                <w:szCs w:val="20"/>
              </w:rPr>
            </w:pPr>
            <w:r w:rsidRPr="0001788E">
              <w:rPr>
                <w:rFonts w:ascii="Arial" w:hAnsi="Arial" w:cs="Arial"/>
                <w:szCs w:val="20"/>
              </w:rPr>
              <w:t>0.264</w:t>
            </w:r>
          </w:p>
        </w:tc>
      </w:tr>
      <w:tr w:rsidR="00A879C1" w:rsidRPr="0001788E" w14:paraId="08B11CE8" w14:textId="77777777" w:rsidTr="00A879C1">
        <w:tc>
          <w:tcPr>
            <w:tcW w:w="596" w:type="pct"/>
            <w:vMerge w:val="restart"/>
          </w:tcPr>
          <w:p w14:paraId="549E177A" w14:textId="77777777" w:rsidR="00A879C1" w:rsidRPr="0001788E" w:rsidRDefault="00A879C1" w:rsidP="00A879C1">
            <w:pPr>
              <w:rPr>
                <w:rFonts w:ascii="Arial" w:hAnsi="Arial" w:cs="Arial"/>
                <w:b/>
                <w:bCs/>
                <w:szCs w:val="20"/>
              </w:rPr>
            </w:pPr>
            <w:r w:rsidRPr="0001788E">
              <w:rPr>
                <w:rFonts w:ascii="Arial" w:hAnsi="Arial" w:cs="Arial"/>
                <w:szCs w:val="20"/>
              </w:rPr>
              <w:t>2</w:t>
            </w:r>
            <w:r w:rsidRPr="0001788E">
              <w:rPr>
                <w:rFonts w:ascii="Arial" w:hAnsi="Arial" w:cs="Arial"/>
                <w:szCs w:val="20"/>
                <w:vertAlign w:val="superscript"/>
              </w:rPr>
              <w:t>nd</w:t>
            </w:r>
            <w:r w:rsidRPr="0001788E">
              <w:rPr>
                <w:rFonts w:ascii="Arial" w:hAnsi="Arial" w:cs="Arial"/>
                <w:szCs w:val="20"/>
              </w:rPr>
              <w:t xml:space="preserve"> dose</w:t>
            </w:r>
          </w:p>
          <w:p w14:paraId="4FF79118" w14:textId="77777777" w:rsidR="00A879C1" w:rsidRPr="0001788E" w:rsidRDefault="00A879C1" w:rsidP="00A879C1">
            <w:pPr>
              <w:rPr>
                <w:rFonts w:ascii="Arial" w:hAnsi="Arial" w:cs="Arial"/>
                <w:szCs w:val="20"/>
              </w:rPr>
            </w:pPr>
            <w:r w:rsidRPr="0001788E">
              <w:rPr>
                <w:rFonts w:ascii="Arial" w:hAnsi="Arial" w:cs="Arial"/>
                <w:b/>
                <w:bCs/>
                <w:szCs w:val="20"/>
              </w:rPr>
              <w:t xml:space="preserve"> </w:t>
            </w:r>
          </w:p>
        </w:tc>
        <w:tc>
          <w:tcPr>
            <w:tcW w:w="1285" w:type="pct"/>
          </w:tcPr>
          <w:p w14:paraId="6786142B" w14:textId="27BEB34B" w:rsidR="00A879C1" w:rsidRPr="0001788E" w:rsidRDefault="00630573" w:rsidP="00A879C1">
            <w:pPr>
              <w:rPr>
                <w:rFonts w:ascii="Arial" w:hAnsi="Arial" w:cs="Arial"/>
                <w:szCs w:val="20"/>
              </w:rPr>
            </w:pPr>
            <w:r>
              <w:rPr>
                <w:rFonts w:ascii="Arial"/>
                <w:spacing w:val="-2"/>
              </w:rPr>
              <w:t>Vaccine unexposed b</w:t>
            </w:r>
            <w:r w:rsidR="00A879C1" w:rsidRPr="0001788E">
              <w:rPr>
                <w:rFonts w:ascii="Arial" w:hAnsi="Arial" w:cs="Arial"/>
                <w:szCs w:val="20"/>
              </w:rPr>
              <w:t>aseline</w:t>
            </w:r>
          </w:p>
        </w:tc>
        <w:tc>
          <w:tcPr>
            <w:tcW w:w="436" w:type="pct"/>
          </w:tcPr>
          <w:p w14:paraId="1DC09648" w14:textId="77777777" w:rsidR="00A879C1" w:rsidRPr="0001788E" w:rsidRDefault="00A879C1" w:rsidP="00A879C1">
            <w:pPr>
              <w:jc w:val="center"/>
              <w:rPr>
                <w:rFonts w:ascii="Arial" w:hAnsi="Arial" w:cs="Arial"/>
                <w:szCs w:val="20"/>
              </w:rPr>
            </w:pPr>
            <w:r w:rsidRPr="0001788E">
              <w:rPr>
                <w:rFonts w:ascii="Arial" w:hAnsi="Arial" w:cs="Arial"/>
                <w:szCs w:val="20"/>
              </w:rPr>
              <w:t>1701</w:t>
            </w:r>
          </w:p>
        </w:tc>
        <w:tc>
          <w:tcPr>
            <w:tcW w:w="662" w:type="pct"/>
          </w:tcPr>
          <w:p w14:paraId="005207C6" w14:textId="77777777" w:rsidR="00A879C1" w:rsidRPr="0001788E" w:rsidRDefault="00A879C1" w:rsidP="00A879C1">
            <w:pPr>
              <w:jc w:val="center"/>
              <w:rPr>
                <w:rFonts w:ascii="Arial" w:hAnsi="Arial" w:cs="Arial"/>
                <w:szCs w:val="20"/>
              </w:rPr>
            </w:pPr>
            <w:r w:rsidRPr="0001788E">
              <w:rPr>
                <w:rFonts w:ascii="Arial" w:hAnsi="Arial" w:cs="Arial"/>
                <w:szCs w:val="20"/>
              </w:rPr>
              <w:t>621626</w:t>
            </w:r>
          </w:p>
        </w:tc>
        <w:tc>
          <w:tcPr>
            <w:tcW w:w="794" w:type="pct"/>
            <w:vAlign w:val="center"/>
          </w:tcPr>
          <w:p w14:paraId="6600F292"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794" w:type="pct"/>
            <w:vAlign w:val="center"/>
          </w:tcPr>
          <w:p w14:paraId="4D66BB5C"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433" w:type="pct"/>
            <w:vAlign w:val="center"/>
          </w:tcPr>
          <w:p w14:paraId="792E84FF" w14:textId="77777777" w:rsidR="00A879C1" w:rsidRPr="0001788E" w:rsidRDefault="00A879C1" w:rsidP="00A879C1">
            <w:pPr>
              <w:jc w:val="center"/>
              <w:rPr>
                <w:rFonts w:ascii="Arial" w:hAnsi="Arial" w:cs="Arial"/>
                <w:szCs w:val="20"/>
              </w:rPr>
            </w:pPr>
            <w:r w:rsidRPr="0001788E">
              <w:rPr>
                <w:rFonts w:ascii="Arial" w:hAnsi="Arial" w:cs="Arial"/>
                <w:szCs w:val="20"/>
              </w:rPr>
              <w:t>-/-</w:t>
            </w:r>
          </w:p>
        </w:tc>
      </w:tr>
      <w:tr w:rsidR="00A879C1" w:rsidRPr="0001788E" w14:paraId="6D8CAB88" w14:textId="77777777" w:rsidTr="00A879C1">
        <w:tc>
          <w:tcPr>
            <w:tcW w:w="596" w:type="pct"/>
            <w:vMerge/>
          </w:tcPr>
          <w:p w14:paraId="0DAEA3E9" w14:textId="77777777" w:rsidR="00A879C1" w:rsidRPr="0001788E" w:rsidRDefault="00A879C1" w:rsidP="00A879C1">
            <w:pPr>
              <w:rPr>
                <w:rFonts w:ascii="Arial" w:hAnsi="Arial" w:cs="Arial"/>
                <w:b/>
                <w:bCs/>
                <w:szCs w:val="20"/>
              </w:rPr>
            </w:pPr>
          </w:p>
        </w:tc>
        <w:tc>
          <w:tcPr>
            <w:tcW w:w="1285" w:type="pct"/>
          </w:tcPr>
          <w:p w14:paraId="7FD2DAE3" w14:textId="59F112FF" w:rsidR="00A879C1" w:rsidRPr="0001788E" w:rsidRDefault="00630573" w:rsidP="00A879C1">
            <w:pPr>
              <w:rPr>
                <w:rFonts w:ascii="Arial" w:hAnsi="Arial" w:cs="Arial"/>
                <w:szCs w:val="20"/>
              </w:rPr>
            </w:pPr>
            <w:r>
              <w:rPr>
                <w:rFonts w:ascii="Arial" w:hAnsi="Arial" w:cs="Arial"/>
                <w:szCs w:val="20"/>
              </w:rPr>
              <w:t>P</w:t>
            </w:r>
            <w:r w:rsidR="00A879C1" w:rsidRPr="0001788E">
              <w:rPr>
                <w:rFonts w:ascii="Arial" w:hAnsi="Arial" w:cs="Arial"/>
                <w:szCs w:val="20"/>
              </w:rPr>
              <w:t xml:space="preserve">re-vaccination </w:t>
            </w:r>
          </w:p>
        </w:tc>
        <w:tc>
          <w:tcPr>
            <w:tcW w:w="436" w:type="pct"/>
          </w:tcPr>
          <w:p w14:paraId="57242DF9" w14:textId="77777777" w:rsidR="00A879C1" w:rsidRPr="0001788E" w:rsidRDefault="00A879C1" w:rsidP="00A879C1">
            <w:pPr>
              <w:jc w:val="center"/>
              <w:rPr>
                <w:rFonts w:ascii="Arial" w:hAnsi="Arial" w:cs="Arial"/>
                <w:szCs w:val="20"/>
              </w:rPr>
            </w:pPr>
            <w:r w:rsidRPr="0001788E">
              <w:rPr>
                <w:rFonts w:ascii="Arial" w:hAnsi="Arial" w:cs="Arial"/>
                <w:szCs w:val="20"/>
              </w:rPr>
              <w:t>42</w:t>
            </w:r>
          </w:p>
        </w:tc>
        <w:tc>
          <w:tcPr>
            <w:tcW w:w="662" w:type="pct"/>
          </w:tcPr>
          <w:p w14:paraId="22049EDF" w14:textId="77777777" w:rsidR="00A879C1" w:rsidRPr="0001788E" w:rsidRDefault="00A879C1" w:rsidP="00A879C1">
            <w:pPr>
              <w:jc w:val="center"/>
              <w:rPr>
                <w:rFonts w:ascii="Arial" w:hAnsi="Arial" w:cs="Arial"/>
                <w:szCs w:val="20"/>
              </w:rPr>
            </w:pPr>
            <w:r w:rsidRPr="0001788E">
              <w:rPr>
                <w:rFonts w:ascii="Arial" w:hAnsi="Arial" w:cs="Arial"/>
                <w:szCs w:val="20"/>
              </w:rPr>
              <w:t>13867</w:t>
            </w:r>
          </w:p>
        </w:tc>
        <w:tc>
          <w:tcPr>
            <w:tcW w:w="794" w:type="pct"/>
          </w:tcPr>
          <w:p w14:paraId="264F9CB1" w14:textId="77777777" w:rsidR="00A879C1" w:rsidRPr="0001788E" w:rsidRDefault="00A879C1" w:rsidP="00A879C1">
            <w:pPr>
              <w:jc w:val="center"/>
              <w:rPr>
                <w:rFonts w:ascii="Arial" w:hAnsi="Arial" w:cs="Arial"/>
                <w:szCs w:val="20"/>
              </w:rPr>
            </w:pPr>
            <w:r w:rsidRPr="0001788E">
              <w:rPr>
                <w:rFonts w:ascii="Arial" w:hAnsi="Arial" w:cs="Arial"/>
                <w:szCs w:val="20"/>
              </w:rPr>
              <w:t>1.11(0.81-1.50)</w:t>
            </w:r>
          </w:p>
        </w:tc>
        <w:tc>
          <w:tcPr>
            <w:tcW w:w="794" w:type="pct"/>
          </w:tcPr>
          <w:p w14:paraId="573AF74F" w14:textId="77777777" w:rsidR="00A879C1" w:rsidRPr="0001788E" w:rsidRDefault="00A879C1" w:rsidP="00A879C1">
            <w:pPr>
              <w:jc w:val="center"/>
              <w:rPr>
                <w:rFonts w:ascii="Arial" w:hAnsi="Arial" w:cs="Arial"/>
                <w:szCs w:val="20"/>
              </w:rPr>
            </w:pPr>
            <w:r w:rsidRPr="0001788E">
              <w:rPr>
                <w:rFonts w:ascii="Arial" w:hAnsi="Arial" w:cs="Arial"/>
                <w:szCs w:val="20"/>
              </w:rPr>
              <w:t>1.06 (0.77-1.45)</w:t>
            </w:r>
          </w:p>
        </w:tc>
        <w:tc>
          <w:tcPr>
            <w:tcW w:w="433" w:type="pct"/>
          </w:tcPr>
          <w:p w14:paraId="0C2E76B5" w14:textId="77777777" w:rsidR="00A879C1" w:rsidRPr="0001788E" w:rsidRDefault="00A879C1" w:rsidP="00A879C1">
            <w:pPr>
              <w:jc w:val="center"/>
              <w:rPr>
                <w:rFonts w:ascii="Arial" w:hAnsi="Arial" w:cs="Arial"/>
                <w:szCs w:val="20"/>
              </w:rPr>
            </w:pPr>
            <w:r w:rsidRPr="0001788E">
              <w:rPr>
                <w:rFonts w:ascii="Arial" w:hAnsi="Arial" w:cs="Arial"/>
                <w:szCs w:val="20"/>
              </w:rPr>
              <w:t>0.732</w:t>
            </w:r>
          </w:p>
        </w:tc>
      </w:tr>
      <w:tr w:rsidR="00A879C1" w:rsidRPr="0001788E" w14:paraId="06284A35" w14:textId="77777777" w:rsidTr="00A879C1">
        <w:tc>
          <w:tcPr>
            <w:tcW w:w="596" w:type="pct"/>
            <w:vMerge/>
            <w:vAlign w:val="center"/>
          </w:tcPr>
          <w:p w14:paraId="489D7FEF" w14:textId="77777777" w:rsidR="00A879C1" w:rsidRPr="0001788E" w:rsidRDefault="00A879C1" w:rsidP="00A879C1">
            <w:pPr>
              <w:rPr>
                <w:rFonts w:ascii="Arial" w:hAnsi="Arial" w:cs="Arial"/>
                <w:b/>
                <w:bCs/>
                <w:szCs w:val="20"/>
              </w:rPr>
            </w:pPr>
          </w:p>
        </w:tc>
        <w:tc>
          <w:tcPr>
            <w:tcW w:w="1285" w:type="pct"/>
          </w:tcPr>
          <w:p w14:paraId="5D41D3A8" w14:textId="17103255" w:rsidR="00A879C1" w:rsidRPr="0001788E" w:rsidRDefault="00630573" w:rsidP="00A879C1">
            <w:pPr>
              <w:rPr>
                <w:rFonts w:ascii="Arial" w:hAnsi="Arial" w:cs="Arial"/>
                <w:szCs w:val="20"/>
              </w:rPr>
            </w:pPr>
            <w:r>
              <w:rPr>
                <w:rFonts w:ascii="Arial" w:hAnsi="Arial" w:cs="Arial"/>
                <w:szCs w:val="20"/>
              </w:rPr>
              <w:t>V</w:t>
            </w:r>
            <w:r w:rsidR="00A879C1" w:rsidRPr="0001788E">
              <w:rPr>
                <w:rFonts w:ascii="Arial" w:hAnsi="Arial" w:cs="Arial"/>
                <w:szCs w:val="20"/>
              </w:rPr>
              <w:t>accin</w:t>
            </w:r>
            <w:r>
              <w:rPr>
                <w:rFonts w:ascii="Arial" w:hAnsi="Arial" w:cs="Arial"/>
                <w:szCs w:val="20"/>
              </w:rPr>
              <w:t>e exposed</w:t>
            </w:r>
            <w:r w:rsidR="00A879C1" w:rsidRPr="0001788E">
              <w:rPr>
                <w:rFonts w:ascii="Arial" w:hAnsi="Arial" w:cs="Arial"/>
                <w:szCs w:val="20"/>
              </w:rPr>
              <w:t xml:space="preserve"> </w:t>
            </w:r>
          </w:p>
        </w:tc>
        <w:tc>
          <w:tcPr>
            <w:tcW w:w="436" w:type="pct"/>
          </w:tcPr>
          <w:p w14:paraId="4161BA15" w14:textId="77777777" w:rsidR="00A879C1" w:rsidRPr="0001788E" w:rsidRDefault="00A879C1" w:rsidP="00A879C1">
            <w:pPr>
              <w:jc w:val="center"/>
              <w:rPr>
                <w:rFonts w:ascii="Arial" w:hAnsi="Arial" w:cs="Arial"/>
                <w:szCs w:val="20"/>
              </w:rPr>
            </w:pPr>
          </w:p>
        </w:tc>
        <w:tc>
          <w:tcPr>
            <w:tcW w:w="662" w:type="pct"/>
          </w:tcPr>
          <w:p w14:paraId="5D2CA09A" w14:textId="77777777" w:rsidR="00A879C1" w:rsidRPr="0001788E" w:rsidRDefault="00A879C1" w:rsidP="00A879C1">
            <w:pPr>
              <w:jc w:val="center"/>
              <w:rPr>
                <w:rFonts w:ascii="Arial" w:hAnsi="Arial" w:cs="Arial"/>
                <w:szCs w:val="20"/>
              </w:rPr>
            </w:pPr>
          </w:p>
        </w:tc>
        <w:tc>
          <w:tcPr>
            <w:tcW w:w="794" w:type="pct"/>
          </w:tcPr>
          <w:p w14:paraId="141A2025" w14:textId="77777777" w:rsidR="00A879C1" w:rsidRPr="0001788E" w:rsidRDefault="00A879C1" w:rsidP="00A879C1">
            <w:pPr>
              <w:jc w:val="center"/>
              <w:rPr>
                <w:rFonts w:ascii="Arial" w:hAnsi="Arial" w:cs="Arial"/>
                <w:szCs w:val="20"/>
              </w:rPr>
            </w:pPr>
          </w:p>
        </w:tc>
        <w:tc>
          <w:tcPr>
            <w:tcW w:w="794" w:type="pct"/>
          </w:tcPr>
          <w:p w14:paraId="494FEA02" w14:textId="77777777" w:rsidR="00A879C1" w:rsidRPr="0001788E" w:rsidRDefault="00A879C1" w:rsidP="00A879C1">
            <w:pPr>
              <w:jc w:val="center"/>
              <w:rPr>
                <w:rFonts w:ascii="Arial" w:hAnsi="Arial" w:cs="Arial"/>
                <w:szCs w:val="20"/>
              </w:rPr>
            </w:pPr>
          </w:p>
        </w:tc>
        <w:tc>
          <w:tcPr>
            <w:tcW w:w="433" w:type="pct"/>
          </w:tcPr>
          <w:p w14:paraId="19D11BE8" w14:textId="77777777" w:rsidR="00A879C1" w:rsidRPr="0001788E" w:rsidRDefault="00A879C1" w:rsidP="00A879C1">
            <w:pPr>
              <w:jc w:val="center"/>
              <w:rPr>
                <w:rFonts w:ascii="Arial" w:hAnsi="Arial" w:cs="Arial"/>
                <w:szCs w:val="20"/>
              </w:rPr>
            </w:pPr>
          </w:p>
        </w:tc>
      </w:tr>
      <w:tr w:rsidR="00A879C1" w:rsidRPr="0001788E" w14:paraId="32C904C4" w14:textId="77777777" w:rsidTr="00A879C1">
        <w:tc>
          <w:tcPr>
            <w:tcW w:w="596" w:type="pct"/>
            <w:vMerge/>
          </w:tcPr>
          <w:p w14:paraId="52B38C33" w14:textId="77777777" w:rsidR="00A879C1" w:rsidRPr="0001788E" w:rsidRDefault="00A879C1" w:rsidP="00A879C1">
            <w:pPr>
              <w:rPr>
                <w:rFonts w:ascii="Arial" w:hAnsi="Arial" w:cs="Arial"/>
                <w:szCs w:val="20"/>
              </w:rPr>
            </w:pPr>
          </w:p>
        </w:tc>
        <w:tc>
          <w:tcPr>
            <w:tcW w:w="1285" w:type="pct"/>
          </w:tcPr>
          <w:p w14:paraId="4D165C2A" w14:textId="77777777" w:rsidR="00A879C1" w:rsidRPr="0001788E" w:rsidRDefault="00A879C1" w:rsidP="00A879C1">
            <w:pPr>
              <w:rPr>
                <w:rFonts w:ascii="Arial" w:hAnsi="Arial" w:cs="Arial"/>
                <w:szCs w:val="20"/>
              </w:rPr>
            </w:pPr>
            <w:r w:rsidRPr="0001788E">
              <w:rPr>
                <w:rFonts w:ascii="Arial" w:hAnsi="Arial" w:cs="Arial"/>
                <w:szCs w:val="20"/>
              </w:rPr>
              <w:t>0 - 21 days</w:t>
            </w:r>
          </w:p>
        </w:tc>
        <w:tc>
          <w:tcPr>
            <w:tcW w:w="436" w:type="pct"/>
          </w:tcPr>
          <w:p w14:paraId="6DDA96B7" w14:textId="77777777" w:rsidR="00A879C1" w:rsidRPr="0001788E" w:rsidRDefault="00A879C1" w:rsidP="00A879C1">
            <w:pPr>
              <w:jc w:val="center"/>
              <w:rPr>
                <w:rFonts w:ascii="Arial" w:hAnsi="Arial" w:cs="Arial"/>
                <w:szCs w:val="20"/>
              </w:rPr>
            </w:pPr>
            <w:r w:rsidRPr="0001788E">
              <w:rPr>
                <w:rFonts w:ascii="Arial" w:hAnsi="Arial" w:cs="Arial"/>
                <w:szCs w:val="20"/>
              </w:rPr>
              <w:t>111</w:t>
            </w:r>
          </w:p>
        </w:tc>
        <w:tc>
          <w:tcPr>
            <w:tcW w:w="662" w:type="pct"/>
          </w:tcPr>
          <w:p w14:paraId="75D4D40D" w14:textId="77777777" w:rsidR="00A879C1" w:rsidRPr="0001788E" w:rsidRDefault="00A879C1" w:rsidP="00A879C1">
            <w:pPr>
              <w:jc w:val="center"/>
              <w:rPr>
                <w:rFonts w:ascii="Arial" w:hAnsi="Arial" w:cs="Arial"/>
                <w:szCs w:val="20"/>
              </w:rPr>
            </w:pPr>
            <w:r w:rsidRPr="0001788E">
              <w:rPr>
                <w:rFonts w:ascii="Arial" w:hAnsi="Arial" w:cs="Arial"/>
                <w:szCs w:val="20"/>
              </w:rPr>
              <w:t>41375</w:t>
            </w:r>
          </w:p>
        </w:tc>
        <w:tc>
          <w:tcPr>
            <w:tcW w:w="794" w:type="pct"/>
          </w:tcPr>
          <w:p w14:paraId="00D7F462" w14:textId="77777777" w:rsidR="00A879C1" w:rsidRPr="0001788E" w:rsidRDefault="00A879C1" w:rsidP="00A879C1">
            <w:pPr>
              <w:jc w:val="center"/>
              <w:rPr>
                <w:rFonts w:ascii="Arial" w:hAnsi="Arial" w:cs="Arial"/>
                <w:szCs w:val="20"/>
              </w:rPr>
            </w:pPr>
            <w:r w:rsidRPr="0001788E">
              <w:rPr>
                <w:rFonts w:ascii="Arial" w:hAnsi="Arial" w:cs="Arial"/>
                <w:szCs w:val="20"/>
              </w:rPr>
              <w:t>0.98 (0.81-1.50)</w:t>
            </w:r>
          </w:p>
        </w:tc>
        <w:tc>
          <w:tcPr>
            <w:tcW w:w="794" w:type="pct"/>
          </w:tcPr>
          <w:p w14:paraId="77C6F83D" w14:textId="77777777" w:rsidR="00A879C1" w:rsidRPr="0001788E" w:rsidRDefault="00A879C1" w:rsidP="00A879C1">
            <w:pPr>
              <w:jc w:val="center"/>
              <w:rPr>
                <w:rFonts w:ascii="Arial" w:hAnsi="Arial" w:cs="Arial"/>
                <w:szCs w:val="20"/>
              </w:rPr>
            </w:pPr>
            <w:r w:rsidRPr="0001788E">
              <w:rPr>
                <w:rFonts w:ascii="Arial" w:hAnsi="Arial" w:cs="Arial"/>
                <w:szCs w:val="20"/>
              </w:rPr>
              <w:t>0.93 (0.75-1.15)</w:t>
            </w:r>
          </w:p>
        </w:tc>
        <w:tc>
          <w:tcPr>
            <w:tcW w:w="433" w:type="pct"/>
          </w:tcPr>
          <w:p w14:paraId="272E358C" w14:textId="77777777" w:rsidR="00A879C1" w:rsidRPr="0001788E" w:rsidRDefault="00A879C1" w:rsidP="00A879C1">
            <w:pPr>
              <w:jc w:val="center"/>
              <w:rPr>
                <w:rFonts w:ascii="Arial" w:hAnsi="Arial" w:cs="Arial"/>
                <w:szCs w:val="20"/>
              </w:rPr>
            </w:pPr>
            <w:r w:rsidRPr="0001788E">
              <w:rPr>
                <w:rFonts w:ascii="Arial" w:hAnsi="Arial" w:cs="Arial"/>
                <w:szCs w:val="20"/>
              </w:rPr>
              <w:t>0.507</w:t>
            </w:r>
          </w:p>
        </w:tc>
      </w:tr>
      <w:tr w:rsidR="00A879C1" w:rsidRPr="0001788E" w14:paraId="3844BA9F" w14:textId="77777777" w:rsidTr="00A879C1">
        <w:tc>
          <w:tcPr>
            <w:tcW w:w="596" w:type="pct"/>
            <w:vMerge/>
          </w:tcPr>
          <w:p w14:paraId="64C8A2ED" w14:textId="77777777" w:rsidR="00A879C1" w:rsidRPr="0001788E" w:rsidRDefault="00A879C1" w:rsidP="00A879C1">
            <w:pPr>
              <w:rPr>
                <w:rFonts w:ascii="Arial" w:hAnsi="Arial" w:cs="Arial"/>
                <w:szCs w:val="20"/>
              </w:rPr>
            </w:pPr>
          </w:p>
        </w:tc>
        <w:tc>
          <w:tcPr>
            <w:tcW w:w="1285" w:type="pct"/>
          </w:tcPr>
          <w:p w14:paraId="001F4222" w14:textId="77777777" w:rsidR="00A879C1" w:rsidRPr="0001788E" w:rsidRDefault="00A879C1" w:rsidP="00A879C1">
            <w:pPr>
              <w:jc w:val="right"/>
              <w:rPr>
                <w:rFonts w:ascii="Arial" w:hAnsi="Arial" w:cs="Arial"/>
                <w:szCs w:val="20"/>
              </w:rPr>
            </w:pPr>
            <w:r w:rsidRPr="0001788E">
              <w:rPr>
                <w:rFonts w:ascii="Arial" w:hAnsi="Arial" w:cs="Arial"/>
                <w:szCs w:val="20"/>
              </w:rPr>
              <w:t>0 - 7 days</w:t>
            </w:r>
          </w:p>
        </w:tc>
        <w:tc>
          <w:tcPr>
            <w:tcW w:w="436" w:type="pct"/>
          </w:tcPr>
          <w:p w14:paraId="4A38B245" w14:textId="77777777" w:rsidR="00A879C1" w:rsidRPr="0001788E" w:rsidRDefault="00A879C1" w:rsidP="00A879C1">
            <w:pPr>
              <w:jc w:val="center"/>
              <w:rPr>
                <w:rFonts w:ascii="Arial" w:hAnsi="Arial" w:cs="Arial"/>
                <w:szCs w:val="20"/>
              </w:rPr>
            </w:pPr>
            <w:r w:rsidRPr="0001788E">
              <w:rPr>
                <w:rFonts w:ascii="Arial" w:hAnsi="Arial" w:cs="Arial"/>
                <w:szCs w:val="20"/>
              </w:rPr>
              <w:t>40</w:t>
            </w:r>
          </w:p>
        </w:tc>
        <w:tc>
          <w:tcPr>
            <w:tcW w:w="662" w:type="pct"/>
          </w:tcPr>
          <w:p w14:paraId="7C1BE971" w14:textId="77777777" w:rsidR="00A879C1" w:rsidRPr="0001788E" w:rsidRDefault="00A879C1" w:rsidP="00A879C1">
            <w:pPr>
              <w:jc w:val="center"/>
              <w:rPr>
                <w:rFonts w:ascii="Arial" w:hAnsi="Arial" w:cs="Arial"/>
                <w:szCs w:val="20"/>
              </w:rPr>
            </w:pPr>
            <w:r w:rsidRPr="0001788E">
              <w:rPr>
                <w:rFonts w:ascii="Arial" w:hAnsi="Arial" w:cs="Arial"/>
                <w:szCs w:val="20"/>
              </w:rPr>
              <w:t>13840</w:t>
            </w:r>
          </w:p>
        </w:tc>
        <w:tc>
          <w:tcPr>
            <w:tcW w:w="794" w:type="pct"/>
          </w:tcPr>
          <w:p w14:paraId="55D77D40" w14:textId="77777777" w:rsidR="00A879C1" w:rsidRPr="0001788E" w:rsidRDefault="00A879C1" w:rsidP="00A879C1">
            <w:pPr>
              <w:jc w:val="center"/>
              <w:rPr>
                <w:rFonts w:ascii="Arial" w:hAnsi="Arial" w:cs="Arial"/>
                <w:szCs w:val="20"/>
              </w:rPr>
            </w:pPr>
            <w:r w:rsidRPr="0001788E">
              <w:rPr>
                <w:rFonts w:ascii="Arial" w:hAnsi="Arial" w:cs="Arial"/>
                <w:szCs w:val="20"/>
              </w:rPr>
              <w:t>1.06 (0.77-1.44)</w:t>
            </w:r>
          </w:p>
        </w:tc>
        <w:tc>
          <w:tcPr>
            <w:tcW w:w="794" w:type="pct"/>
          </w:tcPr>
          <w:p w14:paraId="46ECDAFD" w14:textId="77777777" w:rsidR="00A879C1" w:rsidRPr="0001788E" w:rsidRDefault="00A879C1" w:rsidP="00A879C1">
            <w:pPr>
              <w:jc w:val="center"/>
              <w:rPr>
                <w:rFonts w:ascii="Arial" w:hAnsi="Arial" w:cs="Arial"/>
                <w:szCs w:val="20"/>
              </w:rPr>
            </w:pPr>
            <w:r w:rsidRPr="0001788E">
              <w:rPr>
                <w:rFonts w:ascii="Arial" w:hAnsi="Arial" w:cs="Arial"/>
                <w:szCs w:val="20"/>
              </w:rPr>
              <w:t>1.00 (0.72-1.38)</w:t>
            </w:r>
          </w:p>
        </w:tc>
        <w:tc>
          <w:tcPr>
            <w:tcW w:w="433" w:type="pct"/>
          </w:tcPr>
          <w:p w14:paraId="0799F47B" w14:textId="77777777" w:rsidR="00A879C1" w:rsidRPr="0001788E" w:rsidRDefault="00A879C1" w:rsidP="00A879C1">
            <w:pPr>
              <w:jc w:val="center"/>
              <w:rPr>
                <w:rFonts w:ascii="Arial" w:hAnsi="Arial" w:cs="Arial"/>
                <w:szCs w:val="20"/>
              </w:rPr>
            </w:pPr>
            <w:r w:rsidRPr="0001788E">
              <w:rPr>
                <w:rFonts w:ascii="Arial" w:hAnsi="Arial" w:cs="Arial"/>
                <w:szCs w:val="20"/>
              </w:rPr>
              <w:t>0.999</w:t>
            </w:r>
          </w:p>
        </w:tc>
      </w:tr>
      <w:tr w:rsidR="00A879C1" w:rsidRPr="0001788E" w14:paraId="7D6F9070" w14:textId="77777777" w:rsidTr="00A879C1">
        <w:tc>
          <w:tcPr>
            <w:tcW w:w="596" w:type="pct"/>
            <w:vMerge/>
            <w:vAlign w:val="center"/>
          </w:tcPr>
          <w:p w14:paraId="3FB8387C" w14:textId="77777777" w:rsidR="00A879C1" w:rsidRPr="0001788E" w:rsidRDefault="00A879C1" w:rsidP="00A879C1">
            <w:pPr>
              <w:rPr>
                <w:rFonts w:ascii="Arial" w:hAnsi="Arial" w:cs="Arial"/>
                <w:szCs w:val="20"/>
              </w:rPr>
            </w:pPr>
          </w:p>
        </w:tc>
        <w:tc>
          <w:tcPr>
            <w:tcW w:w="1285" w:type="pct"/>
          </w:tcPr>
          <w:p w14:paraId="195BB4E8" w14:textId="77777777" w:rsidR="00A879C1" w:rsidRPr="0001788E" w:rsidRDefault="00A879C1" w:rsidP="00A879C1">
            <w:pPr>
              <w:jc w:val="right"/>
              <w:rPr>
                <w:rFonts w:ascii="Arial" w:hAnsi="Arial" w:cs="Arial"/>
                <w:szCs w:val="20"/>
              </w:rPr>
            </w:pPr>
            <w:r w:rsidRPr="0001788E">
              <w:rPr>
                <w:rFonts w:ascii="Arial" w:hAnsi="Arial" w:cs="Arial"/>
                <w:szCs w:val="20"/>
              </w:rPr>
              <w:t xml:space="preserve">8 - 14 days  </w:t>
            </w:r>
          </w:p>
        </w:tc>
        <w:tc>
          <w:tcPr>
            <w:tcW w:w="436" w:type="pct"/>
          </w:tcPr>
          <w:p w14:paraId="6E37E32C" w14:textId="77777777" w:rsidR="00A879C1" w:rsidRPr="0001788E" w:rsidRDefault="00A879C1" w:rsidP="00A879C1">
            <w:pPr>
              <w:jc w:val="center"/>
              <w:rPr>
                <w:rFonts w:ascii="Arial" w:hAnsi="Arial" w:cs="Arial"/>
                <w:szCs w:val="20"/>
              </w:rPr>
            </w:pPr>
            <w:r w:rsidRPr="0001788E">
              <w:rPr>
                <w:rFonts w:ascii="Arial" w:hAnsi="Arial" w:cs="Arial"/>
                <w:szCs w:val="20"/>
              </w:rPr>
              <w:t>38</w:t>
            </w:r>
          </w:p>
        </w:tc>
        <w:tc>
          <w:tcPr>
            <w:tcW w:w="662" w:type="pct"/>
          </w:tcPr>
          <w:p w14:paraId="71130658" w14:textId="77777777" w:rsidR="00A879C1" w:rsidRPr="0001788E" w:rsidRDefault="00A879C1" w:rsidP="00A879C1">
            <w:pPr>
              <w:jc w:val="center"/>
              <w:rPr>
                <w:rFonts w:ascii="Arial" w:hAnsi="Arial" w:cs="Arial"/>
                <w:szCs w:val="20"/>
              </w:rPr>
            </w:pPr>
            <w:r w:rsidRPr="0001788E">
              <w:rPr>
                <w:rFonts w:ascii="Arial" w:hAnsi="Arial" w:cs="Arial"/>
                <w:szCs w:val="20"/>
              </w:rPr>
              <w:t>13796</w:t>
            </w:r>
          </w:p>
        </w:tc>
        <w:tc>
          <w:tcPr>
            <w:tcW w:w="794" w:type="pct"/>
          </w:tcPr>
          <w:p w14:paraId="01E74573" w14:textId="77777777" w:rsidR="00A879C1" w:rsidRPr="0001788E" w:rsidRDefault="00A879C1" w:rsidP="00A879C1">
            <w:pPr>
              <w:jc w:val="center"/>
              <w:rPr>
                <w:rFonts w:ascii="Arial" w:hAnsi="Arial" w:cs="Arial"/>
                <w:szCs w:val="20"/>
              </w:rPr>
            </w:pPr>
            <w:r w:rsidRPr="0001788E">
              <w:rPr>
                <w:rFonts w:ascii="Arial" w:hAnsi="Arial" w:cs="Arial"/>
                <w:szCs w:val="20"/>
              </w:rPr>
              <w:t>1.01 (0.73-1.39)</w:t>
            </w:r>
          </w:p>
        </w:tc>
        <w:tc>
          <w:tcPr>
            <w:tcW w:w="794" w:type="pct"/>
          </w:tcPr>
          <w:p w14:paraId="205FFA69" w14:textId="77777777" w:rsidR="00A879C1" w:rsidRPr="0001788E" w:rsidRDefault="00A879C1" w:rsidP="00A879C1">
            <w:pPr>
              <w:jc w:val="center"/>
              <w:rPr>
                <w:rFonts w:ascii="Arial" w:hAnsi="Arial" w:cs="Arial"/>
                <w:szCs w:val="20"/>
              </w:rPr>
            </w:pPr>
            <w:r w:rsidRPr="0001788E">
              <w:rPr>
                <w:rFonts w:ascii="Arial" w:hAnsi="Arial" w:cs="Arial"/>
                <w:szCs w:val="20"/>
              </w:rPr>
              <w:t>0.94 (0.68-1.31)</w:t>
            </w:r>
          </w:p>
        </w:tc>
        <w:tc>
          <w:tcPr>
            <w:tcW w:w="433" w:type="pct"/>
          </w:tcPr>
          <w:p w14:paraId="1D165961" w14:textId="77777777" w:rsidR="00A879C1" w:rsidRPr="0001788E" w:rsidRDefault="00A879C1" w:rsidP="00A879C1">
            <w:pPr>
              <w:jc w:val="center"/>
              <w:rPr>
                <w:rFonts w:ascii="Arial" w:hAnsi="Arial" w:cs="Arial"/>
                <w:szCs w:val="20"/>
              </w:rPr>
            </w:pPr>
            <w:r w:rsidRPr="0001788E">
              <w:rPr>
                <w:rFonts w:ascii="Arial" w:hAnsi="Arial" w:cs="Arial"/>
                <w:szCs w:val="20"/>
              </w:rPr>
              <w:t>0.726</w:t>
            </w:r>
          </w:p>
        </w:tc>
      </w:tr>
      <w:tr w:rsidR="00A879C1" w:rsidRPr="0001788E" w14:paraId="22B04E1C" w14:textId="77777777" w:rsidTr="00A879C1">
        <w:trPr>
          <w:trHeight w:val="249"/>
        </w:trPr>
        <w:tc>
          <w:tcPr>
            <w:tcW w:w="596" w:type="pct"/>
            <w:vMerge/>
            <w:vAlign w:val="center"/>
          </w:tcPr>
          <w:p w14:paraId="3C050D5A" w14:textId="77777777" w:rsidR="00A879C1" w:rsidRPr="0001788E" w:rsidRDefault="00A879C1" w:rsidP="00A879C1">
            <w:pPr>
              <w:rPr>
                <w:rFonts w:ascii="Arial" w:hAnsi="Arial" w:cs="Arial"/>
                <w:szCs w:val="20"/>
              </w:rPr>
            </w:pPr>
          </w:p>
        </w:tc>
        <w:tc>
          <w:tcPr>
            <w:tcW w:w="1285" w:type="pct"/>
          </w:tcPr>
          <w:p w14:paraId="28DE087E" w14:textId="77777777" w:rsidR="00A879C1" w:rsidRPr="0001788E" w:rsidRDefault="00A879C1" w:rsidP="00A879C1">
            <w:pPr>
              <w:jc w:val="right"/>
              <w:rPr>
                <w:rFonts w:ascii="Arial" w:hAnsi="Arial" w:cs="Arial"/>
                <w:szCs w:val="20"/>
              </w:rPr>
            </w:pPr>
            <w:r w:rsidRPr="0001788E">
              <w:rPr>
                <w:rFonts w:ascii="Arial" w:hAnsi="Arial" w:cs="Arial"/>
                <w:szCs w:val="20"/>
              </w:rPr>
              <w:t>15 - 21 days</w:t>
            </w:r>
          </w:p>
        </w:tc>
        <w:tc>
          <w:tcPr>
            <w:tcW w:w="436" w:type="pct"/>
          </w:tcPr>
          <w:p w14:paraId="68F89899" w14:textId="77777777" w:rsidR="00A879C1" w:rsidRPr="0001788E" w:rsidRDefault="00A879C1" w:rsidP="00A879C1">
            <w:pPr>
              <w:jc w:val="center"/>
              <w:rPr>
                <w:rFonts w:ascii="Arial" w:hAnsi="Arial" w:cs="Arial"/>
                <w:szCs w:val="20"/>
              </w:rPr>
            </w:pPr>
            <w:r w:rsidRPr="0001788E">
              <w:rPr>
                <w:rFonts w:ascii="Arial" w:hAnsi="Arial" w:cs="Arial"/>
                <w:szCs w:val="20"/>
              </w:rPr>
              <w:t>33</w:t>
            </w:r>
          </w:p>
        </w:tc>
        <w:tc>
          <w:tcPr>
            <w:tcW w:w="662" w:type="pct"/>
          </w:tcPr>
          <w:p w14:paraId="240302B8" w14:textId="77777777" w:rsidR="00A879C1" w:rsidRPr="0001788E" w:rsidRDefault="00A879C1" w:rsidP="00A879C1">
            <w:pPr>
              <w:jc w:val="center"/>
              <w:rPr>
                <w:rFonts w:ascii="Arial" w:hAnsi="Arial" w:cs="Arial"/>
                <w:szCs w:val="20"/>
              </w:rPr>
            </w:pPr>
            <w:r w:rsidRPr="0001788E">
              <w:rPr>
                <w:rFonts w:ascii="Arial" w:hAnsi="Arial" w:cs="Arial"/>
                <w:szCs w:val="20"/>
              </w:rPr>
              <w:t>13739</w:t>
            </w:r>
          </w:p>
        </w:tc>
        <w:tc>
          <w:tcPr>
            <w:tcW w:w="794" w:type="pct"/>
          </w:tcPr>
          <w:p w14:paraId="228C1E38" w14:textId="77777777" w:rsidR="00A879C1" w:rsidRPr="0001788E" w:rsidRDefault="00A879C1" w:rsidP="00A879C1">
            <w:pPr>
              <w:jc w:val="center"/>
              <w:rPr>
                <w:rFonts w:ascii="Arial" w:hAnsi="Arial" w:cs="Arial"/>
                <w:szCs w:val="20"/>
              </w:rPr>
            </w:pPr>
            <w:r w:rsidRPr="0001788E">
              <w:rPr>
                <w:rFonts w:ascii="Arial" w:hAnsi="Arial" w:cs="Arial"/>
                <w:szCs w:val="20"/>
              </w:rPr>
              <w:t>0.88 (0.62-1.24)</w:t>
            </w:r>
          </w:p>
        </w:tc>
        <w:tc>
          <w:tcPr>
            <w:tcW w:w="794" w:type="pct"/>
          </w:tcPr>
          <w:p w14:paraId="747007DB" w14:textId="77777777" w:rsidR="00A879C1" w:rsidRPr="0001788E" w:rsidRDefault="00A879C1" w:rsidP="00A879C1">
            <w:pPr>
              <w:jc w:val="center"/>
              <w:rPr>
                <w:rFonts w:ascii="Arial" w:hAnsi="Arial" w:cs="Arial"/>
                <w:szCs w:val="20"/>
              </w:rPr>
            </w:pPr>
            <w:r w:rsidRPr="0001788E">
              <w:rPr>
                <w:rFonts w:ascii="Arial" w:hAnsi="Arial" w:cs="Arial"/>
                <w:szCs w:val="20"/>
              </w:rPr>
              <w:t>0.81 (0.57-1.16)</w:t>
            </w:r>
          </w:p>
        </w:tc>
        <w:tc>
          <w:tcPr>
            <w:tcW w:w="433" w:type="pct"/>
          </w:tcPr>
          <w:p w14:paraId="08EA61A3" w14:textId="77777777" w:rsidR="00A879C1" w:rsidRPr="0001788E" w:rsidRDefault="00A879C1" w:rsidP="00A879C1">
            <w:pPr>
              <w:jc w:val="center"/>
              <w:rPr>
                <w:rFonts w:ascii="Arial" w:hAnsi="Arial" w:cs="Arial"/>
                <w:szCs w:val="20"/>
              </w:rPr>
            </w:pPr>
            <w:r w:rsidRPr="0001788E">
              <w:rPr>
                <w:rFonts w:ascii="Arial" w:hAnsi="Arial" w:cs="Arial"/>
                <w:szCs w:val="20"/>
              </w:rPr>
              <w:t>0.245</w:t>
            </w:r>
          </w:p>
        </w:tc>
      </w:tr>
      <w:tr w:rsidR="00A879C1" w:rsidRPr="0001788E" w14:paraId="441152CB" w14:textId="77777777" w:rsidTr="00A879C1">
        <w:tc>
          <w:tcPr>
            <w:tcW w:w="596" w:type="pct"/>
            <w:vMerge w:val="restart"/>
            <w:vAlign w:val="center"/>
          </w:tcPr>
          <w:p w14:paraId="60B13BDF" w14:textId="77777777" w:rsidR="00A879C1" w:rsidRPr="0001788E" w:rsidRDefault="00A879C1" w:rsidP="00A879C1">
            <w:pPr>
              <w:rPr>
                <w:rFonts w:ascii="Arial" w:hAnsi="Arial" w:cs="Arial"/>
                <w:szCs w:val="20"/>
              </w:rPr>
            </w:pPr>
            <w:r w:rsidRPr="0001788E">
              <w:rPr>
                <w:rFonts w:ascii="Arial" w:hAnsi="Arial" w:cs="Arial"/>
                <w:szCs w:val="20"/>
              </w:rPr>
              <w:t>3</w:t>
            </w:r>
            <w:r w:rsidRPr="0001788E">
              <w:rPr>
                <w:rFonts w:ascii="Arial" w:hAnsi="Arial" w:cs="Arial"/>
                <w:szCs w:val="20"/>
                <w:vertAlign w:val="superscript"/>
              </w:rPr>
              <w:t>rd</w:t>
            </w:r>
            <w:r w:rsidRPr="0001788E">
              <w:rPr>
                <w:rFonts w:ascii="Arial" w:hAnsi="Arial" w:cs="Arial"/>
                <w:szCs w:val="20"/>
              </w:rPr>
              <w:t xml:space="preserve"> dose</w:t>
            </w:r>
          </w:p>
        </w:tc>
        <w:tc>
          <w:tcPr>
            <w:tcW w:w="1285" w:type="pct"/>
          </w:tcPr>
          <w:p w14:paraId="0A52C098" w14:textId="6367A405" w:rsidR="00A879C1" w:rsidRPr="0001788E" w:rsidRDefault="00630573" w:rsidP="00A879C1">
            <w:pPr>
              <w:rPr>
                <w:rFonts w:ascii="Arial" w:hAnsi="Arial" w:cs="Arial"/>
                <w:szCs w:val="20"/>
              </w:rPr>
            </w:pPr>
            <w:r>
              <w:rPr>
                <w:rFonts w:ascii="Arial" w:hAnsi="Arial" w:cs="Arial"/>
                <w:szCs w:val="20"/>
              </w:rPr>
              <w:t>Vaccine unexposed b</w:t>
            </w:r>
            <w:r w:rsidR="00A879C1" w:rsidRPr="0001788E">
              <w:rPr>
                <w:rFonts w:ascii="Arial" w:hAnsi="Arial" w:cs="Arial"/>
                <w:szCs w:val="20"/>
              </w:rPr>
              <w:t>aseline</w:t>
            </w:r>
          </w:p>
        </w:tc>
        <w:tc>
          <w:tcPr>
            <w:tcW w:w="436" w:type="pct"/>
          </w:tcPr>
          <w:p w14:paraId="23B32DE2" w14:textId="77777777" w:rsidR="00A879C1" w:rsidRPr="0001788E" w:rsidRDefault="00A879C1" w:rsidP="00A879C1">
            <w:pPr>
              <w:jc w:val="center"/>
              <w:rPr>
                <w:rFonts w:ascii="Arial" w:hAnsi="Arial" w:cs="Arial"/>
                <w:szCs w:val="20"/>
              </w:rPr>
            </w:pPr>
            <w:r w:rsidRPr="0001788E">
              <w:rPr>
                <w:rFonts w:ascii="Arial" w:hAnsi="Arial" w:cs="Arial"/>
                <w:szCs w:val="20"/>
              </w:rPr>
              <w:t>1701</w:t>
            </w:r>
          </w:p>
        </w:tc>
        <w:tc>
          <w:tcPr>
            <w:tcW w:w="662" w:type="pct"/>
          </w:tcPr>
          <w:p w14:paraId="2BF40674" w14:textId="77777777" w:rsidR="00A879C1" w:rsidRPr="0001788E" w:rsidRDefault="00A879C1" w:rsidP="00A879C1">
            <w:pPr>
              <w:jc w:val="center"/>
              <w:rPr>
                <w:rFonts w:ascii="Arial" w:hAnsi="Arial" w:cs="Arial"/>
                <w:szCs w:val="20"/>
              </w:rPr>
            </w:pPr>
            <w:r w:rsidRPr="0001788E">
              <w:rPr>
                <w:rFonts w:ascii="Arial" w:hAnsi="Arial" w:cs="Arial"/>
                <w:szCs w:val="20"/>
              </w:rPr>
              <w:t>621626</w:t>
            </w:r>
          </w:p>
        </w:tc>
        <w:tc>
          <w:tcPr>
            <w:tcW w:w="794" w:type="pct"/>
            <w:vAlign w:val="center"/>
          </w:tcPr>
          <w:p w14:paraId="4BA85154"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794" w:type="pct"/>
            <w:vAlign w:val="center"/>
          </w:tcPr>
          <w:p w14:paraId="1344DE68" w14:textId="77777777" w:rsidR="00A879C1" w:rsidRPr="0001788E" w:rsidRDefault="00A879C1" w:rsidP="00A879C1">
            <w:pPr>
              <w:jc w:val="center"/>
              <w:rPr>
                <w:rFonts w:ascii="Arial" w:hAnsi="Arial" w:cs="Arial"/>
                <w:szCs w:val="20"/>
              </w:rPr>
            </w:pPr>
            <w:r w:rsidRPr="0001788E">
              <w:rPr>
                <w:rFonts w:ascii="Arial" w:hAnsi="Arial" w:cs="Arial"/>
                <w:szCs w:val="20"/>
              </w:rPr>
              <w:t>1</w:t>
            </w:r>
          </w:p>
        </w:tc>
        <w:tc>
          <w:tcPr>
            <w:tcW w:w="433" w:type="pct"/>
            <w:vAlign w:val="center"/>
          </w:tcPr>
          <w:p w14:paraId="5414FBEB" w14:textId="77777777" w:rsidR="00A879C1" w:rsidRPr="0001788E" w:rsidRDefault="00A879C1" w:rsidP="00A879C1">
            <w:pPr>
              <w:jc w:val="center"/>
              <w:rPr>
                <w:rFonts w:ascii="Arial" w:hAnsi="Arial" w:cs="Arial"/>
                <w:szCs w:val="20"/>
              </w:rPr>
            </w:pPr>
            <w:r w:rsidRPr="0001788E">
              <w:rPr>
                <w:rFonts w:ascii="Arial" w:hAnsi="Arial" w:cs="Arial"/>
                <w:szCs w:val="20"/>
              </w:rPr>
              <w:t>-/-</w:t>
            </w:r>
          </w:p>
        </w:tc>
      </w:tr>
      <w:tr w:rsidR="00A879C1" w:rsidRPr="0001788E" w14:paraId="41D6543F" w14:textId="77777777" w:rsidTr="00A879C1">
        <w:tc>
          <w:tcPr>
            <w:tcW w:w="596" w:type="pct"/>
            <w:vMerge/>
            <w:vAlign w:val="center"/>
          </w:tcPr>
          <w:p w14:paraId="67A20937" w14:textId="77777777" w:rsidR="00A879C1" w:rsidRPr="0001788E" w:rsidRDefault="00A879C1" w:rsidP="00A879C1">
            <w:pPr>
              <w:rPr>
                <w:rFonts w:ascii="Arial" w:hAnsi="Arial" w:cs="Arial"/>
                <w:szCs w:val="20"/>
              </w:rPr>
            </w:pPr>
          </w:p>
        </w:tc>
        <w:tc>
          <w:tcPr>
            <w:tcW w:w="1285" w:type="pct"/>
          </w:tcPr>
          <w:p w14:paraId="4E486A28" w14:textId="1A0C360D" w:rsidR="00A879C1" w:rsidRPr="0001788E" w:rsidRDefault="00D52282" w:rsidP="00A879C1">
            <w:pPr>
              <w:rPr>
                <w:rFonts w:ascii="Arial" w:hAnsi="Arial" w:cs="Arial"/>
                <w:szCs w:val="20"/>
              </w:rPr>
            </w:pPr>
            <w:r>
              <w:rPr>
                <w:rFonts w:ascii="Arial" w:hAnsi="Arial" w:cs="Arial"/>
                <w:szCs w:val="20"/>
              </w:rPr>
              <w:t>P</w:t>
            </w:r>
            <w:r w:rsidR="00A879C1" w:rsidRPr="0001788E">
              <w:rPr>
                <w:rFonts w:ascii="Arial" w:hAnsi="Arial" w:cs="Arial"/>
                <w:szCs w:val="20"/>
              </w:rPr>
              <w:t xml:space="preserve">re-vaccination </w:t>
            </w:r>
          </w:p>
        </w:tc>
        <w:tc>
          <w:tcPr>
            <w:tcW w:w="436" w:type="pct"/>
          </w:tcPr>
          <w:p w14:paraId="4B1D5EF1" w14:textId="77777777" w:rsidR="00A879C1" w:rsidRPr="0001788E" w:rsidRDefault="00A879C1" w:rsidP="00A879C1">
            <w:pPr>
              <w:jc w:val="center"/>
              <w:rPr>
                <w:rFonts w:ascii="Arial" w:hAnsi="Arial" w:cs="Arial"/>
                <w:szCs w:val="20"/>
              </w:rPr>
            </w:pPr>
            <w:r w:rsidRPr="0001788E">
              <w:rPr>
                <w:rFonts w:ascii="Arial" w:hAnsi="Arial" w:cs="Arial"/>
                <w:szCs w:val="20"/>
              </w:rPr>
              <w:t>20</w:t>
            </w:r>
          </w:p>
        </w:tc>
        <w:tc>
          <w:tcPr>
            <w:tcW w:w="662" w:type="pct"/>
          </w:tcPr>
          <w:p w14:paraId="40D0184C" w14:textId="77777777" w:rsidR="00A879C1" w:rsidRPr="0001788E" w:rsidRDefault="00A879C1" w:rsidP="00A879C1">
            <w:pPr>
              <w:jc w:val="center"/>
              <w:rPr>
                <w:rFonts w:ascii="Arial" w:hAnsi="Arial" w:cs="Arial"/>
                <w:szCs w:val="20"/>
              </w:rPr>
            </w:pPr>
            <w:r w:rsidRPr="0001788E">
              <w:rPr>
                <w:rFonts w:ascii="Arial" w:hAnsi="Arial" w:cs="Arial"/>
                <w:szCs w:val="20"/>
              </w:rPr>
              <w:t>7679</w:t>
            </w:r>
          </w:p>
        </w:tc>
        <w:tc>
          <w:tcPr>
            <w:tcW w:w="794" w:type="pct"/>
          </w:tcPr>
          <w:p w14:paraId="0A40DFCC" w14:textId="77777777" w:rsidR="00A879C1" w:rsidRPr="0001788E" w:rsidRDefault="00A879C1" w:rsidP="00A879C1">
            <w:pPr>
              <w:jc w:val="center"/>
              <w:rPr>
                <w:rFonts w:ascii="Arial" w:hAnsi="Arial" w:cs="Arial"/>
                <w:szCs w:val="20"/>
              </w:rPr>
            </w:pPr>
            <w:r w:rsidRPr="0001788E">
              <w:rPr>
                <w:rFonts w:ascii="Arial" w:hAnsi="Arial" w:cs="Arial"/>
                <w:szCs w:val="20"/>
              </w:rPr>
              <w:t>0.96 (0.61-1.49)</w:t>
            </w:r>
          </w:p>
        </w:tc>
        <w:tc>
          <w:tcPr>
            <w:tcW w:w="794" w:type="pct"/>
          </w:tcPr>
          <w:p w14:paraId="75D653D2" w14:textId="77777777" w:rsidR="00A879C1" w:rsidRPr="0001788E" w:rsidRDefault="00A879C1" w:rsidP="00A879C1">
            <w:pPr>
              <w:jc w:val="center"/>
              <w:rPr>
                <w:rFonts w:ascii="Arial" w:hAnsi="Arial" w:cs="Arial"/>
                <w:szCs w:val="20"/>
              </w:rPr>
            </w:pPr>
            <w:r w:rsidRPr="0001788E">
              <w:rPr>
                <w:rFonts w:ascii="Arial" w:hAnsi="Arial" w:cs="Arial"/>
                <w:szCs w:val="20"/>
              </w:rPr>
              <w:t>1.10 (0.63-1.72)</w:t>
            </w:r>
          </w:p>
        </w:tc>
        <w:tc>
          <w:tcPr>
            <w:tcW w:w="433" w:type="pct"/>
          </w:tcPr>
          <w:p w14:paraId="3A5AA0C4" w14:textId="77777777" w:rsidR="00A879C1" w:rsidRPr="0001788E" w:rsidRDefault="00A879C1" w:rsidP="00A879C1">
            <w:pPr>
              <w:jc w:val="center"/>
              <w:rPr>
                <w:rFonts w:ascii="Arial" w:hAnsi="Arial" w:cs="Arial"/>
                <w:szCs w:val="20"/>
              </w:rPr>
            </w:pPr>
            <w:r w:rsidRPr="0001788E">
              <w:rPr>
                <w:rFonts w:ascii="Arial" w:hAnsi="Arial" w:cs="Arial"/>
                <w:szCs w:val="20"/>
              </w:rPr>
              <w:t>0.678</w:t>
            </w:r>
          </w:p>
        </w:tc>
      </w:tr>
      <w:tr w:rsidR="00A879C1" w:rsidRPr="0001788E" w14:paraId="63967926" w14:textId="77777777" w:rsidTr="00A879C1">
        <w:tc>
          <w:tcPr>
            <w:tcW w:w="596" w:type="pct"/>
            <w:vMerge/>
          </w:tcPr>
          <w:p w14:paraId="566AD4F2" w14:textId="77777777" w:rsidR="00A879C1" w:rsidRPr="0001788E" w:rsidRDefault="00A879C1" w:rsidP="00A879C1">
            <w:pPr>
              <w:rPr>
                <w:rFonts w:ascii="Arial" w:hAnsi="Arial" w:cs="Arial"/>
                <w:szCs w:val="20"/>
              </w:rPr>
            </w:pPr>
          </w:p>
        </w:tc>
        <w:tc>
          <w:tcPr>
            <w:tcW w:w="1285" w:type="pct"/>
          </w:tcPr>
          <w:p w14:paraId="5B781C82" w14:textId="5E3FC188" w:rsidR="00A879C1" w:rsidRPr="0001788E" w:rsidRDefault="00D52282" w:rsidP="00A879C1">
            <w:pPr>
              <w:rPr>
                <w:rFonts w:ascii="Arial" w:hAnsi="Arial" w:cs="Arial"/>
                <w:szCs w:val="20"/>
              </w:rPr>
            </w:pPr>
            <w:r>
              <w:rPr>
                <w:rFonts w:ascii="Arial" w:hAnsi="Arial" w:cs="Arial"/>
                <w:szCs w:val="20"/>
              </w:rPr>
              <w:t>V</w:t>
            </w:r>
            <w:r w:rsidR="00A879C1" w:rsidRPr="0001788E">
              <w:rPr>
                <w:rFonts w:ascii="Arial" w:hAnsi="Arial" w:cs="Arial"/>
                <w:szCs w:val="20"/>
              </w:rPr>
              <w:t>accin</w:t>
            </w:r>
            <w:r>
              <w:rPr>
                <w:rFonts w:ascii="Arial" w:hAnsi="Arial" w:cs="Arial"/>
                <w:szCs w:val="20"/>
              </w:rPr>
              <w:t>e exposed</w:t>
            </w:r>
          </w:p>
        </w:tc>
        <w:tc>
          <w:tcPr>
            <w:tcW w:w="436" w:type="pct"/>
          </w:tcPr>
          <w:p w14:paraId="29EA83D7" w14:textId="77777777" w:rsidR="00A879C1" w:rsidRPr="0001788E" w:rsidRDefault="00A879C1" w:rsidP="00A879C1">
            <w:pPr>
              <w:jc w:val="center"/>
              <w:rPr>
                <w:rFonts w:ascii="Arial" w:hAnsi="Arial" w:cs="Arial"/>
                <w:szCs w:val="20"/>
              </w:rPr>
            </w:pPr>
          </w:p>
        </w:tc>
        <w:tc>
          <w:tcPr>
            <w:tcW w:w="662" w:type="pct"/>
          </w:tcPr>
          <w:p w14:paraId="24D09611" w14:textId="77777777" w:rsidR="00A879C1" w:rsidRPr="0001788E" w:rsidRDefault="00A879C1" w:rsidP="00A879C1">
            <w:pPr>
              <w:jc w:val="center"/>
              <w:rPr>
                <w:rFonts w:ascii="Arial" w:hAnsi="Arial" w:cs="Arial"/>
                <w:szCs w:val="20"/>
              </w:rPr>
            </w:pPr>
          </w:p>
        </w:tc>
        <w:tc>
          <w:tcPr>
            <w:tcW w:w="794" w:type="pct"/>
          </w:tcPr>
          <w:p w14:paraId="7119BE2C" w14:textId="77777777" w:rsidR="00A879C1" w:rsidRPr="0001788E" w:rsidRDefault="00A879C1" w:rsidP="00A879C1">
            <w:pPr>
              <w:jc w:val="center"/>
              <w:rPr>
                <w:rFonts w:ascii="Arial" w:hAnsi="Arial" w:cs="Arial"/>
                <w:szCs w:val="20"/>
              </w:rPr>
            </w:pPr>
          </w:p>
        </w:tc>
        <w:tc>
          <w:tcPr>
            <w:tcW w:w="794" w:type="pct"/>
          </w:tcPr>
          <w:p w14:paraId="03A1A070" w14:textId="77777777" w:rsidR="00A879C1" w:rsidRPr="0001788E" w:rsidRDefault="00A879C1" w:rsidP="00A879C1">
            <w:pPr>
              <w:jc w:val="center"/>
              <w:rPr>
                <w:rFonts w:ascii="Arial" w:hAnsi="Arial" w:cs="Arial"/>
                <w:szCs w:val="20"/>
              </w:rPr>
            </w:pPr>
          </w:p>
        </w:tc>
        <w:tc>
          <w:tcPr>
            <w:tcW w:w="433" w:type="pct"/>
          </w:tcPr>
          <w:p w14:paraId="6A94A54D" w14:textId="77777777" w:rsidR="00A879C1" w:rsidRPr="0001788E" w:rsidRDefault="00A879C1" w:rsidP="00A879C1">
            <w:pPr>
              <w:jc w:val="center"/>
              <w:rPr>
                <w:rFonts w:ascii="Arial" w:hAnsi="Arial" w:cs="Arial"/>
                <w:szCs w:val="20"/>
              </w:rPr>
            </w:pPr>
          </w:p>
        </w:tc>
      </w:tr>
      <w:tr w:rsidR="00A879C1" w:rsidRPr="0001788E" w14:paraId="29BB6113" w14:textId="77777777" w:rsidTr="00A879C1">
        <w:tc>
          <w:tcPr>
            <w:tcW w:w="596" w:type="pct"/>
            <w:vMerge/>
            <w:vAlign w:val="center"/>
          </w:tcPr>
          <w:p w14:paraId="1EB2A283" w14:textId="77777777" w:rsidR="00A879C1" w:rsidRPr="0001788E" w:rsidRDefault="00A879C1" w:rsidP="00A879C1">
            <w:pPr>
              <w:rPr>
                <w:rFonts w:ascii="Arial" w:hAnsi="Arial" w:cs="Arial"/>
                <w:szCs w:val="20"/>
              </w:rPr>
            </w:pPr>
          </w:p>
        </w:tc>
        <w:tc>
          <w:tcPr>
            <w:tcW w:w="1285" w:type="pct"/>
          </w:tcPr>
          <w:p w14:paraId="46115128" w14:textId="77777777" w:rsidR="00A879C1" w:rsidRPr="0001788E" w:rsidRDefault="00A879C1" w:rsidP="00A879C1">
            <w:pPr>
              <w:rPr>
                <w:rFonts w:ascii="Arial" w:hAnsi="Arial" w:cs="Arial"/>
                <w:szCs w:val="20"/>
              </w:rPr>
            </w:pPr>
            <w:r w:rsidRPr="0001788E">
              <w:rPr>
                <w:rFonts w:ascii="Arial" w:hAnsi="Arial" w:cs="Arial"/>
                <w:szCs w:val="20"/>
              </w:rPr>
              <w:t>0 - 21 days</w:t>
            </w:r>
          </w:p>
        </w:tc>
        <w:tc>
          <w:tcPr>
            <w:tcW w:w="436" w:type="pct"/>
          </w:tcPr>
          <w:p w14:paraId="21635602" w14:textId="77777777" w:rsidR="00A879C1" w:rsidRPr="0001788E" w:rsidRDefault="00A879C1" w:rsidP="00A879C1">
            <w:pPr>
              <w:jc w:val="center"/>
              <w:rPr>
                <w:rFonts w:ascii="Arial" w:hAnsi="Arial" w:cs="Arial"/>
                <w:szCs w:val="20"/>
              </w:rPr>
            </w:pPr>
            <w:r w:rsidRPr="0001788E">
              <w:rPr>
                <w:rFonts w:ascii="Arial" w:hAnsi="Arial" w:cs="Arial"/>
                <w:szCs w:val="20"/>
              </w:rPr>
              <w:t>44</w:t>
            </w:r>
          </w:p>
        </w:tc>
        <w:tc>
          <w:tcPr>
            <w:tcW w:w="662" w:type="pct"/>
          </w:tcPr>
          <w:p w14:paraId="7AE74278" w14:textId="77777777" w:rsidR="00A879C1" w:rsidRPr="0001788E" w:rsidRDefault="00A879C1" w:rsidP="00A879C1">
            <w:pPr>
              <w:jc w:val="center"/>
              <w:rPr>
                <w:rFonts w:ascii="Arial" w:hAnsi="Arial" w:cs="Arial"/>
                <w:szCs w:val="20"/>
              </w:rPr>
            </w:pPr>
            <w:r w:rsidRPr="0001788E">
              <w:rPr>
                <w:rFonts w:ascii="Arial" w:hAnsi="Arial" w:cs="Arial"/>
                <w:szCs w:val="20"/>
              </w:rPr>
              <w:t>19993</w:t>
            </w:r>
          </w:p>
        </w:tc>
        <w:tc>
          <w:tcPr>
            <w:tcW w:w="794" w:type="pct"/>
          </w:tcPr>
          <w:p w14:paraId="14EDFB32" w14:textId="77777777" w:rsidR="00A879C1" w:rsidRPr="0001788E" w:rsidRDefault="00A879C1" w:rsidP="00A879C1">
            <w:pPr>
              <w:jc w:val="center"/>
              <w:rPr>
                <w:rFonts w:ascii="Arial" w:hAnsi="Arial" w:cs="Arial"/>
                <w:szCs w:val="20"/>
              </w:rPr>
            </w:pPr>
            <w:r w:rsidRPr="0001788E">
              <w:rPr>
                <w:rFonts w:ascii="Arial" w:hAnsi="Arial" w:cs="Arial"/>
                <w:szCs w:val="20"/>
              </w:rPr>
              <w:t>0.81 (0.60-1.09)</w:t>
            </w:r>
          </w:p>
        </w:tc>
        <w:tc>
          <w:tcPr>
            <w:tcW w:w="794" w:type="pct"/>
          </w:tcPr>
          <w:p w14:paraId="08CA5B8C" w14:textId="77777777" w:rsidR="00A879C1" w:rsidRPr="0001788E" w:rsidRDefault="00A879C1" w:rsidP="00A879C1">
            <w:pPr>
              <w:jc w:val="center"/>
              <w:rPr>
                <w:rFonts w:ascii="Arial" w:hAnsi="Arial" w:cs="Arial"/>
                <w:szCs w:val="20"/>
              </w:rPr>
            </w:pPr>
            <w:r w:rsidRPr="0001788E">
              <w:rPr>
                <w:rFonts w:ascii="Arial" w:hAnsi="Arial" w:cs="Arial"/>
                <w:szCs w:val="20"/>
              </w:rPr>
              <w:t>0.86 (0.63-1.17)</w:t>
            </w:r>
          </w:p>
        </w:tc>
        <w:tc>
          <w:tcPr>
            <w:tcW w:w="433" w:type="pct"/>
          </w:tcPr>
          <w:p w14:paraId="5626CE0B" w14:textId="77777777" w:rsidR="00A879C1" w:rsidRPr="0001788E" w:rsidRDefault="00A879C1" w:rsidP="00A879C1">
            <w:pPr>
              <w:jc w:val="center"/>
              <w:rPr>
                <w:rFonts w:ascii="Arial" w:hAnsi="Arial" w:cs="Arial"/>
                <w:szCs w:val="20"/>
              </w:rPr>
            </w:pPr>
            <w:r w:rsidRPr="0001788E">
              <w:rPr>
                <w:rFonts w:ascii="Arial" w:hAnsi="Arial" w:cs="Arial"/>
                <w:szCs w:val="20"/>
              </w:rPr>
              <w:t>0.335</w:t>
            </w:r>
          </w:p>
        </w:tc>
      </w:tr>
      <w:tr w:rsidR="00A879C1" w:rsidRPr="0001788E" w14:paraId="451CF5AF" w14:textId="77777777" w:rsidTr="00A879C1">
        <w:tc>
          <w:tcPr>
            <w:tcW w:w="596" w:type="pct"/>
            <w:vMerge/>
            <w:vAlign w:val="center"/>
          </w:tcPr>
          <w:p w14:paraId="1487F105" w14:textId="77777777" w:rsidR="00A879C1" w:rsidRPr="0001788E" w:rsidRDefault="00A879C1" w:rsidP="00A879C1">
            <w:pPr>
              <w:rPr>
                <w:rFonts w:ascii="Arial" w:hAnsi="Arial" w:cs="Arial"/>
                <w:szCs w:val="20"/>
              </w:rPr>
            </w:pPr>
          </w:p>
        </w:tc>
        <w:tc>
          <w:tcPr>
            <w:tcW w:w="1285" w:type="pct"/>
          </w:tcPr>
          <w:p w14:paraId="3E35FB7F" w14:textId="77777777" w:rsidR="00A879C1" w:rsidRPr="0001788E" w:rsidRDefault="00A879C1" w:rsidP="00A879C1">
            <w:pPr>
              <w:jc w:val="right"/>
              <w:rPr>
                <w:rFonts w:ascii="Arial" w:hAnsi="Arial" w:cs="Arial"/>
                <w:szCs w:val="20"/>
              </w:rPr>
            </w:pPr>
            <w:r w:rsidRPr="0001788E">
              <w:rPr>
                <w:rFonts w:ascii="Arial" w:hAnsi="Arial" w:cs="Arial"/>
                <w:szCs w:val="20"/>
              </w:rPr>
              <w:t>0 - 7 days</w:t>
            </w:r>
          </w:p>
        </w:tc>
        <w:tc>
          <w:tcPr>
            <w:tcW w:w="436" w:type="pct"/>
          </w:tcPr>
          <w:p w14:paraId="37FE1732" w14:textId="77777777" w:rsidR="00A879C1" w:rsidRPr="0001788E" w:rsidRDefault="00A879C1" w:rsidP="00A879C1">
            <w:pPr>
              <w:jc w:val="center"/>
              <w:rPr>
                <w:rFonts w:ascii="Arial" w:hAnsi="Arial" w:cs="Arial"/>
                <w:szCs w:val="20"/>
              </w:rPr>
            </w:pPr>
            <w:r w:rsidRPr="0001788E">
              <w:rPr>
                <w:rFonts w:ascii="Arial" w:hAnsi="Arial" w:cs="Arial"/>
                <w:szCs w:val="20"/>
              </w:rPr>
              <w:t>17</w:t>
            </w:r>
          </w:p>
        </w:tc>
        <w:tc>
          <w:tcPr>
            <w:tcW w:w="662" w:type="pct"/>
          </w:tcPr>
          <w:p w14:paraId="29CCADC3" w14:textId="77777777" w:rsidR="00A879C1" w:rsidRPr="0001788E" w:rsidRDefault="00A879C1" w:rsidP="00A879C1">
            <w:pPr>
              <w:jc w:val="center"/>
              <w:rPr>
                <w:rFonts w:ascii="Arial" w:hAnsi="Arial" w:cs="Arial"/>
                <w:szCs w:val="20"/>
              </w:rPr>
            </w:pPr>
            <w:r w:rsidRPr="0001788E">
              <w:rPr>
                <w:rFonts w:ascii="Arial" w:hAnsi="Arial" w:cs="Arial"/>
                <w:szCs w:val="20"/>
              </w:rPr>
              <w:t>7398</w:t>
            </w:r>
          </w:p>
        </w:tc>
        <w:tc>
          <w:tcPr>
            <w:tcW w:w="794" w:type="pct"/>
          </w:tcPr>
          <w:p w14:paraId="2C32C817" w14:textId="77777777" w:rsidR="00A879C1" w:rsidRPr="0001788E" w:rsidRDefault="00A879C1" w:rsidP="00A879C1">
            <w:pPr>
              <w:jc w:val="center"/>
              <w:rPr>
                <w:rFonts w:ascii="Arial" w:hAnsi="Arial" w:cs="Arial"/>
                <w:szCs w:val="20"/>
              </w:rPr>
            </w:pPr>
            <w:r w:rsidRPr="0001788E">
              <w:rPr>
                <w:rFonts w:ascii="Arial" w:hAnsi="Arial" w:cs="Arial"/>
                <w:szCs w:val="20"/>
              </w:rPr>
              <w:t>0.84 (0.52-1.36)</w:t>
            </w:r>
          </w:p>
        </w:tc>
        <w:tc>
          <w:tcPr>
            <w:tcW w:w="794" w:type="pct"/>
          </w:tcPr>
          <w:p w14:paraId="3332E150" w14:textId="77777777" w:rsidR="00A879C1" w:rsidRPr="0001788E" w:rsidRDefault="00A879C1" w:rsidP="00A879C1">
            <w:pPr>
              <w:jc w:val="center"/>
              <w:rPr>
                <w:rFonts w:ascii="Arial" w:hAnsi="Arial" w:cs="Arial"/>
                <w:szCs w:val="20"/>
              </w:rPr>
            </w:pPr>
            <w:r w:rsidRPr="0001788E">
              <w:rPr>
                <w:rFonts w:ascii="Arial" w:hAnsi="Arial" w:cs="Arial"/>
                <w:szCs w:val="20"/>
              </w:rPr>
              <w:t>0.93 (0.57-1.50)</w:t>
            </w:r>
          </w:p>
        </w:tc>
        <w:tc>
          <w:tcPr>
            <w:tcW w:w="433" w:type="pct"/>
          </w:tcPr>
          <w:p w14:paraId="41FA946D" w14:textId="77777777" w:rsidR="00A879C1" w:rsidRPr="0001788E" w:rsidRDefault="00A879C1" w:rsidP="00A879C1">
            <w:pPr>
              <w:jc w:val="center"/>
              <w:rPr>
                <w:rFonts w:ascii="Arial" w:hAnsi="Arial" w:cs="Arial"/>
                <w:szCs w:val="20"/>
              </w:rPr>
            </w:pPr>
            <w:r w:rsidRPr="0001788E">
              <w:rPr>
                <w:rFonts w:ascii="Arial" w:hAnsi="Arial" w:cs="Arial"/>
                <w:szCs w:val="20"/>
              </w:rPr>
              <w:t>0.751</w:t>
            </w:r>
          </w:p>
        </w:tc>
      </w:tr>
      <w:tr w:rsidR="00A879C1" w:rsidRPr="0001788E" w14:paraId="525B9D8B" w14:textId="77777777" w:rsidTr="00A879C1">
        <w:tc>
          <w:tcPr>
            <w:tcW w:w="596" w:type="pct"/>
            <w:vMerge/>
          </w:tcPr>
          <w:p w14:paraId="030A1D7C" w14:textId="77777777" w:rsidR="00A879C1" w:rsidRPr="0001788E" w:rsidRDefault="00A879C1" w:rsidP="00A879C1">
            <w:pPr>
              <w:rPr>
                <w:rFonts w:ascii="Arial" w:hAnsi="Arial" w:cs="Arial"/>
                <w:szCs w:val="20"/>
              </w:rPr>
            </w:pPr>
          </w:p>
        </w:tc>
        <w:tc>
          <w:tcPr>
            <w:tcW w:w="1285" w:type="pct"/>
          </w:tcPr>
          <w:p w14:paraId="3619C888" w14:textId="77777777" w:rsidR="00A879C1" w:rsidRPr="0001788E" w:rsidRDefault="00A879C1" w:rsidP="00A879C1">
            <w:pPr>
              <w:jc w:val="right"/>
              <w:rPr>
                <w:rFonts w:ascii="Arial" w:hAnsi="Arial" w:cs="Arial"/>
                <w:szCs w:val="20"/>
              </w:rPr>
            </w:pPr>
            <w:r w:rsidRPr="0001788E">
              <w:rPr>
                <w:rFonts w:ascii="Arial" w:hAnsi="Arial" w:cs="Arial"/>
                <w:szCs w:val="20"/>
              </w:rPr>
              <w:t xml:space="preserve">8 - 14 days  </w:t>
            </w:r>
          </w:p>
        </w:tc>
        <w:tc>
          <w:tcPr>
            <w:tcW w:w="436" w:type="pct"/>
          </w:tcPr>
          <w:p w14:paraId="162EE2E0" w14:textId="77777777" w:rsidR="00A879C1" w:rsidRPr="0001788E" w:rsidRDefault="00A879C1" w:rsidP="00A879C1">
            <w:pPr>
              <w:jc w:val="center"/>
              <w:rPr>
                <w:rFonts w:ascii="Arial" w:hAnsi="Arial" w:cs="Arial"/>
                <w:szCs w:val="20"/>
              </w:rPr>
            </w:pPr>
            <w:r w:rsidRPr="0001788E">
              <w:rPr>
                <w:rFonts w:ascii="Arial" w:hAnsi="Arial" w:cs="Arial"/>
                <w:szCs w:val="20"/>
              </w:rPr>
              <w:t>9</w:t>
            </w:r>
          </w:p>
        </w:tc>
        <w:tc>
          <w:tcPr>
            <w:tcW w:w="662" w:type="pct"/>
          </w:tcPr>
          <w:p w14:paraId="1FC27136" w14:textId="77777777" w:rsidR="00A879C1" w:rsidRPr="0001788E" w:rsidRDefault="00A879C1" w:rsidP="00A879C1">
            <w:pPr>
              <w:jc w:val="center"/>
              <w:rPr>
                <w:rFonts w:ascii="Arial" w:hAnsi="Arial" w:cs="Arial"/>
                <w:szCs w:val="20"/>
              </w:rPr>
            </w:pPr>
            <w:r w:rsidRPr="0001788E">
              <w:rPr>
                <w:rFonts w:ascii="Arial" w:hAnsi="Arial" w:cs="Arial"/>
                <w:szCs w:val="20"/>
              </w:rPr>
              <w:t>6666</w:t>
            </w:r>
          </w:p>
        </w:tc>
        <w:tc>
          <w:tcPr>
            <w:tcW w:w="794" w:type="pct"/>
          </w:tcPr>
          <w:p w14:paraId="017DE330" w14:textId="77777777" w:rsidR="00A879C1" w:rsidRPr="0001788E" w:rsidRDefault="00A879C1" w:rsidP="00A879C1">
            <w:pPr>
              <w:jc w:val="center"/>
              <w:rPr>
                <w:rFonts w:ascii="Arial" w:hAnsi="Arial" w:cs="Arial"/>
                <w:szCs w:val="20"/>
              </w:rPr>
            </w:pPr>
            <w:r w:rsidRPr="0001788E">
              <w:rPr>
                <w:rFonts w:ascii="Arial" w:hAnsi="Arial" w:cs="Arial"/>
                <w:szCs w:val="20"/>
              </w:rPr>
              <w:t>0.50 (0.26-0.96)</w:t>
            </w:r>
          </w:p>
        </w:tc>
        <w:tc>
          <w:tcPr>
            <w:tcW w:w="794" w:type="pct"/>
          </w:tcPr>
          <w:p w14:paraId="55814F40" w14:textId="77777777" w:rsidR="00A879C1" w:rsidRPr="0001788E" w:rsidRDefault="00A879C1" w:rsidP="00A879C1">
            <w:pPr>
              <w:jc w:val="center"/>
              <w:rPr>
                <w:rFonts w:ascii="Arial" w:hAnsi="Arial" w:cs="Arial"/>
                <w:szCs w:val="20"/>
              </w:rPr>
            </w:pPr>
            <w:r w:rsidRPr="0001788E">
              <w:rPr>
                <w:rFonts w:ascii="Arial" w:hAnsi="Arial" w:cs="Arial"/>
                <w:szCs w:val="20"/>
              </w:rPr>
              <w:t>0.54 (0.28-1.05)</w:t>
            </w:r>
          </w:p>
        </w:tc>
        <w:tc>
          <w:tcPr>
            <w:tcW w:w="433" w:type="pct"/>
          </w:tcPr>
          <w:p w14:paraId="5CCA2789" w14:textId="77777777" w:rsidR="00A879C1" w:rsidRPr="0001788E" w:rsidRDefault="00A879C1" w:rsidP="00A879C1">
            <w:pPr>
              <w:jc w:val="center"/>
              <w:rPr>
                <w:rFonts w:ascii="Arial" w:hAnsi="Arial" w:cs="Arial"/>
                <w:szCs w:val="20"/>
              </w:rPr>
            </w:pPr>
            <w:r w:rsidRPr="0001788E">
              <w:rPr>
                <w:rFonts w:ascii="Arial" w:hAnsi="Arial" w:cs="Arial"/>
                <w:szCs w:val="20"/>
              </w:rPr>
              <w:t>0.067</w:t>
            </w:r>
          </w:p>
        </w:tc>
      </w:tr>
      <w:tr w:rsidR="00A879C1" w:rsidRPr="0001788E" w14:paraId="408390B7" w14:textId="77777777" w:rsidTr="00A879C1">
        <w:trPr>
          <w:trHeight w:val="273"/>
        </w:trPr>
        <w:tc>
          <w:tcPr>
            <w:tcW w:w="596" w:type="pct"/>
            <w:vMerge/>
            <w:vAlign w:val="center"/>
          </w:tcPr>
          <w:p w14:paraId="1FB7B11E" w14:textId="77777777" w:rsidR="00A879C1" w:rsidRPr="0001788E" w:rsidRDefault="00A879C1" w:rsidP="00A879C1">
            <w:pPr>
              <w:rPr>
                <w:rFonts w:ascii="Arial" w:hAnsi="Arial" w:cs="Arial"/>
                <w:szCs w:val="20"/>
              </w:rPr>
            </w:pPr>
          </w:p>
        </w:tc>
        <w:tc>
          <w:tcPr>
            <w:tcW w:w="1285" w:type="pct"/>
          </w:tcPr>
          <w:p w14:paraId="65129AA5" w14:textId="77777777" w:rsidR="00A879C1" w:rsidRPr="0001788E" w:rsidRDefault="00A879C1" w:rsidP="00A879C1">
            <w:pPr>
              <w:jc w:val="right"/>
              <w:rPr>
                <w:rFonts w:ascii="Arial" w:hAnsi="Arial" w:cs="Arial"/>
                <w:szCs w:val="20"/>
              </w:rPr>
            </w:pPr>
            <w:r w:rsidRPr="0001788E">
              <w:rPr>
                <w:rFonts w:ascii="Arial" w:hAnsi="Arial" w:cs="Arial"/>
                <w:szCs w:val="20"/>
              </w:rPr>
              <w:t>15 - 21 days</w:t>
            </w:r>
          </w:p>
        </w:tc>
        <w:tc>
          <w:tcPr>
            <w:tcW w:w="436" w:type="pct"/>
          </w:tcPr>
          <w:p w14:paraId="15C3A87A" w14:textId="77777777" w:rsidR="00A879C1" w:rsidRPr="0001788E" w:rsidRDefault="00A879C1" w:rsidP="00A879C1">
            <w:pPr>
              <w:jc w:val="center"/>
              <w:rPr>
                <w:rFonts w:ascii="Arial" w:hAnsi="Arial" w:cs="Arial"/>
                <w:szCs w:val="20"/>
              </w:rPr>
            </w:pPr>
            <w:r w:rsidRPr="0001788E">
              <w:rPr>
                <w:rFonts w:ascii="Arial" w:hAnsi="Arial" w:cs="Arial"/>
                <w:szCs w:val="20"/>
              </w:rPr>
              <w:t>18</w:t>
            </w:r>
          </w:p>
        </w:tc>
        <w:tc>
          <w:tcPr>
            <w:tcW w:w="662" w:type="pct"/>
          </w:tcPr>
          <w:p w14:paraId="0E22FF74" w14:textId="77777777" w:rsidR="00A879C1" w:rsidRPr="0001788E" w:rsidRDefault="00A879C1" w:rsidP="00A879C1">
            <w:pPr>
              <w:jc w:val="center"/>
              <w:rPr>
                <w:rFonts w:ascii="Arial" w:hAnsi="Arial" w:cs="Arial"/>
                <w:szCs w:val="20"/>
              </w:rPr>
            </w:pPr>
            <w:r w:rsidRPr="0001788E">
              <w:rPr>
                <w:rFonts w:ascii="Arial" w:hAnsi="Arial" w:cs="Arial"/>
                <w:szCs w:val="20"/>
              </w:rPr>
              <w:t>5929</w:t>
            </w:r>
          </w:p>
        </w:tc>
        <w:tc>
          <w:tcPr>
            <w:tcW w:w="794" w:type="pct"/>
          </w:tcPr>
          <w:p w14:paraId="6FAEC248" w14:textId="77777777" w:rsidR="00A879C1" w:rsidRPr="0001788E" w:rsidRDefault="00A879C1" w:rsidP="00A879C1">
            <w:pPr>
              <w:jc w:val="center"/>
              <w:rPr>
                <w:rFonts w:ascii="Arial" w:hAnsi="Arial" w:cs="Arial"/>
                <w:szCs w:val="20"/>
              </w:rPr>
            </w:pPr>
            <w:r w:rsidRPr="0001788E">
              <w:rPr>
                <w:rFonts w:ascii="Arial" w:hAnsi="Arial" w:cs="Arial"/>
                <w:szCs w:val="20"/>
              </w:rPr>
              <w:t>1.12 (0.70-1.78)</w:t>
            </w:r>
          </w:p>
        </w:tc>
        <w:tc>
          <w:tcPr>
            <w:tcW w:w="794" w:type="pct"/>
          </w:tcPr>
          <w:p w14:paraId="1E602664" w14:textId="77777777" w:rsidR="00A879C1" w:rsidRPr="0001788E" w:rsidRDefault="00A879C1" w:rsidP="00A879C1">
            <w:pPr>
              <w:jc w:val="center"/>
              <w:rPr>
                <w:rFonts w:ascii="Arial" w:hAnsi="Arial" w:cs="Arial"/>
                <w:szCs w:val="20"/>
              </w:rPr>
            </w:pPr>
            <w:r w:rsidRPr="0001788E">
              <w:rPr>
                <w:rFonts w:ascii="Arial" w:hAnsi="Arial" w:cs="Arial"/>
                <w:szCs w:val="20"/>
              </w:rPr>
              <w:t>1.20 (0.72-1.93)</w:t>
            </w:r>
          </w:p>
        </w:tc>
        <w:tc>
          <w:tcPr>
            <w:tcW w:w="433" w:type="pct"/>
          </w:tcPr>
          <w:p w14:paraId="69AD82E6" w14:textId="77777777" w:rsidR="00A879C1" w:rsidRPr="0001788E" w:rsidRDefault="00A879C1" w:rsidP="00A879C1">
            <w:pPr>
              <w:jc w:val="center"/>
              <w:rPr>
                <w:rFonts w:ascii="Arial" w:hAnsi="Arial" w:cs="Arial"/>
                <w:szCs w:val="20"/>
              </w:rPr>
            </w:pPr>
            <w:r w:rsidRPr="0001788E">
              <w:rPr>
                <w:rFonts w:ascii="Arial" w:hAnsi="Arial" w:cs="Arial"/>
                <w:szCs w:val="20"/>
              </w:rPr>
              <w:t>0.437</w:t>
            </w:r>
          </w:p>
        </w:tc>
      </w:tr>
    </w:tbl>
    <w:p w14:paraId="12538A2F" w14:textId="4EF07697" w:rsidR="00A879C1" w:rsidRPr="0001788E" w:rsidRDefault="00A879C1" w:rsidP="00A879C1">
      <w:pPr>
        <w:rPr>
          <w:rFonts w:ascii="Arial" w:hAnsi="Arial" w:cs="Arial"/>
          <w:szCs w:val="20"/>
        </w:rPr>
      </w:pPr>
      <w:r w:rsidRPr="0001788E">
        <w:rPr>
          <w:rFonts w:ascii="Arial" w:hAnsi="Arial" w:cs="Arial"/>
          <w:szCs w:val="20"/>
        </w:rPr>
        <w:t xml:space="preserve">*Adjusted for seasons </w:t>
      </w:r>
      <w:r w:rsidR="00DE2605">
        <w:rPr>
          <w:rFonts w:ascii="Arial"/>
          <w:spacing w:val="-2"/>
        </w:rPr>
        <w:t>as per the Meteorological Office</w:t>
      </w:r>
    </w:p>
    <w:p w14:paraId="29E8EE6A" w14:textId="77777777" w:rsidR="00A879C1" w:rsidRPr="0001788E" w:rsidRDefault="00A879C1" w:rsidP="00A879C1">
      <w:pPr>
        <w:rPr>
          <w:rFonts w:ascii="Arial" w:hAnsi="Arial" w:cs="Arial"/>
          <w:szCs w:val="20"/>
        </w:rPr>
      </w:pPr>
      <w:r w:rsidRPr="0001788E">
        <w:rPr>
          <w:rFonts w:ascii="Arial" w:hAnsi="Arial" w:cs="Arial"/>
          <w:szCs w:val="20"/>
        </w:rPr>
        <w:br w:type="page"/>
      </w:r>
    </w:p>
    <w:p w14:paraId="680F1AF8" w14:textId="7A02662E" w:rsidR="00A879C1" w:rsidRPr="0001788E" w:rsidRDefault="00A879C1" w:rsidP="00A879C1">
      <w:pPr>
        <w:rPr>
          <w:rFonts w:ascii="Arial" w:hAnsi="Arial" w:cs="Arial"/>
        </w:rPr>
      </w:pPr>
      <w:r w:rsidRPr="0001788E">
        <w:rPr>
          <w:rFonts w:ascii="Arial" w:hAnsi="Arial" w:cs="Arial"/>
        </w:rPr>
        <w:lastRenderedPageBreak/>
        <w:t xml:space="preserve">Table 2: The association between </w:t>
      </w:r>
      <w:r w:rsidR="0025665E">
        <w:rPr>
          <w:rFonts w:ascii="Arial" w:hAnsi="Arial" w:cs="Arial"/>
        </w:rPr>
        <w:t>COVID</w:t>
      </w:r>
      <w:r w:rsidRPr="0001788E">
        <w:rPr>
          <w:rFonts w:ascii="Arial" w:hAnsi="Arial" w:cs="Arial"/>
        </w:rPr>
        <w:t xml:space="preserve">-19 vaccination and </w:t>
      </w:r>
      <w:r w:rsidR="00DE2605">
        <w:rPr>
          <w:rFonts w:ascii="Arial" w:hAnsi="Arial" w:cs="Arial"/>
        </w:rPr>
        <w:t>inflammatory bowel disease (</w:t>
      </w:r>
      <w:r w:rsidRPr="0001788E">
        <w:rPr>
          <w:rFonts w:ascii="Arial" w:hAnsi="Arial" w:cs="Arial"/>
        </w:rPr>
        <w:t>IBD</w:t>
      </w:r>
      <w:r w:rsidR="00DE2605">
        <w:rPr>
          <w:rFonts w:ascii="Arial" w:hAnsi="Arial" w:cs="Arial"/>
        </w:rPr>
        <w:t>)</w:t>
      </w:r>
      <w:r w:rsidRPr="0001788E">
        <w:rPr>
          <w:rFonts w:ascii="Arial" w:hAnsi="Arial" w:cs="Arial"/>
        </w:rPr>
        <w:t xml:space="preserve"> flare: stratified analysis </w:t>
      </w:r>
    </w:p>
    <w:tbl>
      <w:tblPr>
        <w:tblStyle w:val="TableGrid"/>
        <w:tblpPr w:leftFromText="180" w:rightFromText="180" w:vertAnchor="text" w:horzAnchor="page" w:tblpX="832" w:tblpY="328"/>
        <w:tblOverlap w:val="never"/>
        <w:tblW w:w="5097" w:type="pct"/>
        <w:tblLook w:val="04A0" w:firstRow="1" w:lastRow="0" w:firstColumn="1" w:lastColumn="0" w:noHBand="0" w:noVBand="1"/>
      </w:tblPr>
      <w:tblGrid>
        <w:gridCol w:w="2753"/>
        <w:gridCol w:w="3034"/>
        <w:gridCol w:w="1243"/>
        <w:gridCol w:w="1789"/>
        <w:gridCol w:w="2485"/>
        <w:gridCol w:w="1931"/>
        <w:gridCol w:w="984"/>
      </w:tblGrid>
      <w:tr w:rsidR="006D45F3" w:rsidRPr="0001788E" w14:paraId="4CBB7737" w14:textId="77777777" w:rsidTr="006D45F3">
        <w:trPr>
          <w:trHeight w:val="474"/>
        </w:trPr>
        <w:tc>
          <w:tcPr>
            <w:tcW w:w="968" w:type="pct"/>
          </w:tcPr>
          <w:p w14:paraId="0EA42287" w14:textId="77777777" w:rsidR="006D45F3" w:rsidRPr="0001788E" w:rsidRDefault="006D45F3" w:rsidP="006D45F3">
            <w:pPr>
              <w:rPr>
                <w:rFonts w:ascii="Arial" w:hAnsi="Arial" w:cs="Arial"/>
                <w:bCs/>
                <w:szCs w:val="20"/>
              </w:rPr>
            </w:pPr>
          </w:p>
        </w:tc>
        <w:tc>
          <w:tcPr>
            <w:tcW w:w="1067" w:type="pct"/>
          </w:tcPr>
          <w:p w14:paraId="49CD5961" w14:textId="4916DF0F" w:rsidR="006D45F3" w:rsidRPr="0001788E" w:rsidRDefault="006D45F3" w:rsidP="006D45F3">
            <w:pPr>
              <w:rPr>
                <w:rFonts w:ascii="Arial" w:hAnsi="Arial" w:cs="Arial"/>
                <w:bCs/>
                <w:szCs w:val="20"/>
              </w:rPr>
            </w:pPr>
            <w:r w:rsidRPr="0001788E">
              <w:rPr>
                <w:rFonts w:ascii="Arial" w:hAnsi="Arial" w:cs="Arial"/>
                <w:bCs/>
                <w:szCs w:val="20"/>
              </w:rPr>
              <w:t>Risk period</w:t>
            </w:r>
          </w:p>
        </w:tc>
        <w:tc>
          <w:tcPr>
            <w:tcW w:w="437" w:type="pct"/>
          </w:tcPr>
          <w:p w14:paraId="65EAAAE3" w14:textId="77777777" w:rsidR="006D45F3" w:rsidRPr="0001788E" w:rsidRDefault="006D45F3" w:rsidP="006D45F3">
            <w:pPr>
              <w:jc w:val="center"/>
              <w:rPr>
                <w:rFonts w:ascii="Arial" w:hAnsi="Arial" w:cs="Arial"/>
                <w:bCs/>
                <w:szCs w:val="20"/>
              </w:rPr>
            </w:pPr>
            <w:r w:rsidRPr="0001788E">
              <w:rPr>
                <w:rFonts w:ascii="Arial" w:hAnsi="Arial" w:cs="Arial"/>
                <w:bCs/>
                <w:szCs w:val="20"/>
              </w:rPr>
              <w:t>Events (n)</w:t>
            </w:r>
          </w:p>
        </w:tc>
        <w:tc>
          <w:tcPr>
            <w:tcW w:w="629" w:type="pct"/>
          </w:tcPr>
          <w:p w14:paraId="76AABFB2" w14:textId="77777777" w:rsidR="006D45F3" w:rsidRPr="0001788E" w:rsidRDefault="006D45F3" w:rsidP="006D45F3">
            <w:pPr>
              <w:jc w:val="center"/>
              <w:rPr>
                <w:rFonts w:ascii="Arial" w:hAnsi="Arial" w:cs="Arial"/>
                <w:bCs/>
                <w:szCs w:val="20"/>
              </w:rPr>
            </w:pPr>
            <w:r w:rsidRPr="0001788E">
              <w:rPr>
                <w:rFonts w:ascii="Arial" w:hAnsi="Arial" w:cs="Arial"/>
                <w:bCs/>
                <w:szCs w:val="20"/>
              </w:rPr>
              <w:t>Person-time (days)</w:t>
            </w:r>
          </w:p>
        </w:tc>
        <w:tc>
          <w:tcPr>
            <w:tcW w:w="874" w:type="pct"/>
          </w:tcPr>
          <w:p w14:paraId="0F890BD3" w14:textId="77777777" w:rsidR="006D45F3" w:rsidRPr="0001788E" w:rsidRDefault="006D45F3" w:rsidP="006D45F3">
            <w:pPr>
              <w:jc w:val="center"/>
              <w:rPr>
                <w:rFonts w:ascii="Arial" w:hAnsi="Arial" w:cs="Arial"/>
                <w:bCs/>
                <w:szCs w:val="20"/>
              </w:rPr>
            </w:pPr>
            <w:r w:rsidRPr="0001788E">
              <w:rPr>
                <w:rFonts w:ascii="Arial" w:hAnsi="Arial" w:cs="Arial"/>
                <w:bCs/>
                <w:szCs w:val="20"/>
              </w:rPr>
              <w:t>Incidence Rate Ratio (95%CI)</w:t>
            </w:r>
          </w:p>
        </w:tc>
        <w:tc>
          <w:tcPr>
            <w:tcW w:w="679" w:type="pct"/>
          </w:tcPr>
          <w:p w14:paraId="17975062" w14:textId="77777777" w:rsidR="006D45F3" w:rsidRPr="0001788E" w:rsidRDefault="006D45F3" w:rsidP="006D45F3">
            <w:pPr>
              <w:jc w:val="center"/>
              <w:rPr>
                <w:rFonts w:ascii="Arial" w:hAnsi="Arial" w:cs="Arial"/>
                <w:bCs/>
                <w:szCs w:val="20"/>
              </w:rPr>
            </w:pPr>
            <w:r w:rsidRPr="0001788E">
              <w:rPr>
                <w:rFonts w:ascii="Arial" w:hAnsi="Arial" w:cs="Arial"/>
                <w:bCs/>
                <w:szCs w:val="20"/>
              </w:rPr>
              <w:t xml:space="preserve">Adj IRR </w:t>
            </w:r>
          </w:p>
          <w:p w14:paraId="22F371F5" w14:textId="77777777" w:rsidR="006D45F3" w:rsidRPr="0001788E" w:rsidRDefault="006D45F3" w:rsidP="006D45F3">
            <w:pPr>
              <w:jc w:val="center"/>
              <w:rPr>
                <w:rFonts w:ascii="Arial" w:hAnsi="Arial" w:cs="Arial"/>
                <w:bCs/>
                <w:szCs w:val="20"/>
              </w:rPr>
            </w:pPr>
            <w:r w:rsidRPr="0001788E">
              <w:rPr>
                <w:rFonts w:ascii="Arial" w:hAnsi="Arial" w:cs="Arial"/>
                <w:bCs/>
                <w:szCs w:val="20"/>
              </w:rPr>
              <w:t>(95%CI)*</w:t>
            </w:r>
          </w:p>
        </w:tc>
        <w:tc>
          <w:tcPr>
            <w:tcW w:w="346" w:type="pct"/>
          </w:tcPr>
          <w:p w14:paraId="706779E0" w14:textId="77777777" w:rsidR="006D45F3" w:rsidRPr="0001788E" w:rsidRDefault="006D45F3" w:rsidP="006D45F3">
            <w:pPr>
              <w:jc w:val="center"/>
              <w:rPr>
                <w:rFonts w:ascii="Arial" w:hAnsi="Arial" w:cs="Arial"/>
                <w:bCs/>
                <w:szCs w:val="20"/>
              </w:rPr>
            </w:pPr>
            <w:r w:rsidRPr="0001788E">
              <w:rPr>
                <w:rFonts w:ascii="Arial" w:hAnsi="Arial" w:cs="Arial"/>
                <w:bCs/>
                <w:szCs w:val="20"/>
              </w:rPr>
              <w:t>p-value</w:t>
            </w:r>
          </w:p>
        </w:tc>
      </w:tr>
      <w:tr w:rsidR="006D45F3" w:rsidRPr="0001788E" w14:paraId="6B6716B4" w14:textId="77777777" w:rsidTr="006D45F3">
        <w:trPr>
          <w:trHeight w:val="237"/>
        </w:trPr>
        <w:tc>
          <w:tcPr>
            <w:tcW w:w="968" w:type="pct"/>
          </w:tcPr>
          <w:p w14:paraId="4ED96819" w14:textId="77777777" w:rsidR="006D45F3" w:rsidRPr="0001788E" w:rsidRDefault="006D45F3" w:rsidP="006D45F3">
            <w:pPr>
              <w:rPr>
                <w:rFonts w:ascii="Arial" w:hAnsi="Arial" w:cs="Arial"/>
                <w:bCs/>
                <w:szCs w:val="20"/>
              </w:rPr>
            </w:pPr>
          </w:p>
        </w:tc>
        <w:tc>
          <w:tcPr>
            <w:tcW w:w="4032" w:type="pct"/>
            <w:gridSpan w:val="6"/>
          </w:tcPr>
          <w:p w14:paraId="057B6F3C" w14:textId="77777777" w:rsidR="006D45F3" w:rsidRPr="0001788E" w:rsidRDefault="006D45F3" w:rsidP="006D45F3">
            <w:pPr>
              <w:jc w:val="center"/>
              <w:rPr>
                <w:rFonts w:ascii="Arial" w:hAnsi="Arial" w:cs="Arial"/>
                <w:bCs/>
                <w:szCs w:val="20"/>
              </w:rPr>
            </w:pPr>
            <w:r w:rsidRPr="0001788E">
              <w:rPr>
                <w:rFonts w:ascii="Arial" w:hAnsi="Arial" w:cs="Arial"/>
                <w:b/>
                <w:szCs w:val="20"/>
              </w:rPr>
              <w:t>Vaccine type</w:t>
            </w:r>
            <w:r w:rsidRPr="0001788E">
              <w:rPr>
                <w:rFonts w:ascii="Arial" w:hAnsi="Arial" w:cs="Arial"/>
                <w:b/>
                <w:szCs w:val="20"/>
                <w:vertAlign w:val="superscript"/>
              </w:rPr>
              <w:t>‡</w:t>
            </w:r>
          </w:p>
        </w:tc>
      </w:tr>
      <w:tr w:rsidR="006D45F3" w:rsidRPr="0001788E" w14:paraId="0D7099A0" w14:textId="77777777" w:rsidTr="006D45F3">
        <w:trPr>
          <w:trHeight w:val="237"/>
        </w:trPr>
        <w:tc>
          <w:tcPr>
            <w:tcW w:w="968" w:type="pct"/>
            <w:vMerge w:val="restart"/>
          </w:tcPr>
          <w:p w14:paraId="6CDEE349" w14:textId="0D780F1B" w:rsidR="006D45F3" w:rsidRPr="0001788E" w:rsidRDefault="00D52282" w:rsidP="006D45F3">
            <w:pPr>
              <w:rPr>
                <w:rFonts w:ascii="Arial" w:hAnsi="Arial" w:cs="Arial"/>
                <w:bCs/>
                <w:szCs w:val="20"/>
              </w:rPr>
            </w:pPr>
            <w:r w:rsidRPr="00541BBB">
              <w:rPr>
                <w:rFonts w:ascii="Arial"/>
                <w:spacing w:val="-2"/>
              </w:rPr>
              <w:t>BNT1262b2</w:t>
            </w:r>
          </w:p>
        </w:tc>
        <w:tc>
          <w:tcPr>
            <w:tcW w:w="1067" w:type="pct"/>
          </w:tcPr>
          <w:p w14:paraId="3DC256F0" w14:textId="51E82B51" w:rsidR="006D45F3" w:rsidRPr="0001788E" w:rsidRDefault="00D52282" w:rsidP="006D45F3">
            <w:pPr>
              <w:rPr>
                <w:rFonts w:ascii="Arial" w:hAnsi="Arial" w:cs="Arial"/>
                <w:szCs w:val="20"/>
              </w:rPr>
            </w:pPr>
            <w:r>
              <w:rPr>
                <w:rFonts w:ascii="Arial" w:hAnsi="Arial" w:cs="Arial"/>
                <w:szCs w:val="20"/>
              </w:rPr>
              <w:t>Vaccine unexposed b</w:t>
            </w:r>
            <w:r w:rsidR="006D45F3" w:rsidRPr="0001788E">
              <w:rPr>
                <w:rFonts w:ascii="Arial" w:hAnsi="Arial" w:cs="Arial"/>
                <w:szCs w:val="20"/>
              </w:rPr>
              <w:t xml:space="preserve">aseline </w:t>
            </w:r>
          </w:p>
        </w:tc>
        <w:tc>
          <w:tcPr>
            <w:tcW w:w="437" w:type="pct"/>
          </w:tcPr>
          <w:p w14:paraId="638E12EC" w14:textId="77777777" w:rsidR="006D45F3" w:rsidRPr="0001788E" w:rsidRDefault="006D45F3" w:rsidP="006D45F3">
            <w:pPr>
              <w:jc w:val="center"/>
              <w:rPr>
                <w:rFonts w:ascii="Arial" w:hAnsi="Arial" w:cs="Arial"/>
                <w:szCs w:val="20"/>
              </w:rPr>
            </w:pPr>
            <w:r w:rsidRPr="0001788E">
              <w:rPr>
                <w:rFonts w:ascii="Arial" w:hAnsi="Arial" w:cs="Arial"/>
                <w:szCs w:val="20"/>
              </w:rPr>
              <w:t>377</w:t>
            </w:r>
          </w:p>
        </w:tc>
        <w:tc>
          <w:tcPr>
            <w:tcW w:w="629" w:type="pct"/>
          </w:tcPr>
          <w:p w14:paraId="5C78CA7D" w14:textId="77777777" w:rsidR="006D45F3" w:rsidRPr="0001788E" w:rsidRDefault="006D45F3" w:rsidP="006D45F3">
            <w:pPr>
              <w:jc w:val="center"/>
              <w:rPr>
                <w:rFonts w:ascii="Arial" w:hAnsi="Arial" w:cs="Arial"/>
                <w:szCs w:val="20"/>
              </w:rPr>
            </w:pPr>
            <w:r w:rsidRPr="0001788E">
              <w:rPr>
                <w:rFonts w:ascii="Arial" w:hAnsi="Arial" w:cs="Arial"/>
                <w:szCs w:val="20"/>
              </w:rPr>
              <w:t>126741</w:t>
            </w:r>
          </w:p>
        </w:tc>
        <w:tc>
          <w:tcPr>
            <w:tcW w:w="874" w:type="pct"/>
          </w:tcPr>
          <w:p w14:paraId="20FD06B0"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25F64948"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74662399" w14:textId="77777777" w:rsidR="006D45F3" w:rsidRPr="0001788E" w:rsidRDefault="006D45F3" w:rsidP="006D45F3">
            <w:pPr>
              <w:jc w:val="center"/>
              <w:rPr>
                <w:rFonts w:ascii="Arial" w:hAnsi="Arial" w:cs="Arial"/>
                <w:szCs w:val="20"/>
              </w:rPr>
            </w:pPr>
            <w:r w:rsidRPr="0001788E">
              <w:rPr>
                <w:rFonts w:ascii="Arial" w:hAnsi="Arial" w:cs="Arial"/>
                <w:szCs w:val="20"/>
              </w:rPr>
              <w:t>-/-</w:t>
            </w:r>
          </w:p>
        </w:tc>
      </w:tr>
      <w:tr w:rsidR="006D45F3" w:rsidRPr="0001788E" w14:paraId="6423E290" w14:textId="77777777" w:rsidTr="006D45F3">
        <w:trPr>
          <w:trHeight w:val="253"/>
        </w:trPr>
        <w:tc>
          <w:tcPr>
            <w:tcW w:w="968" w:type="pct"/>
            <w:vMerge/>
            <w:vAlign w:val="center"/>
          </w:tcPr>
          <w:p w14:paraId="33C2381D" w14:textId="77777777" w:rsidR="006D45F3" w:rsidRPr="0001788E" w:rsidRDefault="006D45F3" w:rsidP="006D45F3">
            <w:pPr>
              <w:rPr>
                <w:rFonts w:ascii="Arial" w:hAnsi="Arial" w:cs="Arial"/>
                <w:bCs/>
                <w:szCs w:val="20"/>
              </w:rPr>
            </w:pPr>
          </w:p>
        </w:tc>
        <w:tc>
          <w:tcPr>
            <w:tcW w:w="1067" w:type="pct"/>
          </w:tcPr>
          <w:p w14:paraId="3CEF71B9" w14:textId="52D29838" w:rsidR="006D45F3" w:rsidRPr="0001788E" w:rsidRDefault="00D52282" w:rsidP="006D45F3">
            <w:pPr>
              <w:rPr>
                <w:rFonts w:ascii="Arial" w:hAnsi="Arial" w:cs="Arial"/>
                <w:szCs w:val="20"/>
              </w:rPr>
            </w:pPr>
            <w:r>
              <w:rPr>
                <w:rFonts w:ascii="Arial" w:hAnsi="Arial" w:cs="Arial"/>
                <w:szCs w:val="20"/>
              </w:rPr>
              <w:t>P</w:t>
            </w:r>
            <w:r w:rsidR="006D45F3" w:rsidRPr="0001788E">
              <w:rPr>
                <w:rFonts w:ascii="Arial" w:hAnsi="Arial" w:cs="Arial"/>
                <w:szCs w:val="20"/>
              </w:rPr>
              <w:t>re-vaccination</w:t>
            </w:r>
          </w:p>
        </w:tc>
        <w:tc>
          <w:tcPr>
            <w:tcW w:w="437" w:type="pct"/>
          </w:tcPr>
          <w:p w14:paraId="48EAA118" w14:textId="77777777" w:rsidR="006D45F3" w:rsidRPr="0001788E" w:rsidRDefault="006D45F3" w:rsidP="006D45F3">
            <w:pPr>
              <w:jc w:val="center"/>
              <w:rPr>
                <w:rFonts w:ascii="Arial" w:hAnsi="Arial" w:cs="Arial"/>
                <w:szCs w:val="20"/>
              </w:rPr>
            </w:pPr>
            <w:r w:rsidRPr="0001788E">
              <w:rPr>
                <w:rFonts w:ascii="Arial" w:hAnsi="Arial" w:cs="Arial"/>
                <w:szCs w:val="20"/>
              </w:rPr>
              <w:t>19</w:t>
            </w:r>
          </w:p>
        </w:tc>
        <w:tc>
          <w:tcPr>
            <w:tcW w:w="629" w:type="pct"/>
          </w:tcPr>
          <w:p w14:paraId="6C32FC38" w14:textId="77777777" w:rsidR="006D45F3" w:rsidRPr="0001788E" w:rsidRDefault="006D45F3" w:rsidP="006D45F3">
            <w:pPr>
              <w:jc w:val="center"/>
              <w:rPr>
                <w:rFonts w:ascii="Arial" w:hAnsi="Arial" w:cs="Arial"/>
                <w:szCs w:val="20"/>
              </w:rPr>
            </w:pPr>
            <w:r w:rsidRPr="0001788E">
              <w:rPr>
                <w:rFonts w:ascii="Arial" w:hAnsi="Arial" w:cs="Arial"/>
                <w:szCs w:val="20"/>
              </w:rPr>
              <w:t>5831</w:t>
            </w:r>
          </w:p>
        </w:tc>
        <w:tc>
          <w:tcPr>
            <w:tcW w:w="874" w:type="pct"/>
          </w:tcPr>
          <w:p w14:paraId="7B02DCC3" w14:textId="77777777" w:rsidR="006D45F3" w:rsidRPr="0001788E" w:rsidRDefault="006D45F3" w:rsidP="006D45F3">
            <w:pPr>
              <w:jc w:val="center"/>
              <w:rPr>
                <w:rFonts w:ascii="Arial" w:hAnsi="Arial" w:cs="Arial"/>
                <w:szCs w:val="20"/>
              </w:rPr>
            </w:pPr>
            <w:r w:rsidRPr="0001788E">
              <w:rPr>
                <w:rFonts w:ascii="Arial" w:hAnsi="Arial" w:cs="Arial"/>
                <w:szCs w:val="20"/>
              </w:rPr>
              <w:t>1.05 (0.66-1.67)</w:t>
            </w:r>
          </w:p>
        </w:tc>
        <w:tc>
          <w:tcPr>
            <w:tcW w:w="679" w:type="pct"/>
          </w:tcPr>
          <w:p w14:paraId="37DC1EC0" w14:textId="77777777" w:rsidR="006D45F3" w:rsidRPr="0001788E" w:rsidRDefault="006D45F3" w:rsidP="006D45F3">
            <w:pPr>
              <w:jc w:val="center"/>
              <w:rPr>
                <w:rFonts w:ascii="Arial" w:hAnsi="Arial" w:cs="Arial"/>
                <w:szCs w:val="20"/>
              </w:rPr>
            </w:pPr>
            <w:r w:rsidRPr="0001788E">
              <w:rPr>
                <w:rFonts w:ascii="Arial" w:hAnsi="Arial" w:cs="Arial"/>
                <w:szCs w:val="20"/>
              </w:rPr>
              <w:t>0.91 (0.57-1.45)</w:t>
            </w:r>
          </w:p>
        </w:tc>
        <w:tc>
          <w:tcPr>
            <w:tcW w:w="346" w:type="pct"/>
          </w:tcPr>
          <w:p w14:paraId="1294739C" w14:textId="77777777" w:rsidR="006D45F3" w:rsidRPr="0001788E" w:rsidRDefault="006D45F3" w:rsidP="006D45F3">
            <w:pPr>
              <w:jc w:val="center"/>
              <w:rPr>
                <w:rFonts w:ascii="Arial" w:hAnsi="Arial" w:cs="Arial"/>
                <w:szCs w:val="20"/>
              </w:rPr>
            </w:pPr>
            <w:r w:rsidRPr="0001788E">
              <w:rPr>
                <w:rFonts w:ascii="Arial" w:hAnsi="Arial" w:cs="Arial"/>
                <w:szCs w:val="20"/>
              </w:rPr>
              <w:t>0.685</w:t>
            </w:r>
          </w:p>
        </w:tc>
      </w:tr>
      <w:tr w:rsidR="006D45F3" w:rsidRPr="0001788E" w14:paraId="663B312D" w14:textId="77777777" w:rsidTr="006D45F3">
        <w:trPr>
          <w:trHeight w:val="253"/>
        </w:trPr>
        <w:tc>
          <w:tcPr>
            <w:tcW w:w="968" w:type="pct"/>
            <w:vMerge/>
          </w:tcPr>
          <w:p w14:paraId="4FB7A5AC" w14:textId="77777777" w:rsidR="006D45F3" w:rsidRPr="0001788E" w:rsidRDefault="006D45F3" w:rsidP="006D45F3">
            <w:pPr>
              <w:rPr>
                <w:rFonts w:ascii="Arial" w:hAnsi="Arial" w:cs="Arial"/>
                <w:bCs/>
                <w:szCs w:val="20"/>
              </w:rPr>
            </w:pPr>
          </w:p>
        </w:tc>
        <w:tc>
          <w:tcPr>
            <w:tcW w:w="1067" w:type="pct"/>
          </w:tcPr>
          <w:p w14:paraId="535B9EE2" w14:textId="02711C2C"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accin</w:t>
            </w:r>
            <w:r>
              <w:rPr>
                <w:rFonts w:ascii="Arial" w:hAnsi="Arial" w:cs="Arial"/>
                <w:szCs w:val="20"/>
              </w:rPr>
              <w:t>e exposed</w:t>
            </w:r>
          </w:p>
        </w:tc>
        <w:tc>
          <w:tcPr>
            <w:tcW w:w="437" w:type="pct"/>
          </w:tcPr>
          <w:p w14:paraId="7CEB376A" w14:textId="77777777" w:rsidR="006D45F3" w:rsidRPr="0001788E" w:rsidRDefault="006D45F3" w:rsidP="006D45F3">
            <w:pPr>
              <w:jc w:val="center"/>
              <w:rPr>
                <w:rFonts w:ascii="Arial" w:hAnsi="Arial" w:cs="Arial"/>
                <w:szCs w:val="20"/>
              </w:rPr>
            </w:pPr>
          </w:p>
        </w:tc>
        <w:tc>
          <w:tcPr>
            <w:tcW w:w="629" w:type="pct"/>
          </w:tcPr>
          <w:p w14:paraId="66B9CC40" w14:textId="77777777" w:rsidR="006D45F3" w:rsidRPr="0001788E" w:rsidRDefault="006D45F3" w:rsidP="006D45F3">
            <w:pPr>
              <w:jc w:val="center"/>
              <w:rPr>
                <w:rFonts w:ascii="Arial" w:hAnsi="Arial" w:cs="Arial"/>
                <w:szCs w:val="20"/>
              </w:rPr>
            </w:pPr>
          </w:p>
        </w:tc>
        <w:tc>
          <w:tcPr>
            <w:tcW w:w="874" w:type="pct"/>
          </w:tcPr>
          <w:p w14:paraId="00DD9F13" w14:textId="77777777" w:rsidR="006D45F3" w:rsidRPr="0001788E" w:rsidRDefault="006D45F3" w:rsidP="006D45F3">
            <w:pPr>
              <w:jc w:val="center"/>
              <w:rPr>
                <w:rFonts w:ascii="Arial" w:hAnsi="Arial" w:cs="Arial"/>
                <w:szCs w:val="20"/>
              </w:rPr>
            </w:pPr>
          </w:p>
        </w:tc>
        <w:tc>
          <w:tcPr>
            <w:tcW w:w="679" w:type="pct"/>
          </w:tcPr>
          <w:p w14:paraId="512C5DFD" w14:textId="77777777" w:rsidR="006D45F3" w:rsidRPr="0001788E" w:rsidRDefault="006D45F3" w:rsidP="006D45F3">
            <w:pPr>
              <w:jc w:val="center"/>
              <w:rPr>
                <w:rFonts w:ascii="Arial" w:hAnsi="Arial" w:cs="Arial"/>
                <w:szCs w:val="20"/>
              </w:rPr>
            </w:pPr>
          </w:p>
        </w:tc>
        <w:tc>
          <w:tcPr>
            <w:tcW w:w="346" w:type="pct"/>
          </w:tcPr>
          <w:p w14:paraId="2E1E94B2" w14:textId="77777777" w:rsidR="006D45F3" w:rsidRPr="0001788E" w:rsidRDefault="006D45F3" w:rsidP="006D45F3">
            <w:pPr>
              <w:jc w:val="center"/>
              <w:rPr>
                <w:rFonts w:ascii="Arial" w:hAnsi="Arial" w:cs="Arial"/>
                <w:szCs w:val="20"/>
              </w:rPr>
            </w:pPr>
          </w:p>
        </w:tc>
      </w:tr>
      <w:tr w:rsidR="006D45F3" w:rsidRPr="0001788E" w14:paraId="1B630FE4" w14:textId="77777777" w:rsidTr="006D45F3">
        <w:trPr>
          <w:trHeight w:val="253"/>
        </w:trPr>
        <w:tc>
          <w:tcPr>
            <w:tcW w:w="968" w:type="pct"/>
            <w:vMerge/>
          </w:tcPr>
          <w:p w14:paraId="07DA7440" w14:textId="77777777" w:rsidR="006D45F3" w:rsidRPr="0001788E" w:rsidRDefault="006D45F3" w:rsidP="006D45F3">
            <w:pPr>
              <w:rPr>
                <w:rFonts w:ascii="Arial" w:hAnsi="Arial" w:cs="Arial"/>
                <w:bCs/>
                <w:szCs w:val="20"/>
              </w:rPr>
            </w:pPr>
          </w:p>
        </w:tc>
        <w:tc>
          <w:tcPr>
            <w:tcW w:w="1067" w:type="pct"/>
          </w:tcPr>
          <w:p w14:paraId="62AA7A1D" w14:textId="77777777" w:rsidR="006D45F3" w:rsidRPr="0001788E" w:rsidRDefault="006D45F3" w:rsidP="006D45F3">
            <w:pPr>
              <w:rPr>
                <w:rFonts w:ascii="Arial" w:hAnsi="Arial" w:cs="Arial"/>
                <w:szCs w:val="20"/>
              </w:rPr>
            </w:pPr>
            <w:r w:rsidRPr="0001788E">
              <w:rPr>
                <w:rFonts w:ascii="Arial" w:hAnsi="Arial" w:cs="Arial"/>
                <w:szCs w:val="20"/>
              </w:rPr>
              <w:t>0 - 21 days</w:t>
            </w:r>
          </w:p>
        </w:tc>
        <w:tc>
          <w:tcPr>
            <w:tcW w:w="437" w:type="pct"/>
          </w:tcPr>
          <w:p w14:paraId="411B9396" w14:textId="77777777" w:rsidR="006D45F3" w:rsidRPr="0001788E" w:rsidRDefault="006D45F3" w:rsidP="006D45F3">
            <w:pPr>
              <w:jc w:val="center"/>
              <w:rPr>
                <w:rFonts w:ascii="Arial" w:hAnsi="Arial" w:cs="Arial"/>
                <w:szCs w:val="20"/>
              </w:rPr>
            </w:pPr>
            <w:r w:rsidRPr="0001788E">
              <w:rPr>
                <w:rFonts w:ascii="Arial" w:hAnsi="Arial" w:cs="Arial"/>
                <w:szCs w:val="20"/>
              </w:rPr>
              <w:t>47</w:t>
            </w:r>
          </w:p>
        </w:tc>
        <w:tc>
          <w:tcPr>
            <w:tcW w:w="629" w:type="pct"/>
          </w:tcPr>
          <w:p w14:paraId="59F9AE4B" w14:textId="77777777" w:rsidR="006D45F3" w:rsidRPr="0001788E" w:rsidRDefault="006D45F3" w:rsidP="006D45F3">
            <w:pPr>
              <w:jc w:val="center"/>
              <w:rPr>
                <w:rFonts w:ascii="Arial" w:hAnsi="Arial" w:cs="Arial"/>
                <w:szCs w:val="20"/>
              </w:rPr>
            </w:pPr>
            <w:r w:rsidRPr="0001788E">
              <w:rPr>
                <w:rFonts w:ascii="Arial" w:hAnsi="Arial" w:cs="Arial"/>
                <w:szCs w:val="20"/>
              </w:rPr>
              <w:t>17450</w:t>
            </w:r>
          </w:p>
        </w:tc>
        <w:tc>
          <w:tcPr>
            <w:tcW w:w="874" w:type="pct"/>
          </w:tcPr>
          <w:p w14:paraId="5AA0540D" w14:textId="77777777" w:rsidR="006D45F3" w:rsidRPr="0001788E" w:rsidRDefault="006D45F3" w:rsidP="006D45F3">
            <w:pPr>
              <w:jc w:val="center"/>
              <w:rPr>
                <w:rFonts w:ascii="Arial" w:hAnsi="Arial" w:cs="Arial"/>
                <w:szCs w:val="20"/>
              </w:rPr>
            </w:pPr>
            <w:r w:rsidRPr="0001788E">
              <w:rPr>
                <w:rFonts w:ascii="Arial" w:hAnsi="Arial" w:cs="Arial"/>
                <w:szCs w:val="20"/>
              </w:rPr>
              <w:t>0.87 (0.64-1.18)</w:t>
            </w:r>
          </w:p>
        </w:tc>
        <w:tc>
          <w:tcPr>
            <w:tcW w:w="679" w:type="pct"/>
          </w:tcPr>
          <w:p w14:paraId="53C56AA3" w14:textId="77777777" w:rsidR="006D45F3" w:rsidRPr="0001788E" w:rsidRDefault="006D45F3" w:rsidP="006D45F3">
            <w:pPr>
              <w:jc w:val="center"/>
              <w:rPr>
                <w:rFonts w:ascii="Arial" w:hAnsi="Arial" w:cs="Arial"/>
                <w:szCs w:val="20"/>
              </w:rPr>
            </w:pPr>
            <w:r w:rsidRPr="0001788E">
              <w:rPr>
                <w:rFonts w:ascii="Arial" w:hAnsi="Arial" w:cs="Arial"/>
                <w:szCs w:val="20"/>
              </w:rPr>
              <w:t>0.81 (0.59-1.10)</w:t>
            </w:r>
          </w:p>
        </w:tc>
        <w:tc>
          <w:tcPr>
            <w:tcW w:w="346" w:type="pct"/>
          </w:tcPr>
          <w:p w14:paraId="5798C8FA" w14:textId="77777777" w:rsidR="006D45F3" w:rsidRPr="0001788E" w:rsidRDefault="006D45F3" w:rsidP="006D45F3">
            <w:pPr>
              <w:jc w:val="center"/>
              <w:rPr>
                <w:rFonts w:ascii="Arial" w:hAnsi="Arial" w:cs="Arial"/>
                <w:szCs w:val="20"/>
              </w:rPr>
            </w:pPr>
            <w:r w:rsidRPr="0001788E">
              <w:rPr>
                <w:rFonts w:ascii="Arial" w:hAnsi="Arial" w:cs="Arial"/>
                <w:szCs w:val="20"/>
              </w:rPr>
              <w:t>0.176</w:t>
            </w:r>
          </w:p>
        </w:tc>
      </w:tr>
      <w:tr w:rsidR="006D45F3" w:rsidRPr="0001788E" w14:paraId="1359E3E9" w14:textId="77777777" w:rsidTr="006D45F3">
        <w:trPr>
          <w:trHeight w:val="253"/>
        </w:trPr>
        <w:tc>
          <w:tcPr>
            <w:tcW w:w="968" w:type="pct"/>
            <w:vMerge/>
          </w:tcPr>
          <w:p w14:paraId="426554FA" w14:textId="77777777" w:rsidR="006D45F3" w:rsidRPr="0001788E" w:rsidRDefault="006D45F3" w:rsidP="006D45F3">
            <w:pPr>
              <w:rPr>
                <w:rFonts w:ascii="Arial" w:hAnsi="Arial" w:cs="Arial"/>
                <w:bCs/>
                <w:szCs w:val="20"/>
              </w:rPr>
            </w:pPr>
          </w:p>
        </w:tc>
        <w:tc>
          <w:tcPr>
            <w:tcW w:w="1067" w:type="pct"/>
          </w:tcPr>
          <w:p w14:paraId="4479C8AC" w14:textId="77777777" w:rsidR="006D45F3" w:rsidRPr="0001788E" w:rsidRDefault="006D45F3" w:rsidP="006D45F3">
            <w:pPr>
              <w:jc w:val="right"/>
              <w:rPr>
                <w:rFonts w:ascii="Arial" w:hAnsi="Arial" w:cs="Arial"/>
                <w:szCs w:val="20"/>
              </w:rPr>
            </w:pPr>
            <w:r w:rsidRPr="0001788E">
              <w:rPr>
                <w:rFonts w:ascii="Arial" w:hAnsi="Arial" w:cs="Arial"/>
                <w:szCs w:val="20"/>
              </w:rPr>
              <w:t>0 – 7 days</w:t>
            </w:r>
          </w:p>
        </w:tc>
        <w:tc>
          <w:tcPr>
            <w:tcW w:w="437" w:type="pct"/>
          </w:tcPr>
          <w:p w14:paraId="0F143DC3" w14:textId="77777777" w:rsidR="006D45F3" w:rsidRPr="0001788E" w:rsidRDefault="006D45F3" w:rsidP="006D45F3">
            <w:pPr>
              <w:jc w:val="center"/>
              <w:rPr>
                <w:rFonts w:ascii="Arial" w:hAnsi="Arial" w:cs="Arial"/>
                <w:szCs w:val="20"/>
              </w:rPr>
            </w:pPr>
            <w:r w:rsidRPr="0001788E">
              <w:rPr>
                <w:rFonts w:ascii="Arial" w:hAnsi="Arial" w:cs="Arial"/>
                <w:szCs w:val="20"/>
              </w:rPr>
              <w:t>21</w:t>
            </w:r>
          </w:p>
        </w:tc>
        <w:tc>
          <w:tcPr>
            <w:tcW w:w="629" w:type="pct"/>
          </w:tcPr>
          <w:p w14:paraId="16921C10" w14:textId="77777777" w:rsidR="006D45F3" w:rsidRPr="0001788E" w:rsidRDefault="006D45F3" w:rsidP="006D45F3">
            <w:pPr>
              <w:jc w:val="center"/>
              <w:rPr>
                <w:rFonts w:ascii="Arial" w:hAnsi="Arial" w:cs="Arial"/>
                <w:szCs w:val="20"/>
              </w:rPr>
            </w:pPr>
            <w:r w:rsidRPr="0001788E">
              <w:rPr>
                <w:rFonts w:ascii="Arial" w:hAnsi="Arial" w:cs="Arial"/>
                <w:szCs w:val="20"/>
              </w:rPr>
              <w:t>5829</w:t>
            </w:r>
          </w:p>
        </w:tc>
        <w:tc>
          <w:tcPr>
            <w:tcW w:w="874" w:type="pct"/>
          </w:tcPr>
          <w:p w14:paraId="7E4B4A74" w14:textId="77777777" w:rsidR="006D45F3" w:rsidRPr="0001788E" w:rsidRDefault="006D45F3" w:rsidP="006D45F3">
            <w:pPr>
              <w:jc w:val="center"/>
              <w:rPr>
                <w:rFonts w:ascii="Arial" w:hAnsi="Arial" w:cs="Arial"/>
                <w:szCs w:val="20"/>
              </w:rPr>
            </w:pPr>
            <w:r w:rsidRPr="0001788E">
              <w:rPr>
                <w:rFonts w:ascii="Arial" w:hAnsi="Arial" w:cs="Arial"/>
                <w:szCs w:val="20"/>
              </w:rPr>
              <w:t>1.16 (0.75-1.81)</w:t>
            </w:r>
          </w:p>
        </w:tc>
        <w:tc>
          <w:tcPr>
            <w:tcW w:w="679" w:type="pct"/>
          </w:tcPr>
          <w:p w14:paraId="297450A2" w14:textId="77777777" w:rsidR="006D45F3" w:rsidRPr="0001788E" w:rsidRDefault="006D45F3" w:rsidP="006D45F3">
            <w:pPr>
              <w:jc w:val="center"/>
              <w:rPr>
                <w:rFonts w:ascii="Arial" w:hAnsi="Arial" w:cs="Arial"/>
                <w:szCs w:val="20"/>
              </w:rPr>
            </w:pPr>
            <w:r w:rsidRPr="0001788E">
              <w:rPr>
                <w:rFonts w:ascii="Arial" w:hAnsi="Arial" w:cs="Arial"/>
                <w:szCs w:val="20"/>
              </w:rPr>
              <w:t>1.04 (0.66-1.62)</w:t>
            </w:r>
          </w:p>
        </w:tc>
        <w:tc>
          <w:tcPr>
            <w:tcW w:w="346" w:type="pct"/>
          </w:tcPr>
          <w:p w14:paraId="6E462081" w14:textId="77777777" w:rsidR="006D45F3" w:rsidRPr="0001788E" w:rsidRDefault="006D45F3" w:rsidP="006D45F3">
            <w:pPr>
              <w:jc w:val="center"/>
              <w:rPr>
                <w:rFonts w:ascii="Arial" w:hAnsi="Arial" w:cs="Arial"/>
                <w:szCs w:val="20"/>
              </w:rPr>
            </w:pPr>
            <w:r w:rsidRPr="0001788E">
              <w:rPr>
                <w:rFonts w:ascii="Arial" w:hAnsi="Arial" w:cs="Arial"/>
                <w:szCs w:val="20"/>
              </w:rPr>
              <w:t>0.870</w:t>
            </w:r>
          </w:p>
        </w:tc>
      </w:tr>
      <w:tr w:rsidR="006D45F3" w:rsidRPr="0001788E" w14:paraId="014D3760" w14:textId="77777777" w:rsidTr="006D45F3">
        <w:trPr>
          <w:trHeight w:val="253"/>
        </w:trPr>
        <w:tc>
          <w:tcPr>
            <w:tcW w:w="968" w:type="pct"/>
            <w:vMerge/>
          </w:tcPr>
          <w:p w14:paraId="7A891C9C" w14:textId="77777777" w:rsidR="006D45F3" w:rsidRPr="0001788E" w:rsidRDefault="006D45F3" w:rsidP="006D45F3">
            <w:pPr>
              <w:rPr>
                <w:rFonts w:ascii="Arial" w:hAnsi="Arial" w:cs="Arial"/>
                <w:bCs/>
                <w:szCs w:val="20"/>
              </w:rPr>
            </w:pPr>
          </w:p>
        </w:tc>
        <w:tc>
          <w:tcPr>
            <w:tcW w:w="1067" w:type="pct"/>
          </w:tcPr>
          <w:p w14:paraId="791B8AFF" w14:textId="77777777" w:rsidR="006D45F3" w:rsidRPr="0001788E" w:rsidRDefault="006D45F3" w:rsidP="006D45F3">
            <w:pPr>
              <w:jc w:val="right"/>
              <w:rPr>
                <w:rFonts w:ascii="Arial" w:hAnsi="Arial" w:cs="Arial"/>
                <w:szCs w:val="20"/>
              </w:rPr>
            </w:pPr>
            <w:r w:rsidRPr="0001788E">
              <w:rPr>
                <w:rFonts w:ascii="Arial" w:hAnsi="Arial" w:cs="Arial"/>
                <w:szCs w:val="20"/>
              </w:rPr>
              <w:t>8 – 14 days</w:t>
            </w:r>
          </w:p>
        </w:tc>
        <w:tc>
          <w:tcPr>
            <w:tcW w:w="437" w:type="pct"/>
          </w:tcPr>
          <w:p w14:paraId="30B0626E" w14:textId="77777777" w:rsidR="006D45F3" w:rsidRPr="0001788E" w:rsidRDefault="006D45F3" w:rsidP="006D45F3">
            <w:pPr>
              <w:jc w:val="center"/>
              <w:rPr>
                <w:rFonts w:ascii="Arial" w:hAnsi="Arial" w:cs="Arial"/>
                <w:szCs w:val="20"/>
              </w:rPr>
            </w:pPr>
            <w:r w:rsidRPr="0001788E">
              <w:rPr>
                <w:rFonts w:ascii="Arial" w:hAnsi="Arial" w:cs="Arial"/>
                <w:szCs w:val="20"/>
              </w:rPr>
              <w:t>11</w:t>
            </w:r>
          </w:p>
        </w:tc>
        <w:tc>
          <w:tcPr>
            <w:tcW w:w="629" w:type="pct"/>
          </w:tcPr>
          <w:p w14:paraId="79BCF14C" w14:textId="77777777" w:rsidR="006D45F3" w:rsidRPr="0001788E" w:rsidRDefault="006D45F3" w:rsidP="006D45F3">
            <w:pPr>
              <w:jc w:val="center"/>
              <w:rPr>
                <w:rFonts w:ascii="Arial" w:hAnsi="Arial" w:cs="Arial"/>
                <w:szCs w:val="20"/>
              </w:rPr>
            </w:pPr>
            <w:r w:rsidRPr="0001788E">
              <w:rPr>
                <w:rFonts w:ascii="Arial" w:hAnsi="Arial" w:cs="Arial"/>
                <w:szCs w:val="20"/>
              </w:rPr>
              <w:t>5823</w:t>
            </w:r>
          </w:p>
        </w:tc>
        <w:tc>
          <w:tcPr>
            <w:tcW w:w="874" w:type="pct"/>
          </w:tcPr>
          <w:p w14:paraId="6081DA8E" w14:textId="77777777" w:rsidR="006D45F3" w:rsidRPr="0001788E" w:rsidRDefault="006D45F3" w:rsidP="006D45F3">
            <w:pPr>
              <w:jc w:val="center"/>
              <w:rPr>
                <w:rFonts w:ascii="Arial" w:hAnsi="Arial" w:cs="Arial"/>
                <w:szCs w:val="20"/>
              </w:rPr>
            </w:pPr>
            <w:r w:rsidRPr="0001788E">
              <w:rPr>
                <w:rFonts w:ascii="Arial" w:hAnsi="Arial" w:cs="Arial"/>
                <w:szCs w:val="20"/>
              </w:rPr>
              <w:t>0.61 (0.33-1.11)</w:t>
            </w:r>
          </w:p>
        </w:tc>
        <w:tc>
          <w:tcPr>
            <w:tcW w:w="679" w:type="pct"/>
          </w:tcPr>
          <w:p w14:paraId="70AA73CB" w14:textId="77777777" w:rsidR="006D45F3" w:rsidRPr="0001788E" w:rsidRDefault="006D45F3" w:rsidP="006D45F3">
            <w:pPr>
              <w:jc w:val="center"/>
              <w:rPr>
                <w:rFonts w:ascii="Arial" w:hAnsi="Arial" w:cs="Arial"/>
                <w:szCs w:val="20"/>
              </w:rPr>
            </w:pPr>
            <w:r w:rsidRPr="0001788E">
              <w:rPr>
                <w:rFonts w:ascii="Arial" w:hAnsi="Arial" w:cs="Arial"/>
                <w:szCs w:val="20"/>
              </w:rPr>
              <w:t>0.55 (0.30-1.01)</w:t>
            </w:r>
          </w:p>
        </w:tc>
        <w:tc>
          <w:tcPr>
            <w:tcW w:w="346" w:type="pct"/>
          </w:tcPr>
          <w:p w14:paraId="56291666" w14:textId="77777777" w:rsidR="006D45F3" w:rsidRPr="0001788E" w:rsidRDefault="006D45F3" w:rsidP="006D45F3">
            <w:pPr>
              <w:jc w:val="center"/>
              <w:rPr>
                <w:rFonts w:ascii="Arial" w:hAnsi="Arial" w:cs="Arial"/>
                <w:szCs w:val="20"/>
              </w:rPr>
            </w:pPr>
            <w:r w:rsidRPr="0001788E">
              <w:rPr>
                <w:rFonts w:ascii="Arial" w:hAnsi="Arial" w:cs="Arial"/>
                <w:szCs w:val="20"/>
              </w:rPr>
              <w:t>0.055</w:t>
            </w:r>
          </w:p>
        </w:tc>
      </w:tr>
      <w:tr w:rsidR="006D45F3" w:rsidRPr="0001788E" w14:paraId="35BF3E09" w14:textId="77777777" w:rsidTr="006D45F3">
        <w:trPr>
          <w:trHeight w:val="318"/>
        </w:trPr>
        <w:tc>
          <w:tcPr>
            <w:tcW w:w="968" w:type="pct"/>
            <w:vMerge/>
          </w:tcPr>
          <w:p w14:paraId="0A521C12" w14:textId="77777777" w:rsidR="006D45F3" w:rsidRPr="0001788E" w:rsidRDefault="006D45F3" w:rsidP="006D45F3">
            <w:pPr>
              <w:rPr>
                <w:rFonts w:ascii="Arial" w:hAnsi="Arial" w:cs="Arial"/>
                <w:bCs/>
                <w:szCs w:val="20"/>
              </w:rPr>
            </w:pPr>
          </w:p>
        </w:tc>
        <w:tc>
          <w:tcPr>
            <w:tcW w:w="1067" w:type="pct"/>
          </w:tcPr>
          <w:p w14:paraId="0B0B88E1" w14:textId="77777777" w:rsidR="006D45F3" w:rsidRPr="0001788E" w:rsidRDefault="006D45F3" w:rsidP="006D45F3">
            <w:pPr>
              <w:jc w:val="right"/>
              <w:rPr>
                <w:rFonts w:ascii="Arial" w:hAnsi="Arial" w:cs="Arial"/>
                <w:szCs w:val="20"/>
              </w:rPr>
            </w:pPr>
            <w:r w:rsidRPr="0001788E">
              <w:rPr>
                <w:rFonts w:ascii="Arial" w:hAnsi="Arial" w:cs="Arial"/>
                <w:szCs w:val="20"/>
              </w:rPr>
              <w:t>15 – 21 days</w:t>
            </w:r>
          </w:p>
        </w:tc>
        <w:tc>
          <w:tcPr>
            <w:tcW w:w="437" w:type="pct"/>
          </w:tcPr>
          <w:p w14:paraId="548ED067" w14:textId="77777777" w:rsidR="006D45F3" w:rsidRPr="0001788E" w:rsidRDefault="006D45F3" w:rsidP="006D45F3">
            <w:pPr>
              <w:jc w:val="center"/>
              <w:rPr>
                <w:rFonts w:ascii="Arial" w:hAnsi="Arial" w:cs="Arial"/>
                <w:szCs w:val="20"/>
              </w:rPr>
            </w:pPr>
            <w:r w:rsidRPr="0001788E">
              <w:rPr>
                <w:rFonts w:ascii="Arial" w:hAnsi="Arial" w:cs="Arial"/>
                <w:szCs w:val="20"/>
              </w:rPr>
              <w:t>15</w:t>
            </w:r>
          </w:p>
        </w:tc>
        <w:tc>
          <w:tcPr>
            <w:tcW w:w="629" w:type="pct"/>
          </w:tcPr>
          <w:p w14:paraId="05DDEB82" w14:textId="77777777" w:rsidR="006D45F3" w:rsidRPr="0001788E" w:rsidRDefault="006D45F3" w:rsidP="006D45F3">
            <w:pPr>
              <w:jc w:val="center"/>
              <w:rPr>
                <w:rFonts w:ascii="Arial" w:hAnsi="Arial" w:cs="Arial"/>
                <w:szCs w:val="20"/>
              </w:rPr>
            </w:pPr>
            <w:r w:rsidRPr="0001788E">
              <w:rPr>
                <w:rFonts w:ascii="Arial" w:hAnsi="Arial" w:cs="Arial"/>
                <w:szCs w:val="20"/>
              </w:rPr>
              <w:t>5798</w:t>
            </w:r>
          </w:p>
        </w:tc>
        <w:tc>
          <w:tcPr>
            <w:tcW w:w="874" w:type="pct"/>
          </w:tcPr>
          <w:p w14:paraId="2DA07B32" w14:textId="77777777" w:rsidR="006D45F3" w:rsidRPr="0001788E" w:rsidRDefault="006D45F3" w:rsidP="006D45F3">
            <w:pPr>
              <w:jc w:val="center"/>
              <w:rPr>
                <w:rFonts w:ascii="Arial" w:hAnsi="Arial" w:cs="Arial"/>
                <w:szCs w:val="20"/>
              </w:rPr>
            </w:pPr>
            <w:r w:rsidRPr="0001788E">
              <w:rPr>
                <w:rFonts w:ascii="Arial" w:hAnsi="Arial" w:cs="Arial"/>
                <w:szCs w:val="20"/>
              </w:rPr>
              <w:t>0.84 (0.50-1.40)</w:t>
            </w:r>
          </w:p>
        </w:tc>
        <w:tc>
          <w:tcPr>
            <w:tcW w:w="679" w:type="pct"/>
          </w:tcPr>
          <w:p w14:paraId="00A30403" w14:textId="77777777" w:rsidR="006D45F3" w:rsidRPr="0001788E" w:rsidRDefault="006D45F3" w:rsidP="006D45F3">
            <w:pPr>
              <w:jc w:val="center"/>
              <w:rPr>
                <w:rFonts w:ascii="Arial" w:hAnsi="Arial" w:cs="Arial"/>
                <w:szCs w:val="20"/>
              </w:rPr>
            </w:pPr>
            <w:r w:rsidRPr="0001788E">
              <w:rPr>
                <w:rFonts w:ascii="Arial" w:hAnsi="Arial" w:cs="Arial"/>
                <w:szCs w:val="20"/>
              </w:rPr>
              <w:t>0.77 (0.46-1.30)</w:t>
            </w:r>
          </w:p>
        </w:tc>
        <w:tc>
          <w:tcPr>
            <w:tcW w:w="346" w:type="pct"/>
          </w:tcPr>
          <w:p w14:paraId="08DD8836" w14:textId="77777777" w:rsidR="006D45F3" w:rsidRPr="0001788E" w:rsidRDefault="006D45F3" w:rsidP="006D45F3">
            <w:pPr>
              <w:jc w:val="center"/>
              <w:rPr>
                <w:rFonts w:ascii="Arial" w:hAnsi="Arial" w:cs="Arial"/>
                <w:szCs w:val="20"/>
              </w:rPr>
            </w:pPr>
            <w:r w:rsidRPr="0001788E">
              <w:rPr>
                <w:rFonts w:ascii="Arial" w:hAnsi="Arial" w:cs="Arial"/>
                <w:szCs w:val="20"/>
              </w:rPr>
              <w:t>0.325</w:t>
            </w:r>
          </w:p>
        </w:tc>
      </w:tr>
      <w:tr w:rsidR="006D45F3" w:rsidRPr="0001788E" w14:paraId="57E46FA0" w14:textId="77777777" w:rsidTr="006D45F3">
        <w:trPr>
          <w:trHeight w:val="237"/>
        </w:trPr>
        <w:tc>
          <w:tcPr>
            <w:tcW w:w="968" w:type="pct"/>
            <w:vMerge w:val="restart"/>
          </w:tcPr>
          <w:p w14:paraId="04BBAA04" w14:textId="77777777" w:rsidR="006D45F3" w:rsidRPr="0001788E" w:rsidRDefault="006D45F3" w:rsidP="006D45F3">
            <w:pPr>
              <w:rPr>
                <w:rFonts w:ascii="Arial" w:hAnsi="Arial" w:cs="Arial"/>
                <w:szCs w:val="20"/>
              </w:rPr>
            </w:pPr>
            <w:r w:rsidRPr="0001788E">
              <w:rPr>
                <w:rFonts w:ascii="Arial" w:hAnsi="Arial" w:cs="Arial"/>
                <w:szCs w:val="20"/>
              </w:rPr>
              <w:t>Vectored DNA vaccine</w:t>
            </w:r>
          </w:p>
        </w:tc>
        <w:tc>
          <w:tcPr>
            <w:tcW w:w="1067" w:type="pct"/>
          </w:tcPr>
          <w:p w14:paraId="2E7602DE" w14:textId="48527E0E" w:rsidR="006D45F3" w:rsidRPr="0001788E" w:rsidRDefault="00D52282" w:rsidP="006D45F3">
            <w:pPr>
              <w:rPr>
                <w:rFonts w:ascii="Arial" w:hAnsi="Arial" w:cs="Arial"/>
                <w:szCs w:val="20"/>
              </w:rPr>
            </w:pPr>
            <w:r>
              <w:rPr>
                <w:rFonts w:ascii="Arial" w:hAnsi="Arial" w:cs="Arial"/>
                <w:szCs w:val="20"/>
              </w:rPr>
              <w:t>Vaccine unexposed b</w:t>
            </w:r>
            <w:r w:rsidR="006D45F3" w:rsidRPr="0001788E">
              <w:rPr>
                <w:rFonts w:ascii="Arial" w:hAnsi="Arial" w:cs="Arial"/>
                <w:szCs w:val="20"/>
              </w:rPr>
              <w:t xml:space="preserve">aseline </w:t>
            </w:r>
          </w:p>
        </w:tc>
        <w:tc>
          <w:tcPr>
            <w:tcW w:w="437" w:type="pct"/>
          </w:tcPr>
          <w:p w14:paraId="0058C6F5" w14:textId="77777777" w:rsidR="006D45F3" w:rsidRPr="0001788E" w:rsidRDefault="006D45F3" w:rsidP="006D45F3">
            <w:pPr>
              <w:jc w:val="center"/>
              <w:rPr>
                <w:rFonts w:ascii="Arial" w:hAnsi="Arial" w:cs="Arial"/>
                <w:szCs w:val="20"/>
              </w:rPr>
            </w:pPr>
            <w:r w:rsidRPr="0001788E">
              <w:rPr>
                <w:rFonts w:ascii="Arial" w:hAnsi="Arial" w:cs="Arial"/>
                <w:szCs w:val="20"/>
              </w:rPr>
              <w:t>545</w:t>
            </w:r>
          </w:p>
        </w:tc>
        <w:tc>
          <w:tcPr>
            <w:tcW w:w="629" w:type="pct"/>
          </w:tcPr>
          <w:p w14:paraId="68D56358" w14:textId="77777777" w:rsidR="006D45F3" w:rsidRPr="0001788E" w:rsidRDefault="006D45F3" w:rsidP="006D45F3">
            <w:pPr>
              <w:jc w:val="center"/>
              <w:rPr>
                <w:rFonts w:ascii="Arial" w:hAnsi="Arial" w:cs="Arial"/>
                <w:szCs w:val="20"/>
              </w:rPr>
            </w:pPr>
            <w:r w:rsidRPr="0001788E">
              <w:rPr>
                <w:rFonts w:ascii="Arial" w:hAnsi="Arial" w:cs="Arial"/>
                <w:szCs w:val="20"/>
              </w:rPr>
              <w:t>25880</w:t>
            </w:r>
          </w:p>
        </w:tc>
        <w:tc>
          <w:tcPr>
            <w:tcW w:w="874" w:type="pct"/>
          </w:tcPr>
          <w:p w14:paraId="5D51059A"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0850DCFC"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213A6293" w14:textId="77777777" w:rsidR="006D45F3" w:rsidRPr="0001788E" w:rsidRDefault="006D45F3" w:rsidP="006D45F3">
            <w:pPr>
              <w:jc w:val="center"/>
              <w:rPr>
                <w:rFonts w:ascii="Arial" w:hAnsi="Arial" w:cs="Arial"/>
                <w:szCs w:val="20"/>
              </w:rPr>
            </w:pPr>
            <w:r w:rsidRPr="0001788E">
              <w:rPr>
                <w:rFonts w:ascii="Arial" w:hAnsi="Arial" w:cs="Arial"/>
                <w:szCs w:val="20"/>
              </w:rPr>
              <w:t>-/-</w:t>
            </w:r>
          </w:p>
        </w:tc>
      </w:tr>
      <w:tr w:rsidR="006D45F3" w:rsidRPr="0001788E" w14:paraId="2E74D0F0" w14:textId="77777777" w:rsidTr="006D45F3">
        <w:trPr>
          <w:trHeight w:val="253"/>
        </w:trPr>
        <w:tc>
          <w:tcPr>
            <w:tcW w:w="968" w:type="pct"/>
            <w:vMerge/>
            <w:vAlign w:val="center"/>
          </w:tcPr>
          <w:p w14:paraId="719B3F3D" w14:textId="77777777" w:rsidR="006D45F3" w:rsidRPr="0001788E" w:rsidRDefault="006D45F3" w:rsidP="006D45F3">
            <w:pPr>
              <w:rPr>
                <w:rFonts w:ascii="Arial" w:hAnsi="Arial" w:cs="Arial"/>
                <w:bCs/>
                <w:szCs w:val="20"/>
              </w:rPr>
            </w:pPr>
          </w:p>
        </w:tc>
        <w:tc>
          <w:tcPr>
            <w:tcW w:w="1067" w:type="pct"/>
          </w:tcPr>
          <w:p w14:paraId="6BD5F980" w14:textId="1FBAB02A" w:rsidR="006D45F3" w:rsidRPr="0001788E" w:rsidRDefault="00D52282" w:rsidP="006D45F3">
            <w:pPr>
              <w:rPr>
                <w:rFonts w:ascii="Arial" w:hAnsi="Arial" w:cs="Arial"/>
                <w:szCs w:val="20"/>
              </w:rPr>
            </w:pPr>
            <w:r>
              <w:rPr>
                <w:rFonts w:ascii="Arial" w:hAnsi="Arial" w:cs="Arial"/>
                <w:szCs w:val="20"/>
              </w:rPr>
              <w:t>P</w:t>
            </w:r>
            <w:r w:rsidR="006D45F3" w:rsidRPr="0001788E">
              <w:rPr>
                <w:rFonts w:ascii="Arial" w:hAnsi="Arial" w:cs="Arial"/>
                <w:szCs w:val="20"/>
              </w:rPr>
              <w:t>re-vaccination</w:t>
            </w:r>
          </w:p>
        </w:tc>
        <w:tc>
          <w:tcPr>
            <w:tcW w:w="437" w:type="pct"/>
          </w:tcPr>
          <w:p w14:paraId="0AD18489" w14:textId="77777777" w:rsidR="006D45F3" w:rsidRPr="0001788E" w:rsidRDefault="006D45F3" w:rsidP="006D45F3">
            <w:pPr>
              <w:jc w:val="center"/>
              <w:rPr>
                <w:rFonts w:ascii="Arial" w:hAnsi="Arial" w:cs="Arial"/>
                <w:szCs w:val="20"/>
              </w:rPr>
            </w:pPr>
            <w:r w:rsidRPr="0001788E">
              <w:rPr>
                <w:rFonts w:ascii="Arial" w:hAnsi="Arial" w:cs="Arial"/>
                <w:szCs w:val="20"/>
              </w:rPr>
              <w:t>22</w:t>
            </w:r>
          </w:p>
        </w:tc>
        <w:tc>
          <w:tcPr>
            <w:tcW w:w="629" w:type="pct"/>
          </w:tcPr>
          <w:p w14:paraId="22D637F0" w14:textId="77777777" w:rsidR="006D45F3" w:rsidRPr="0001788E" w:rsidRDefault="006D45F3" w:rsidP="006D45F3">
            <w:pPr>
              <w:jc w:val="center"/>
              <w:rPr>
                <w:rFonts w:ascii="Arial" w:hAnsi="Arial" w:cs="Arial"/>
                <w:szCs w:val="20"/>
              </w:rPr>
            </w:pPr>
            <w:r w:rsidRPr="0001788E">
              <w:rPr>
                <w:rFonts w:ascii="Arial" w:hAnsi="Arial" w:cs="Arial"/>
                <w:szCs w:val="20"/>
              </w:rPr>
              <w:t>8631</w:t>
            </w:r>
          </w:p>
        </w:tc>
        <w:tc>
          <w:tcPr>
            <w:tcW w:w="874" w:type="pct"/>
          </w:tcPr>
          <w:p w14:paraId="0F2CC68F" w14:textId="77777777" w:rsidR="006D45F3" w:rsidRPr="0001788E" w:rsidRDefault="006D45F3" w:rsidP="006D45F3">
            <w:pPr>
              <w:jc w:val="center"/>
              <w:rPr>
                <w:rFonts w:ascii="Arial" w:hAnsi="Arial" w:cs="Arial"/>
                <w:szCs w:val="20"/>
              </w:rPr>
            </w:pPr>
            <w:r w:rsidRPr="0001788E">
              <w:rPr>
                <w:rFonts w:ascii="Arial" w:hAnsi="Arial" w:cs="Arial"/>
                <w:szCs w:val="20"/>
              </w:rPr>
              <w:t>0.84 (0.54-1.29)</w:t>
            </w:r>
          </w:p>
        </w:tc>
        <w:tc>
          <w:tcPr>
            <w:tcW w:w="679" w:type="pct"/>
          </w:tcPr>
          <w:p w14:paraId="43CA23A8" w14:textId="77777777" w:rsidR="006D45F3" w:rsidRPr="0001788E" w:rsidRDefault="006D45F3" w:rsidP="006D45F3">
            <w:pPr>
              <w:jc w:val="center"/>
              <w:rPr>
                <w:rFonts w:ascii="Arial" w:hAnsi="Arial" w:cs="Arial"/>
                <w:szCs w:val="20"/>
              </w:rPr>
            </w:pPr>
            <w:r w:rsidRPr="0001788E">
              <w:rPr>
                <w:rFonts w:ascii="Arial" w:hAnsi="Arial" w:cs="Arial"/>
                <w:szCs w:val="20"/>
              </w:rPr>
              <w:t>0.80 (0.52-1.24)</w:t>
            </w:r>
          </w:p>
        </w:tc>
        <w:tc>
          <w:tcPr>
            <w:tcW w:w="346" w:type="pct"/>
          </w:tcPr>
          <w:p w14:paraId="3CC6B75A" w14:textId="77777777" w:rsidR="006D45F3" w:rsidRPr="0001788E" w:rsidRDefault="006D45F3" w:rsidP="006D45F3">
            <w:pPr>
              <w:jc w:val="center"/>
              <w:rPr>
                <w:rFonts w:ascii="Arial" w:hAnsi="Arial" w:cs="Arial"/>
                <w:szCs w:val="20"/>
              </w:rPr>
            </w:pPr>
            <w:r w:rsidRPr="0001788E">
              <w:rPr>
                <w:rFonts w:ascii="Arial" w:hAnsi="Arial" w:cs="Arial"/>
                <w:szCs w:val="20"/>
              </w:rPr>
              <w:t>0.319</w:t>
            </w:r>
          </w:p>
        </w:tc>
      </w:tr>
      <w:tr w:rsidR="006D45F3" w:rsidRPr="0001788E" w14:paraId="6307F533" w14:textId="77777777" w:rsidTr="006D45F3">
        <w:trPr>
          <w:trHeight w:val="253"/>
        </w:trPr>
        <w:tc>
          <w:tcPr>
            <w:tcW w:w="968" w:type="pct"/>
            <w:vMerge/>
            <w:vAlign w:val="center"/>
          </w:tcPr>
          <w:p w14:paraId="5280477A" w14:textId="77777777" w:rsidR="006D45F3" w:rsidRPr="0001788E" w:rsidRDefault="006D45F3" w:rsidP="006D45F3">
            <w:pPr>
              <w:rPr>
                <w:rFonts w:ascii="Arial" w:hAnsi="Arial" w:cs="Arial"/>
                <w:bCs/>
                <w:szCs w:val="20"/>
              </w:rPr>
            </w:pPr>
          </w:p>
        </w:tc>
        <w:tc>
          <w:tcPr>
            <w:tcW w:w="1067" w:type="pct"/>
          </w:tcPr>
          <w:p w14:paraId="1E42E751" w14:textId="510DCB0B"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accin</w:t>
            </w:r>
            <w:r>
              <w:rPr>
                <w:rFonts w:ascii="Arial" w:hAnsi="Arial" w:cs="Arial"/>
                <w:szCs w:val="20"/>
              </w:rPr>
              <w:t>e exposed</w:t>
            </w:r>
          </w:p>
        </w:tc>
        <w:tc>
          <w:tcPr>
            <w:tcW w:w="437" w:type="pct"/>
          </w:tcPr>
          <w:p w14:paraId="07B0D9A8" w14:textId="77777777" w:rsidR="006D45F3" w:rsidRPr="0001788E" w:rsidRDefault="006D45F3" w:rsidP="006D45F3">
            <w:pPr>
              <w:jc w:val="center"/>
              <w:rPr>
                <w:rFonts w:ascii="Arial" w:hAnsi="Arial" w:cs="Arial"/>
                <w:szCs w:val="20"/>
              </w:rPr>
            </w:pPr>
          </w:p>
        </w:tc>
        <w:tc>
          <w:tcPr>
            <w:tcW w:w="629" w:type="pct"/>
          </w:tcPr>
          <w:p w14:paraId="269AC398" w14:textId="77777777" w:rsidR="006D45F3" w:rsidRPr="0001788E" w:rsidRDefault="006D45F3" w:rsidP="006D45F3">
            <w:pPr>
              <w:jc w:val="center"/>
              <w:rPr>
                <w:rFonts w:ascii="Arial" w:hAnsi="Arial" w:cs="Arial"/>
                <w:szCs w:val="20"/>
              </w:rPr>
            </w:pPr>
          </w:p>
        </w:tc>
        <w:tc>
          <w:tcPr>
            <w:tcW w:w="874" w:type="pct"/>
          </w:tcPr>
          <w:p w14:paraId="1A4E7596" w14:textId="77777777" w:rsidR="006D45F3" w:rsidRPr="0001788E" w:rsidRDefault="006D45F3" w:rsidP="006D45F3">
            <w:pPr>
              <w:jc w:val="center"/>
              <w:rPr>
                <w:rFonts w:ascii="Arial" w:hAnsi="Arial" w:cs="Arial"/>
                <w:szCs w:val="20"/>
              </w:rPr>
            </w:pPr>
          </w:p>
        </w:tc>
        <w:tc>
          <w:tcPr>
            <w:tcW w:w="679" w:type="pct"/>
          </w:tcPr>
          <w:p w14:paraId="4F01CD63" w14:textId="77777777" w:rsidR="006D45F3" w:rsidRPr="0001788E" w:rsidRDefault="006D45F3" w:rsidP="006D45F3">
            <w:pPr>
              <w:jc w:val="center"/>
              <w:rPr>
                <w:rFonts w:ascii="Arial" w:hAnsi="Arial" w:cs="Arial"/>
                <w:szCs w:val="20"/>
              </w:rPr>
            </w:pPr>
          </w:p>
        </w:tc>
        <w:tc>
          <w:tcPr>
            <w:tcW w:w="346" w:type="pct"/>
          </w:tcPr>
          <w:p w14:paraId="13313D43" w14:textId="77777777" w:rsidR="006D45F3" w:rsidRPr="0001788E" w:rsidRDefault="006D45F3" w:rsidP="006D45F3">
            <w:pPr>
              <w:jc w:val="center"/>
              <w:rPr>
                <w:rFonts w:ascii="Arial" w:hAnsi="Arial" w:cs="Arial"/>
                <w:szCs w:val="20"/>
              </w:rPr>
            </w:pPr>
          </w:p>
        </w:tc>
      </w:tr>
      <w:tr w:rsidR="006D45F3" w:rsidRPr="0001788E" w14:paraId="25AB5925" w14:textId="77777777" w:rsidTr="006D45F3">
        <w:trPr>
          <w:trHeight w:val="253"/>
        </w:trPr>
        <w:tc>
          <w:tcPr>
            <w:tcW w:w="968" w:type="pct"/>
            <w:vMerge/>
            <w:vAlign w:val="center"/>
          </w:tcPr>
          <w:p w14:paraId="435698C4" w14:textId="77777777" w:rsidR="006D45F3" w:rsidRPr="0001788E" w:rsidRDefault="006D45F3" w:rsidP="006D45F3">
            <w:pPr>
              <w:rPr>
                <w:rFonts w:ascii="Arial" w:hAnsi="Arial" w:cs="Arial"/>
                <w:bCs/>
                <w:szCs w:val="20"/>
              </w:rPr>
            </w:pPr>
          </w:p>
        </w:tc>
        <w:tc>
          <w:tcPr>
            <w:tcW w:w="1067" w:type="pct"/>
          </w:tcPr>
          <w:p w14:paraId="6C2F7EFA" w14:textId="77777777" w:rsidR="006D45F3" w:rsidRPr="0001788E" w:rsidRDefault="006D45F3" w:rsidP="006D45F3">
            <w:pPr>
              <w:rPr>
                <w:rFonts w:ascii="Arial" w:hAnsi="Arial" w:cs="Arial"/>
                <w:szCs w:val="20"/>
              </w:rPr>
            </w:pPr>
            <w:r w:rsidRPr="0001788E">
              <w:rPr>
                <w:rFonts w:ascii="Arial" w:hAnsi="Arial" w:cs="Arial"/>
                <w:szCs w:val="20"/>
              </w:rPr>
              <w:t>0 - 21 days</w:t>
            </w:r>
          </w:p>
        </w:tc>
        <w:tc>
          <w:tcPr>
            <w:tcW w:w="437" w:type="pct"/>
          </w:tcPr>
          <w:p w14:paraId="75272C9C" w14:textId="77777777" w:rsidR="006D45F3" w:rsidRPr="0001788E" w:rsidRDefault="006D45F3" w:rsidP="006D45F3">
            <w:pPr>
              <w:jc w:val="center"/>
              <w:rPr>
                <w:rFonts w:ascii="Arial" w:hAnsi="Arial" w:cs="Arial"/>
                <w:szCs w:val="20"/>
              </w:rPr>
            </w:pPr>
            <w:r w:rsidRPr="0001788E">
              <w:rPr>
                <w:rFonts w:ascii="Arial" w:hAnsi="Arial" w:cs="Arial"/>
                <w:szCs w:val="20"/>
              </w:rPr>
              <w:t>65</w:t>
            </w:r>
          </w:p>
        </w:tc>
        <w:tc>
          <w:tcPr>
            <w:tcW w:w="629" w:type="pct"/>
          </w:tcPr>
          <w:p w14:paraId="7AE75D2C" w14:textId="77777777" w:rsidR="006D45F3" w:rsidRPr="0001788E" w:rsidRDefault="006D45F3" w:rsidP="006D45F3">
            <w:pPr>
              <w:jc w:val="center"/>
              <w:rPr>
                <w:rFonts w:ascii="Arial" w:hAnsi="Arial" w:cs="Arial"/>
                <w:szCs w:val="20"/>
              </w:rPr>
            </w:pPr>
            <w:r w:rsidRPr="0001788E">
              <w:rPr>
                <w:rFonts w:ascii="Arial" w:hAnsi="Arial" w:cs="Arial"/>
                <w:szCs w:val="20"/>
              </w:rPr>
              <w:t>182595</w:t>
            </w:r>
          </w:p>
        </w:tc>
        <w:tc>
          <w:tcPr>
            <w:tcW w:w="874" w:type="pct"/>
          </w:tcPr>
          <w:p w14:paraId="18EE4E9B" w14:textId="77777777" w:rsidR="006D45F3" w:rsidRPr="0001788E" w:rsidRDefault="006D45F3" w:rsidP="006D45F3">
            <w:pPr>
              <w:jc w:val="center"/>
              <w:rPr>
                <w:rFonts w:ascii="Arial" w:hAnsi="Arial" w:cs="Arial"/>
                <w:szCs w:val="20"/>
              </w:rPr>
            </w:pPr>
            <w:r w:rsidRPr="0001788E">
              <w:rPr>
                <w:rFonts w:ascii="Arial" w:hAnsi="Arial" w:cs="Arial"/>
                <w:szCs w:val="20"/>
              </w:rPr>
              <w:t>0.83 (0.64-1.07)</w:t>
            </w:r>
          </w:p>
        </w:tc>
        <w:tc>
          <w:tcPr>
            <w:tcW w:w="679" w:type="pct"/>
          </w:tcPr>
          <w:p w14:paraId="094A6043" w14:textId="77777777" w:rsidR="006D45F3" w:rsidRPr="0001788E" w:rsidRDefault="006D45F3" w:rsidP="006D45F3">
            <w:pPr>
              <w:jc w:val="center"/>
              <w:rPr>
                <w:rFonts w:ascii="Arial" w:hAnsi="Arial" w:cs="Arial"/>
                <w:szCs w:val="20"/>
              </w:rPr>
            </w:pPr>
            <w:r w:rsidRPr="0001788E">
              <w:rPr>
                <w:rFonts w:ascii="Arial" w:hAnsi="Arial" w:cs="Arial"/>
                <w:szCs w:val="20"/>
              </w:rPr>
              <w:t>0.83 (0.64-1.08)</w:t>
            </w:r>
          </w:p>
        </w:tc>
        <w:tc>
          <w:tcPr>
            <w:tcW w:w="346" w:type="pct"/>
          </w:tcPr>
          <w:p w14:paraId="055B968D" w14:textId="77777777" w:rsidR="006D45F3" w:rsidRPr="0001788E" w:rsidRDefault="006D45F3" w:rsidP="006D45F3">
            <w:pPr>
              <w:jc w:val="center"/>
              <w:rPr>
                <w:rFonts w:ascii="Arial" w:hAnsi="Arial" w:cs="Arial"/>
                <w:szCs w:val="20"/>
              </w:rPr>
            </w:pPr>
            <w:r w:rsidRPr="0001788E">
              <w:rPr>
                <w:rFonts w:ascii="Arial" w:hAnsi="Arial" w:cs="Arial"/>
                <w:szCs w:val="20"/>
              </w:rPr>
              <w:t>0.16</w:t>
            </w:r>
          </w:p>
        </w:tc>
      </w:tr>
      <w:tr w:rsidR="006D45F3" w:rsidRPr="0001788E" w14:paraId="4ABA3DC3" w14:textId="77777777" w:rsidTr="006D45F3">
        <w:trPr>
          <w:trHeight w:val="253"/>
        </w:trPr>
        <w:tc>
          <w:tcPr>
            <w:tcW w:w="968" w:type="pct"/>
            <w:vMerge/>
            <w:vAlign w:val="center"/>
          </w:tcPr>
          <w:p w14:paraId="3987A394" w14:textId="77777777" w:rsidR="006D45F3" w:rsidRPr="0001788E" w:rsidRDefault="006D45F3" w:rsidP="006D45F3">
            <w:pPr>
              <w:rPr>
                <w:rFonts w:ascii="Arial" w:hAnsi="Arial" w:cs="Arial"/>
                <w:bCs/>
                <w:szCs w:val="20"/>
              </w:rPr>
            </w:pPr>
          </w:p>
        </w:tc>
        <w:tc>
          <w:tcPr>
            <w:tcW w:w="1067" w:type="pct"/>
          </w:tcPr>
          <w:p w14:paraId="239B3504" w14:textId="77777777" w:rsidR="006D45F3" w:rsidRPr="0001788E" w:rsidRDefault="006D45F3" w:rsidP="006D45F3">
            <w:pPr>
              <w:jc w:val="right"/>
              <w:rPr>
                <w:rFonts w:ascii="Arial" w:hAnsi="Arial" w:cs="Arial"/>
                <w:szCs w:val="20"/>
              </w:rPr>
            </w:pPr>
            <w:r w:rsidRPr="0001788E">
              <w:rPr>
                <w:rFonts w:ascii="Arial" w:hAnsi="Arial" w:cs="Arial"/>
                <w:szCs w:val="20"/>
              </w:rPr>
              <w:t>0 – 7 days</w:t>
            </w:r>
          </w:p>
        </w:tc>
        <w:tc>
          <w:tcPr>
            <w:tcW w:w="437" w:type="pct"/>
          </w:tcPr>
          <w:p w14:paraId="144DA28A" w14:textId="77777777" w:rsidR="006D45F3" w:rsidRPr="0001788E" w:rsidRDefault="006D45F3" w:rsidP="006D45F3">
            <w:pPr>
              <w:jc w:val="center"/>
              <w:rPr>
                <w:rFonts w:ascii="Arial" w:hAnsi="Arial" w:cs="Arial"/>
                <w:szCs w:val="20"/>
              </w:rPr>
            </w:pPr>
            <w:r w:rsidRPr="0001788E">
              <w:rPr>
                <w:rFonts w:ascii="Arial" w:hAnsi="Arial" w:cs="Arial"/>
                <w:szCs w:val="20"/>
              </w:rPr>
              <w:t>26</w:t>
            </w:r>
          </w:p>
        </w:tc>
        <w:tc>
          <w:tcPr>
            <w:tcW w:w="629" w:type="pct"/>
          </w:tcPr>
          <w:p w14:paraId="01613193" w14:textId="77777777" w:rsidR="006D45F3" w:rsidRPr="0001788E" w:rsidRDefault="006D45F3" w:rsidP="006D45F3">
            <w:pPr>
              <w:jc w:val="center"/>
              <w:rPr>
                <w:rFonts w:ascii="Arial" w:hAnsi="Arial" w:cs="Arial"/>
                <w:szCs w:val="20"/>
              </w:rPr>
            </w:pPr>
            <w:r w:rsidRPr="0001788E">
              <w:rPr>
                <w:rFonts w:ascii="Arial" w:hAnsi="Arial" w:cs="Arial"/>
                <w:szCs w:val="20"/>
              </w:rPr>
              <w:t>8631</w:t>
            </w:r>
          </w:p>
        </w:tc>
        <w:tc>
          <w:tcPr>
            <w:tcW w:w="874" w:type="pct"/>
          </w:tcPr>
          <w:p w14:paraId="08B772AD" w14:textId="77777777" w:rsidR="006D45F3" w:rsidRPr="0001788E" w:rsidRDefault="006D45F3" w:rsidP="006D45F3">
            <w:pPr>
              <w:jc w:val="center"/>
              <w:rPr>
                <w:rFonts w:ascii="Arial" w:hAnsi="Arial" w:cs="Arial"/>
                <w:szCs w:val="20"/>
              </w:rPr>
            </w:pPr>
            <w:r w:rsidRPr="0001788E">
              <w:rPr>
                <w:rFonts w:ascii="Arial" w:hAnsi="Arial" w:cs="Arial"/>
                <w:szCs w:val="20"/>
              </w:rPr>
              <w:t>1.00 (0.67-1.48)</w:t>
            </w:r>
          </w:p>
        </w:tc>
        <w:tc>
          <w:tcPr>
            <w:tcW w:w="679" w:type="pct"/>
          </w:tcPr>
          <w:p w14:paraId="00B71904" w14:textId="77777777" w:rsidR="006D45F3" w:rsidRPr="0001788E" w:rsidRDefault="006D45F3" w:rsidP="006D45F3">
            <w:pPr>
              <w:jc w:val="center"/>
              <w:rPr>
                <w:rFonts w:ascii="Arial" w:hAnsi="Arial" w:cs="Arial"/>
                <w:szCs w:val="20"/>
              </w:rPr>
            </w:pPr>
            <w:r w:rsidRPr="0001788E">
              <w:rPr>
                <w:rFonts w:ascii="Arial" w:hAnsi="Arial" w:cs="Arial"/>
                <w:szCs w:val="20"/>
              </w:rPr>
              <w:t>0.96 (0.65-1.43)</w:t>
            </w:r>
          </w:p>
        </w:tc>
        <w:tc>
          <w:tcPr>
            <w:tcW w:w="346" w:type="pct"/>
          </w:tcPr>
          <w:p w14:paraId="0B4755FB" w14:textId="77777777" w:rsidR="006D45F3" w:rsidRPr="0001788E" w:rsidRDefault="006D45F3" w:rsidP="006D45F3">
            <w:pPr>
              <w:jc w:val="center"/>
              <w:rPr>
                <w:rFonts w:ascii="Arial" w:hAnsi="Arial" w:cs="Arial"/>
                <w:szCs w:val="20"/>
              </w:rPr>
            </w:pPr>
            <w:r w:rsidRPr="0001788E">
              <w:rPr>
                <w:rFonts w:ascii="Arial" w:hAnsi="Arial" w:cs="Arial"/>
                <w:szCs w:val="20"/>
              </w:rPr>
              <w:t>0.844</w:t>
            </w:r>
          </w:p>
        </w:tc>
      </w:tr>
      <w:tr w:rsidR="006D45F3" w:rsidRPr="0001788E" w14:paraId="624CBFC1" w14:textId="77777777" w:rsidTr="006D45F3">
        <w:trPr>
          <w:trHeight w:val="253"/>
        </w:trPr>
        <w:tc>
          <w:tcPr>
            <w:tcW w:w="968" w:type="pct"/>
            <w:vMerge/>
            <w:vAlign w:val="center"/>
          </w:tcPr>
          <w:p w14:paraId="65E038AE" w14:textId="77777777" w:rsidR="006D45F3" w:rsidRPr="0001788E" w:rsidRDefault="006D45F3" w:rsidP="006D45F3">
            <w:pPr>
              <w:rPr>
                <w:rFonts w:ascii="Arial" w:hAnsi="Arial" w:cs="Arial"/>
                <w:bCs/>
                <w:szCs w:val="20"/>
              </w:rPr>
            </w:pPr>
          </w:p>
        </w:tc>
        <w:tc>
          <w:tcPr>
            <w:tcW w:w="1067" w:type="pct"/>
          </w:tcPr>
          <w:p w14:paraId="65EB590E" w14:textId="77777777" w:rsidR="006D45F3" w:rsidRPr="0001788E" w:rsidRDefault="006D45F3" w:rsidP="006D45F3">
            <w:pPr>
              <w:jc w:val="right"/>
              <w:rPr>
                <w:rFonts w:ascii="Arial" w:hAnsi="Arial" w:cs="Arial"/>
                <w:szCs w:val="20"/>
              </w:rPr>
            </w:pPr>
            <w:r w:rsidRPr="0001788E">
              <w:rPr>
                <w:rFonts w:ascii="Arial" w:hAnsi="Arial" w:cs="Arial"/>
                <w:szCs w:val="20"/>
              </w:rPr>
              <w:t>8 – 14 days</w:t>
            </w:r>
          </w:p>
        </w:tc>
        <w:tc>
          <w:tcPr>
            <w:tcW w:w="437" w:type="pct"/>
          </w:tcPr>
          <w:p w14:paraId="10C452DE" w14:textId="77777777" w:rsidR="006D45F3" w:rsidRPr="0001788E" w:rsidRDefault="006D45F3" w:rsidP="006D45F3">
            <w:pPr>
              <w:jc w:val="center"/>
              <w:rPr>
                <w:rFonts w:ascii="Arial" w:hAnsi="Arial" w:cs="Arial"/>
                <w:szCs w:val="20"/>
              </w:rPr>
            </w:pPr>
            <w:r w:rsidRPr="0001788E">
              <w:rPr>
                <w:rFonts w:ascii="Arial" w:hAnsi="Arial" w:cs="Arial"/>
                <w:szCs w:val="20"/>
              </w:rPr>
              <w:t>18</w:t>
            </w:r>
          </w:p>
        </w:tc>
        <w:tc>
          <w:tcPr>
            <w:tcW w:w="629" w:type="pct"/>
          </w:tcPr>
          <w:p w14:paraId="56ABCDE3" w14:textId="77777777" w:rsidR="006D45F3" w:rsidRPr="0001788E" w:rsidRDefault="006D45F3" w:rsidP="006D45F3">
            <w:pPr>
              <w:jc w:val="center"/>
              <w:rPr>
                <w:rFonts w:ascii="Arial" w:hAnsi="Arial" w:cs="Arial"/>
                <w:szCs w:val="20"/>
              </w:rPr>
            </w:pPr>
            <w:r w:rsidRPr="0001788E">
              <w:rPr>
                <w:rFonts w:ascii="Arial" w:hAnsi="Arial" w:cs="Arial"/>
                <w:szCs w:val="20"/>
              </w:rPr>
              <w:t>8631</w:t>
            </w:r>
          </w:p>
        </w:tc>
        <w:tc>
          <w:tcPr>
            <w:tcW w:w="874" w:type="pct"/>
          </w:tcPr>
          <w:p w14:paraId="180662FF" w14:textId="77777777" w:rsidR="006D45F3" w:rsidRPr="0001788E" w:rsidRDefault="006D45F3" w:rsidP="006D45F3">
            <w:pPr>
              <w:jc w:val="center"/>
              <w:rPr>
                <w:rFonts w:ascii="Arial" w:hAnsi="Arial" w:cs="Arial"/>
                <w:szCs w:val="20"/>
              </w:rPr>
            </w:pPr>
            <w:r w:rsidRPr="0001788E">
              <w:rPr>
                <w:rFonts w:ascii="Arial" w:hAnsi="Arial" w:cs="Arial"/>
                <w:szCs w:val="20"/>
              </w:rPr>
              <w:t>0.69 (0.43-1.10)</w:t>
            </w:r>
          </w:p>
        </w:tc>
        <w:tc>
          <w:tcPr>
            <w:tcW w:w="679" w:type="pct"/>
          </w:tcPr>
          <w:p w14:paraId="481088D5" w14:textId="77777777" w:rsidR="006D45F3" w:rsidRPr="0001788E" w:rsidRDefault="006D45F3" w:rsidP="006D45F3">
            <w:pPr>
              <w:jc w:val="center"/>
              <w:rPr>
                <w:rFonts w:ascii="Arial" w:hAnsi="Arial" w:cs="Arial"/>
                <w:szCs w:val="20"/>
              </w:rPr>
            </w:pPr>
            <w:r w:rsidRPr="0001788E">
              <w:rPr>
                <w:rFonts w:ascii="Arial" w:hAnsi="Arial" w:cs="Arial"/>
                <w:szCs w:val="20"/>
              </w:rPr>
              <w:t>0.67 (0.42-1.08)</w:t>
            </w:r>
          </w:p>
        </w:tc>
        <w:tc>
          <w:tcPr>
            <w:tcW w:w="346" w:type="pct"/>
          </w:tcPr>
          <w:p w14:paraId="3D5E360F" w14:textId="77777777" w:rsidR="006D45F3" w:rsidRPr="0001788E" w:rsidRDefault="006D45F3" w:rsidP="006D45F3">
            <w:pPr>
              <w:jc w:val="center"/>
              <w:rPr>
                <w:rFonts w:ascii="Arial" w:hAnsi="Arial" w:cs="Arial"/>
                <w:szCs w:val="20"/>
              </w:rPr>
            </w:pPr>
            <w:r w:rsidRPr="0001788E">
              <w:rPr>
                <w:rFonts w:ascii="Arial" w:hAnsi="Arial" w:cs="Arial"/>
                <w:szCs w:val="20"/>
              </w:rPr>
              <w:t>0.099</w:t>
            </w:r>
          </w:p>
        </w:tc>
      </w:tr>
      <w:tr w:rsidR="006D45F3" w:rsidRPr="0001788E" w14:paraId="6AABE91E" w14:textId="77777777" w:rsidTr="006D45F3">
        <w:trPr>
          <w:trHeight w:val="334"/>
        </w:trPr>
        <w:tc>
          <w:tcPr>
            <w:tcW w:w="968" w:type="pct"/>
            <w:vMerge/>
            <w:vAlign w:val="center"/>
          </w:tcPr>
          <w:p w14:paraId="356534F1" w14:textId="77777777" w:rsidR="006D45F3" w:rsidRPr="0001788E" w:rsidRDefault="006D45F3" w:rsidP="006D45F3">
            <w:pPr>
              <w:rPr>
                <w:rFonts w:ascii="Arial" w:hAnsi="Arial" w:cs="Arial"/>
                <w:bCs/>
                <w:szCs w:val="20"/>
              </w:rPr>
            </w:pPr>
          </w:p>
        </w:tc>
        <w:tc>
          <w:tcPr>
            <w:tcW w:w="1067" w:type="pct"/>
          </w:tcPr>
          <w:p w14:paraId="06ACD5A0" w14:textId="77777777" w:rsidR="006D45F3" w:rsidRPr="0001788E" w:rsidRDefault="006D45F3" w:rsidP="006D45F3">
            <w:pPr>
              <w:jc w:val="right"/>
              <w:rPr>
                <w:rFonts w:ascii="Arial" w:hAnsi="Arial" w:cs="Arial"/>
                <w:szCs w:val="20"/>
              </w:rPr>
            </w:pPr>
            <w:r w:rsidRPr="0001788E">
              <w:rPr>
                <w:rFonts w:ascii="Arial" w:hAnsi="Arial" w:cs="Arial"/>
                <w:szCs w:val="20"/>
              </w:rPr>
              <w:t>15 – 21 days</w:t>
            </w:r>
          </w:p>
        </w:tc>
        <w:tc>
          <w:tcPr>
            <w:tcW w:w="437" w:type="pct"/>
          </w:tcPr>
          <w:p w14:paraId="2F8C06F6" w14:textId="77777777" w:rsidR="006D45F3" w:rsidRPr="0001788E" w:rsidRDefault="006D45F3" w:rsidP="006D45F3">
            <w:pPr>
              <w:jc w:val="center"/>
              <w:rPr>
                <w:rFonts w:ascii="Arial" w:hAnsi="Arial" w:cs="Arial"/>
                <w:szCs w:val="20"/>
              </w:rPr>
            </w:pPr>
            <w:r w:rsidRPr="0001788E">
              <w:rPr>
                <w:rFonts w:ascii="Arial" w:hAnsi="Arial" w:cs="Arial"/>
                <w:szCs w:val="20"/>
              </w:rPr>
              <w:t>21</w:t>
            </w:r>
          </w:p>
        </w:tc>
        <w:tc>
          <w:tcPr>
            <w:tcW w:w="629" w:type="pct"/>
          </w:tcPr>
          <w:p w14:paraId="29F3C8CF" w14:textId="77777777" w:rsidR="006D45F3" w:rsidRPr="0001788E" w:rsidRDefault="006D45F3" w:rsidP="006D45F3">
            <w:pPr>
              <w:jc w:val="center"/>
              <w:rPr>
                <w:rFonts w:ascii="Arial" w:hAnsi="Arial" w:cs="Arial"/>
                <w:szCs w:val="20"/>
              </w:rPr>
            </w:pPr>
            <w:r w:rsidRPr="0001788E">
              <w:rPr>
                <w:rFonts w:ascii="Arial" w:hAnsi="Arial" w:cs="Arial"/>
                <w:szCs w:val="20"/>
              </w:rPr>
              <w:t xml:space="preserve">8618  </w:t>
            </w:r>
          </w:p>
        </w:tc>
        <w:tc>
          <w:tcPr>
            <w:tcW w:w="874" w:type="pct"/>
          </w:tcPr>
          <w:p w14:paraId="086B84F2" w14:textId="77777777" w:rsidR="006D45F3" w:rsidRPr="0001788E" w:rsidRDefault="006D45F3" w:rsidP="006D45F3">
            <w:pPr>
              <w:jc w:val="center"/>
              <w:rPr>
                <w:rFonts w:ascii="Arial" w:hAnsi="Arial" w:cs="Arial"/>
                <w:szCs w:val="20"/>
              </w:rPr>
            </w:pPr>
            <w:r w:rsidRPr="0001788E">
              <w:rPr>
                <w:rFonts w:ascii="Arial" w:hAnsi="Arial" w:cs="Arial"/>
                <w:szCs w:val="20"/>
              </w:rPr>
              <w:t>0.81 (0.52-1.25)</w:t>
            </w:r>
          </w:p>
        </w:tc>
        <w:tc>
          <w:tcPr>
            <w:tcW w:w="679" w:type="pct"/>
          </w:tcPr>
          <w:p w14:paraId="1FD7DFEE" w14:textId="77777777" w:rsidR="006D45F3" w:rsidRPr="0001788E" w:rsidRDefault="006D45F3" w:rsidP="006D45F3">
            <w:pPr>
              <w:jc w:val="center"/>
              <w:rPr>
                <w:rFonts w:ascii="Arial" w:hAnsi="Arial" w:cs="Arial"/>
                <w:szCs w:val="20"/>
              </w:rPr>
            </w:pPr>
            <w:r w:rsidRPr="0001788E">
              <w:rPr>
                <w:rFonts w:ascii="Arial" w:hAnsi="Arial" w:cs="Arial"/>
                <w:szCs w:val="20"/>
              </w:rPr>
              <w:t>0.80 (0.52-1.25)</w:t>
            </w:r>
          </w:p>
        </w:tc>
        <w:tc>
          <w:tcPr>
            <w:tcW w:w="346" w:type="pct"/>
          </w:tcPr>
          <w:p w14:paraId="37B660CA" w14:textId="77777777" w:rsidR="006D45F3" w:rsidRPr="0001788E" w:rsidRDefault="006D45F3" w:rsidP="006D45F3">
            <w:pPr>
              <w:jc w:val="center"/>
              <w:rPr>
                <w:rFonts w:ascii="Arial" w:hAnsi="Arial" w:cs="Arial"/>
                <w:szCs w:val="20"/>
              </w:rPr>
            </w:pPr>
            <w:r w:rsidRPr="0001788E">
              <w:rPr>
                <w:rFonts w:ascii="Arial" w:hAnsi="Arial" w:cs="Arial"/>
                <w:szCs w:val="20"/>
              </w:rPr>
              <w:t>0.329</w:t>
            </w:r>
          </w:p>
        </w:tc>
      </w:tr>
      <w:tr w:rsidR="006D45F3" w:rsidRPr="0001788E" w14:paraId="07AFFFE3" w14:textId="77777777" w:rsidTr="006D45F3">
        <w:trPr>
          <w:trHeight w:val="334"/>
        </w:trPr>
        <w:tc>
          <w:tcPr>
            <w:tcW w:w="5000" w:type="pct"/>
            <w:gridSpan w:val="7"/>
            <w:vAlign w:val="center"/>
          </w:tcPr>
          <w:p w14:paraId="601B0587" w14:textId="77777777" w:rsidR="006D45F3" w:rsidRPr="0001788E" w:rsidRDefault="006D45F3" w:rsidP="006D45F3">
            <w:pPr>
              <w:jc w:val="center"/>
              <w:rPr>
                <w:rFonts w:ascii="Arial" w:hAnsi="Arial" w:cs="Arial"/>
                <w:b/>
                <w:bCs/>
                <w:szCs w:val="20"/>
              </w:rPr>
            </w:pPr>
            <w:r w:rsidRPr="0001788E">
              <w:rPr>
                <w:rFonts w:ascii="Arial" w:hAnsi="Arial" w:cs="Arial"/>
                <w:b/>
                <w:bCs/>
                <w:szCs w:val="20"/>
              </w:rPr>
              <w:t>Inflammatory bowel disease type</w:t>
            </w:r>
            <w:r w:rsidRPr="0001788E">
              <w:rPr>
                <w:rFonts w:ascii="Arial" w:hAnsi="Arial" w:cs="Arial"/>
                <w:b/>
                <w:bCs/>
                <w:szCs w:val="20"/>
                <w:vertAlign w:val="superscript"/>
              </w:rPr>
              <w:t xml:space="preserve"> ±</w:t>
            </w:r>
          </w:p>
        </w:tc>
      </w:tr>
      <w:tr w:rsidR="006D45F3" w:rsidRPr="0001788E" w14:paraId="03BCE38E" w14:textId="77777777" w:rsidTr="006D45F3">
        <w:trPr>
          <w:trHeight w:val="237"/>
        </w:trPr>
        <w:tc>
          <w:tcPr>
            <w:tcW w:w="968" w:type="pct"/>
            <w:vMerge w:val="restart"/>
          </w:tcPr>
          <w:p w14:paraId="05F853E7" w14:textId="77777777" w:rsidR="006D45F3" w:rsidRPr="0001788E" w:rsidRDefault="006D45F3" w:rsidP="006D45F3">
            <w:pPr>
              <w:rPr>
                <w:rFonts w:ascii="Arial" w:hAnsi="Arial" w:cs="Arial"/>
                <w:szCs w:val="20"/>
              </w:rPr>
            </w:pPr>
            <w:r w:rsidRPr="0001788E">
              <w:rPr>
                <w:rFonts w:ascii="Arial" w:hAnsi="Arial" w:cs="Arial"/>
                <w:szCs w:val="20"/>
              </w:rPr>
              <w:t xml:space="preserve">Ulcerative colitis </w:t>
            </w:r>
          </w:p>
        </w:tc>
        <w:tc>
          <w:tcPr>
            <w:tcW w:w="1067" w:type="pct"/>
          </w:tcPr>
          <w:p w14:paraId="22B76D62" w14:textId="193354F1" w:rsidR="006D45F3" w:rsidRPr="0001788E" w:rsidRDefault="00D52282" w:rsidP="006D45F3">
            <w:pPr>
              <w:rPr>
                <w:rFonts w:ascii="Arial" w:hAnsi="Arial" w:cs="Arial"/>
                <w:szCs w:val="20"/>
              </w:rPr>
            </w:pPr>
            <w:r>
              <w:rPr>
                <w:rFonts w:ascii="Arial" w:hAnsi="Arial" w:cs="Arial"/>
                <w:szCs w:val="20"/>
              </w:rPr>
              <w:t>Vaccine unexposed b</w:t>
            </w:r>
            <w:r w:rsidR="006D45F3" w:rsidRPr="0001788E">
              <w:rPr>
                <w:rFonts w:ascii="Arial" w:hAnsi="Arial" w:cs="Arial"/>
                <w:szCs w:val="20"/>
              </w:rPr>
              <w:t xml:space="preserve">aseline </w:t>
            </w:r>
          </w:p>
        </w:tc>
        <w:tc>
          <w:tcPr>
            <w:tcW w:w="437" w:type="pct"/>
          </w:tcPr>
          <w:p w14:paraId="71EBFF5F" w14:textId="77777777" w:rsidR="006D45F3" w:rsidRPr="0001788E" w:rsidRDefault="006D45F3" w:rsidP="006D45F3">
            <w:pPr>
              <w:jc w:val="center"/>
              <w:rPr>
                <w:rFonts w:ascii="Arial" w:hAnsi="Arial" w:cs="Arial"/>
                <w:szCs w:val="20"/>
              </w:rPr>
            </w:pPr>
            <w:r w:rsidRPr="0001788E">
              <w:rPr>
                <w:rFonts w:ascii="Arial" w:hAnsi="Arial" w:cs="Arial"/>
                <w:szCs w:val="20"/>
              </w:rPr>
              <w:t>1088</w:t>
            </w:r>
          </w:p>
        </w:tc>
        <w:tc>
          <w:tcPr>
            <w:tcW w:w="629" w:type="pct"/>
          </w:tcPr>
          <w:p w14:paraId="05B0D740" w14:textId="77777777" w:rsidR="006D45F3" w:rsidRPr="0001788E" w:rsidRDefault="006D45F3" w:rsidP="006D45F3">
            <w:pPr>
              <w:jc w:val="center"/>
              <w:rPr>
                <w:rFonts w:ascii="Arial" w:hAnsi="Arial" w:cs="Arial"/>
                <w:szCs w:val="20"/>
              </w:rPr>
            </w:pPr>
            <w:r w:rsidRPr="0001788E">
              <w:rPr>
                <w:rFonts w:ascii="Arial" w:hAnsi="Arial" w:cs="Arial"/>
                <w:szCs w:val="20"/>
              </w:rPr>
              <w:t>396112</w:t>
            </w:r>
          </w:p>
        </w:tc>
        <w:tc>
          <w:tcPr>
            <w:tcW w:w="874" w:type="pct"/>
          </w:tcPr>
          <w:p w14:paraId="6C3E6FEA"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325850A8"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011AFF32" w14:textId="77777777" w:rsidR="006D45F3" w:rsidRPr="0001788E" w:rsidRDefault="006D45F3" w:rsidP="006D45F3">
            <w:pPr>
              <w:jc w:val="center"/>
              <w:rPr>
                <w:rFonts w:ascii="Arial" w:hAnsi="Arial" w:cs="Arial"/>
                <w:szCs w:val="20"/>
              </w:rPr>
            </w:pPr>
            <w:r w:rsidRPr="0001788E">
              <w:rPr>
                <w:rFonts w:ascii="Arial" w:hAnsi="Arial" w:cs="Arial"/>
                <w:szCs w:val="20"/>
              </w:rPr>
              <w:t>-/-</w:t>
            </w:r>
          </w:p>
        </w:tc>
      </w:tr>
      <w:tr w:rsidR="006D45F3" w:rsidRPr="0001788E" w14:paraId="203C31F4" w14:textId="77777777" w:rsidTr="006D45F3">
        <w:trPr>
          <w:trHeight w:val="253"/>
        </w:trPr>
        <w:tc>
          <w:tcPr>
            <w:tcW w:w="968" w:type="pct"/>
            <w:vMerge/>
            <w:vAlign w:val="center"/>
          </w:tcPr>
          <w:p w14:paraId="00726F85" w14:textId="77777777" w:rsidR="006D45F3" w:rsidRPr="0001788E" w:rsidRDefault="006D45F3" w:rsidP="006D45F3">
            <w:pPr>
              <w:rPr>
                <w:rFonts w:ascii="Arial" w:hAnsi="Arial" w:cs="Arial"/>
                <w:szCs w:val="20"/>
              </w:rPr>
            </w:pPr>
          </w:p>
        </w:tc>
        <w:tc>
          <w:tcPr>
            <w:tcW w:w="1067" w:type="pct"/>
          </w:tcPr>
          <w:p w14:paraId="412CF161" w14:textId="614E6343" w:rsidR="006D45F3" w:rsidRPr="0001788E" w:rsidRDefault="00D52282" w:rsidP="006D45F3">
            <w:pPr>
              <w:rPr>
                <w:rFonts w:ascii="Arial" w:hAnsi="Arial" w:cs="Arial"/>
                <w:szCs w:val="20"/>
              </w:rPr>
            </w:pPr>
            <w:r>
              <w:rPr>
                <w:rFonts w:ascii="Arial" w:hAnsi="Arial" w:cs="Arial"/>
                <w:szCs w:val="20"/>
              </w:rPr>
              <w:t>P</w:t>
            </w:r>
            <w:r w:rsidR="006D45F3" w:rsidRPr="0001788E">
              <w:rPr>
                <w:rFonts w:ascii="Arial" w:hAnsi="Arial" w:cs="Arial"/>
                <w:szCs w:val="20"/>
              </w:rPr>
              <w:t>re-vaccination</w:t>
            </w:r>
          </w:p>
        </w:tc>
        <w:tc>
          <w:tcPr>
            <w:tcW w:w="437" w:type="pct"/>
          </w:tcPr>
          <w:p w14:paraId="7434E94F" w14:textId="77777777" w:rsidR="006D45F3" w:rsidRPr="0001788E" w:rsidRDefault="006D45F3" w:rsidP="006D45F3">
            <w:pPr>
              <w:jc w:val="center"/>
              <w:rPr>
                <w:rFonts w:ascii="Arial" w:hAnsi="Arial" w:cs="Arial"/>
                <w:szCs w:val="20"/>
              </w:rPr>
            </w:pPr>
            <w:r w:rsidRPr="0001788E">
              <w:rPr>
                <w:rFonts w:ascii="Arial" w:hAnsi="Arial" w:cs="Arial"/>
                <w:szCs w:val="20"/>
              </w:rPr>
              <w:t>75</w:t>
            </w:r>
          </w:p>
        </w:tc>
        <w:tc>
          <w:tcPr>
            <w:tcW w:w="629" w:type="pct"/>
          </w:tcPr>
          <w:p w14:paraId="2CE77216" w14:textId="77777777" w:rsidR="006D45F3" w:rsidRPr="0001788E" w:rsidRDefault="006D45F3" w:rsidP="006D45F3">
            <w:pPr>
              <w:jc w:val="center"/>
              <w:rPr>
                <w:rFonts w:ascii="Arial" w:hAnsi="Arial" w:cs="Arial"/>
                <w:szCs w:val="20"/>
              </w:rPr>
            </w:pPr>
            <w:r w:rsidRPr="0001788E">
              <w:rPr>
                <w:rFonts w:ascii="Arial" w:hAnsi="Arial" w:cs="Arial"/>
                <w:szCs w:val="20"/>
              </w:rPr>
              <w:t>23065</w:t>
            </w:r>
          </w:p>
        </w:tc>
        <w:tc>
          <w:tcPr>
            <w:tcW w:w="874" w:type="pct"/>
          </w:tcPr>
          <w:p w14:paraId="46108F88" w14:textId="77777777" w:rsidR="006D45F3" w:rsidRPr="0001788E" w:rsidRDefault="006D45F3" w:rsidP="006D45F3">
            <w:pPr>
              <w:jc w:val="center"/>
              <w:rPr>
                <w:rFonts w:ascii="Arial" w:hAnsi="Arial" w:cs="Arial"/>
                <w:szCs w:val="20"/>
              </w:rPr>
            </w:pPr>
            <w:r w:rsidRPr="0001788E">
              <w:rPr>
                <w:rFonts w:ascii="Arial" w:hAnsi="Arial" w:cs="Arial"/>
                <w:szCs w:val="20"/>
              </w:rPr>
              <w:t>1.18 (0.93-1.49)</w:t>
            </w:r>
          </w:p>
        </w:tc>
        <w:tc>
          <w:tcPr>
            <w:tcW w:w="679" w:type="pct"/>
          </w:tcPr>
          <w:p w14:paraId="045F3092" w14:textId="77777777" w:rsidR="006D45F3" w:rsidRPr="0001788E" w:rsidRDefault="006D45F3" w:rsidP="006D45F3">
            <w:pPr>
              <w:jc w:val="center"/>
              <w:rPr>
                <w:rFonts w:ascii="Arial" w:hAnsi="Arial" w:cs="Arial"/>
                <w:szCs w:val="20"/>
              </w:rPr>
            </w:pPr>
            <w:r w:rsidRPr="0001788E">
              <w:rPr>
                <w:rFonts w:ascii="Arial" w:hAnsi="Arial" w:cs="Arial"/>
                <w:szCs w:val="20"/>
              </w:rPr>
              <w:t>1.13 (0.89-1.43)</w:t>
            </w:r>
          </w:p>
        </w:tc>
        <w:tc>
          <w:tcPr>
            <w:tcW w:w="346" w:type="pct"/>
          </w:tcPr>
          <w:p w14:paraId="52D7148C" w14:textId="77777777" w:rsidR="006D45F3" w:rsidRPr="0001788E" w:rsidRDefault="006D45F3" w:rsidP="006D45F3">
            <w:pPr>
              <w:jc w:val="center"/>
              <w:rPr>
                <w:rFonts w:ascii="Arial" w:hAnsi="Arial" w:cs="Arial"/>
                <w:szCs w:val="20"/>
              </w:rPr>
            </w:pPr>
            <w:r w:rsidRPr="0001788E">
              <w:rPr>
                <w:rFonts w:ascii="Arial" w:hAnsi="Arial" w:cs="Arial"/>
                <w:szCs w:val="20"/>
              </w:rPr>
              <w:t>0.325</w:t>
            </w:r>
          </w:p>
        </w:tc>
      </w:tr>
      <w:tr w:rsidR="006D45F3" w:rsidRPr="0001788E" w14:paraId="5D69E526" w14:textId="77777777" w:rsidTr="006D45F3">
        <w:trPr>
          <w:trHeight w:val="253"/>
        </w:trPr>
        <w:tc>
          <w:tcPr>
            <w:tcW w:w="968" w:type="pct"/>
            <w:vMerge/>
          </w:tcPr>
          <w:p w14:paraId="4055111E" w14:textId="77777777" w:rsidR="006D45F3" w:rsidRPr="0001788E" w:rsidRDefault="006D45F3" w:rsidP="006D45F3">
            <w:pPr>
              <w:rPr>
                <w:rFonts w:ascii="Arial" w:hAnsi="Arial" w:cs="Arial"/>
                <w:szCs w:val="20"/>
              </w:rPr>
            </w:pPr>
          </w:p>
        </w:tc>
        <w:tc>
          <w:tcPr>
            <w:tcW w:w="1067" w:type="pct"/>
          </w:tcPr>
          <w:p w14:paraId="1A7E7D93" w14:textId="4A8AE343"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accin</w:t>
            </w:r>
            <w:r>
              <w:rPr>
                <w:rFonts w:ascii="Arial" w:hAnsi="Arial" w:cs="Arial"/>
                <w:szCs w:val="20"/>
              </w:rPr>
              <w:t>e exposed</w:t>
            </w:r>
          </w:p>
        </w:tc>
        <w:tc>
          <w:tcPr>
            <w:tcW w:w="437" w:type="pct"/>
          </w:tcPr>
          <w:p w14:paraId="01A4236F" w14:textId="77777777" w:rsidR="006D45F3" w:rsidRPr="0001788E" w:rsidRDefault="006D45F3" w:rsidP="006D45F3">
            <w:pPr>
              <w:jc w:val="center"/>
              <w:rPr>
                <w:rFonts w:ascii="Arial" w:hAnsi="Arial" w:cs="Arial"/>
                <w:szCs w:val="20"/>
              </w:rPr>
            </w:pPr>
            <w:r w:rsidRPr="0001788E">
              <w:rPr>
                <w:rFonts w:ascii="Arial" w:hAnsi="Arial" w:cs="Arial"/>
                <w:szCs w:val="20"/>
              </w:rPr>
              <w:t>156</w:t>
            </w:r>
          </w:p>
        </w:tc>
        <w:tc>
          <w:tcPr>
            <w:tcW w:w="629" w:type="pct"/>
          </w:tcPr>
          <w:p w14:paraId="10F00130" w14:textId="77777777" w:rsidR="006D45F3" w:rsidRPr="0001788E" w:rsidRDefault="006D45F3" w:rsidP="006D45F3">
            <w:pPr>
              <w:jc w:val="center"/>
              <w:rPr>
                <w:rFonts w:ascii="Arial" w:hAnsi="Arial" w:cs="Arial"/>
                <w:szCs w:val="20"/>
              </w:rPr>
            </w:pPr>
            <w:r w:rsidRPr="0001788E">
              <w:rPr>
                <w:rFonts w:ascii="Arial" w:hAnsi="Arial" w:cs="Arial"/>
                <w:szCs w:val="20"/>
              </w:rPr>
              <w:t>66959</w:t>
            </w:r>
          </w:p>
        </w:tc>
        <w:tc>
          <w:tcPr>
            <w:tcW w:w="874" w:type="pct"/>
          </w:tcPr>
          <w:p w14:paraId="626A5A30" w14:textId="77777777" w:rsidR="006D45F3" w:rsidRPr="0001788E" w:rsidRDefault="006D45F3" w:rsidP="006D45F3">
            <w:pPr>
              <w:jc w:val="center"/>
              <w:rPr>
                <w:rFonts w:ascii="Arial" w:hAnsi="Arial" w:cs="Arial"/>
                <w:szCs w:val="20"/>
              </w:rPr>
            </w:pPr>
            <w:r w:rsidRPr="0001788E">
              <w:rPr>
                <w:rFonts w:ascii="Arial" w:hAnsi="Arial" w:cs="Arial"/>
                <w:szCs w:val="20"/>
              </w:rPr>
              <w:t>0.84 (0.71-1.00)</w:t>
            </w:r>
          </w:p>
        </w:tc>
        <w:tc>
          <w:tcPr>
            <w:tcW w:w="679" w:type="pct"/>
          </w:tcPr>
          <w:p w14:paraId="2512E148" w14:textId="77777777" w:rsidR="006D45F3" w:rsidRPr="0001788E" w:rsidRDefault="006D45F3" w:rsidP="006D45F3">
            <w:pPr>
              <w:jc w:val="center"/>
              <w:rPr>
                <w:rFonts w:ascii="Arial" w:hAnsi="Arial" w:cs="Arial"/>
                <w:szCs w:val="20"/>
              </w:rPr>
            </w:pPr>
            <w:r w:rsidRPr="0001788E">
              <w:rPr>
                <w:rFonts w:ascii="Arial" w:hAnsi="Arial" w:cs="Arial"/>
                <w:szCs w:val="20"/>
              </w:rPr>
              <w:t>0.79 (0.66-0.95)</w:t>
            </w:r>
          </w:p>
        </w:tc>
        <w:tc>
          <w:tcPr>
            <w:tcW w:w="346" w:type="pct"/>
          </w:tcPr>
          <w:p w14:paraId="60595049" w14:textId="77777777" w:rsidR="006D45F3" w:rsidRPr="0001788E" w:rsidRDefault="006D45F3" w:rsidP="006D45F3">
            <w:pPr>
              <w:jc w:val="center"/>
              <w:rPr>
                <w:rFonts w:ascii="Arial" w:hAnsi="Arial" w:cs="Arial"/>
                <w:szCs w:val="20"/>
              </w:rPr>
            </w:pPr>
            <w:r w:rsidRPr="0001788E">
              <w:rPr>
                <w:rFonts w:ascii="Arial" w:hAnsi="Arial" w:cs="Arial"/>
                <w:szCs w:val="20"/>
              </w:rPr>
              <w:t>0.011</w:t>
            </w:r>
          </w:p>
        </w:tc>
      </w:tr>
      <w:tr w:rsidR="006D45F3" w:rsidRPr="0001788E" w14:paraId="282D4472" w14:textId="77777777" w:rsidTr="006D45F3">
        <w:trPr>
          <w:trHeight w:val="237"/>
        </w:trPr>
        <w:tc>
          <w:tcPr>
            <w:tcW w:w="968" w:type="pct"/>
            <w:vMerge w:val="restart"/>
          </w:tcPr>
          <w:p w14:paraId="4288BA79" w14:textId="77777777" w:rsidR="006D45F3" w:rsidRPr="0001788E" w:rsidRDefault="006D45F3" w:rsidP="006D45F3">
            <w:pPr>
              <w:rPr>
                <w:rFonts w:ascii="Arial" w:hAnsi="Arial" w:cs="Arial"/>
                <w:szCs w:val="20"/>
              </w:rPr>
            </w:pPr>
            <w:r w:rsidRPr="0001788E">
              <w:rPr>
                <w:rFonts w:ascii="Arial" w:hAnsi="Arial" w:cs="Arial"/>
                <w:szCs w:val="20"/>
              </w:rPr>
              <w:t xml:space="preserve">Crohn’s disease </w:t>
            </w:r>
          </w:p>
        </w:tc>
        <w:tc>
          <w:tcPr>
            <w:tcW w:w="1067" w:type="pct"/>
          </w:tcPr>
          <w:p w14:paraId="12667B5E" w14:textId="77777777" w:rsidR="006D45F3" w:rsidRPr="0001788E" w:rsidRDefault="006D45F3" w:rsidP="006D45F3">
            <w:pPr>
              <w:rPr>
                <w:rFonts w:ascii="Arial" w:hAnsi="Arial" w:cs="Arial"/>
                <w:szCs w:val="20"/>
              </w:rPr>
            </w:pPr>
            <w:r w:rsidRPr="0001788E">
              <w:rPr>
                <w:rFonts w:ascii="Arial" w:hAnsi="Arial" w:cs="Arial"/>
                <w:szCs w:val="20"/>
              </w:rPr>
              <w:t>Baseline</w:t>
            </w:r>
          </w:p>
        </w:tc>
        <w:tc>
          <w:tcPr>
            <w:tcW w:w="437" w:type="pct"/>
          </w:tcPr>
          <w:p w14:paraId="00977C99" w14:textId="77777777" w:rsidR="006D45F3" w:rsidRPr="0001788E" w:rsidRDefault="006D45F3" w:rsidP="006D45F3">
            <w:pPr>
              <w:jc w:val="center"/>
              <w:rPr>
                <w:rFonts w:ascii="Arial" w:hAnsi="Arial" w:cs="Arial"/>
                <w:szCs w:val="20"/>
              </w:rPr>
            </w:pPr>
            <w:r w:rsidRPr="0001788E">
              <w:rPr>
                <w:rFonts w:ascii="Arial" w:hAnsi="Arial" w:cs="Arial"/>
                <w:szCs w:val="20"/>
              </w:rPr>
              <w:t>534</w:t>
            </w:r>
          </w:p>
        </w:tc>
        <w:tc>
          <w:tcPr>
            <w:tcW w:w="629" w:type="pct"/>
          </w:tcPr>
          <w:p w14:paraId="4E93BCF1" w14:textId="77777777" w:rsidR="006D45F3" w:rsidRPr="0001788E" w:rsidRDefault="006D45F3" w:rsidP="006D45F3">
            <w:pPr>
              <w:jc w:val="center"/>
              <w:rPr>
                <w:rFonts w:ascii="Arial" w:hAnsi="Arial" w:cs="Arial"/>
                <w:szCs w:val="20"/>
              </w:rPr>
            </w:pPr>
            <w:r w:rsidRPr="0001788E">
              <w:rPr>
                <w:rFonts w:ascii="Arial" w:hAnsi="Arial" w:cs="Arial"/>
                <w:szCs w:val="20"/>
              </w:rPr>
              <w:t>192840</w:t>
            </w:r>
          </w:p>
        </w:tc>
        <w:tc>
          <w:tcPr>
            <w:tcW w:w="874" w:type="pct"/>
          </w:tcPr>
          <w:p w14:paraId="14C44EB5"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4A0C3CEF"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528A8C18" w14:textId="77777777" w:rsidR="006D45F3" w:rsidRPr="0001788E" w:rsidRDefault="006D45F3" w:rsidP="006D45F3">
            <w:pPr>
              <w:jc w:val="center"/>
              <w:rPr>
                <w:rFonts w:ascii="Arial" w:hAnsi="Arial" w:cs="Arial"/>
                <w:szCs w:val="20"/>
              </w:rPr>
            </w:pPr>
            <w:r w:rsidRPr="0001788E">
              <w:rPr>
                <w:rFonts w:ascii="Arial" w:hAnsi="Arial" w:cs="Arial"/>
                <w:szCs w:val="20"/>
              </w:rPr>
              <w:t>-/-</w:t>
            </w:r>
          </w:p>
        </w:tc>
      </w:tr>
      <w:tr w:rsidR="006D45F3" w:rsidRPr="0001788E" w14:paraId="45582B77" w14:textId="77777777" w:rsidTr="006D45F3">
        <w:trPr>
          <w:trHeight w:val="253"/>
        </w:trPr>
        <w:tc>
          <w:tcPr>
            <w:tcW w:w="968" w:type="pct"/>
            <w:vMerge/>
            <w:vAlign w:val="center"/>
          </w:tcPr>
          <w:p w14:paraId="6BA78714" w14:textId="77777777" w:rsidR="006D45F3" w:rsidRPr="0001788E" w:rsidRDefault="006D45F3" w:rsidP="006D45F3">
            <w:pPr>
              <w:rPr>
                <w:rFonts w:ascii="Arial" w:hAnsi="Arial" w:cs="Arial"/>
                <w:szCs w:val="20"/>
              </w:rPr>
            </w:pPr>
          </w:p>
        </w:tc>
        <w:tc>
          <w:tcPr>
            <w:tcW w:w="1067" w:type="pct"/>
          </w:tcPr>
          <w:p w14:paraId="14F5F6EA" w14:textId="4D3D62AC" w:rsidR="006D45F3" w:rsidRPr="0001788E" w:rsidRDefault="00D52282" w:rsidP="006D45F3">
            <w:pPr>
              <w:rPr>
                <w:rFonts w:ascii="Arial" w:hAnsi="Arial" w:cs="Arial"/>
                <w:szCs w:val="20"/>
              </w:rPr>
            </w:pPr>
            <w:r>
              <w:rPr>
                <w:rFonts w:ascii="Arial" w:hAnsi="Arial" w:cs="Arial"/>
                <w:szCs w:val="20"/>
              </w:rPr>
              <w:t>P</w:t>
            </w:r>
            <w:r w:rsidR="006D45F3" w:rsidRPr="0001788E">
              <w:rPr>
                <w:rFonts w:ascii="Arial" w:hAnsi="Arial" w:cs="Arial"/>
                <w:szCs w:val="20"/>
              </w:rPr>
              <w:t>re-vaccination</w:t>
            </w:r>
          </w:p>
        </w:tc>
        <w:tc>
          <w:tcPr>
            <w:tcW w:w="437" w:type="pct"/>
          </w:tcPr>
          <w:p w14:paraId="3B0E312C" w14:textId="77777777" w:rsidR="006D45F3" w:rsidRPr="0001788E" w:rsidRDefault="006D45F3" w:rsidP="006D45F3">
            <w:pPr>
              <w:jc w:val="center"/>
              <w:rPr>
                <w:rFonts w:ascii="Arial" w:hAnsi="Arial" w:cs="Arial"/>
                <w:szCs w:val="20"/>
              </w:rPr>
            </w:pPr>
            <w:r w:rsidRPr="0001788E">
              <w:rPr>
                <w:rFonts w:ascii="Arial" w:hAnsi="Arial" w:cs="Arial"/>
                <w:szCs w:val="20"/>
              </w:rPr>
              <w:t>22</w:t>
            </w:r>
          </w:p>
        </w:tc>
        <w:tc>
          <w:tcPr>
            <w:tcW w:w="629" w:type="pct"/>
          </w:tcPr>
          <w:p w14:paraId="2A81275F" w14:textId="77777777" w:rsidR="006D45F3" w:rsidRPr="0001788E" w:rsidRDefault="006D45F3" w:rsidP="006D45F3">
            <w:pPr>
              <w:jc w:val="center"/>
              <w:rPr>
                <w:rFonts w:ascii="Arial" w:hAnsi="Arial" w:cs="Arial"/>
                <w:szCs w:val="20"/>
              </w:rPr>
            </w:pPr>
            <w:r w:rsidRPr="0001788E">
              <w:rPr>
                <w:rFonts w:ascii="Arial" w:hAnsi="Arial" w:cs="Arial"/>
                <w:szCs w:val="20"/>
              </w:rPr>
              <w:t>11249</w:t>
            </w:r>
          </w:p>
        </w:tc>
        <w:tc>
          <w:tcPr>
            <w:tcW w:w="874" w:type="pct"/>
          </w:tcPr>
          <w:p w14:paraId="37D03ECE" w14:textId="77777777" w:rsidR="006D45F3" w:rsidRPr="0001788E" w:rsidRDefault="006D45F3" w:rsidP="006D45F3">
            <w:pPr>
              <w:jc w:val="center"/>
              <w:rPr>
                <w:rFonts w:ascii="Arial" w:hAnsi="Arial" w:cs="Arial"/>
                <w:szCs w:val="20"/>
              </w:rPr>
            </w:pPr>
            <w:r w:rsidRPr="0001788E">
              <w:rPr>
                <w:rFonts w:ascii="Arial" w:hAnsi="Arial" w:cs="Arial"/>
                <w:szCs w:val="20"/>
              </w:rPr>
              <w:t>0.70 (0.46-1.08)</w:t>
            </w:r>
          </w:p>
        </w:tc>
        <w:tc>
          <w:tcPr>
            <w:tcW w:w="679" w:type="pct"/>
          </w:tcPr>
          <w:p w14:paraId="4B062FC4" w14:textId="77777777" w:rsidR="006D45F3" w:rsidRPr="0001788E" w:rsidRDefault="006D45F3" w:rsidP="006D45F3">
            <w:pPr>
              <w:jc w:val="center"/>
              <w:rPr>
                <w:rFonts w:ascii="Arial" w:hAnsi="Arial" w:cs="Arial"/>
                <w:szCs w:val="20"/>
              </w:rPr>
            </w:pPr>
            <w:r w:rsidRPr="0001788E">
              <w:rPr>
                <w:rFonts w:ascii="Arial" w:hAnsi="Arial" w:cs="Arial"/>
                <w:szCs w:val="20"/>
              </w:rPr>
              <w:t>0.71 (0.46-1.09)</w:t>
            </w:r>
          </w:p>
        </w:tc>
        <w:tc>
          <w:tcPr>
            <w:tcW w:w="346" w:type="pct"/>
          </w:tcPr>
          <w:p w14:paraId="47633E41" w14:textId="77777777" w:rsidR="006D45F3" w:rsidRPr="0001788E" w:rsidRDefault="006D45F3" w:rsidP="006D45F3">
            <w:pPr>
              <w:jc w:val="center"/>
              <w:rPr>
                <w:rFonts w:ascii="Arial" w:hAnsi="Arial" w:cs="Arial"/>
                <w:szCs w:val="20"/>
              </w:rPr>
            </w:pPr>
            <w:r w:rsidRPr="0001788E">
              <w:rPr>
                <w:rFonts w:ascii="Arial" w:hAnsi="Arial" w:cs="Arial"/>
                <w:szCs w:val="20"/>
              </w:rPr>
              <w:t>0.115</w:t>
            </w:r>
          </w:p>
        </w:tc>
      </w:tr>
      <w:tr w:rsidR="006D45F3" w:rsidRPr="0001788E" w14:paraId="787F0691" w14:textId="77777777" w:rsidTr="006D45F3">
        <w:trPr>
          <w:trHeight w:val="253"/>
        </w:trPr>
        <w:tc>
          <w:tcPr>
            <w:tcW w:w="968" w:type="pct"/>
            <w:vMerge/>
          </w:tcPr>
          <w:p w14:paraId="628844A0" w14:textId="77777777" w:rsidR="006D45F3" w:rsidRPr="0001788E" w:rsidRDefault="006D45F3" w:rsidP="006D45F3">
            <w:pPr>
              <w:rPr>
                <w:rFonts w:ascii="Arial" w:hAnsi="Arial" w:cs="Arial"/>
                <w:szCs w:val="20"/>
              </w:rPr>
            </w:pPr>
          </w:p>
        </w:tc>
        <w:tc>
          <w:tcPr>
            <w:tcW w:w="1067" w:type="pct"/>
          </w:tcPr>
          <w:p w14:paraId="20BDAA82" w14:textId="4825770F"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accin</w:t>
            </w:r>
            <w:r>
              <w:rPr>
                <w:rFonts w:ascii="Arial" w:hAnsi="Arial" w:cs="Arial"/>
                <w:szCs w:val="20"/>
              </w:rPr>
              <w:t>e exposed</w:t>
            </w:r>
          </w:p>
        </w:tc>
        <w:tc>
          <w:tcPr>
            <w:tcW w:w="437" w:type="pct"/>
          </w:tcPr>
          <w:p w14:paraId="274304C9" w14:textId="77777777" w:rsidR="006D45F3" w:rsidRPr="0001788E" w:rsidRDefault="006D45F3" w:rsidP="006D45F3">
            <w:pPr>
              <w:jc w:val="center"/>
              <w:rPr>
                <w:rFonts w:ascii="Arial" w:hAnsi="Arial" w:cs="Arial"/>
                <w:szCs w:val="20"/>
              </w:rPr>
            </w:pPr>
            <w:r w:rsidRPr="0001788E">
              <w:rPr>
                <w:rFonts w:ascii="Arial" w:hAnsi="Arial" w:cs="Arial"/>
                <w:szCs w:val="20"/>
              </w:rPr>
              <w:t>90</w:t>
            </w:r>
          </w:p>
        </w:tc>
        <w:tc>
          <w:tcPr>
            <w:tcW w:w="629" w:type="pct"/>
          </w:tcPr>
          <w:p w14:paraId="511B5867" w14:textId="77777777" w:rsidR="006D45F3" w:rsidRPr="0001788E" w:rsidRDefault="006D45F3" w:rsidP="006D45F3">
            <w:pPr>
              <w:jc w:val="center"/>
              <w:rPr>
                <w:rFonts w:ascii="Arial" w:hAnsi="Arial" w:cs="Arial"/>
                <w:szCs w:val="20"/>
              </w:rPr>
            </w:pPr>
            <w:r w:rsidRPr="0001788E">
              <w:rPr>
                <w:rFonts w:ascii="Arial" w:hAnsi="Arial" w:cs="Arial"/>
                <w:szCs w:val="20"/>
              </w:rPr>
              <w:t>32826</w:t>
            </w:r>
          </w:p>
        </w:tc>
        <w:tc>
          <w:tcPr>
            <w:tcW w:w="874" w:type="pct"/>
          </w:tcPr>
          <w:p w14:paraId="211B48E7" w14:textId="77777777" w:rsidR="006D45F3" w:rsidRPr="0001788E" w:rsidRDefault="006D45F3" w:rsidP="006D45F3">
            <w:pPr>
              <w:jc w:val="center"/>
              <w:rPr>
                <w:rFonts w:ascii="Arial" w:hAnsi="Arial" w:cs="Arial"/>
                <w:szCs w:val="20"/>
              </w:rPr>
            </w:pPr>
            <w:r w:rsidRPr="0001788E">
              <w:rPr>
                <w:rFonts w:ascii="Arial" w:hAnsi="Arial" w:cs="Arial"/>
                <w:szCs w:val="20"/>
              </w:rPr>
              <w:t>0.99 (0.79-1.23)</w:t>
            </w:r>
          </w:p>
        </w:tc>
        <w:tc>
          <w:tcPr>
            <w:tcW w:w="679" w:type="pct"/>
          </w:tcPr>
          <w:p w14:paraId="2EC88575" w14:textId="77777777" w:rsidR="006D45F3" w:rsidRPr="0001788E" w:rsidRDefault="006D45F3" w:rsidP="006D45F3">
            <w:pPr>
              <w:jc w:val="center"/>
              <w:rPr>
                <w:rFonts w:ascii="Arial" w:hAnsi="Arial" w:cs="Arial"/>
                <w:szCs w:val="20"/>
              </w:rPr>
            </w:pPr>
            <w:r w:rsidRPr="0001788E">
              <w:rPr>
                <w:rFonts w:ascii="Arial" w:hAnsi="Arial" w:cs="Arial"/>
                <w:szCs w:val="20"/>
              </w:rPr>
              <w:t>1.00 (0.79-1.27)</w:t>
            </w:r>
          </w:p>
        </w:tc>
        <w:tc>
          <w:tcPr>
            <w:tcW w:w="346" w:type="pct"/>
          </w:tcPr>
          <w:p w14:paraId="5DB4B48A" w14:textId="77777777" w:rsidR="006D45F3" w:rsidRPr="0001788E" w:rsidRDefault="006D45F3" w:rsidP="006D45F3">
            <w:pPr>
              <w:jc w:val="center"/>
              <w:rPr>
                <w:rFonts w:ascii="Arial" w:hAnsi="Arial" w:cs="Arial"/>
                <w:szCs w:val="20"/>
              </w:rPr>
            </w:pPr>
            <w:r w:rsidRPr="0001788E">
              <w:rPr>
                <w:rFonts w:ascii="Arial" w:hAnsi="Arial" w:cs="Arial"/>
                <w:szCs w:val="20"/>
              </w:rPr>
              <w:t>0.992</w:t>
            </w:r>
          </w:p>
        </w:tc>
      </w:tr>
      <w:tr w:rsidR="006D45F3" w:rsidRPr="0001788E" w14:paraId="7D1E7FA2" w14:textId="77777777" w:rsidTr="006D45F3">
        <w:trPr>
          <w:trHeight w:val="237"/>
        </w:trPr>
        <w:tc>
          <w:tcPr>
            <w:tcW w:w="5000" w:type="pct"/>
            <w:gridSpan w:val="7"/>
            <w:vAlign w:val="center"/>
          </w:tcPr>
          <w:p w14:paraId="3C2BF338" w14:textId="605547C6" w:rsidR="006D45F3" w:rsidRPr="0001788E" w:rsidRDefault="0025665E" w:rsidP="006D45F3">
            <w:pPr>
              <w:jc w:val="center"/>
              <w:rPr>
                <w:rFonts w:ascii="Arial" w:hAnsi="Arial" w:cs="Arial"/>
                <w:b/>
                <w:bCs/>
                <w:szCs w:val="20"/>
              </w:rPr>
            </w:pPr>
            <w:r>
              <w:rPr>
                <w:rFonts w:ascii="Arial" w:hAnsi="Arial" w:cs="Arial"/>
                <w:b/>
                <w:bCs/>
                <w:szCs w:val="20"/>
              </w:rPr>
              <w:t>COVID</w:t>
            </w:r>
            <w:r w:rsidR="006D45F3" w:rsidRPr="0001788E">
              <w:rPr>
                <w:rFonts w:ascii="Arial" w:hAnsi="Arial" w:cs="Arial"/>
                <w:b/>
                <w:bCs/>
                <w:szCs w:val="20"/>
              </w:rPr>
              <w:t xml:space="preserve">-19 infection prior to </w:t>
            </w:r>
            <w:r w:rsidR="006D45F3">
              <w:rPr>
                <w:rFonts w:ascii="Arial" w:hAnsi="Arial" w:cs="Arial"/>
                <w:b/>
                <w:bCs/>
                <w:szCs w:val="20"/>
              </w:rPr>
              <w:t>first</w:t>
            </w:r>
            <w:r w:rsidR="006D45F3" w:rsidRPr="0001788E">
              <w:rPr>
                <w:rFonts w:ascii="Arial" w:hAnsi="Arial" w:cs="Arial"/>
                <w:b/>
                <w:bCs/>
                <w:szCs w:val="20"/>
              </w:rPr>
              <w:t xml:space="preserve"> vaccination</w:t>
            </w:r>
            <w:r w:rsidR="006D45F3" w:rsidRPr="0001788E">
              <w:rPr>
                <w:rFonts w:ascii="Arial" w:hAnsi="Arial" w:cs="Arial"/>
                <w:b/>
                <w:bCs/>
                <w:szCs w:val="20"/>
                <w:vertAlign w:val="superscript"/>
              </w:rPr>
              <w:t>†</w:t>
            </w:r>
          </w:p>
        </w:tc>
      </w:tr>
      <w:tr w:rsidR="006D45F3" w:rsidRPr="0001788E" w14:paraId="5218C1F1" w14:textId="77777777" w:rsidTr="006D45F3">
        <w:trPr>
          <w:trHeight w:val="237"/>
        </w:trPr>
        <w:tc>
          <w:tcPr>
            <w:tcW w:w="968" w:type="pct"/>
            <w:vMerge w:val="restart"/>
            <w:vAlign w:val="center"/>
          </w:tcPr>
          <w:p w14:paraId="16137752" w14:textId="77777777" w:rsidR="006D45F3" w:rsidRPr="0001788E" w:rsidRDefault="006D45F3" w:rsidP="006D45F3">
            <w:pPr>
              <w:rPr>
                <w:rFonts w:ascii="Arial" w:hAnsi="Arial" w:cs="Arial"/>
                <w:szCs w:val="20"/>
              </w:rPr>
            </w:pPr>
            <w:r w:rsidRPr="0001788E">
              <w:rPr>
                <w:rFonts w:ascii="Arial" w:hAnsi="Arial" w:cs="Arial"/>
                <w:szCs w:val="20"/>
              </w:rPr>
              <w:t xml:space="preserve">No </w:t>
            </w:r>
          </w:p>
        </w:tc>
        <w:tc>
          <w:tcPr>
            <w:tcW w:w="1067" w:type="pct"/>
          </w:tcPr>
          <w:p w14:paraId="03D535DF" w14:textId="42AF6227" w:rsidR="006D45F3" w:rsidRPr="0001788E" w:rsidRDefault="00D52282" w:rsidP="006D45F3">
            <w:pPr>
              <w:rPr>
                <w:rFonts w:ascii="Arial" w:hAnsi="Arial" w:cs="Arial"/>
                <w:szCs w:val="20"/>
              </w:rPr>
            </w:pPr>
            <w:r>
              <w:rPr>
                <w:rFonts w:ascii="Arial" w:hAnsi="Arial" w:cs="Arial"/>
                <w:szCs w:val="20"/>
              </w:rPr>
              <w:t>Vaccine unexposed b</w:t>
            </w:r>
            <w:r w:rsidR="006D45F3" w:rsidRPr="0001788E">
              <w:rPr>
                <w:rFonts w:ascii="Arial" w:hAnsi="Arial" w:cs="Arial"/>
                <w:szCs w:val="20"/>
              </w:rPr>
              <w:t xml:space="preserve">aseline </w:t>
            </w:r>
          </w:p>
        </w:tc>
        <w:tc>
          <w:tcPr>
            <w:tcW w:w="437" w:type="pct"/>
          </w:tcPr>
          <w:p w14:paraId="25805E84" w14:textId="77777777" w:rsidR="006D45F3" w:rsidRPr="0001788E" w:rsidRDefault="006D45F3" w:rsidP="006D45F3">
            <w:pPr>
              <w:jc w:val="center"/>
              <w:rPr>
                <w:rFonts w:ascii="Arial" w:hAnsi="Arial" w:cs="Arial"/>
                <w:szCs w:val="20"/>
              </w:rPr>
            </w:pPr>
            <w:r w:rsidRPr="0001788E">
              <w:rPr>
                <w:rFonts w:ascii="Arial" w:hAnsi="Arial" w:cs="Arial"/>
                <w:szCs w:val="20"/>
              </w:rPr>
              <w:t>1522</w:t>
            </w:r>
          </w:p>
        </w:tc>
        <w:tc>
          <w:tcPr>
            <w:tcW w:w="629" w:type="pct"/>
          </w:tcPr>
          <w:p w14:paraId="48B6B1C3" w14:textId="77777777" w:rsidR="006D45F3" w:rsidRPr="0001788E" w:rsidRDefault="006D45F3" w:rsidP="006D45F3">
            <w:pPr>
              <w:jc w:val="center"/>
              <w:rPr>
                <w:rFonts w:ascii="Arial" w:hAnsi="Arial" w:cs="Arial"/>
                <w:szCs w:val="20"/>
              </w:rPr>
            </w:pPr>
            <w:r w:rsidRPr="0001788E">
              <w:rPr>
                <w:rFonts w:ascii="Arial" w:hAnsi="Arial" w:cs="Arial"/>
                <w:szCs w:val="20"/>
              </w:rPr>
              <w:t>558607</w:t>
            </w:r>
          </w:p>
        </w:tc>
        <w:tc>
          <w:tcPr>
            <w:tcW w:w="874" w:type="pct"/>
          </w:tcPr>
          <w:p w14:paraId="23CE6E71"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416FAE68"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74829EF3" w14:textId="77777777" w:rsidR="006D45F3" w:rsidRPr="0001788E" w:rsidRDefault="006D45F3" w:rsidP="006D45F3">
            <w:pPr>
              <w:jc w:val="center"/>
              <w:rPr>
                <w:rFonts w:ascii="Arial" w:hAnsi="Arial" w:cs="Arial"/>
                <w:szCs w:val="20"/>
              </w:rPr>
            </w:pPr>
            <w:r w:rsidRPr="0001788E">
              <w:rPr>
                <w:rFonts w:ascii="Arial" w:hAnsi="Arial" w:cs="Arial"/>
                <w:szCs w:val="20"/>
              </w:rPr>
              <w:t xml:space="preserve">-/- </w:t>
            </w:r>
          </w:p>
        </w:tc>
      </w:tr>
      <w:tr w:rsidR="006D45F3" w:rsidRPr="0001788E" w14:paraId="1727DD14" w14:textId="77777777" w:rsidTr="006D45F3">
        <w:trPr>
          <w:trHeight w:val="253"/>
        </w:trPr>
        <w:tc>
          <w:tcPr>
            <w:tcW w:w="968" w:type="pct"/>
            <w:vMerge/>
            <w:vAlign w:val="center"/>
          </w:tcPr>
          <w:p w14:paraId="1AD52986" w14:textId="77777777" w:rsidR="006D45F3" w:rsidRPr="0001788E" w:rsidRDefault="006D45F3" w:rsidP="006D45F3">
            <w:pPr>
              <w:rPr>
                <w:rFonts w:ascii="Arial" w:hAnsi="Arial" w:cs="Arial"/>
                <w:szCs w:val="20"/>
              </w:rPr>
            </w:pPr>
          </w:p>
        </w:tc>
        <w:tc>
          <w:tcPr>
            <w:tcW w:w="1067" w:type="pct"/>
          </w:tcPr>
          <w:p w14:paraId="7EA6AD87" w14:textId="5D55493C" w:rsidR="006D45F3" w:rsidRPr="0001788E" w:rsidRDefault="00D52282" w:rsidP="006D45F3">
            <w:pPr>
              <w:rPr>
                <w:rFonts w:ascii="Arial" w:hAnsi="Arial" w:cs="Arial"/>
                <w:szCs w:val="20"/>
              </w:rPr>
            </w:pPr>
            <w:r>
              <w:rPr>
                <w:rFonts w:ascii="Arial" w:hAnsi="Arial" w:cs="Arial"/>
                <w:szCs w:val="20"/>
              </w:rPr>
              <w:t>P</w:t>
            </w:r>
            <w:r w:rsidR="006D45F3" w:rsidRPr="0001788E">
              <w:rPr>
                <w:rFonts w:ascii="Arial" w:hAnsi="Arial" w:cs="Arial"/>
                <w:szCs w:val="20"/>
              </w:rPr>
              <w:t>re-vaccination</w:t>
            </w:r>
          </w:p>
        </w:tc>
        <w:tc>
          <w:tcPr>
            <w:tcW w:w="437" w:type="pct"/>
          </w:tcPr>
          <w:p w14:paraId="5B5C088E" w14:textId="77777777" w:rsidR="006D45F3" w:rsidRPr="0001788E" w:rsidRDefault="006D45F3" w:rsidP="006D45F3">
            <w:pPr>
              <w:jc w:val="center"/>
              <w:rPr>
                <w:rFonts w:ascii="Arial" w:hAnsi="Arial" w:cs="Arial"/>
                <w:szCs w:val="20"/>
              </w:rPr>
            </w:pPr>
            <w:r w:rsidRPr="0001788E">
              <w:rPr>
                <w:rFonts w:ascii="Arial" w:hAnsi="Arial" w:cs="Arial"/>
                <w:szCs w:val="20"/>
              </w:rPr>
              <w:t>90</w:t>
            </w:r>
          </w:p>
        </w:tc>
        <w:tc>
          <w:tcPr>
            <w:tcW w:w="629" w:type="pct"/>
          </w:tcPr>
          <w:p w14:paraId="74C11ACE" w14:textId="77777777" w:rsidR="006D45F3" w:rsidRPr="0001788E" w:rsidRDefault="006D45F3" w:rsidP="006D45F3">
            <w:pPr>
              <w:jc w:val="center"/>
              <w:rPr>
                <w:rFonts w:ascii="Arial" w:hAnsi="Arial" w:cs="Arial"/>
                <w:szCs w:val="20"/>
              </w:rPr>
            </w:pPr>
            <w:r w:rsidRPr="0001788E">
              <w:rPr>
                <w:rFonts w:ascii="Arial" w:hAnsi="Arial" w:cs="Arial"/>
                <w:szCs w:val="20"/>
              </w:rPr>
              <w:t>32389</w:t>
            </w:r>
          </w:p>
        </w:tc>
        <w:tc>
          <w:tcPr>
            <w:tcW w:w="874" w:type="pct"/>
          </w:tcPr>
          <w:p w14:paraId="2F2E4E44" w14:textId="77777777" w:rsidR="006D45F3" w:rsidRPr="0001788E" w:rsidRDefault="006D45F3" w:rsidP="006D45F3">
            <w:pPr>
              <w:jc w:val="center"/>
              <w:rPr>
                <w:rFonts w:ascii="Arial" w:hAnsi="Arial" w:cs="Arial"/>
                <w:szCs w:val="20"/>
              </w:rPr>
            </w:pPr>
            <w:r w:rsidRPr="0001788E">
              <w:rPr>
                <w:rFonts w:ascii="Arial" w:hAnsi="Arial" w:cs="Arial"/>
                <w:szCs w:val="20"/>
              </w:rPr>
              <w:t>1.02 (0.82-1.26)</w:t>
            </w:r>
          </w:p>
        </w:tc>
        <w:tc>
          <w:tcPr>
            <w:tcW w:w="679" w:type="pct"/>
          </w:tcPr>
          <w:p w14:paraId="1E7D633E" w14:textId="77777777" w:rsidR="006D45F3" w:rsidRPr="0001788E" w:rsidRDefault="006D45F3" w:rsidP="006D45F3">
            <w:pPr>
              <w:jc w:val="center"/>
              <w:rPr>
                <w:rFonts w:ascii="Arial" w:hAnsi="Arial" w:cs="Arial"/>
                <w:szCs w:val="20"/>
              </w:rPr>
            </w:pPr>
            <w:r w:rsidRPr="0001788E">
              <w:rPr>
                <w:rFonts w:ascii="Arial" w:hAnsi="Arial" w:cs="Arial"/>
                <w:szCs w:val="20"/>
              </w:rPr>
              <w:t>0.98 (0.79-1.22</w:t>
            </w:r>
          </w:p>
        </w:tc>
        <w:tc>
          <w:tcPr>
            <w:tcW w:w="346" w:type="pct"/>
          </w:tcPr>
          <w:p w14:paraId="4B550183" w14:textId="77777777" w:rsidR="006D45F3" w:rsidRPr="0001788E" w:rsidRDefault="006D45F3" w:rsidP="006D45F3">
            <w:pPr>
              <w:jc w:val="center"/>
              <w:rPr>
                <w:rFonts w:ascii="Arial" w:hAnsi="Arial" w:cs="Arial"/>
                <w:szCs w:val="20"/>
              </w:rPr>
            </w:pPr>
            <w:r w:rsidRPr="0001788E">
              <w:rPr>
                <w:rFonts w:ascii="Arial" w:hAnsi="Arial" w:cs="Arial"/>
                <w:szCs w:val="20"/>
              </w:rPr>
              <w:t>0.872</w:t>
            </w:r>
          </w:p>
        </w:tc>
      </w:tr>
      <w:tr w:rsidR="006D45F3" w:rsidRPr="0001788E" w14:paraId="5BDA9BF9" w14:textId="77777777" w:rsidTr="006D45F3">
        <w:trPr>
          <w:trHeight w:val="253"/>
        </w:trPr>
        <w:tc>
          <w:tcPr>
            <w:tcW w:w="968" w:type="pct"/>
            <w:vMerge/>
            <w:vAlign w:val="center"/>
          </w:tcPr>
          <w:p w14:paraId="6F58FD9D" w14:textId="77777777" w:rsidR="006D45F3" w:rsidRPr="0001788E" w:rsidRDefault="006D45F3" w:rsidP="006D45F3">
            <w:pPr>
              <w:rPr>
                <w:rFonts w:ascii="Arial" w:hAnsi="Arial" w:cs="Arial"/>
                <w:szCs w:val="20"/>
              </w:rPr>
            </w:pPr>
          </w:p>
        </w:tc>
        <w:tc>
          <w:tcPr>
            <w:tcW w:w="1067" w:type="pct"/>
          </w:tcPr>
          <w:p w14:paraId="44065676" w14:textId="0FD7B024"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w:t>
            </w:r>
            <w:r>
              <w:rPr>
                <w:rFonts w:ascii="Arial" w:hAnsi="Arial" w:cs="Arial"/>
                <w:szCs w:val="20"/>
              </w:rPr>
              <w:t>ne exposed</w:t>
            </w:r>
          </w:p>
        </w:tc>
        <w:tc>
          <w:tcPr>
            <w:tcW w:w="437" w:type="pct"/>
          </w:tcPr>
          <w:p w14:paraId="422FD265" w14:textId="77777777" w:rsidR="006D45F3" w:rsidRPr="0001788E" w:rsidRDefault="006D45F3" w:rsidP="006D45F3">
            <w:pPr>
              <w:jc w:val="center"/>
              <w:rPr>
                <w:rFonts w:ascii="Arial" w:hAnsi="Arial" w:cs="Arial"/>
                <w:szCs w:val="20"/>
              </w:rPr>
            </w:pPr>
            <w:r w:rsidRPr="0001788E">
              <w:rPr>
                <w:rFonts w:ascii="Arial" w:hAnsi="Arial" w:cs="Arial"/>
                <w:szCs w:val="20"/>
              </w:rPr>
              <w:t>250</w:t>
            </w:r>
          </w:p>
        </w:tc>
        <w:tc>
          <w:tcPr>
            <w:tcW w:w="629" w:type="pct"/>
          </w:tcPr>
          <w:p w14:paraId="3FA74B40" w14:textId="77777777" w:rsidR="006D45F3" w:rsidRPr="0001788E" w:rsidRDefault="006D45F3" w:rsidP="006D45F3">
            <w:pPr>
              <w:jc w:val="center"/>
              <w:rPr>
                <w:rFonts w:ascii="Arial" w:hAnsi="Arial" w:cs="Arial"/>
                <w:szCs w:val="20"/>
              </w:rPr>
            </w:pPr>
            <w:r w:rsidRPr="0001788E">
              <w:rPr>
                <w:rFonts w:ascii="Arial" w:hAnsi="Arial" w:cs="Arial"/>
                <w:szCs w:val="20"/>
              </w:rPr>
              <w:t>94533</w:t>
            </w:r>
          </w:p>
        </w:tc>
        <w:tc>
          <w:tcPr>
            <w:tcW w:w="874" w:type="pct"/>
          </w:tcPr>
          <w:p w14:paraId="0FFEB8EF" w14:textId="77777777" w:rsidR="006D45F3" w:rsidRPr="0001788E" w:rsidRDefault="006D45F3" w:rsidP="006D45F3">
            <w:pPr>
              <w:jc w:val="center"/>
              <w:rPr>
                <w:rFonts w:ascii="Arial" w:hAnsi="Arial" w:cs="Arial"/>
                <w:szCs w:val="20"/>
              </w:rPr>
            </w:pPr>
            <w:r w:rsidRPr="0001788E">
              <w:rPr>
                <w:rFonts w:ascii="Arial" w:hAnsi="Arial" w:cs="Arial"/>
                <w:szCs w:val="20"/>
              </w:rPr>
              <w:t>0.97 (0.85-1.11)</w:t>
            </w:r>
          </w:p>
        </w:tc>
        <w:tc>
          <w:tcPr>
            <w:tcW w:w="679" w:type="pct"/>
          </w:tcPr>
          <w:p w14:paraId="3A0964C4" w14:textId="77777777" w:rsidR="006D45F3" w:rsidRPr="0001788E" w:rsidRDefault="006D45F3" w:rsidP="006D45F3">
            <w:pPr>
              <w:jc w:val="center"/>
              <w:rPr>
                <w:rFonts w:ascii="Arial" w:hAnsi="Arial" w:cs="Arial"/>
                <w:szCs w:val="20"/>
              </w:rPr>
            </w:pPr>
            <w:r w:rsidRPr="0001788E">
              <w:rPr>
                <w:rFonts w:ascii="Arial" w:hAnsi="Arial" w:cs="Arial"/>
                <w:szCs w:val="20"/>
              </w:rPr>
              <w:t>0.93 (0.80-1.07)</w:t>
            </w:r>
          </w:p>
        </w:tc>
        <w:tc>
          <w:tcPr>
            <w:tcW w:w="346" w:type="pct"/>
          </w:tcPr>
          <w:p w14:paraId="156B9909" w14:textId="77777777" w:rsidR="006D45F3" w:rsidRPr="0001788E" w:rsidRDefault="006D45F3" w:rsidP="006D45F3">
            <w:pPr>
              <w:jc w:val="center"/>
              <w:rPr>
                <w:rFonts w:ascii="Arial" w:hAnsi="Arial" w:cs="Arial"/>
                <w:szCs w:val="20"/>
              </w:rPr>
            </w:pPr>
            <w:r w:rsidRPr="0001788E">
              <w:rPr>
                <w:rFonts w:ascii="Arial" w:hAnsi="Arial" w:cs="Arial"/>
                <w:szCs w:val="20"/>
              </w:rPr>
              <w:t>0.291</w:t>
            </w:r>
          </w:p>
        </w:tc>
      </w:tr>
      <w:tr w:rsidR="006D45F3" w:rsidRPr="0001788E" w14:paraId="33798730" w14:textId="77777777" w:rsidTr="006D45F3">
        <w:trPr>
          <w:trHeight w:val="237"/>
        </w:trPr>
        <w:tc>
          <w:tcPr>
            <w:tcW w:w="968" w:type="pct"/>
            <w:vMerge w:val="restart"/>
            <w:vAlign w:val="center"/>
          </w:tcPr>
          <w:p w14:paraId="6C9E9804" w14:textId="77777777" w:rsidR="006D45F3" w:rsidRPr="0001788E" w:rsidRDefault="006D45F3" w:rsidP="006D45F3">
            <w:pPr>
              <w:rPr>
                <w:rFonts w:ascii="Arial" w:hAnsi="Arial" w:cs="Arial"/>
                <w:szCs w:val="20"/>
              </w:rPr>
            </w:pPr>
            <w:r w:rsidRPr="0001788E">
              <w:rPr>
                <w:rFonts w:ascii="Arial" w:hAnsi="Arial" w:cs="Arial"/>
                <w:szCs w:val="20"/>
              </w:rPr>
              <w:t xml:space="preserve">Yes </w:t>
            </w:r>
          </w:p>
        </w:tc>
        <w:tc>
          <w:tcPr>
            <w:tcW w:w="1067" w:type="pct"/>
          </w:tcPr>
          <w:p w14:paraId="1B3AB543" w14:textId="608D09AD" w:rsidR="006D45F3" w:rsidRPr="0001788E" w:rsidRDefault="00D52282" w:rsidP="006D45F3">
            <w:pPr>
              <w:rPr>
                <w:rFonts w:ascii="Arial" w:hAnsi="Arial" w:cs="Arial"/>
                <w:szCs w:val="20"/>
              </w:rPr>
            </w:pPr>
            <w:r>
              <w:rPr>
                <w:rFonts w:ascii="Arial" w:hAnsi="Arial" w:cs="Arial"/>
                <w:szCs w:val="20"/>
              </w:rPr>
              <w:t>Vaccine unexposed b</w:t>
            </w:r>
            <w:r w:rsidR="006D45F3" w:rsidRPr="0001788E">
              <w:rPr>
                <w:rFonts w:ascii="Arial" w:hAnsi="Arial" w:cs="Arial"/>
                <w:szCs w:val="20"/>
              </w:rPr>
              <w:t xml:space="preserve">aseline </w:t>
            </w:r>
          </w:p>
        </w:tc>
        <w:tc>
          <w:tcPr>
            <w:tcW w:w="437" w:type="pct"/>
          </w:tcPr>
          <w:p w14:paraId="36487CB8" w14:textId="77777777" w:rsidR="006D45F3" w:rsidRPr="0001788E" w:rsidRDefault="006D45F3" w:rsidP="006D45F3">
            <w:pPr>
              <w:jc w:val="center"/>
              <w:rPr>
                <w:rFonts w:ascii="Arial" w:hAnsi="Arial" w:cs="Arial"/>
                <w:szCs w:val="20"/>
              </w:rPr>
            </w:pPr>
            <w:r w:rsidRPr="0001788E">
              <w:rPr>
                <w:rFonts w:ascii="Arial" w:hAnsi="Arial" w:cs="Arial"/>
                <w:szCs w:val="20"/>
              </w:rPr>
              <w:t>179</w:t>
            </w:r>
          </w:p>
        </w:tc>
        <w:tc>
          <w:tcPr>
            <w:tcW w:w="629" w:type="pct"/>
          </w:tcPr>
          <w:p w14:paraId="15E56D39" w14:textId="77777777" w:rsidR="006D45F3" w:rsidRPr="0001788E" w:rsidRDefault="006D45F3" w:rsidP="006D45F3">
            <w:pPr>
              <w:jc w:val="center"/>
              <w:rPr>
                <w:rFonts w:ascii="Arial" w:hAnsi="Arial" w:cs="Arial"/>
                <w:szCs w:val="20"/>
              </w:rPr>
            </w:pPr>
            <w:r w:rsidRPr="0001788E">
              <w:rPr>
                <w:rFonts w:ascii="Arial" w:hAnsi="Arial" w:cs="Arial"/>
                <w:szCs w:val="20"/>
              </w:rPr>
              <w:t>63019</w:t>
            </w:r>
          </w:p>
        </w:tc>
        <w:tc>
          <w:tcPr>
            <w:tcW w:w="874" w:type="pct"/>
          </w:tcPr>
          <w:p w14:paraId="1D9BD709"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679" w:type="pct"/>
          </w:tcPr>
          <w:p w14:paraId="7E953800" w14:textId="77777777" w:rsidR="006D45F3" w:rsidRPr="0001788E" w:rsidRDefault="006D45F3" w:rsidP="006D45F3">
            <w:pPr>
              <w:jc w:val="center"/>
              <w:rPr>
                <w:rFonts w:ascii="Arial" w:hAnsi="Arial" w:cs="Arial"/>
                <w:szCs w:val="20"/>
              </w:rPr>
            </w:pPr>
            <w:r w:rsidRPr="0001788E">
              <w:rPr>
                <w:rFonts w:ascii="Arial" w:hAnsi="Arial" w:cs="Arial"/>
                <w:szCs w:val="20"/>
              </w:rPr>
              <w:t>1</w:t>
            </w:r>
          </w:p>
        </w:tc>
        <w:tc>
          <w:tcPr>
            <w:tcW w:w="346" w:type="pct"/>
          </w:tcPr>
          <w:p w14:paraId="3D925FFF" w14:textId="77777777" w:rsidR="006D45F3" w:rsidRPr="0001788E" w:rsidRDefault="006D45F3" w:rsidP="006D45F3">
            <w:pPr>
              <w:jc w:val="center"/>
              <w:rPr>
                <w:rFonts w:ascii="Arial" w:hAnsi="Arial" w:cs="Arial"/>
                <w:szCs w:val="20"/>
              </w:rPr>
            </w:pPr>
            <w:r w:rsidRPr="0001788E">
              <w:rPr>
                <w:rFonts w:ascii="Arial" w:hAnsi="Arial" w:cs="Arial"/>
                <w:szCs w:val="20"/>
              </w:rPr>
              <w:t>-/-</w:t>
            </w:r>
          </w:p>
        </w:tc>
      </w:tr>
      <w:tr w:rsidR="006D45F3" w:rsidRPr="0001788E" w14:paraId="4368F78D" w14:textId="77777777" w:rsidTr="006D45F3">
        <w:trPr>
          <w:trHeight w:val="253"/>
        </w:trPr>
        <w:tc>
          <w:tcPr>
            <w:tcW w:w="968" w:type="pct"/>
            <w:vMerge/>
            <w:vAlign w:val="center"/>
          </w:tcPr>
          <w:p w14:paraId="58441633" w14:textId="77777777" w:rsidR="006D45F3" w:rsidRPr="0001788E" w:rsidRDefault="006D45F3" w:rsidP="006D45F3">
            <w:pPr>
              <w:rPr>
                <w:rFonts w:ascii="Arial" w:hAnsi="Arial" w:cs="Arial"/>
                <w:szCs w:val="20"/>
              </w:rPr>
            </w:pPr>
          </w:p>
        </w:tc>
        <w:tc>
          <w:tcPr>
            <w:tcW w:w="1067" w:type="pct"/>
          </w:tcPr>
          <w:p w14:paraId="47149398" w14:textId="1DB91F52" w:rsidR="006D45F3" w:rsidRPr="0001788E" w:rsidRDefault="006D45F3" w:rsidP="006D45F3">
            <w:pPr>
              <w:rPr>
                <w:rFonts w:ascii="Arial" w:hAnsi="Arial" w:cs="Arial"/>
                <w:szCs w:val="20"/>
              </w:rPr>
            </w:pPr>
            <w:r w:rsidRPr="0001788E">
              <w:rPr>
                <w:rFonts w:ascii="Arial" w:hAnsi="Arial" w:cs="Arial"/>
                <w:szCs w:val="20"/>
              </w:rPr>
              <w:t xml:space="preserve"> </w:t>
            </w:r>
            <w:r w:rsidR="00D52282">
              <w:rPr>
                <w:rFonts w:ascii="Arial" w:hAnsi="Arial" w:cs="Arial"/>
                <w:szCs w:val="20"/>
              </w:rPr>
              <w:t>P</w:t>
            </w:r>
            <w:r w:rsidRPr="0001788E">
              <w:rPr>
                <w:rFonts w:ascii="Arial" w:hAnsi="Arial" w:cs="Arial"/>
                <w:szCs w:val="20"/>
              </w:rPr>
              <w:t>re-vaccination</w:t>
            </w:r>
          </w:p>
        </w:tc>
        <w:tc>
          <w:tcPr>
            <w:tcW w:w="437" w:type="pct"/>
          </w:tcPr>
          <w:p w14:paraId="7B6F0BBA" w14:textId="77777777" w:rsidR="006D45F3" w:rsidRPr="0001788E" w:rsidRDefault="006D45F3" w:rsidP="006D45F3">
            <w:pPr>
              <w:jc w:val="center"/>
              <w:rPr>
                <w:rFonts w:ascii="Arial" w:hAnsi="Arial" w:cs="Arial"/>
                <w:szCs w:val="20"/>
              </w:rPr>
            </w:pPr>
            <w:r w:rsidRPr="0001788E">
              <w:rPr>
                <w:rFonts w:ascii="Arial" w:hAnsi="Arial" w:cs="Arial"/>
                <w:szCs w:val="20"/>
              </w:rPr>
              <w:t>13</w:t>
            </w:r>
          </w:p>
        </w:tc>
        <w:tc>
          <w:tcPr>
            <w:tcW w:w="629" w:type="pct"/>
          </w:tcPr>
          <w:p w14:paraId="6E21D2C8" w14:textId="77777777" w:rsidR="006D45F3" w:rsidRPr="0001788E" w:rsidRDefault="006D45F3" w:rsidP="006D45F3">
            <w:pPr>
              <w:jc w:val="center"/>
              <w:rPr>
                <w:rFonts w:ascii="Arial" w:hAnsi="Arial" w:cs="Arial"/>
                <w:szCs w:val="20"/>
              </w:rPr>
            </w:pPr>
            <w:r w:rsidRPr="0001788E">
              <w:rPr>
                <w:rFonts w:ascii="Arial" w:hAnsi="Arial" w:cs="Arial"/>
                <w:szCs w:val="20"/>
              </w:rPr>
              <w:t>3794</w:t>
            </w:r>
          </w:p>
        </w:tc>
        <w:tc>
          <w:tcPr>
            <w:tcW w:w="874" w:type="pct"/>
          </w:tcPr>
          <w:p w14:paraId="22A0385F" w14:textId="77777777" w:rsidR="006D45F3" w:rsidRPr="0001788E" w:rsidRDefault="006D45F3" w:rsidP="006D45F3">
            <w:pPr>
              <w:jc w:val="center"/>
              <w:rPr>
                <w:rFonts w:ascii="Arial" w:hAnsi="Arial" w:cs="Arial"/>
                <w:szCs w:val="20"/>
              </w:rPr>
            </w:pPr>
            <w:r w:rsidRPr="0001788E">
              <w:rPr>
                <w:rFonts w:ascii="Arial" w:hAnsi="Arial" w:cs="Arial"/>
                <w:szCs w:val="20"/>
              </w:rPr>
              <w:t>1.20 (0.68-2.10)</w:t>
            </w:r>
          </w:p>
        </w:tc>
        <w:tc>
          <w:tcPr>
            <w:tcW w:w="679" w:type="pct"/>
          </w:tcPr>
          <w:p w14:paraId="779F55C5" w14:textId="77777777" w:rsidR="006D45F3" w:rsidRPr="0001788E" w:rsidRDefault="006D45F3" w:rsidP="006D45F3">
            <w:pPr>
              <w:jc w:val="center"/>
              <w:rPr>
                <w:rFonts w:ascii="Arial" w:hAnsi="Arial" w:cs="Arial"/>
                <w:szCs w:val="20"/>
              </w:rPr>
            </w:pPr>
            <w:r w:rsidRPr="0001788E">
              <w:rPr>
                <w:rFonts w:ascii="Arial" w:hAnsi="Arial" w:cs="Arial"/>
                <w:szCs w:val="20"/>
              </w:rPr>
              <w:t>1.17 (0.66-2.07)</w:t>
            </w:r>
          </w:p>
        </w:tc>
        <w:tc>
          <w:tcPr>
            <w:tcW w:w="346" w:type="pct"/>
          </w:tcPr>
          <w:p w14:paraId="36AA6EC9" w14:textId="77777777" w:rsidR="006D45F3" w:rsidRPr="0001788E" w:rsidRDefault="006D45F3" w:rsidP="006D45F3">
            <w:pPr>
              <w:jc w:val="center"/>
              <w:rPr>
                <w:rFonts w:ascii="Arial" w:hAnsi="Arial" w:cs="Arial"/>
                <w:szCs w:val="20"/>
              </w:rPr>
            </w:pPr>
            <w:r w:rsidRPr="0001788E">
              <w:rPr>
                <w:rFonts w:ascii="Arial" w:hAnsi="Arial" w:cs="Arial"/>
                <w:szCs w:val="20"/>
              </w:rPr>
              <w:t>0.593</w:t>
            </w:r>
          </w:p>
        </w:tc>
      </w:tr>
      <w:tr w:rsidR="006D45F3" w:rsidRPr="0001788E" w14:paraId="1526BD56" w14:textId="77777777" w:rsidTr="006D45F3">
        <w:trPr>
          <w:trHeight w:val="237"/>
        </w:trPr>
        <w:tc>
          <w:tcPr>
            <w:tcW w:w="968" w:type="pct"/>
            <w:vMerge/>
            <w:vAlign w:val="center"/>
          </w:tcPr>
          <w:p w14:paraId="2CEDB098" w14:textId="77777777" w:rsidR="006D45F3" w:rsidRPr="0001788E" w:rsidRDefault="006D45F3" w:rsidP="006D45F3">
            <w:pPr>
              <w:rPr>
                <w:rFonts w:ascii="Arial" w:hAnsi="Arial" w:cs="Arial"/>
                <w:szCs w:val="20"/>
              </w:rPr>
            </w:pPr>
          </w:p>
        </w:tc>
        <w:tc>
          <w:tcPr>
            <w:tcW w:w="1067" w:type="pct"/>
          </w:tcPr>
          <w:p w14:paraId="359C7EED" w14:textId="4E20096A" w:rsidR="006D45F3" w:rsidRPr="0001788E" w:rsidRDefault="00D52282" w:rsidP="006D45F3">
            <w:pPr>
              <w:rPr>
                <w:rFonts w:ascii="Arial" w:hAnsi="Arial" w:cs="Arial"/>
                <w:szCs w:val="20"/>
              </w:rPr>
            </w:pPr>
            <w:r>
              <w:rPr>
                <w:rFonts w:ascii="Arial" w:hAnsi="Arial" w:cs="Arial"/>
                <w:szCs w:val="20"/>
              </w:rPr>
              <w:t>V</w:t>
            </w:r>
            <w:r w:rsidR="006D45F3" w:rsidRPr="0001788E">
              <w:rPr>
                <w:rFonts w:ascii="Arial" w:hAnsi="Arial" w:cs="Arial"/>
                <w:szCs w:val="20"/>
              </w:rPr>
              <w:t>accin</w:t>
            </w:r>
            <w:r>
              <w:rPr>
                <w:rFonts w:ascii="Arial" w:hAnsi="Arial" w:cs="Arial"/>
                <w:szCs w:val="20"/>
              </w:rPr>
              <w:t>e exposed</w:t>
            </w:r>
          </w:p>
        </w:tc>
        <w:tc>
          <w:tcPr>
            <w:tcW w:w="437" w:type="pct"/>
          </w:tcPr>
          <w:p w14:paraId="4FBE1D6B" w14:textId="77777777" w:rsidR="006D45F3" w:rsidRPr="0001788E" w:rsidRDefault="006D45F3" w:rsidP="006D45F3">
            <w:pPr>
              <w:jc w:val="center"/>
              <w:rPr>
                <w:rFonts w:ascii="Arial" w:hAnsi="Arial" w:cs="Arial"/>
                <w:szCs w:val="20"/>
              </w:rPr>
            </w:pPr>
            <w:r w:rsidRPr="0001788E">
              <w:rPr>
                <w:rFonts w:ascii="Arial" w:hAnsi="Arial" w:cs="Arial"/>
                <w:szCs w:val="20"/>
              </w:rPr>
              <w:t>19</w:t>
            </w:r>
          </w:p>
        </w:tc>
        <w:tc>
          <w:tcPr>
            <w:tcW w:w="629" w:type="pct"/>
          </w:tcPr>
          <w:p w14:paraId="4B7B6B1C" w14:textId="77777777" w:rsidR="006D45F3" w:rsidRPr="0001788E" w:rsidRDefault="006D45F3" w:rsidP="006D45F3">
            <w:pPr>
              <w:jc w:val="center"/>
              <w:rPr>
                <w:rFonts w:ascii="Arial" w:hAnsi="Arial" w:cs="Arial"/>
                <w:szCs w:val="20"/>
              </w:rPr>
            </w:pPr>
            <w:r w:rsidRPr="0001788E">
              <w:rPr>
                <w:rFonts w:ascii="Arial" w:hAnsi="Arial" w:cs="Arial"/>
                <w:szCs w:val="20"/>
              </w:rPr>
              <w:t>10688</w:t>
            </w:r>
          </w:p>
        </w:tc>
        <w:tc>
          <w:tcPr>
            <w:tcW w:w="874" w:type="pct"/>
          </w:tcPr>
          <w:p w14:paraId="58C8F7D3" w14:textId="77777777" w:rsidR="006D45F3" w:rsidRPr="0001788E" w:rsidRDefault="006D45F3" w:rsidP="006D45F3">
            <w:pPr>
              <w:jc w:val="center"/>
              <w:rPr>
                <w:rFonts w:ascii="Arial" w:hAnsi="Arial" w:cs="Arial"/>
                <w:szCs w:val="20"/>
              </w:rPr>
            </w:pPr>
            <w:r w:rsidRPr="0001788E">
              <w:rPr>
                <w:rFonts w:ascii="Arial" w:hAnsi="Arial" w:cs="Arial"/>
                <w:szCs w:val="20"/>
              </w:rPr>
              <w:t>0.62 (0.36-1.00)</w:t>
            </w:r>
          </w:p>
        </w:tc>
        <w:tc>
          <w:tcPr>
            <w:tcW w:w="679" w:type="pct"/>
          </w:tcPr>
          <w:p w14:paraId="30D82DA6" w14:textId="77777777" w:rsidR="006D45F3" w:rsidRPr="0001788E" w:rsidRDefault="006D45F3" w:rsidP="006D45F3">
            <w:pPr>
              <w:jc w:val="center"/>
              <w:rPr>
                <w:rFonts w:ascii="Arial" w:hAnsi="Arial" w:cs="Arial"/>
                <w:szCs w:val="20"/>
              </w:rPr>
            </w:pPr>
            <w:r w:rsidRPr="0001788E">
              <w:rPr>
                <w:rFonts w:ascii="Arial" w:hAnsi="Arial" w:cs="Arial"/>
                <w:szCs w:val="20"/>
              </w:rPr>
              <w:t>0.58 (0.35-0.95)</w:t>
            </w:r>
          </w:p>
        </w:tc>
        <w:tc>
          <w:tcPr>
            <w:tcW w:w="346" w:type="pct"/>
          </w:tcPr>
          <w:p w14:paraId="705C0488" w14:textId="35129999" w:rsidR="006D45F3" w:rsidRPr="0001788E" w:rsidRDefault="006D45F3" w:rsidP="006D45F3">
            <w:pPr>
              <w:jc w:val="center"/>
              <w:rPr>
                <w:rFonts w:ascii="Arial" w:hAnsi="Arial" w:cs="Arial"/>
                <w:szCs w:val="20"/>
              </w:rPr>
            </w:pPr>
            <w:r w:rsidRPr="0001788E">
              <w:rPr>
                <w:rFonts w:ascii="Arial" w:hAnsi="Arial" w:cs="Arial"/>
                <w:szCs w:val="20"/>
              </w:rPr>
              <w:t>0.031</w:t>
            </w:r>
          </w:p>
        </w:tc>
      </w:tr>
    </w:tbl>
    <w:p w14:paraId="268A7A5B" w14:textId="77777777" w:rsidR="00A879C1" w:rsidRPr="0001788E" w:rsidRDefault="00A879C1" w:rsidP="00A879C1">
      <w:pPr>
        <w:rPr>
          <w:rFonts w:ascii="Arial" w:hAnsi="Arial" w:cs="Arial"/>
        </w:rPr>
      </w:pPr>
    </w:p>
    <w:p w14:paraId="245F2CF3" w14:textId="3E160B2A" w:rsidR="00A879C1" w:rsidRPr="0001788E" w:rsidRDefault="00A879C1" w:rsidP="00A879C1">
      <w:pPr>
        <w:rPr>
          <w:rFonts w:ascii="Arial" w:hAnsi="Arial" w:cs="Arial"/>
          <w:szCs w:val="20"/>
        </w:rPr>
      </w:pPr>
      <w:r w:rsidRPr="0001788E">
        <w:rPr>
          <w:rFonts w:ascii="Arial" w:hAnsi="Arial" w:cs="Arial"/>
          <w:szCs w:val="20"/>
        </w:rPr>
        <w:lastRenderedPageBreak/>
        <w:t xml:space="preserve">*Adjusted for seasons </w:t>
      </w:r>
      <w:r w:rsidR="00D52282">
        <w:rPr>
          <w:rFonts w:ascii="Arial" w:hAnsi="Arial" w:cs="Arial"/>
          <w:szCs w:val="20"/>
        </w:rPr>
        <w:t>as per the Meteorological Office</w:t>
      </w:r>
    </w:p>
    <w:p w14:paraId="724C3B05" w14:textId="6EB7140F" w:rsidR="00A879C1" w:rsidRPr="0001788E" w:rsidRDefault="00A879C1" w:rsidP="00A879C1">
      <w:pPr>
        <w:rPr>
          <w:rFonts w:ascii="Arial" w:hAnsi="Arial" w:cs="Arial"/>
          <w:szCs w:val="20"/>
        </w:rPr>
      </w:pPr>
      <w:r w:rsidRPr="0001788E">
        <w:rPr>
          <w:rFonts w:ascii="Arial" w:hAnsi="Arial" w:cs="Arial"/>
          <w:b/>
          <w:szCs w:val="20"/>
          <w:vertAlign w:val="superscript"/>
        </w:rPr>
        <w:t>‡</w:t>
      </w:r>
      <w:r w:rsidRPr="0001788E">
        <w:rPr>
          <w:rFonts w:ascii="Arial" w:hAnsi="Arial" w:cs="Arial"/>
          <w:szCs w:val="20"/>
        </w:rPr>
        <w:t xml:space="preserve"> First vaccine dose analysed. People vaccinated with </w:t>
      </w:r>
      <w:r w:rsidR="00D52282">
        <w:rPr>
          <w:rFonts w:ascii="Arial" w:hAnsi="Arial" w:cs="Arial"/>
          <w:szCs w:val="20"/>
        </w:rPr>
        <w:t>mRNA-1273</w:t>
      </w:r>
      <w:r w:rsidRPr="0001788E">
        <w:rPr>
          <w:rFonts w:ascii="Arial" w:hAnsi="Arial" w:cs="Arial"/>
          <w:szCs w:val="20"/>
        </w:rPr>
        <w:t xml:space="preserve"> vaccine (n=23) were excluded from this analysis. </w:t>
      </w:r>
    </w:p>
    <w:p w14:paraId="7181195D" w14:textId="77777777" w:rsidR="00A879C1" w:rsidRPr="0001788E" w:rsidRDefault="00A879C1" w:rsidP="00A879C1">
      <w:pPr>
        <w:rPr>
          <w:rFonts w:ascii="Arial" w:hAnsi="Arial" w:cs="Arial"/>
          <w:szCs w:val="20"/>
        </w:rPr>
      </w:pPr>
      <w:r w:rsidRPr="0001788E">
        <w:rPr>
          <w:rFonts w:ascii="Arial" w:hAnsi="Arial" w:cs="Arial"/>
          <w:b/>
          <w:bCs/>
          <w:szCs w:val="20"/>
          <w:vertAlign w:val="superscript"/>
        </w:rPr>
        <w:t>±</w:t>
      </w:r>
      <w:r w:rsidRPr="0001788E">
        <w:rPr>
          <w:rFonts w:ascii="Arial" w:hAnsi="Arial" w:cs="Arial"/>
          <w:b/>
          <w:bCs/>
          <w:szCs w:val="20"/>
        </w:rPr>
        <w:t xml:space="preserve"> </w:t>
      </w:r>
      <w:r w:rsidRPr="0001788E">
        <w:rPr>
          <w:rFonts w:ascii="Arial" w:hAnsi="Arial" w:cs="Arial"/>
          <w:szCs w:val="20"/>
        </w:rPr>
        <w:t xml:space="preserve">People with inflammatory bowel disease (IBD) not classified (n=98) were excluded from the IBD type sensitivity analysis </w:t>
      </w:r>
    </w:p>
    <w:p w14:paraId="00B6EA04" w14:textId="3EC46CB3" w:rsidR="00A879C1" w:rsidRPr="0001788E" w:rsidRDefault="00A879C1" w:rsidP="00A879C1">
      <w:pPr>
        <w:rPr>
          <w:rFonts w:ascii="Arial" w:hAnsi="Arial" w:cs="Arial"/>
          <w:szCs w:val="20"/>
        </w:rPr>
      </w:pPr>
      <w:r w:rsidRPr="0001788E">
        <w:rPr>
          <w:rFonts w:ascii="Arial" w:hAnsi="Arial" w:cs="Arial"/>
          <w:szCs w:val="20"/>
        </w:rPr>
        <w:t>† P</w:t>
      </w:r>
      <w:r w:rsidR="00D52282">
        <w:rPr>
          <w:rFonts w:ascii="Arial" w:hAnsi="Arial" w:cs="Arial"/>
          <w:szCs w:val="20"/>
        </w:rPr>
        <w:t>rimary-care</w:t>
      </w:r>
      <w:r w:rsidRPr="0001788E">
        <w:rPr>
          <w:rFonts w:ascii="Arial" w:hAnsi="Arial" w:cs="Arial"/>
          <w:szCs w:val="20"/>
        </w:rPr>
        <w:t xml:space="preserve"> consultation for </w:t>
      </w:r>
      <w:r w:rsidR="0025665E">
        <w:rPr>
          <w:rFonts w:ascii="Arial" w:hAnsi="Arial" w:cs="Arial"/>
          <w:szCs w:val="20"/>
        </w:rPr>
        <w:t>COVID</w:t>
      </w:r>
      <w:r w:rsidRPr="0001788E">
        <w:rPr>
          <w:rFonts w:ascii="Arial" w:hAnsi="Arial" w:cs="Arial"/>
          <w:szCs w:val="20"/>
        </w:rPr>
        <w:t xml:space="preserve">-19 or complication of </w:t>
      </w:r>
      <w:r w:rsidR="0025665E">
        <w:rPr>
          <w:rFonts w:ascii="Arial" w:hAnsi="Arial" w:cs="Arial"/>
          <w:szCs w:val="20"/>
        </w:rPr>
        <w:t>COVID</w:t>
      </w:r>
      <w:r w:rsidRPr="0001788E">
        <w:rPr>
          <w:rFonts w:ascii="Arial" w:hAnsi="Arial" w:cs="Arial"/>
          <w:szCs w:val="20"/>
        </w:rPr>
        <w:t xml:space="preserve">-19 or positive test results. </w:t>
      </w:r>
    </w:p>
    <w:p w14:paraId="75AEF4ED" w14:textId="77777777" w:rsidR="00B65E90" w:rsidRDefault="00B65E90" w:rsidP="00A879C1">
      <w:pPr>
        <w:rPr>
          <w:sz w:val="24"/>
          <w:szCs w:val="24"/>
        </w:rPr>
        <w:sectPr w:rsidR="00B65E90" w:rsidSect="00A879C1">
          <w:pgSz w:w="16838" w:h="11906" w:orient="landscape"/>
          <w:pgMar w:top="1440" w:right="1440" w:bottom="1440" w:left="1440" w:header="708" w:footer="708" w:gutter="0"/>
          <w:cols w:space="708"/>
          <w:docGrid w:linePitch="360"/>
        </w:sectPr>
      </w:pPr>
    </w:p>
    <w:p w14:paraId="4D8637B9" w14:textId="126C4514" w:rsidR="002F7550" w:rsidRPr="00021272" w:rsidRDefault="00B31584" w:rsidP="00B65E90">
      <w:pPr>
        <w:rPr>
          <w:rFonts w:ascii="Arial" w:hAnsi="Arial" w:cs="Arial"/>
          <w:b/>
          <w:sz w:val="24"/>
          <w:szCs w:val="24"/>
        </w:rPr>
      </w:pPr>
      <w:r w:rsidRPr="00021272">
        <w:rPr>
          <w:rFonts w:ascii="Arial" w:hAnsi="Arial" w:cs="Arial"/>
          <w:b/>
          <w:sz w:val="24"/>
          <w:szCs w:val="24"/>
        </w:rPr>
        <w:lastRenderedPageBreak/>
        <w:t>Discussion</w:t>
      </w:r>
    </w:p>
    <w:p w14:paraId="71FA4239" w14:textId="45C10E83" w:rsidR="00B31584" w:rsidRPr="00021272" w:rsidRDefault="00B31584" w:rsidP="000736FB">
      <w:pPr>
        <w:spacing w:line="480" w:lineRule="auto"/>
        <w:rPr>
          <w:rFonts w:ascii="Arial" w:hAnsi="Arial" w:cs="Arial"/>
          <w:sz w:val="24"/>
          <w:szCs w:val="24"/>
        </w:rPr>
      </w:pPr>
    </w:p>
    <w:p w14:paraId="1A569627" w14:textId="73348594" w:rsidR="00AC486C" w:rsidRPr="00021272" w:rsidRDefault="00C74F2F" w:rsidP="000736FB">
      <w:pPr>
        <w:spacing w:line="480" w:lineRule="auto"/>
        <w:rPr>
          <w:rFonts w:ascii="Arial" w:hAnsi="Arial" w:cs="Arial"/>
          <w:sz w:val="24"/>
          <w:szCs w:val="24"/>
        </w:rPr>
      </w:pPr>
      <w:r w:rsidRPr="00480A18">
        <w:rPr>
          <w:rFonts w:ascii="Arial" w:hAnsi="Arial" w:cs="Arial"/>
          <w:i/>
          <w:sz w:val="24"/>
          <w:szCs w:val="24"/>
        </w:rPr>
        <w:t>Main findings:</w:t>
      </w:r>
      <w:r>
        <w:rPr>
          <w:rFonts w:ascii="Arial" w:hAnsi="Arial" w:cs="Arial"/>
          <w:sz w:val="24"/>
          <w:szCs w:val="24"/>
        </w:rPr>
        <w:t xml:space="preserve"> </w:t>
      </w:r>
      <w:r w:rsidR="00D7304A" w:rsidRPr="00021272">
        <w:rPr>
          <w:rFonts w:ascii="Arial" w:hAnsi="Arial" w:cs="Arial"/>
          <w:sz w:val="24"/>
          <w:szCs w:val="24"/>
        </w:rPr>
        <w:t xml:space="preserve">Our study has demonstrated in a population representative of IBD patients in the UK, vaccinated with the </w:t>
      </w:r>
      <w:r w:rsidR="0025665E">
        <w:rPr>
          <w:rFonts w:ascii="Arial" w:hAnsi="Arial" w:cs="Arial"/>
          <w:sz w:val="24"/>
          <w:szCs w:val="24"/>
        </w:rPr>
        <w:t>COVID</w:t>
      </w:r>
      <w:r w:rsidR="00D7304A" w:rsidRPr="00021272">
        <w:rPr>
          <w:rFonts w:ascii="Arial" w:hAnsi="Arial" w:cs="Arial"/>
          <w:sz w:val="24"/>
          <w:szCs w:val="24"/>
        </w:rPr>
        <w:t xml:space="preserve">-19 vaccines commonly in use in the UK that </w:t>
      </w:r>
      <w:r w:rsidR="0025665E">
        <w:rPr>
          <w:rFonts w:ascii="Arial" w:hAnsi="Arial" w:cs="Arial"/>
          <w:sz w:val="24"/>
          <w:szCs w:val="24"/>
        </w:rPr>
        <w:t>COVID</w:t>
      </w:r>
      <w:r w:rsidR="00D7304A" w:rsidRPr="00021272">
        <w:rPr>
          <w:rFonts w:ascii="Arial" w:hAnsi="Arial" w:cs="Arial"/>
          <w:sz w:val="24"/>
          <w:szCs w:val="24"/>
        </w:rPr>
        <w:t xml:space="preserve">-19 vaccination </w:t>
      </w:r>
      <w:r w:rsidR="00D52282">
        <w:rPr>
          <w:rFonts w:ascii="Arial" w:hAnsi="Arial" w:cs="Arial"/>
          <w:sz w:val="24"/>
          <w:szCs w:val="24"/>
        </w:rPr>
        <w:t>wa</w:t>
      </w:r>
      <w:r w:rsidR="00D7304A" w:rsidRPr="00021272">
        <w:rPr>
          <w:rFonts w:ascii="Arial" w:hAnsi="Arial" w:cs="Arial"/>
          <w:sz w:val="24"/>
          <w:szCs w:val="24"/>
        </w:rPr>
        <w:t>s not associated with an</w:t>
      </w:r>
      <w:r w:rsidR="00D7304A" w:rsidRPr="009A5D1B">
        <w:rPr>
          <w:rFonts w:ascii="Arial" w:hAnsi="Arial" w:cs="Arial"/>
          <w:iCs/>
          <w:sz w:val="24"/>
          <w:szCs w:val="24"/>
        </w:rPr>
        <w:t xml:space="preserve"> </w:t>
      </w:r>
      <w:r w:rsidR="00D7304A" w:rsidRPr="00C06E47">
        <w:rPr>
          <w:rFonts w:ascii="Arial" w:hAnsi="Arial" w:cs="Arial"/>
          <w:iCs/>
          <w:sz w:val="24"/>
          <w:szCs w:val="24"/>
        </w:rPr>
        <w:t>increase</w:t>
      </w:r>
      <w:r w:rsidR="00D7304A" w:rsidRPr="009A5D1B">
        <w:rPr>
          <w:rFonts w:ascii="Arial" w:hAnsi="Arial" w:cs="Arial"/>
          <w:iCs/>
          <w:sz w:val="24"/>
          <w:szCs w:val="24"/>
        </w:rPr>
        <w:t xml:space="preserve"> </w:t>
      </w:r>
      <w:r w:rsidR="00D7304A" w:rsidRPr="00021272">
        <w:rPr>
          <w:rFonts w:ascii="Arial" w:hAnsi="Arial" w:cs="Arial"/>
          <w:sz w:val="24"/>
          <w:szCs w:val="24"/>
        </w:rPr>
        <w:t>in flares of IBD. This remain</w:t>
      </w:r>
      <w:r w:rsidR="00D52282">
        <w:rPr>
          <w:rFonts w:ascii="Arial" w:hAnsi="Arial" w:cs="Arial"/>
          <w:sz w:val="24"/>
          <w:szCs w:val="24"/>
        </w:rPr>
        <w:t>ed</w:t>
      </w:r>
      <w:r w:rsidR="00D7304A" w:rsidRPr="00021272">
        <w:rPr>
          <w:rFonts w:ascii="Arial" w:hAnsi="Arial" w:cs="Arial"/>
          <w:sz w:val="24"/>
          <w:szCs w:val="24"/>
        </w:rPr>
        <w:t xml:space="preserve"> true in subgroups of the data defined by the vaccine </w:t>
      </w:r>
      <w:r w:rsidR="00D52282">
        <w:rPr>
          <w:rFonts w:ascii="Arial" w:hAnsi="Arial" w:cs="Arial"/>
          <w:sz w:val="24"/>
          <w:szCs w:val="24"/>
        </w:rPr>
        <w:t xml:space="preserve">technology </w:t>
      </w:r>
      <w:r w:rsidR="00D7304A" w:rsidRPr="00021272">
        <w:rPr>
          <w:rFonts w:ascii="Arial" w:hAnsi="Arial" w:cs="Arial"/>
          <w:sz w:val="24"/>
          <w:szCs w:val="24"/>
        </w:rPr>
        <w:t xml:space="preserve">received, the type of IBD (Crohn’s or UC) and the presence or absence of prior </w:t>
      </w:r>
      <w:r w:rsidR="0025665E">
        <w:rPr>
          <w:rFonts w:ascii="Arial" w:hAnsi="Arial" w:cs="Arial"/>
          <w:sz w:val="24"/>
          <w:szCs w:val="24"/>
        </w:rPr>
        <w:t>COVID</w:t>
      </w:r>
      <w:r w:rsidR="00D7304A" w:rsidRPr="00021272">
        <w:rPr>
          <w:rFonts w:ascii="Arial" w:hAnsi="Arial" w:cs="Arial"/>
          <w:sz w:val="24"/>
          <w:szCs w:val="24"/>
        </w:rPr>
        <w:t xml:space="preserve">-19. It is similarly true no matter which of </w:t>
      </w:r>
      <w:r w:rsidR="00D52282">
        <w:rPr>
          <w:rFonts w:ascii="Arial" w:hAnsi="Arial" w:cs="Arial"/>
          <w:sz w:val="24"/>
          <w:szCs w:val="24"/>
        </w:rPr>
        <w:t>three</w:t>
      </w:r>
      <w:r w:rsidR="00D7304A" w:rsidRPr="00021272">
        <w:rPr>
          <w:rFonts w:ascii="Arial" w:hAnsi="Arial" w:cs="Arial"/>
          <w:sz w:val="24"/>
          <w:szCs w:val="24"/>
        </w:rPr>
        <w:t xml:space="preserve"> doses of the vaccine are studied.</w:t>
      </w:r>
      <w:r w:rsidR="0043658C">
        <w:rPr>
          <w:rFonts w:ascii="Arial" w:hAnsi="Arial" w:cs="Arial"/>
          <w:sz w:val="24"/>
          <w:szCs w:val="24"/>
        </w:rPr>
        <w:t xml:space="preserve"> In fact</w:t>
      </w:r>
      <w:r w:rsidR="005F5B95">
        <w:rPr>
          <w:rFonts w:ascii="Arial" w:hAnsi="Arial" w:cs="Arial"/>
          <w:sz w:val="24"/>
          <w:szCs w:val="24"/>
        </w:rPr>
        <w:t>,</w:t>
      </w:r>
      <w:r w:rsidR="0043658C">
        <w:rPr>
          <w:rFonts w:ascii="Arial" w:hAnsi="Arial" w:cs="Arial"/>
          <w:sz w:val="24"/>
          <w:szCs w:val="24"/>
        </w:rPr>
        <w:t xml:space="preserve"> for patients with UC the rate of flare was significantly reduced during the 3 weeks after vaccination.</w:t>
      </w:r>
    </w:p>
    <w:p w14:paraId="62CE8F2E" w14:textId="258889D4" w:rsidR="00866DB5" w:rsidRDefault="00C74F2F" w:rsidP="000736FB">
      <w:pPr>
        <w:spacing w:line="480" w:lineRule="auto"/>
        <w:rPr>
          <w:rFonts w:ascii="Arial" w:hAnsi="Arial" w:cs="Arial"/>
          <w:sz w:val="24"/>
          <w:szCs w:val="24"/>
        </w:rPr>
      </w:pPr>
      <w:r w:rsidRPr="00C06E47">
        <w:rPr>
          <w:rFonts w:ascii="Arial" w:hAnsi="Arial" w:cs="Arial"/>
          <w:i/>
          <w:iCs/>
          <w:sz w:val="24"/>
          <w:szCs w:val="24"/>
        </w:rPr>
        <w:t>Study strengths and limitations:</w:t>
      </w:r>
      <w:r>
        <w:rPr>
          <w:rFonts w:ascii="Arial" w:hAnsi="Arial" w:cs="Arial"/>
          <w:sz w:val="24"/>
          <w:szCs w:val="24"/>
        </w:rPr>
        <w:t xml:space="preserve"> S</w:t>
      </w:r>
      <w:r w:rsidR="003906ED" w:rsidRPr="00021272">
        <w:rPr>
          <w:rFonts w:ascii="Arial" w:hAnsi="Arial" w:cs="Arial"/>
          <w:sz w:val="24"/>
          <w:szCs w:val="24"/>
        </w:rPr>
        <w:t xml:space="preserve">trengths of our study are its power, the generalisability of its results and the confidence we are able to have that our results are </w:t>
      </w:r>
      <w:r w:rsidR="00B66F19" w:rsidRPr="00021272">
        <w:rPr>
          <w:rFonts w:ascii="Arial" w:hAnsi="Arial" w:cs="Arial"/>
          <w:sz w:val="24"/>
          <w:szCs w:val="24"/>
        </w:rPr>
        <w:t xml:space="preserve">not </w:t>
      </w:r>
      <w:r w:rsidR="003906ED" w:rsidRPr="00021272">
        <w:rPr>
          <w:rFonts w:ascii="Arial" w:hAnsi="Arial" w:cs="Arial"/>
          <w:sz w:val="24"/>
          <w:szCs w:val="24"/>
        </w:rPr>
        <w:t>influenced by confounding</w:t>
      </w:r>
      <w:r w:rsidR="00B66F19" w:rsidRPr="00021272">
        <w:rPr>
          <w:rFonts w:ascii="Arial" w:hAnsi="Arial" w:cs="Arial"/>
          <w:sz w:val="24"/>
          <w:szCs w:val="24"/>
        </w:rPr>
        <w:t xml:space="preserve"> factors which might affect the choice to be </w:t>
      </w:r>
      <w:r w:rsidR="00B66F19" w:rsidRPr="003F3F75">
        <w:rPr>
          <w:rFonts w:ascii="Arial" w:hAnsi="Arial" w:cs="Arial"/>
          <w:sz w:val="24"/>
          <w:szCs w:val="24"/>
        </w:rPr>
        <w:t>vaccinated</w:t>
      </w:r>
      <w:r w:rsidR="00D52282" w:rsidRPr="00F15649">
        <w:rPr>
          <w:rFonts w:ascii="Arial" w:hAnsi="Arial" w:cs="Arial"/>
          <w:sz w:val="24"/>
          <w:szCs w:val="24"/>
        </w:rPr>
        <w:t xml:space="preserve"> because we used the SCCS methodology that is widely used in vaccine safety studies</w:t>
      </w:r>
      <w:r w:rsidR="00877691">
        <w:rPr>
          <w:rFonts w:ascii="Arial" w:hAnsi="Arial" w:cs="Arial"/>
          <w:sz w:val="24"/>
          <w:szCs w:val="24"/>
        </w:rPr>
        <w:fldChar w:fldCharType="begin" w:fldLock="1"/>
      </w:r>
      <w:r w:rsidR="003F3F75">
        <w:rPr>
          <w:rFonts w:ascii="Arial" w:hAnsi="Arial" w:cs="Arial"/>
          <w:sz w:val="24"/>
          <w:szCs w:val="24"/>
        </w:rPr>
        <w:instrText>ADDIN CSL_CITATION {"citationItems":[{"id":"ITEM-1","itemData":{"DOI":"10.1080/14760584.2022.2020108","ISSN":"1744-8395","PMID":"34937500","abstract":"BACKGROUND There is limited comprehensive evaluation of the methodology and reporting quality of observational studies of vaccine safety. METHODS Databases including Medline, Embase, Web of Science, Scopus, and Chinese databases were searched from inception to 31 May 2021. All observational studies regarding vaccine safety using an SCCS design were selected. Information regarding methodological elements were extracted. In addition, reporting quality was assessed using the REporting of studies Conducted using Observational Routinely collected health Data statement for PharmacoEpidemiology (RECORD-PE). RESULTS : Of the 105 studies identified, administrative databases were the main data source for vaccination records and adverse events following immunization (AEFI). Twenty-eight articles (27%) used multiple designs to verify the association, and the results obtained with the SCCS design were robust. The top three AEFI studied were intussusception, Guillain-Barré syndrome, and convulsions. Only 21 studies (20%) reported the approach for case validation by chart review. The healthy vaccinee effect was considered by 51 studies (49%), with 16 of them (31%) using extended SCCS models to alleviate this effect. Overall, the reporting quality of included studies could be improved. CONCLUSIONS Administrative databases were the main data source for vaccination records and adverse events following immunization. Case validation, the validity of assumptions for standard SCCS, and quality of reporting should be given more importance in future research projects.","author":[{"dropping-particle":"","family":"Nie","given":"Xiaolu","non-dropping-particle":"","parse-names":false,"suffix":""},{"dropping-particle":"","family":"Xu","given":"Lu","non-dropping-particle":"","parse-names":false,"suffix":""},{"dropping-particle":"","family":"Bai","given":"Yi","non-dropping-particle":"","parse-names":false,"suffix":""},{"dropping-particle":"","family":"Liu","given":"Zuoxiang","non-dropping-particle":"","parse-names":false,"suffix":""},{"dropping-particle":"","family":"Liu","given":"Zhike","non-dropping-particle":"","parse-names":false,"suffix":""},{"dropping-particle":"","family":"Farrington","given":"Paddy","non-dropping-particle":"","parse-names":false,"suffix":""},{"dropping-particle":"","family":"Zhan","given":"Siyan","non-dropping-particle":"","parse-names":false,"suffix":""}],"container-title":"Expert review of vaccines","id":"ITEM-1","issue":"3","issued":{"date-parts":[["2022","3"]]},"page":"313-324","title":"Self-controlled case series design in vaccine safety: a systematic review.","type":"article-journal","volume":"21"},"uris":["http://www.mendeley.com/documents/?uuid=d4504123-5e26-45e3-ba64-541aab1135a1"]}],"mendeley":{"formattedCitation":"(29)","plainTextFormattedCitation":"(29)","previouslyFormattedCitation":"(27)"},"properties":{"noteIndex":0},"schema":"https://github.com/citation-style-language/schema/raw/master/csl-citation.json"}</w:instrText>
      </w:r>
      <w:r w:rsidR="00877691">
        <w:rPr>
          <w:rFonts w:ascii="Arial" w:hAnsi="Arial" w:cs="Arial"/>
          <w:sz w:val="24"/>
          <w:szCs w:val="24"/>
        </w:rPr>
        <w:fldChar w:fldCharType="separate"/>
      </w:r>
      <w:r w:rsidR="003F3F75" w:rsidRPr="003F3F75">
        <w:rPr>
          <w:rFonts w:ascii="Arial" w:hAnsi="Arial" w:cs="Arial"/>
          <w:noProof/>
          <w:sz w:val="24"/>
          <w:szCs w:val="24"/>
        </w:rPr>
        <w:t>(29)</w:t>
      </w:r>
      <w:r w:rsidR="00877691">
        <w:rPr>
          <w:rFonts w:ascii="Arial" w:hAnsi="Arial" w:cs="Arial"/>
          <w:sz w:val="24"/>
          <w:szCs w:val="24"/>
        </w:rPr>
        <w:fldChar w:fldCharType="end"/>
      </w:r>
      <w:r w:rsidR="003906ED" w:rsidRPr="00021272">
        <w:rPr>
          <w:rFonts w:ascii="Arial" w:hAnsi="Arial" w:cs="Arial"/>
          <w:sz w:val="24"/>
          <w:szCs w:val="24"/>
        </w:rPr>
        <w:t xml:space="preserve">. The power of the study is derived from the large base population of CPRD from which it is drawn, and its importance in this instance is that </w:t>
      </w:r>
      <w:r w:rsidR="00AC468D" w:rsidRPr="00021272">
        <w:rPr>
          <w:rFonts w:ascii="Arial" w:hAnsi="Arial" w:cs="Arial"/>
          <w:sz w:val="24"/>
          <w:szCs w:val="24"/>
        </w:rPr>
        <w:t xml:space="preserve">it permits our </w:t>
      </w:r>
      <w:r w:rsidR="00493E07">
        <w:rPr>
          <w:rFonts w:ascii="Arial" w:hAnsi="Arial" w:cs="Arial"/>
          <w:sz w:val="24"/>
          <w:szCs w:val="24"/>
        </w:rPr>
        <w:t xml:space="preserve">relative </w:t>
      </w:r>
      <w:r w:rsidR="00AC468D" w:rsidRPr="00021272">
        <w:rPr>
          <w:rFonts w:ascii="Arial" w:hAnsi="Arial" w:cs="Arial"/>
          <w:sz w:val="24"/>
          <w:szCs w:val="24"/>
        </w:rPr>
        <w:t>risk estimates to be quite precise an</w:t>
      </w:r>
      <w:r w:rsidR="001A0CF6" w:rsidRPr="00021272">
        <w:rPr>
          <w:rFonts w:ascii="Arial" w:hAnsi="Arial" w:cs="Arial"/>
          <w:sz w:val="24"/>
          <w:szCs w:val="24"/>
        </w:rPr>
        <w:t>d</w:t>
      </w:r>
      <w:r w:rsidR="00AC468D" w:rsidRPr="00021272">
        <w:rPr>
          <w:rFonts w:ascii="Arial" w:hAnsi="Arial" w:cs="Arial"/>
          <w:sz w:val="24"/>
          <w:szCs w:val="24"/>
        </w:rPr>
        <w:t xml:space="preserve"> so to confidently exclude any large increase in flares post vaccination. To illustrate this overall our adjusted incidence rate ratio for IBD flares was 0.89, and our 95% confidence interval of 0.77-1.02 allows as to state that our data are unlikely to have arisen in a population where there was an excess of flares of over 2% above baseline following vaccination. Our confidence in generalisability of our result to IBD patients in the UK likewise is derived from our data source since CPRD is representative of the </w:t>
      </w:r>
      <w:r w:rsidR="00004207" w:rsidRPr="00021272">
        <w:rPr>
          <w:rFonts w:ascii="Arial" w:hAnsi="Arial" w:cs="Arial"/>
          <w:sz w:val="24"/>
          <w:szCs w:val="24"/>
        </w:rPr>
        <w:t>over 98</w:t>
      </w:r>
      <w:r w:rsidR="00AC468D" w:rsidRPr="00021272">
        <w:rPr>
          <w:rFonts w:ascii="Arial" w:hAnsi="Arial" w:cs="Arial"/>
          <w:sz w:val="24"/>
          <w:szCs w:val="24"/>
        </w:rPr>
        <w:t>% of the UK population registered with a general practitioner</w:t>
      </w:r>
      <w:r w:rsidR="00004207" w:rsidRPr="00021272">
        <w:rPr>
          <w:rFonts w:ascii="Arial" w:hAnsi="Arial" w:cs="Arial"/>
          <w:sz w:val="24"/>
          <w:szCs w:val="24"/>
        </w:rPr>
        <w:fldChar w:fldCharType="begin" w:fldLock="1"/>
      </w:r>
      <w:r w:rsidR="003F3F75">
        <w:rPr>
          <w:rFonts w:ascii="Arial" w:hAnsi="Arial" w:cs="Arial"/>
          <w:sz w:val="24"/>
          <w:szCs w:val="24"/>
        </w:rPr>
        <w:instrText>ADDIN CSL_CITATION {"citationItems":[{"id":"ITEM-1","itemData":{"DOI":"10.1093/ije/dyz034","ISSN":"1464-3685","PMID":"30859197","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epidemiology","id":"ITEM-1","issue":"6","issued":{"date-parts":[["2019","12","1"]]},"page":"1740-1740g","title":"Data resource profile: Clinical Practice Research Datalink (CPRD) Aurum.","type":"article-journal","volume":"48"},"uris":["http://www.mendeley.com/documents/?uuid=a79ea2d9-661c-4e10-bb55-44627f8deb5e"]},{"id":"ITEM-2","itemData":{"DOI":"10.1093/ije/dyv098","ISBN":"0300-5771","ISSN":"1464-3685","PMID":"26050254","abstract":"© The Author 2015. Published by Oxford University Press on behalf of the International Epidemiological Association.The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dropping-particle":"van","family":"Staa","given":"Tjeerd","non-dropping-particle":"","parse-names":false,"suffix":""},{"dropping-particle":"","family":"Smeeth","given":"Liam","non-dropping-particle":"","parse-names":false,"suffix":""}],"container-title":"International Journal of Epidemiology","id":"ITEM-2","issue":"3","issued":{"date-parts":[["2015","6"]]},"page":"827-836","title":"Data Resource Profile: Clinical Practice Research Datalink (CPRD).","type":"article-journal","volume":"44"},"uris":["http://www.mendeley.com/documents/?uuid=d21b5247-69ee-4f12-b25a-135a3de4fa68"]}],"mendeley":{"formattedCitation":"(20,30)","plainTextFormattedCitation":"(20,30)","previouslyFormattedCitation":"(20,28)"},"properties":{"noteIndex":0},"schema":"https://github.com/citation-style-language/schema/raw/master/csl-citation.json"}</w:instrText>
      </w:r>
      <w:r w:rsidR="00004207" w:rsidRPr="00021272">
        <w:rPr>
          <w:rFonts w:ascii="Arial" w:hAnsi="Arial" w:cs="Arial"/>
          <w:sz w:val="24"/>
          <w:szCs w:val="24"/>
          <w:vertAlign w:val="superscript"/>
        </w:rPr>
        <w:fldChar w:fldCharType="separate"/>
      </w:r>
      <w:r w:rsidR="003F3F75" w:rsidRPr="003F3F75">
        <w:rPr>
          <w:rFonts w:ascii="Arial" w:hAnsi="Arial" w:cs="Arial"/>
          <w:noProof/>
          <w:sz w:val="24"/>
          <w:szCs w:val="24"/>
        </w:rPr>
        <w:t>(20,30)</w:t>
      </w:r>
      <w:r w:rsidR="00004207" w:rsidRPr="00021272">
        <w:rPr>
          <w:rFonts w:ascii="Arial" w:hAnsi="Arial" w:cs="Arial"/>
          <w:sz w:val="24"/>
          <w:szCs w:val="24"/>
        </w:rPr>
        <w:fldChar w:fldCharType="end"/>
      </w:r>
      <w:r w:rsidR="00AC468D" w:rsidRPr="00021272">
        <w:rPr>
          <w:rFonts w:ascii="Arial" w:hAnsi="Arial" w:cs="Arial"/>
          <w:sz w:val="24"/>
          <w:szCs w:val="24"/>
        </w:rPr>
        <w:t xml:space="preserve">, and we included all </w:t>
      </w:r>
      <w:r w:rsidR="00AC468D" w:rsidRPr="00021272">
        <w:rPr>
          <w:rFonts w:ascii="Arial" w:hAnsi="Arial" w:cs="Arial"/>
          <w:sz w:val="24"/>
          <w:szCs w:val="24"/>
        </w:rPr>
        <w:lastRenderedPageBreak/>
        <w:t xml:space="preserve">adults in this population who received </w:t>
      </w:r>
      <w:r w:rsidR="0025665E">
        <w:rPr>
          <w:rFonts w:ascii="Arial" w:hAnsi="Arial" w:cs="Arial"/>
          <w:sz w:val="24"/>
          <w:szCs w:val="24"/>
        </w:rPr>
        <w:t>COVID</w:t>
      </w:r>
      <w:r w:rsidR="00AC468D" w:rsidRPr="00021272">
        <w:rPr>
          <w:rFonts w:ascii="Arial" w:hAnsi="Arial" w:cs="Arial"/>
          <w:sz w:val="24"/>
          <w:szCs w:val="24"/>
        </w:rPr>
        <w:t>-19 vaccination and experienced a coded IBD flare within the study period</w:t>
      </w:r>
      <w:r w:rsidR="00B66F19" w:rsidRPr="00021272">
        <w:rPr>
          <w:rFonts w:ascii="Arial" w:hAnsi="Arial" w:cs="Arial"/>
          <w:sz w:val="24"/>
          <w:szCs w:val="24"/>
        </w:rPr>
        <w:t xml:space="preserve">. </w:t>
      </w:r>
    </w:p>
    <w:p w14:paraId="1542E72F" w14:textId="4B05E6E2" w:rsidR="00D7304A" w:rsidRPr="00021272" w:rsidRDefault="00B66F19" w:rsidP="000736FB">
      <w:pPr>
        <w:spacing w:line="480" w:lineRule="auto"/>
        <w:rPr>
          <w:rFonts w:ascii="Arial" w:hAnsi="Arial" w:cs="Arial"/>
          <w:sz w:val="24"/>
          <w:szCs w:val="24"/>
        </w:rPr>
      </w:pPr>
      <w:r w:rsidRPr="00021272">
        <w:rPr>
          <w:rFonts w:ascii="Arial" w:hAnsi="Arial" w:cs="Arial"/>
          <w:sz w:val="24"/>
          <w:szCs w:val="24"/>
        </w:rPr>
        <w:t xml:space="preserve">Finally our use of a self-controlled case series design, ensures that </w:t>
      </w:r>
      <w:r w:rsidR="00004207" w:rsidRPr="00021272">
        <w:rPr>
          <w:rFonts w:ascii="Arial" w:hAnsi="Arial" w:cs="Arial"/>
          <w:sz w:val="24"/>
          <w:szCs w:val="24"/>
        </w:rPr>
        <w:t xml:space="preserve">non time dependant </w:t>
      </w:r>
      <w:r w:rsidRPr="00021272">
        <w:rPr>
          <w:rFonts w:ascii="Arial" w:hAnsi="Arial" w:cs="Arial"/>
          <w:sz w:val="24"/>
          <w:szCs w:val="24"/>
        </w:rPr>
        <w:t xml:space="preserve">between person confounding </w:t>
      </w:r>
      <w:r w:rsidR="00866DB5">
        <w:rPr>
          <w:rFonts w:ascii="Arial" w:hAnsi="Arial" w:cs="Arial"/>
          <w:sz w:val="24"/>
          <w:szCs w:val="24"/>
        </w:rPr>
        <w:t>wa</w:t>
      </w:r>
      <w:r w:rsidRPr="00021272">
        <w:rPr>
          <w:rFonts w:ascii="Arial" w:hAnsi="Arial" w:cs="Arial"/>
          <w:sz w:val="24"/>
          <w:szCs w:val="24"/>
        </w:rPr>
        <w:t xml:space="preserve">s excluded since each subject </w:t>
      </w:r>
      <w:r w:rsidR="00866DB5">
        <w:rPr>
          <w:rFonts w:ascii="Arial" w:hAnsi="Arial" w:cs="Arial"/>
          <w:sz w:val="24"/>
          <w:szCs w:val="24"/>
        </w:rPr>
        <w:t>wa</w:t>
      </w:r>
      <w:r w:rsidRPr="00021272">
        <w:rPr>
          <w:rFonts w:ascii="Arial" w:hAnsi="Arial" w:cs="Arial"/>
          <w:sz w:val="24"/>
          <w:szCs w:val="24"/>
        </w:rPr>
        <w:t>s compared only to themselves at different time points</w:t>
      </w:r>
      <w:r w:rsidR="00004207"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{"citationItems":[{"id":"ITEM-1","itemData":{"DOI":"10.1177/0962280208092342","ISSN":"0962-2802","PMID":"18562396","abstract":"The self-controlled case series method is increasingly being used in pharmacoepidemiology, particularly in vaccine safety studies. This method is typically used to evaluate the association between a transient exposure and an acute event, using only cases. We present both parametric and semiparametric models using a motivating example on MMR vaccine and bleeding disorders. We briefly describe approaches for interferent events and a sequential version of the method for prospective surveillance of drug safety. The efficiency of the self-controlled case series method is compared to the that of cohort and case control studies. Some further extensions, to long or indefinite exposures and to bivariate counts, are described.","author":[{"dropping-particle":"","family":"Whitaker","given":"Heather J","non-dropping-particle":"","parse-names":false,"suffix":""},{"dropping-particle":"","family":"Hocine","given":"Mounia N","non-dropping-particle":"","parse-names":false,"suffix":""},{"dropping-particle":"","family":"Farrington","given":"C Paddy","non-dropping-particle":"","parse-names":false,"suffix":""}],"container-title":"Statistical methods in medical research","id":"ITEM-1","issue":"1","issued":{"date-parts":[["2009","2"]]},"page":"7-26","title":"The methodology of self-controlled case series studies.","type":"article-journal","volume":"18"},"uris":["http://www.mendeley.com/documents/?uuid=0bbe1ac2-68a9-46a3-9139-abe8f9bc35be"]}],"mendeley":{"formattedCitation":"(21)","plainTextFormattedCitation":"(21)","previouslyFormattedCitation":"(21)"},"properties":{"noteIndex":0},"schema":"https://github.com/citation-style-language/schema/raw/master/csl-citation.json"}</w:instrText>
      </w:r>
      <w:r w:rsidR="00004207" w:rsidRPr="00021272">
        <w:rPr>
          <w:rFonts w:ascii="Arial" w:hAnsi="Arial" w:cs="Arial"/>
          <w:sz w:val="24"/>
          <w:szCs w:val="24"/>
        </w:rPr>
        <w:fldChar w:fldCharType="separate"/>
      </w:r>
      <w:r w:rsidR="0032390D" w:rsidRPr="0032390D">
        <w:rPr>
          <w:rFonts w:ascii="Arial" w:hAnsi="Arial" w:cs="Arial"/>
          <w:noProof/>
          <w:sz w:val="24"/>
          <w:szCs w:val="24"/>
        </w:rPr>
        <w:t>(21)</w:t>
      </w:r>
      <w:r w:rsidR="00004207" w:rsidRPr="00021272">
        <w:rPr>
          <w:rFonts w:ascii="Arial" w:hAnsi="Arial" w:cs="Arial"/>
          <w:sz w:val="24"/>
          <w:szCs w:val="24"/>
        </w:rPr>
        <w:fldChar w:fldCharType="end"/>
      </w:r>
      <w:r w:rsidR="00866DB5">
        <w:rPr>
          <w:rFonts w:ascii="Arial" w:hAnsi="Arial" w:cs="Arial"/>
          <w:sz w:val="24"/>
          <w:szCs w:val="24"/>
        </w:rPr>
        <w:t>.</w:t>
      </w:r>
      <w:r w:rsidRPr="00021272">
        <w:rPr>
          <w:rFonts w:ascii="Arial" w:hAnsi="Arial" w:cs="Arial"/>
          <w:sz w:val="24"/>
          <w:szCs w:val="24"/>
        </w:rPr>
        <w:t xml:space="preserve"> </w:t>
      </w:r>
      <w:r w:rsidR="00866DB5">
        <w:rPr>
          <w:rFonts w:ascii="Arial" w:hAnsi="Arial" w:cs="Arial"/>
          <w:sz w:val="24"/>
          <w:szCs w:val="24"/>
        </w:rPr>
        <w:t>A</w:t>
      </w:r>
      <w:r w:rsidR="00995017" w:rsidRPr="00021272">
        <w:rPr>
          <w:rFonts w:ascii="Arial" w:hAnsi="Arial" w:cs="Arial"/>
          <w:sz w:val="24"/>
          <w:szCs w:val="24"/>
        </w:rPr>
        <w:t xml:space="preserve">s </w:t>
      </w:r>
      <w:r w:rsidRPr="00021272">
        <w:rPr>
          <w:rFonts w:ascii="Arial" w:hAnsi="Arial" w:cs="Arial"/>
          <w:sz w:val="24"/>
          <w:szCs w:val="24"/>
        </w:rPr>
        <w:t xml:space="preserve">all subjects </w:t>
      </w:r>
      <w:r w:rsidR="00995017" w:rsidRPr="00021272">
        <w:rPr>
          <w:rFonts w:ascii="Arial" w:hAnsi="Arial" w:cs="Arial"/>
          <w:sz w:val="24"/>
          <w:szCs w:val="24"/>
        </w:rPr>
        <w:t xml:space="preserve">who </w:t>
      </w:r>
      <w:r w:rsidRPr="00021272">
        <w:rPr>
          <w:rFonts w:ascii="Arial" w:hAnsi="Arial" w:cs="Arial"/>
          <w:sz w:val="24"/>
          <w:szCs w:val="24"/>
        </w:rPr>
        <w:t>ha</w:t>
      </w:r>
      <w:r w:rsidR="00866DB5">
        <w:rPr>
          <w:rFonts w:ascii="Arial" w:hAnsi="Arial" w:cs="Arial"/>
          <w:sz w:val="24"/>
          <w:szCs w:val="24"/>
        </w:rPr>
        <w:t>d</w:t>
      </w:r>
      <w:r w:rsidRPr="00021272">
        <w:rPr>
          <w:rFonts w:ascii="Arial" w:hAnsi="Arial" w:cs="Arial"/>
          <w:sz w:val="24"/>
          <w:szCs w:val="24"/>
        </w:rPr>
        <w:t xml:space="preserve"> both received</w:t>
      </w:r>
      <w:r w:rsidR="001A0CF6" w:rsidRPr="00021272">
        <w:rPr>
          <w:rFonts w:ascii="Arial" w:hAnsi="Arial" w:cs="Arial"/>
          <w:sz w:val="24"/>
          <w:szCs w:val="24"/>
        </w:rPr>
        <w:t xml:space="preserve"> vaccination and experienced an</w:t>
      </w:r>
      <w:r w:rsidRPr="00021272">
        <w:rPr>
          <w:rFonts w:ascii="Arial" w:hAnsi="Arial" w:cs="Arial"/>
          <w:sz w:val="24"/>
          <w:szCs w:val="24"/>
        </w:rPr>
        <w:t xml:space="preserve"> IBD flare</w:t>
      </w:r>
      <w:r w:rsidR="00995017" w:rsidRPr="00021272">
        <w:rPr>
          <w:rFonts w:ascii="Arial" w:hAnsi="Arial" w:cs="Arial"/>
          <w:sz w:val="24"/>
          <w:szCs w:val="24"/>
        </w:rPr>
        <w:t xml:space="preserve"> </w:t>
      </w:r>
      <w:r w:rsidR="00866DB5">
        <w:rPr>
          <w:rFonts w:ascii="Arial" w:hAnsi="Arial" w:cs="Arial"/>
          <w:sz w:val="24"/>
          <w:szCs w:val="24"/>
        </w:rPr>
        <w:t>we</w:t>
      </w:r>
      <w:r w:rsidR="00995017" w:rsidRPr="00021272">
        <w:rPr>
          <w:rFonts w:ascii="Arial" w:hAnsi="Arial" w:cs="Arial"/>
          <w:sz w:val="24"/>
          <w:szCs w:val="24"/>
        </w:rPr>
        <w:t xml:space="preserve">re included </w:t>
      </w:r>
      <w:r w:rsidR="00866DB5">
        <w:rPr>
          <w:rFonts w:ascii="Arial" w:hAnsi="Arial" w:cs="Arial"/>
          <w:sz w:val="24"/>
          <w:szCs w:val="24"/>
        </w:rPr>
        <w:t xml:space="preserve">in </w:t>
      </w:r>
      <w:r w:rsidR="00995017" w:rsidRPr="00021272">
        <w:rPr>
          <w:rFonts w:ascii="Arial" w:hAnsi="Arial" w:cs="Arial"/>
          <w:sz w:val="24"/>
          <w:szCs w:val="24"/>
        </w:rPr>
        <w:t>our study</w:t>
      </w:r>
      <w:r w:rsidR="00866DB5">
        <w:rPr>
          <w:rFonts w:ascii="Arial" w:hAnsi="Arial" w:cs="Arial"/>
          <w:sz w:val="24"/>
          <w:szCs w:val="24"/>
        </w:rPr>
        <w:t>, there was</w:t>
      </w:r>
      <w:r w:rsidR="00995017" w:rsidRPr="00021272">
        <w:rPr>
          <w:rFonts w:ascii="Arial" w:hAnsi="Arial" w:cs="Arial"/>
          <w:sz w:val="24"/>
          <w:szCs w:val="24"/>
        </w:rPr>
        <w:t xml:space="preserve"> </w:t>
      </w:r>
      <w:r w:rsidR="00866DB5">
        <w:rPr>
          <w:rFonts w:ascii="Arial" w:hAnsi="Arial" w:cs="Arial"/>
          <w:sz w:val="24"/>
          <w:szCs w:val="24"/>
        </w:rPr>
        <w:t xml:space="preserve">no </w:t>
      </w:r>
      <w:r w:rsidR="00995017" w:rsidRPr="00021272">
        <w:rPr>
          <w:rFonts w:ascii="Arial" w:hAnsi="Arial" w:cs="Arial"/>
          <w:sz w:val="24"/>
          <w:szCs w:val="24"/>
        </w:rPr>
        <w:t>selection bias</w:t>
      </w:r>
      <w:r w:rsidRPr="00021272">
        <w:rPr>
          <w:rFonts w:ascii="Arial" w:hAnsi="Arial" w:cs="Arial"/>
          <w:sz w:val="24"/>
          <w:szCs w:val="24"/>
        </w:rPr>
        <w:t>.</w:t>
      </w:r>
    </w:p>
    <w:p w14:paraId="55CE6B5C" w14:textId="44EB956F" w:rsidR="00866DB5" w:rsidRDefault="00995017" w:rsidP="00866DB5">
      <w:pPr>
        <w:pStyle w:val="BodyText"/>
        <w:spacing w:before="77" w:line="480" w:lineRule="auto"/>
        <w:ind w:right="144"/>
      </w:pPr>
      <w:r w:rsidRPr="00021272">
        <w:t>As with all studies though, ours has limitations. Firstly</w:t>
      </w:r>
      <w:r w:rsidR="00B4669C">
        <w:t>,</w:t>
      </w:r>
      <w:r w:rsidRPr="00021272">
        <w:t xml:space="preserve"> we have been obliged due to a lack of </w:t>
      </w:r>
      <w:r w:rsidR="00866DB5">
        <w:t xml:space="preserve">availability of </w:t>
      </w:r>
      <w:r w:rsidRPr="00021272">
        <w:t xml:space="preserve">linked inpatient data to adjust our flare definition compared to that which we have previously used in a manner which effectively excludes flares presenting first to </w:t>
      </w:r>
      <w:r w:rsidR="00866DB5">
        <w:t xml:space="preserve">hospital </w:t>
      </w:r>
      <w:r w:rsidRPr="00021272">
        <w:t xml:space="preserve">for admission. We have done this because previous experience suggests to us that the recording of hospital admission dates in </w:t>
      </w:r>
      <w:r w:rsidR="00866DB5">
        <w:t>primary-care</w:t>
      </w:r>
      <w:r w:rsidRPr="00021272">
        <w:t xml:space="preserve"> data may not be adequately precise in this setting and could affect results</w:t>
      </w:r>
      <w:r w:rsidR="00866DB5">
        <w:t xml:space="preserve"> by causing misclassification bias </w:t>
      </w:r>
      <w:r w:rsidR="00004207" w:rsidRPr="00021272">
        <w:fldChar w:fldCharType="begin" w:fldLock="1"/>
      </w:r>
      <w:r w:rsidR="003F3F75">
        <w:instrText>ADDIN CSL_CITATION {"citationItems":[{"id":"ITEM-1","itemData":{"DOI":"10.1111/apt.15010","ISSN":"1365-2036","PMID":"30294897","abstract":"BACKGROUND Inflammatory bowel disease (IBD) increases the risk of venous thromboembolism. AIMS To determine when patients are at high risk of thromboembolic events, including after major surgery, and to guide timing of thromboprophylaxis. METHODS Each IBD patient from Clinical Practice Research Datalink, linked with Hospital Episode Statistics, was matched to up to five non-IBD patients in this cohort study. We examined their risk of thromboembolism in hospital and within 6 weeks after leaving hospital, with or without undergoing major surgery, and while ambulant. Hazard ratios were estimated using Cox regression, with adjustment for age, sex, body mass index, smoking and history of malignancy or thromboembolism. RESULTS Overall 23 046 IBD patients had a thromboembolic risk 1.74-times (95% CI = 1.55-1.96) higher than 106 795 non-IBD patients. Among ambulant patients, the thromboembolic risk was raised during acute (hazard ratio = 3.94, 2.79-5.57) or chronic disease activity (3.97, 2.90-5.45) but their absolute risk remained below 5/1000 person-years. The hazard ratio for thromboembolism among in-patients not undergoing major surgery was 1.13 (0.63-2.02), compared to 2.43 (1.20-4.92) among surgical patients, with a near doubling of absolute risk associated with surgery (59.5/1000 person-years, compared with 31.1 without surgery). The absolute risk remained elevated within 6 weeks after leaving hospital (18.6/1000 person-years in IBD patients after surgery). CONCLUSIONS IBD patients are at an increased risk of venous thromboembolism. Absolute risks are raised during active disease, when in hospital, and after leaving hospital following major surgery.","author":[{"dropping-particle":"","family":"Chu","given":"Thomas P C","non-dropping-particle":"","parse-names":false,"suffix":""},{"dropping-particle":"","family":"Grainge","given":"Matthew J","non-dropping-particle":"","parse-names":false,"suffix":""},{"dropping-particle":"","family":"Card","given":"Timothy R","non-dropping-particle":"","parse-names":false,"suffix":""}],"container-title":"Alimentary pharmacology &amp; therapeutics","id":"ITEM-1","issue":"10","issued":{"date-parts":[["2018"]]},"page":"1099-1108","title":"The risk of venous thromboembolism during and after hospitalisation in patients with inflammatory bowel disease activity.","type":"article-journal","volume":"48"},"uris":["http://www.mendeley.com/documents/?uuid=6ad787ff-a331-491c-8f1b-6995eb3e6e4d"]},{"id":"ITEM-2","itemData":{"DOI":"10.1016/S0140-6736(09)61963-2","ISBN":"0140-6736","ISSN":"1474-547X","PMID":"20149425","abstract":"Patients with inflammatory bowel disease who develop deep vein thrombosis or pulmonary embolism often have active disease at the time of thromboembolism. We therefore aimed to quantify the risk of venous thromboembolism prospectively during different activity phases of inflammatory bowel disease.","author":[{"dropping-particle":"","family":"Grainge","given":"Matthew J","non-dropping-particle":"","parse-names":false,"suffix":""},{"dropping-particle":"","family":"West","given":"Joe","non-dropping-particle":"","parse-names":false,"suffix":""},{"dropping-particle":"","family":"Card","given":"Timothy R","non-dropping-particle":"","parse-names":false,"suffix":""}],"container-title":"Lancet","id":"ITEM-2","issue":"9715","issued":{"date-parts":[["2010","3","20"]]},"note":"Venous thromboembolism during active disease and remission in inflammatory bowel disease: a cohort study\nTimes Cited: 0\n:10.1016/s0140-6736(09)61963-2","page":"657-63","title":"Venous thromboembolism during active disease and remission in inflammatory bowel disease: a cohort study.","type":"article-journal","volume":"375"},"uris":["http://www.mendeley.com/documents/?uuid=46c4e58f-7baf-4bca-bb6b-1cc27a9c1adf"]}],"mendeley":{"formattedCitation":"(31,32)","plainTextFormattedCitation":"(31,32)","previouslyFormattedCitation":"(29,30)"},"properties":{"noteIndex":0},"schema":"https://github.com/citation-style-language/schema/raw/master/csl-citation.json"}</w:instrText>
      </w:r>
      <w:r w:rsidR="00004207" w:rsidRPr="00021272">
        <w:rPr>
          <w:vertAlign w:val="superscript"/>
        </w:rPr>
        <w:fldChar w:fldCharType="separate"/>
      </w:r>
      <w:r w:rsidR="003F3F75" w:rsidRPr="003F3F75">
        <w:rPr>
          <w:noProof/>
        </w:rPr>
        <w:t>(31,32)</w:t>
      </w:r>
      <w:r w:rsidR="00004207" w:rsidRPr="00021272">
        <w:fldChar w:fldCharType="end"/>
      </w:r>
      <w:r w:rsidRPr="00021272">
        <w:t xml:space="preserve">. It seems however very unlikely that vaccination would preferentially precipitate this small subset of </w:t>
      </w:r>
      <w:r w:rsidR="00493E07">
        <w:t xml:space="preserve">severe </w:t>
      </w:r>
      <w:r w:rsidRPr="00021272">
        <w:t xml:space="preserve">flares </w:t>
      </w:r>
      <w:r w:rsidR="00493E07">
        <w:t>without any effect on milde</w:t>
      </w:r>
      <w:r w:rsidR="00D10EF2">
        <w:t>r</w:t>
      </w:r>
      <w:r w:rsidR="00493E07">
        <w:t xml:space="preserve"> flares </w:t>
      </w:r>
      <w:r w:rsidRPr="00021272">
        <w:t xml:space="preserve">and so we do not think this will have biased out results. </w:t>
      </w:r>
      <w:r w:rsidR="00866DB5">
        <w:t xml:space="preserve">Similarly, IBD flares that were managed exclusively in hospital out-patient clinics were excluded from this study. However, </w:t>
      </w:r>
      <w:r w:rsidR="00866DB5" w:rsidRPr="00B654EB">
        <w:rPr>
          <w:lang w:val="en-GB"/>
        </w:rPr>
        <w:t>GPs serve as first point of contact for patients with IBD experiencing a flare, and participate in the</w:t>
      </w:r>
      <w:r w:rsidR="00866DB5">
        <w:rPr>
          <w:lang w:val="en-GB"/>
        </w:rPr>
        <w:t>ir</w:t>
      </w:r>
      <w:r w:rsidR="00866DB5" w:rsidRPr="00B654EB">
        <w:rPr>
          <w:lang w:val="en-GB"/>
        </w:rPr>
        <w:t xml:space="preserve"> initial outpatient management, </w:t>
      </w:r>
      <w:r w:rsidR="00CA429B">
        <w:rPr>
          <w:lang w:val="en-GB"/>
        </w:rPr>
        <w:t xml:space="preserve">including with corticosteroid prescription, </w:t>
      </w:r>
      <w:r w:rsidR="00866DB5" w:rsidRPr="00B654EB">
        <w:rPr>
          <w:lang w:val="en-GB"/>
        </w:rPr>
        <w:t>unless the disease flare is severe enough to warrant hospital admission</w:t>
      </w:r>
      <w:r w:rsidR="00EB18A3">
        <w:rPr>
          <w:lang w:val="en-GB"/>
        </w:rPr>
        <w:fldChar w:fldCharType="begin" w:fldLock="1"/>
      </w:r>
      <w:r w:rsidR="003F3F75">
        <w:rPr>
          <w:lang w:val="en-GB"/>
        </w:rPr>
        <w:instrText>ADDIN CSL_CITATION {"citationItems":[{"id":"ITEM-1","itemData":{"DOI":"10.3399/bjgp18X699341","ISSN":"14785242","PMID":"30262630","author":[{"dropping-particle":"","family":"Barrett","given":"Kevin","non-dropping-particle":"","parse-names":false,"suffix":""},{"dropping-particle":"","family":"Saxena","given":"Sonia","non-dropping-particle":"","parse-names":false,"suffix":""},{"dropping-particle":"","family":"Pollok","given":"Richard","non-dropping-particle":"","parse-names":false,"suffix":""}],"container-title":"British Journal of General Practice","id":"ITEM-1","issue":"675","issued":{"date-parts":[["2018"]]},"page":"497-498","title":"Using corticosteroids appropriately in inflammatory bowel disease: A guide for primary care","type":"article-journal","volume":"68"},"uris":["http://www.mendeley.com/documents/?uuid=fe871087-2ae8-46f5-b01b-2b9fb5ca8618"]}],"mendeley":{"formattedCitation":"(33)","plainTextFormattedCitation":"(33)","previouslyFormattedCitation":"(31)"},"properties":{"noteIndex":0},"schema":"https://github.com/citation-style-language/schema/raw/master/csl-citation.json"}</w:instrText>
      </w:r>
      <w:r w:rsidR="00EB18A3">
        <w:rPr>
          <w:lang w:val="en-GB"/>
        </w:rPr>
        <w:fldChar w:fldCharType="separate"/>
      </w:r>
      <w:r w:rsidR="003F3F75" w:rsidRPr="003F3F75">
        <w:rPr>
          <w:noProof/>
          <w:lang w:val="en-GB"/>
        </w:rPr>
        <w:t>(33)</w:t>
      </w:r>
      <w:r w:rsidR="00EB18A3">
        <w:rPr>
          <w:lang w:val="en-GB"/>
        </w:rPr>
        <w:fldChar w:fldCharType="end"/>
      </w:r>
      <w:r w:rsidR="00866DB5" w:rsidRPr="00B654EB">
        <w:rPr>
          <w:lang w:val="en-GB"/>
        </w:rPr>
        <w:t>.</w:t>
      </w:r>
      <w:r w:rsidR="00866DB5">
        <w:rPr>
          <w:lang w:val="en-GB"/>
        </w:rPr>
        <w:t xml:space="preserve"> Any bias from missing data on IBD flares requiring hospitalisation or those that were managed in gastroenterology out-patient clinics</w:t>
      </w:r>
      <w:r w:rsidR="00866DB5">
        <w:t xml:space="preserve"> is unlikely to affect the validity of our findings as any resulting bias will be non-differential in nature. </w:t>
      </w:r>
    </w:p>
    <w:p w14:paraId="05ADC21B" w14:textId="0A6E66F1" w:rsidR="00995017" w:rsidRPr="00021272" w:rsidRDefault="00995017" w:rsidP="000736FB">
      <w:pPr>
        <w:spacing w:line="480" w:lineRule="auto"/>
        <w:rPr>
          <w:rFonts w:ascii="Arial" w:hAnsi="Arial" w:cs="Arial"/>
          <w:sz w:val="24"/>
          <w:szCs w:val="24"/>
        </w:rPr>
      </w:pPr>
      <w:r w:rsidRPr="00021272">
        <w:rPr>
          <w:rFonts w:ascii="Arial" w:hAnsi="Arial" w:cs="Arial"/>
          <w:sz w:val="24"/>
          <w:szCs w:val="24"/>
        </w:rPr>
        <w:lastRenderedPageBreak/>
        <w:t xml:space="preserve">Secondly as general practice records </w:t>
      </w:r>
      <w:r w:rsidR="00866DB5">
        <w:rPr>
          <w:rFonts w:ascii="Arial" w:hAnsi="Arial" w:cs="Arial"/>
          <w:sz w:val="24"/>
          <w:szCs w:val="24"/>
        </w:rPr>
        <w:t>do</w:t>
      </w:r>
      <w:r w:rsidRPr="00021272">
        <w:rPr>
          <w:rFonts w:ascii="Arial" w:hAnsi="Arial" w:cs="Arial"/>
          <w:sz w:val="24"/>
          <w:szCs w:val="24"/>
        </w:rPr>
        <w:t xml:space="preserve"> not reliably code for biologics</w:t>
      </w:r>
      <w:r w:rsidR="001A0CF6" w:rsidRPr="00021272">
        <w:rPr>
          <w:rFonts w:ascii="Arial" w:hAnsi="Arial" w:cs="Arial"/>
          <w:sz w:val="24"/>
          <w:szCs w:val="24"/>
        </w:rPr>
        <w:t>,</w:t>
      </w:r>
      <w:r w:rsidRPr="00021272">
        <w:rPr>
          <w:rFonts w:ascii="Arial" w:hAnsi="Arial" w:cs="Arial"/>
          <w:sz w:val="24"/>
          <w:szCs w:val="24"/>
        </w:rPr>
        <w:t xml:space="preserve"> we are unable to examine whether the subset of patients receiving them have an altered risk of adverse effects from vaccination</w:t>
      </w:r>
      <w:r w:rsidR="001A0CF6" w:rsidRPr="00021272">
        <w:rPr>
          <w:rFonts w:ascii="Arial" w:hAnsi="Arial" w:cs="Arial"/>
          <w:sz w:val="24"/>
          <w:szCs w:val="24"/>
        </w:rPr>
        <w:t>.</w:t>
      </w:r>
      <w:r w:rsidRPr="00021272">
        <w:rPr>
          <w:rFonts w:ascii="Arial" w:hAnsi="Arial" w:cs="Arial"/>
          <w:sz w:val="24"/>
          <w:szCs w:val="24"/>
        </w:rPr>
        <w:t xml:space="preserve"> </w:t>
      </w:r>
      <w:r w:rsidR="001A0CF6" w:rsidRPr="00021272">
        <w:rPr>
          <w:rFonts w:ascii="Arial" w:hAnsi="Arial" w:cs="Arial"/>
          <w:sz w:val="24"/>
          <w:szCs w:val="24"/>
        </w:rPr>
        <w:t>W</w:t>
      </w:r>
      <w:r w:rsidRPr="00021272">
        <w:rPr>
          <w:rFonts w:ascii="Arial" w:hAnsi="Arial" w:cs="Arial"/>
          <w:sz w:val="24"/>
          <w:szCs w:val="24"/>
        </w:rPr>
        <w:t>e see no reason though to expect more extreme immunologically driven side effects in these groups in whom the vaccine is less immunogenic</w:t>
      </w:r>
      <w:r w:rsidR="006A08B8" w:rsidRPr="00021272">
        <w:rPr>
          <w:rFonts w:ascii="Arial" w:hAnsi="Arial" w:cs="Arial"/>
          <w:sz w:val="24"/>
          <w:szCs w:val="24"/>
        </w:rPr>
        <w:fldChar w:fldCharType="begin" w:fldLock="1"/>
      </w:r>
      <w:r w:rsidR="00EB18A3">
        <w:rPr>
          <w:rFonts w:ascii="Arial" w:hAnsi="Arial" w:cs="Arial"/>
          <w:sz w:val="24"/>
          <w:szCs w:val="24"/>
        </w:rPr>
        <w:instrText>ADDIN CSL_CITATION {"citationItems":[{"id":"ITEM-1","itemData":{"DOI":"10.7326/M21-2483","ISSN":"1539-3704","PMID":"34633830","author":[{"dropping-particle":"","family":"Melmed","given":"Gil Y","non-dropping-particle":"","parse-names":false,"suffix":""},{"dropping-particle":"","family":"Botwin","given":"Gregory J","non-dropping-particle":"","parse-names":false,"suffix":""},{"dropping-particle":"","family":"Sobhani","given":"Kimia","non-dropping-particle":"","parse-names":false,"suffix":""},{"dropping-particle":"","family":"Li","given":"Dalin","non-dropping-particle":"","parse-names":false,"suffix":""},{"dropping-particle":"","family":"Prostko","given":"John","non-dropping-particle":"","parse-names":false,"suffix":""},{"dropping-particle":"","family":"Figueiredo","given":"Jane","non-dropping-particle":"","parse-names":false,"suffix":""},{"dropping-particle":"","family":"Cheng","given":"Susan","non-dropping-particle":"","parse-names":false,"suffix":""},{"dropping-particle":"","family":"Braun","given":"Jonathan","non-dropping-particle":"","parse-names":false,"suffix":""},{"dropping-particle":"","family":"McGovern","given":"Dermot P B","non-dropping-particle":"","parse-names":false,"suffix":""}],"container-title":"Annals of internal medicine","id":"ITEM-1","issue":"12","issued":{"date-parts":[["2021"]]},"page":"1768-1770","title":"Antibody Responses After SARS-CoV-2 mRNA Vaccination in Adults With Inflammatory Bowel Disease.","type":"article-journal","volume":"174"},"uris":["http://www.mendeley.com/documents/?uuid=1a0bcd88-c5eb-4d19-af5c-db1cd87425de"]},{"id":"ITEM-2","itemData":{"DOI":"10.1136/gutjnl-2021-324789","ISSN":"14683288","PMID":"33903149","abstract":"Objective Delayed second dose SARS-CoV-2 vaccination trades maximal effectiveness for a lower level of immunity across more of the population. We investigated whether patients with inflammatory bowel disease treated with infliximab have attenuated serological responses to a single dose of a SARS-CoV-2 vaccine. Design Antibody responses and seroconversion rates in infliximab-treated patients (n=865) were compared with a cohort treated with vedolizumab (n=428), a gut-selective anti-integrin α4β7 monoclonal antibody. Our primary outcome was anti-SARS-CoV-2 spike (S) antibody concentrations, measured using the Elecsys anti-SARS-CoV-2 spike (S) antibody assay 3-10 weeks after vaccination, in patients without evidence of prior infection. Secondary outcomes were seroconversion rates (defined by a cut-off of 15 U/mL), and antibody responses following past infection or a second dose of the BNT162b2 vaccine. Results Geometric mean (SD) anti-SARS-CoV-2 antibody concentrations were lower in patients treated with infliximab than vedolizumab, following BNT162b2 (6.0 U/mL (5.9) vs 28.8 U/mL (5.4) p&lt;0.0001) and ChAdOx1 nCoV-19 (4.7 U/mL (4.9)) vs 13.8 U/mL (5.9) p&lt;0.0001) vaccines. In our multivariable models, antibody concentrations were lower in infliximab-treated compared with vedolizumab-treated patients who received the BNT162b2 (fold change (FC) 0.29 (95% CI 0.21 to 0.40), p&lt;0.0001) and ChAdOx1 nCoV-19 (FC 0.39 (95% CI 0.30 to 0.51), p&lt;0.0001) vaccines. In both models, age ≥60 years, immunomodulator use, Crohn's disease and smoking were associated with lower, while non-white ethnicity was associated with higher, anti-SARS-CoV-2 antibody concentrations. Seroconversion rates after a single dose of either vaccine were higher in patients with prior SARS-CoV-2 infection and after two doses of BNT162b2 vaccine. Conclusion Infliximab is associated with attenuated immunogenicity to a single dose of the BNT162b2 and ChAdOx1 nCoV-19 SARS-CoV-2 vaccines. Vaccination after SARS-CoV-2 infection, or a second dose of vaccine, led to seroconversion in most patients. Delayed second dosing should be avoided in patients treated with infliximab. Trial registration number ISRCTN45176516.","author":[{"dropping-particle":"","family":"Kennedy","given":"Nicholas A.","non-dropping-particle":"","parse-names":false,"suffix":""},{"dropping-particle":"","family":"Lin","given":"Simeng","non-dropping-particle":"","parse-names":false,"suffix":""},{"dropping-particle":"","family":"Goodhand","given":"James R.","non-dropping-particle":"","parse-names":false,"suffix":""},{"dropping-particle":"","family":"Chanchlani","given":"Neil","non-dropping-particle":"","parse-names":false,"suffix":""},{"dropping-particle":"","family":"Hamilton","given":"Benjamin","non-dropping-particle":"","parse-names":false,"suffix":""},{"dropping-particle":"","family":"Bewshea","given":"Claire","non-dropping-particle":"","parse-names":false,"suffix":""},{"dropping-particle":"","family":"Nice","given":"Rachel","non-dropping-particle":"","parse-names":false,"suffix":""},{"dropping-particle":"","family":"Chee","given":"Desmond","non-dropping-particle":"","parse-names":false,"suffix":""},{"dropping-particle":"","family":"Cummings","given":"J. R.Fraser","non-dropping-particle":"","parse-names":false,"suffix":""},{"dropping-particle":"","family":"Fraser","given":"Aileen","non-dropping-particle":"","parse-names":false,"suffix":""},{"dropping-particle":"","family":"Irving","given":"Peter M.","non-dropping-particle":"","parse-names":false,"suffix":""},{"dropping-particle":"","family":"Kamperidis","given":"Nikolaos","non-dropping-particle":"","parse-names":false,"suffix":""},{"dropping-particle":"","family":"Kok","given":"Klaartje B.","non-dropping-particle":"","parse-names":false,"suffix":""},{"dropping-particle":"","family":"Lamb","given":"Christopher Andrew","non-dropping-particle":"","parse-names":false,"suffix":""},{"dropping-particle":"","family":"Macdonald","given":"Jonathan","non-dropping-particle":"","parse-names":false,"suffix":""},{"dropping-particle":"","family":"Mehta","given":"Shameer","non-dropping-particle":"","parse-names":false,"suffix":""},{"dropping-particle":"","family":"Pollok","given":"Richard C.G.","non-dropping-particle":"","parse-names":false,"suffix":""},{"dropping-particle":"","family":"Raine","given":"Tim","non-dropping-particle":"","parse-names":false,"suffix":""},{"dropping-particle":"","family":"Smith","given":"Philip J.","non-dropping-particle":"","parse-names":false,"suffix":""},{"dropping-particle":"","family":"Verma","given":"Ajay Mark","non-dropping-particle":"","parse-names":false,"suffix":""},{"dropping-particle":"","family":"Jochum","given":"Simon","non-dropping-particle":"","parse-names":false,"suffix":""},{"dropping-particle":"","family":"McDonald","given":"Timothy J.","non-dropping-particle":"","parse-names":false,"suffix":""},{"dropping-particle":"","family":"Sebastian","given":"Shaji","non-dropping-particle":"","parse-names":false,"suffix":""},{"dropping-particle":"","family":"Lees","given":"Charlie W.","non-dropping-particle":"","parse-names":false,"suffix":""},{"dropping-particle":"","family":"Powell","given":"Nick","non-dropping-particle":"","parse-names":false,"suffix":""},{"dropping-particle":"","family":"Ahmad","given":"Tariq","non-dropping-particle":"","parse-names":false,"suffix":""}],"container-title":"Gut","id":"ITEM-2","issue":"10","issued":{"date-parts":[["2021","10","1"]]},"page":"1884-1893","publisher":"BMJ Publishing Group","title":"Infliximab is associated with attenuated immunogenicity to BNT162b2 and ChAdOx1 nCoV-19 SARS-CoV-2 vaccines in patients with IBD","type":"article-journal","volume":"70"},"uris":["http://www.mendeley.com/documents/?uuid=57abc301-1174-4c34-8037-6c9c0ec88b8a"]}],"mendeley":{"formattedCitation":"(17,18)","plainTextFormattedCitation":"(17,18)","previouslyFormattedCitation":"(17,18)"},"properties":{"noteIndex":0},"schema":"https://github.com/citation-style-language/schema/raw/master/csl-citation.json"}</w:instrText>
      </w:r>
      <w:r w:rsidR="006A08B8" w:rsidRPr="00021272">
        <w:rPr>
          <w:rFonts w:ascii="Arial" w:hAnsi="Arial" w:cs="Arial"/>
          <w:sz w:val="24"/>
          <w:szCs w:val="24"/>
        </w:rPr>
        <w:fldChar w:fldCharType="separate"/>
      </w:r>
      <w:r w:rsidR="00EB18A3" w:rsidRPr="00EB18A3">
        <w:rPr>
          <w:rFonts w:ascii="Arial" w:hAnsi="Arial" w:cs="Arial"/>
          <w:noProof/>
          <w:sz w:val="24"/>
          <w:szCs w:val="24"/>
        </w:rPr>
        <w:t>(17,18)</w:t>
      </w:r>
      <w:r w:rsidR="006A08B8" w:rsidRPr="00021272">
        <w:rPr>
          <w:rFonts w:ascii="Arial" w:hAnsi="Arial" w:cs="Arial"/>
          <w:sz w:val="24"/>
          <w:szCs w:val="24"/>
        </w:rPr>
        <w:fldChar w:fldCharType="end"/>
      </w:r>
      <w:r w:rsidRPr="00021272">
        <w:rPr>
          <w:rFonts w:ascii="Arial" w:hAnsi="Arial" w:cs="Arial"/>
          <w:sz w:val="24"/>
          <w:szCs w:val="24"/>
        </w:rPr>
        <w:t>. Similarly</w:t>
      </w:r>
      <w:r w:rsidR="00EC0673">
        <w:rPr>
          <w:rFonts w:ascii="Arial" w:hAnsi="Arial" w:cs="Arial"/>
          <w:sz w:val="24"/>
          <w:szCs w:val="24"/>
        </w:rPr>
        <w:t>,</w:t>
      </w:r>
      <w:r w:rsidRPr="00021272">
        <w:rPr>
          <w:rFonts w:ascii="Arial" w:hAnsi="Arial" w:cs="Arial"/>
          <w:sz w:val="24"/>
          <w:szCs w:val="24"/>
        </w:rPr>
        <w:t xml:space="preserve"> we are unable to examine subgroups by the </w:t>
      </w:r>
      <w:r w:rsidRPr="003F3F75">
        <w:rPr>
          <w:rFonts w:ascii="Arial" w:hAnsi="Arial" w:cs="Arial"/>
          <w:sz w:val="24"/>
          <w:szCs w:val="24"/>
        </w:rPr>
        <w:t xml:space="preserve">extent or distribution of IBD as this information is not in general coded in </w:t>
      </w:r>
      <w:r w:rsidR="00866DB5" w:rsidRPr="003F3F75">
        <w:rPr>
          <w:rFonts w:ascii="Arial" w:hAnsi="Arial" w:cs="Arial"/>
          <w:sz w:val="24"/>
          <w:szCs w:val="24"/>
        </w:rPr>
        <w:t>primary-care</w:t>
      </w:r>
      <w:r w:rsidRPr="003F3F75">
        <w:rPr>
          <w:rFonts w:ascii="Arial" w:hAnsi="Arial" w:cs="Arial"/>
          <w:sz w:val="24"/>
          <w:szCs w:val="24"/>
        </w:rPr>
        <w:t xml:space="preserve"> records. Again</w:t>
      </w:r>
      <w:r w:rsidR="00EC0673" w:rsidRPr="003F3F75">
        <w:rPr>
          <w:rFonts w:ascii="Arial" w:hAnsi="Arial" w:cs="Arial"/>
          <w:sz w:val="24"/>
          <w:szCs w:val="24"/>
        </w:rPr>
        <w:t>,</w:t>
      </w:r>
      <w:r w:rsidRPr="00BD06E9">
        <w:rPr>
          <w:rFonts w:ascii="Arial" w:hAnsi="Arial" w:cs="Arial"/>
          <w:sz w:val="24"/>
          <w:szCs w:val="24"/>
        </w:rPr>
        <w:t xml:space="preserve"> we see no reason to believe though that the effect of the vaccine in this regar</w:t>
      </w:r>
      <w:r w:rsidRPr="004D5231">
        <w:rPr>
          <w:rFonts w:ascii="Arial" w:hAnsi="Arial" w:cs="Arial"/>
          <w:sz w:val="24"/>
          <w:szCs w:val="24"/>
        </w:rPr>
        <w:t>d would be differential between these groups.</w:t>
      </w:r>
      <w:r w:rsidR="006A08B8" w:rsidRPr="004D5231">
        <w:rPr>
          <w:rFonts w:ascii="Arial" w:hAnsi="Arial" w:cs="Arial"/>
          <w:sz w:val="24"/>
          <w:szCs w:val="24"/>
        </w:rPr>
        <w:t xml:space="preserve"> Another limitation of our method is that since we require steroid prescription to define flare it is possible that there may be an association with more minor flares treated with 5-aminosalicylates alone. Thoug</w:t>
      </w:r>
      <w:r w:rsidR="006A08B8" w:rsidRPr="00FE364A">
        <w:rPr>
          <w:rFonts w:ascii="Arial" w:hAnsi="Arial" w:cs="Arial"/>
          <w:sz w:val="24"/>
          <w:szCs w:val="24"/>
        </w:rPr>
        <w:t>h we cannot exclude this we feel that such minor effects would be unlikely to greatly discourage vaccination uptake and that it is the more significant flares which we have studies which are the primary concern.</w:t>
      </w:r>
      <w:r w:rsidR="00A04918" w:rsidRPr="00FE364A">
        <w:rPr>
          <w:rFonts w:ascii="Arial" w:hAnsi="Arial" w:cs="Arial"/>
          <w:sz w:val="24"/>
          <w:szCs w:val="24"/>
        </w:rPr>
        <w:t xml:space="preserve"> </w:t>
      </w:r>
      <w:r w:rsidR="00866DB5" w:rsidRPr="00F15649">
        <w:rPr>
          <w:rFonts w:ascii="Arial" w:hAnsi="Arial" w:cs="Arial"/>
          <w:sz w:val="24"/>
          <w:szCs w:val="24"/>
        </w:rPr>
        <w:t xml:space="preserve">Patients that experience an IBD flare soon after vaccination against COVID-19 may be discouraged from seeking future vaccinations against COVID-19. This has the potential to bias any association between vaccination and disease flare when data from multiple vaccinations are analyzed together. To minimize such a bias, we presented data on association between vaccination and disease flares according to sequential vaccine doses. Furthermore, our results show that IBD flares temporally associated with first dose of vaccination against COVID-19 did not deter patients from getting further vaccinations against COVID-19. </w:t>
      </w:r>
      <w:r w:rsidR="00A04918" w:rsidRPr="003F3F75">
        <w:rPr>
          <w:rFonts w:ascii="Arial" w:hAnsi="Arial" w:cs="Arial"/>
          <w:sz w:val="24"/>
          <w:szCs w:val="24"/>
        </w:rPr>
        <w:t>Finally</w:t>
      </w:r>
      <w:r w:rsidR="008F5E96" w:rsidRPr="003F3F75">
        <w:rPr>
          <w:rFonts w:ascii="Arial" w:hAnsi="Arial" w:cs="Arial"/>
          <w:sz w:val="24"/>
          <w:szCs w:val="24"/>
        </w:rPr>
        <w:t>,</w:t>
      </w:r>
      <w:r w:rsidR="00A04918" w:rsidRPr="003F3F75">
        <w:rPr>
          <w:rFonts w:ascii="Arial" w:hAnsi="Arial" w:cs="Arial"/>
          <w:sz w:val="24"/>
          <w:szCs w:val="24"/>
        </w:rPr>
        <w:t xml:space="preserve"> we can of course study only the vaccinations which have been widely used in the UK NHS as we have no data relevant to other vaccine</w:t>
      </w:r>
      <w:r w:rsidR="00866DB5" w:rsidRPr="003F3F75">
        <w:rPr>
          <w:rFonts w:ascii="Arial" w:hAnsi="Arial" w:cs="Arial"/>
          <w:sz w:val="24"/>
          <w:szCs w:val="24"/>
        </w:rPr>
        <w:t xml:space="preserve"> technologie</w:t>
      </w:r>
      <w:r w:rsidR="00A04918" w:rsidRPr="003F3F75">
        <w:rPr>
          <w:rFonts w:ascii="Arial" w:hAnsi="Arial" w:cs="Arial"/>
          <w:sz w:val="24"/>
          <w:szCs w:val="24"/>
        </w:rPr>
        <w:t>s which may limit the generalisability o</w:t>
      </w:r>
      <w:r w:rsidR="00A04918" w:rsidRPr="00BD06E9">
        <w:rPr>
          <w:rFonts w:ascii="Arial" w:hAnsi="Arial" w:cs="Arial"/>
          <w:sz w:val="24"/>
          <w:szCs w:val="24"/>
        </w:rPr>
        <w:t>f our findings in settings where other vaccine</w:t>
      </w:r>
      <w:r w:rsidR="00866DB5" w:rsidRPr="004D5231">
        <w:rPr>
          <w:rFonts w:ascii="Arial" w:hAnsi="Arial" w:cs="Arial"/>
          <w:sz w:val="24"/>
          <w:szCs w:val="24"/>
        </w:rPr>
        <w:t xml:space="preserve"> technologie</w:t>
      </w:r>
      <w:r w:rsidR="00A04918" w:rsidRPr="004D5231">
        <w:rPr>
          <w:rFonts w:ascii="Arial" w:hAnsi="Arial" w:cs="Arial"/>
          <w:sz w:val="24"/>
          <w:szCs w:val="24"/>
        </w:rPr>
        <w:t>s are in use.</w:t>
      </w:r>
      <w:r w:rsidR="00A04918" w:rsidRPr="00021272">
        <w:rPr>
          <w:rFonts w:ascii="Arial" w:hAnsi="Arial" w:cs="Arial"/>
          <w:sz w:val="24"/>
          <w:szCs w:val="24"/>
        </w:rPr>
        <w:t xml:space="preserve"> </w:t>
      </w:r>
    </w:p>
    <w:p w14:paraId="08350E6A" w14:textId="19C381CA" w:rsidR="00A04918" w:rsidRPr="00021272" w:rsidRDefault="00C74F2F" w:rsidP="000736FB">
      <w:pPr>
        <w:spacing w:line="480" w:lineRule="auto"/>
        <w:rPr>
          <w:rFonts w:ascii="Arial" w:hAnsi="Arial" w:cs="Arial"/>
          <w:sz w:val="24"/>
          <w:szCs w:val="24"/>
        </w:rPr>
      </w:pPr>
      <w:r w:rsidRPr="00480A18">
        <w:rPr>
          <w:rFonts w:ascii="Arial" w:hAnsi="Arial" w:cs="Arial"/>
          <w:i/>
          <w:sz w:val="24"/>
          <w:szCs w:val="24"/>
        </w:rPr>
        <w:lastRenderedPageBreak/>
        <w:t>Research in context:</w:t>
      </w:r>
      <w:r>
        <w:rPr>
          <w:rFonts w:ascii="Arial" w:hAnsi="Arial" w:cs="Arial"/>
          <w:sz w:val="24"/>
          <w:szCs w:val="24"/>
        </w:rPr>
        <w:t xml:space="preserve"> </w:t>
      </w:r>
      <w:r w:rsidR="00004207" w:rsidRPr="00021272">
        <w:rPr>
          <w:rFonts w:ascii="Arial" w:hAnsi="Arial" w:cs="Arial"/>
          <w:sz w:val="24"/>
          <w:szCs w:val="24"/>
        </w:rPr>
        <w:t xml:space="preserve">Our findings are consistent with </w:t>
      </w:r>
      <w:r w:rsidR="000F0F39" w:rsidRPr="00021272">
        <w:rPr>
          <w:rFonts w:ascii="Arial" w:hAnsi="Arial" w:cs="Arial"/>
          <w:sz w:val="24"/>
          <w:szCs w:val="24"/>
        </w:rPr>
        <w:t>those of the recent meta-analysis of studies of the safety of SARS-CoV-2 vaccination in IBD patients</w:t>
      </w:r>
      <w:r w:rsidR="000F0F39" w:rsidRPr="00021272">
        <w:rPr>
          <w:rFonts w:ascii="Arial" w:hAnsi="Arial" w:cs="Arial"/>
          <w:sz w:val="24"/>
          <w:szCs w:val="24"/>
        </w:rPr>
        <w:fldChar w:fldCharType="begin" w:fldLock="1"/>
      </w:r>
      <w:r w:rsidR="003F3F75">
        <w:rPr>
          <w:rFonts w:ascii="Arial" w:hAnsi="Arial" w:cs="Arial"/>
          <w:sz w:val="24"/>
          <w:szCs w:val="24"/>
        </w:rPr>
        <w:instrText>ADDIN CSL_CITATION {"citationItems":[{"id":"ITEM-1","itemData":{"DOI":"10.1016/j.dld.2022.03.005","ISSN":"15908658","PMID":"35382972","abstract":"INTRODUCTION Risk of adverse effects and flare of inflammatory bowel disease (IBD) are frequently cited reasons for COVID-19 vaccine hesitancy. METHODS Electronic databases were searched to identify studies reporting the use of COVID-19 vaccine in IBD. We selected studies reporting the incidence of various adverse effects (local or systemic) and flares of IBD after COVID-19 vaccination. The pooled incidence rates for various adverse effects, stratified for the dose and the type of vaccine (adenoviral or mRNA) were estimated. RESULTS Nine studies (16 vaccination cohorts) were included. The pooled incidence rate of overall adverse events was 0.55 (95%CI, 0.45-0.64, I2= 95%). The pooled incidence rate of local adverse events was 0.64 (0.47-0.78, I2= 100%). The pooled incidence rates of fatigue, headache, myalgia, fever and chills were 0.30 (0.21-0.40, I2= 99%), 0.23 (0.17-0.30, I2= 99%), 0.18 (0.13-0.24, I2= 99%), 0.10 (0.06-0.17, I2= 98%) and 0.15 (0.06-0.3, I2= 86%), respectively. The pooled incidence rates of severe adverse events, adverse events requiring hospitalization and flares of IBD following COVID-19 vaccination were 0.02 (0.00-0.12, I2= 97%), 0.00 (0.00-0.01, I2= 27%) and 0.01 (0.01-0.03, I2= 45%), respectively. CONCLUSION COVID-19 vaccination in patients with IBD appears to be safe with only mild adverse events. Flares of IBD and severe adverse events requiring hospitalization were infrequent.","author":[{"dropping-particle":"","family":"James","given":"Deepak","non-dropping-particle":"","parse-names":false,"suffix":""},{"dropping-particle":"","family":"Jena","given":"Anuraag","non-dropping-particle":"","parse-names":false,"suffix":""},{"dropping-particle":"","family":"Bharath","given":"Pardhu Neelam","non-dropping-particle":"","parse-names":false,"suffix":""},{"dropping-particle":"","family":"Choudhury","given":"Arup","non-dropping-particle":"","parse-names":false,"suffix":""},{"dropping-particle":"","family":"Singh","given":"Anupam K","non-dropping-particle":"","parse-names":false,"suffix":""},{"dropping-particle":"","family":"Sebastian","given":"Shaji","non-dropping-particle":"","parse-names":false,"suffix":""},{"dropping-particle":"","family":"Sharma","given":"Vishal","non-dropping-particle":"","parse-names":false,"suffix":""}],"container-title":"Digestive and Liver Disease","id":"ITEM-1","issue":"6","issued":{"date-parts":[["2022","6","22"]]},"page":"713-721","title":"Safety of SARS-CoV-2 vaccination in patients with inflammatory bowel disease: A systematic review and meta-analysis","type":"article-journal","volume":"54"},"uris":["http://www.mendeley.com/documents/?uuid=154476bb-dc8a-49bd-809e-af25750a849c"]}],"mendeley":{"formattedCitation":"(34)","plainTextFormattedCitation":"(34)","previouslyFormattedCitation":"(32)"},"properties":{"noteIndex":0},"schema":"https://github.com/citation-style-language/schema/raw/master/csl-citation.json"}</w:instrText>
      </w:r>
      <w:r w:rsidR="000F0F39" w:rsidRPr="00021272">
        <w:rPr>
          <w:rFonts w:ascii="Arial" w:hAnsi="Arial" w:cs="Arial"/>
          <w:sz w:val="24"/>
          <w:szCs w:val="24"/>
          <w:vertAlign w:val="superscript"/>
        </w:rPr>
        <w:fldChar w:fldCharType="separate"/>
      </w:r>
      <w:r w:rsidR="003F3F75" w:rsidRPr="003F3F75">
        <w:rPr>
          <w:rFonts w:ascii="Arial" w:hAnsi="Arial" w:cs="Arial"/>
          <w:noProof/>
          <w:sz w:val="24"/>
          <w:szCs w:val="24"/>
        </w:rPr>
        <w:t>(34)</w:t>
      </w:r>
      <w:r w:rsidR="000F0F39" w:rsidRPr="00021272">
        <w:rPr>
          <w:rFonts w:ascii="Arial" w:hAnsi="Arial" w:cs="Arial"/>
          <w:sz w:val="24"/>
          <w:szCs w:val="24"/>
        </w:rPr>
        <w:fldChar w:fldCharType="end"/>
      </w:r>
      <w:r w:rsidR="000F0F39" w:rsidRPr="00021272">
        <w:rPr>
          <w:rFonts w:ascii="Arial" w:hAnsi="Arial" w:cs="Arial"/>
          <w:sz w:val="24"/>
          <w:szCs w:val="24"/>
        </w:rPr>
        <w:t xml:space="preserve">, showing as they do no increase in flare risk. In contrast to the </w:t>
      </w:r>
      <w:r w:rsidR="00866DB5">
        <w:rPr>
          <w:rFonts w:ascii="Arial" w:hAnsi="Arial" w:cs="Arial"/>
          <w:sz w:val="24"/>
          <w:szCs w:val="24"/>
        </w:rPr>
        <w:t>six</w:t>
      </w:r>
      <w:r w:rsidR="000F0F39" w:rsidRPr="00021272">
        <w:rPr>
          <w:rFonts w:ascii="Arial" w:hAnsi="Arial" w:cs="Arial"/>
          <w:sz w:val="24"/>
          <w:szCs w:val="24"/>
        </w:rPr>
        <w:t xml:space="preserve"> small cohorts comprising 4537 patients </w:t>
      </w:r>
      <w:r w:rsidR="001A0CF6" w:rsidRPr="00021272">
        <w:rPr>
          <w:rFonts w:ascii="Arial" w:hAnsi="Arial" w:cs="Arial"/>
          <w:sz w:val="24"/>
          <w:szCs w:val="24"/>
        </w:rPr>
        <w:t xml:space="preserve">and 75 flares </w:t>
      </w:r>
      <w:r w:rsidR="000F0F39" w:rsidRPr="00021272">
        <w:rPr>
          <w:rFonts w:ascii="Arial" w:hAnsi="Arial" w:cs="Arial"/>
          <w:sz w:val="24"/>
          <w:szCs w:val="24"/>
        </w:rPr>
        <w:t>reported there though, our report represents the experience of 73,626 IBD patients with documented vaccination among whom 1,940 experienced a flare at some time during the study period.</w:t>
      </w:r>
      <w:r w:rsidR="00900D3C" w:rsidRPr="00021272">
        <w:rPr>
          <w:rFonts w:ascii="Arial" w:hAnsi="Arial" w:cs="Arial"/>
          <w:sz w:val="24"/>
          <w:szCs w:val="24"/>
        </w:rPr>
        <w:t xml:space="preserve"> In addition rather than reporting the absolute flare incidence post vaccination (flare probability 0.01 (95% CI 0.01-0.03)</w:t>
      </w:r>
      <w:r w:rsidR="001A0CF6" w:rsidRPr="00021272">
        <w:rPr>
          <w:rFonts w:ascii="Arial" w:hAnsi="Arial" w:cs="Arial"/>
          <w:sz w:val="24"/>
          <w:szCs w:val="24"/>
        </w:rPr>
        <w:fldChar w:fldCharType="begin" w:fldLock="1"/>
      </w:r>
      <w:r w:rsidR="003F3F75">
        <w:rPr>
          <w:rFonts w:ascii="Arial" w:hAnsi="Arial" w:cs="Arial"/>
          <w:sz w:val="24"/>
          <w:szCs w:val="24"/>
        </w:rPr>
        <w:instrText>ADDIN CSL_CITATION {"citationItems":[{"id":"ITEM-1","itemData":{"DOI":"10.1016/j.dld.2022.03.005","ISSN":"15908658","PMID":"35382972","abstract":"INTRODUCTION Risk of adverse effects and flare of inflammatory bowel disease (IBD) are frequently cited reasons for COVID-19 vaccine hesitancy. METHODS Electronic databases were searched to identify studies reporting the use of COVID-19 vaccine in IBD. We selected studies reporting the incidence of various adverse effects (local or systemic) and flares of IBD after COVID-19 vaccination. The pooled incidence rates for various adverse effects, stratified for the dose and the type of vaccine (adenoviral or mRNA) were estimated. RESULTS Nine studies (16 vaccination cohorts) were included. The pooled incidence rate of overall adverse events was 0.55 (95%CI, 0.45-0.64, I2= 95%). The pooled incidence rate of local adverse events was 0.64 (0.47-0.78, I2= 100%). The pooled incidence rates of fatigue, headache, myalgia, fever and chills were 0.30 (0.21-0.40, I2= 99%), 0.23 (0.17-0.30, I2= 99%), 0.18 (0.13-0.24, I2= 99%), 0.10 (0.06-0.17, I2= 98%) and 0.15 (0.06-0.3, I2= 86%), respectively. The pooled incidence rates of severe adverse events, adverse events requiring hospitalization and flares of IBD following COVID-19 vaccination were 0.02 (0.00-0.12, I2= 97%), 0.00 (0.00-0.01, I2= 27%) and 0.01 (0.01-0.03, I2= 45%), respectively. CONCLUSION COVID-19 vaccination in patients with IBD appears to be safe with only mild adverse events. Flares of IBD and severe adverse events requiring hospitalization were infrequent.","author":[{"dropping-particle":"","family":"James","given":"Deepak","non-dropping-particle":"","parse-names":false,"suffix":""},{"dropping-particle":"","family":"Jena","given":"Anuraag","non-dropping-particle":"","parse-names":false,"suffix":""},{"dropping-particle":"","family":"Bharath","given":"Pardhu Neelam","non-dropping-particle":"","parse-names":false,"suffix":""},{"dropping-particle":"","family":"Choudhury","given":"Arup","non-dropping-particle":"","parse-names":false,"suffix":""},{"dropping-particle":"","family":"Singh","given":"Anupam K","non-dropping-particle":"","parse-names":false,"suffix":""},{"dropping-particle":"","family":"Sebastian","given":"Shaji","non-dropping-particle":"","parse-names":false,"suffix":""},{"dropping-particle":"","family":"Sharma","given":"Vishal","non-dropping-particle":"","parse-names":false,"suffix":""}],"container-title":"Digestive and Liver Disease","id":"ITEM-1","issue":"6","issued":{"date-parts":[["2022","6","22"]]},"page":"713-721","title":"Safety of SARS-CoV-2 vaccination in patients with inflammatory bowel disease: A systematic review and meta-analysis","type":"article-journal","volume":"54"},"uris":["http://www.mendeley.com/documents/?uuid=154476bb-dc8a-49bd-809e-af25750a849c"]}],"mendeley":{"formattedCitation":"(34)","plainTextFormattedCitation":"(34)","previouslyFormattedCitation":"(32)"},"properties":{"noteIndex":0},"schema":"https://github.com/citation-style-language/schema/raw/master/csl-citation.json"}</w:instrText>
      </w:r>
      <w:r w:rsidR="001A0CF6" w:rsidRPr="00021272">
        <w:rPr>
          <w:rFonts w:ascii="Arial" w:hAnsi="Arial" w:cs="Arial"/>
          <w:sz w:val="24"/>
          <w:szCs w:val="24"/>
        </w:rPr>
        <w:fldChar w:fldCharType="separate"/>
      </w:r>
      <w:r w:rsidR="003F3F75" w:rsidRPr="003F3F75">
        <w:rPr>
          <w:rFonts w:ascii="Arial" w:hAnsi="Arial" w:cs="Arial"/>
          <w:noProof/>
          <w:sz w:val="24"/>
          <w:szCs w:val="24"/>
        </w:rPr>
        <w:t>(34)</w:t>
      </w:r>
      <w:r w:rsidR="001A0CF6" w:rsidRPr="00021272">
        <w:rPr>
          <w:rFonts w:ascii="Arial" w:hAnsi="Arial" w:cs="Arial"/>
          <w:sz w:val="24"/>
          <w:szCs w:val="24"/>
        </w:rPr>
        <w:fldChar w:fldCharType="end"/>
      </w:r>
      <w:r w:rsidR="00900D3C" w:rsidRPr="00021272">
        <w:rPr>
          <w:rFonts w:ascii="Arial" w:hAnsi="Arial" w:cs="Arial"/>
          <w:sz w:val="24"/>
          <w:szCs w:val="24"/>
        </w:rPr>
        <w:t>)</w:t>
      </w:r>
      <w:r w:rsidR="000F0F39" w:rsidRPr="00021272">
        <w:rPr>
          <w:rFonts w:ascii="Arial" w:hAnsi="Arial" w:cs="Arial"/>
          <w:sz w:val="24"/>
          <w:szCs w:val="24"/>
        </w:rPr>
        <w:t xml:space="preserve"> </w:t>
      </w:r>
      <w:r w:rsidR="00900D3C" w:rsidRPr="00021272">
        <w:rPr>
          <w:rFonts w:ascii="Arial" w:hAnsi="Arial" w:cs="Arial"/>
          <w:sz w:val="24"/>
          <w:szCs w:val="24"/>
        </w:rPr>
        <w:t>we have reported an incidence rate ratio comparing the risk in periods following vaccination to subjects’ experience at other times (IRR 0.89 (95% CI (0.77-1.02)).</w:t>
      </w:r>
      <w:r w:rsidR="00EC0673">
        <w:rPr>
          <w:rFonts w:ascii="Arial" w:hAnsi="Arial" w:cs="Arial"/>
          <w:sz w:val="24"/>
          <w:szCs w:val="24"/>
        </w:rPr>
        <w:t xml:space="preserve"> </w:t>
      </w:r>
      <w:r w:rsidR="000F0F39" w:rsidRPr="00021272">
        <w:rPr>
          <w:rFonts w:ascii="Arial" w:hAnsi="Arial" w:cs="Arial"/>
          <w:sz w:val="24"/>
          <w:szCs w:val="24"/>
        </w:rPr>
        <w:t xml:space="preserve">Of the subjects in the </w:t>
      </w:r>
      <w:r w:rsidR="0043560D">
        <w:rPr>
          <w:rFonts w:ascii="Arial" w:hAnsi="Arial" w:cs="Arial"/>
          <w:sz w:val="24"/>
          <w:szCs w:val="24"/>
        </w:rPr>
        <w:t xml:space="preserve">studies included in </w:t>
      </w:r>
      <w:r w:rsidR="000F0F39" w:rsidRPr="00021272">
        <w:rPr>
          <w:rFonts w:ascii="Arial" w:hAnsi="Arial" w:cs="Arial"/>
          <w:sz w:val="24"/>
          <w:szCs w:val="24"/>
        </w:rPr>
        <w:t xml:space="preserve">meta-analysis </w:t>
      </w:r>
      <w:r w:rsidR="0043560D">
        <w:rPr>
          <w:rFonts w:ascii="Arial" w:hAnsi="Arial" w:cs="Arial"/>
          <w:sz w:val="24"/>
          <w:szCs w:val="24"/>
        </w:rPr>
        <w:t xml:space="preserve">cited earlier, </w:t>
      </w:r>
      <w:r w:rsidR="000F0F39" w:rsidRPr="00021272">
        <w:rPr>
          <w:rFonts w:ascii="Arial" w:hAnsi="Arial" w:cs="Arial"/>
          <w:sz w:val="24"/>
          <w:szCs w:val="24"/>
        </w:rPr>
        <w:t>the majority (</w:t>
      </w:r>
      <w:r w:rsidR="0043560D">
        <w:rPr>
          <w:rFonts w:ascii="Arial" w:hAnsi="Arial" w:cs="Arial"/>
          <w:sz w:val="24"/>
          <w:szCs w:val="24"/>
        </w:rPr>
        <w:t>n=</w:t>
      </w:r>
      <w:r w:rsidR="000F0F39" w:rsidRPr="00021272">
        <w:rPr>
          <w:rFonts w:ascii="Arial" w:hAnsi="Arial" w:cs="Arial"/>
          <w:sz w:val="24"/>
          <w:szCs w:val="24"/>
        </w:rPr>
        <w:t xml:space="preserve">3316) came from a single study reporting a </w:t>
      </w:r>
      <w:r w:rsidR="00900D3C" w:rsidRPr="00021272">
        <w:rPr>
          <w:rFonts w:ascii="Arial" w:hAnsi="Arial" w:cs="Arial"/>
          <w:sz w:val="24"/>
          <w:szCs w:val="24"/>
        </w:rPr>
        <w:t>US cohort study ascertaining data via repeated survey of participants</w:t>
      </w:r>
      <w:r w:rsidR="00900D3C" w:rsidRPr="00021272">
        <w:rPr>
          <w:rFonts w:ascii="Arial" w:hAnsi="Arial" w:cs="Arial"/>
          <w:sz w:val="24"/>
          <w:szCs w:val="24"/>
        </w:rPr>
        <w:fldChar w:fldCharType="begin" w:fldLock="1"/>
      </w:r>
      <w:r w:rsidR="003F3F75">
        <w:rPr>
          <w:rFonts w:ascii="Arial" w:hAnsi="Arial" w:cs="Arial"/>
          <w:sz w:val="24"/>
          <w:szCs w:val="24"/>
        </w:rPr>
        <w:instrText>ADDIN CSL_CITATION {"citationItems":[{"id":"ITEM-1","itemData":{"DOI":"10.1093/ibd/izab302","ISSN":"1078-0998","abstract":"Background. Severe acute respiratory syndrome coronavirus 2 vaccination is recommended for all individuals with inflammatory bowel disease (IBD), including those on immunosuppressive therapies; however, little is known about vaccine safety and efficacy in these patients or the impact of vaccination on IBD disease course. Methods. We evaluated coronavirus disease 2019 (COVID-19) vaccine-related adverse events (AEs) and the effect of vaccination on IBD disease course among participants in the PREVENT-COVID (Partnership to Report Effectiveness of Vaccination in populations Excluded from iNitial Trials of COVID) study, a prospective, observational cohort study. Localized and systemic reactions were assessed via questionnaire. Disease flare was defined by worsening IBD symptoms and change in IBD medications. Outcomes were stratified by vaccine type and IBD medication classes. Results. A total of 3316 individuals with IBD received at least 1 COVID-19 vaccine. Injection site tenderness (68%) and fatigue (46% dose 1, 68% dose 2) were the most commonly reported localized and systemic AEs after vaccination. Severe localized and systemic vaccine-related AEs were rare. The mRNA-1273 vaccine was associated with significantly greater severe AEs at dose 2 (localized 4% vs 2%, systemic 15% vs 10%; P &lt; .001 for both). Prior COVID-19 infection, female sex, and vaccine type were associated with severe systemic reactions to dose 1, while age &lt;50 years, female sex, vaccine type, and antitumor necrosis factor and vedolizumab use were associated with severe systemic reactions to dose 2. Overall rates (2%) of IBD flare were low following vaccination. Conclusions. Our findings provide reassurance that the severe acute respiratory syndrome coronavirus 2 vaccine is safe and well tolerated among individuals with IBD, which may help to combat vaccine hesitancy and increase vaccine confidence. The severe acute respiratory syndrome coronavirus 2 vaccine is safe and well tolerated among individuals with inflammatory bowel disease (IBD). Severe localized and systemic vaccine-related adverse events were rare, and rates of IBD flare were low (2%) following severe acute respiratory syndrome coronavirus 2 vaccination in a cohort of 3316 participants with IBD.","author":[{"dropping-particle":"","family":"Weaver","given":"Kimberly N","non-dropping-particle":"","parse-names":false,"suffix":""},{"dropping-particle":"","family":"Zhang","given":"Xian","non-dropping-particle":"","parse-names":false,"suffix":""},{"dropping-particle":"","family":"Dai","given":"Xiangfeng","non-dropping-particle":"","parse-names":false,"suffix":""},{"dropping-particle":"","family":"Watkins","given":"Runa","non-dropping-particle":"","parse-names":false,"suffix":""},{"dropping-particle":"","family":"Adler","given":"Jeremy","non-dropping-particle":"","parse-names":false,"suffix":""},{"dropping-particle":"","family":"Dubinsky","given":"Marla C","non-dropping-particle":"","parse-names":false,"suffix":""},{"dropping-particle":"","family":"Kastl","given":"Arthur","non-dropping-particle":"","parse-names":false,"suffix":""},{"dropping-particle":"","family":"Bousvaros","given":"Athos","non-dropping-particle":"","parse-names":false,"suffix":""},{"dropping-particle":"","family":"Strople","given":"Jennifer A","non-dropping-particle":"","parse-names":false,"suffix":""},{"dropping-particle":"","family":"Cross","given":"Raymond K","non-dropping-particle":"","parse-names":false,"suffix":""},{"dropping-particle":"","family":"Higgins","given":"Peter D R","non-dropping-particle":"","parse-names":false,"suffix":""},{"dropping-particle":"","family":"Ungaro","given":"Ryan C","non-dropping-particle":"","parse-names":false,"suffix":""},{"dropping-particle":"","family":"Bewtra","given":"Meenakshi","non-dropping-particle":"","parse-names":false,"suffix":""},{"dropping-particle":"","family":"Bellaguarda","given":"Emanuelle","non-dropping-particle":"","parse-names":false,"suffix":""},{"dropping-particle":"","family":"Farraye","given":"Francis A","non-dropping-particle":"","parse-names":false,"suffix":""},{"dropping-particle":"","family":"Boccieri","given":"Margie E","non-dropping-particle":"","parse-names":false,"suffix":""},{"dropping-particle":"","family":"Firestine","given":"Ann","non-dropping-particle":"","parse-names":false,"suffix":""},{"dropping-particle":"","family":"Kappelman","given":"Michael D","non-dropping-particle":"","parse-names":false,"suffix":""},{"dropping-particle":"","family":"Long","given":"Millie D","non-dropping-particle":"","parse-names":false,"suffix":""}],"container-title":"Inflammatory Bowel Diseases","id":"ITEM-1","issue":"December","issued":{"date-parts":[["2021"]]},"page":"1-9","title":"Impact of SARS-CoV-2 Vaccination on Inflammatory Bowel Disease Activity and Development of Vaccine-Related Adverse Events: Results From PREVENT-COVID","type":"article-journal"},"uris":["http://www.mendeley.com/documents/?uuid=2840d054-9dde-4a5b-85d7-0569c759591e"]}],"mendeley":{"formattedCitation":"(35)","plainTextFormattedCitation":"(35)","previouslyFormattedCitation":"(33)"},"properties":{"noteIndex":0},"schema":"https://github.com/citation-style-language/schema/raw/master/csl-citation.json"}</w:instrText>
      </w:r>
      <w:r w:rsidR="00900D3C" w:rsidRPr="00021272">
        <w:rPr>
          <w:rFonts w:ascii="Arial" w:hAnsi="Arial" w:cs="Arial"/>
          <w:sz w:val="24"/>
          <w:szCs w:val="24"/>
        </w:rPr>
        <w:fldChar w:fldCharType="separate"/>
      </w:r>
      <w:r w:rsidR="003F3F75" w:rsidRPr="003F3F75">
        <w:rPr>
          <w:rFonts w:ascii="Arial" w:hAnsi="Arial" w:cs="Arial"/>
          <w:noProof/>
          <w:sz w:val="24"/>
          <w:szCs w:val="24"/>
        </w:rPr>
        <w:t>(35)</w:t>
      </w:r>
      <w:r w:rsidR="00900D3C" w:rsidRPr="00021272">
        <w:rPr>
          <w:rFonts w:ascii="Arial" w:hAnsi="Arial" w:cs="Arial"/>
          <w:sz w:val="24"/>
          <w:szCs w:val="24"/>
        </w:rPr>
        <w:fldChar w:fldCharType="end"/>
      </w:r>
      <w:r w:rsidR="00900D3C" w:rsidRPr="00021272">
        <w:rPr>
          <w:rFonts w:ascii="Arial" w:hAnsi="Arial" w:cs="Arial"/>
          <w:sz w:val="24"/>
          <w:szCs w:val="24"/>
        </w:rPr>
        <w:t>. This study</w:t>
      </w:r>
      <w:r w:rsidR="00EC0673">
        <w:rPr>
          <w:rFonts w:ascii="Arial" w:hAnsi="Arial" w:cs="Arial"/>
          <w:sz w:val="24"/>
          <w:szCs w:val="24"/>
        </w:rPr>
        <w:t>,</w:t>
      </w:r>
      <w:r w:rsidR="00900D3C" w:rsidRPr="00021272">
        <w:rPr>
          <w:rFonts w:ascii="Arial" w:hAnsi="Arial" w:cs="Arial"/>
          <w:sz w:val="24"/>
          <w:szCs w:val="24"/>
        </w:rPr>
        <w:t xml:space="preserve"> though </w:t>
      </w:r>
      <w:r w:rsidR="004728D6" w:rsidRPr="00021272">
        <w:rPr>
          <w:rFonts w:ascii="Arial" w:hAnsi="Arial" w:cs="Arial"/>
          <w:sz w:val="24"/>
          <w:szCs w:val="24"/>
        </w:rPr>
        <w:t>potentially</w:t>
      </w:r>
      <w:r w:rsidR="00900D3C" w:rsidRPr="00021272">
        <w:rPr>
          <w:rFonts w:ascii="Arial" w:hAnsi="Arial" w:cs="Arial"/>
          <w:sz w:val="24"/>
          <w:szCs w:val="24"/>
        </w:rPr>
        <w:t xml:space="preserve"> less representative of typical IBD patients than is ours</w:t>
      </w:r>
      <w:r w:rsidR="004728D6" w:rsidRPr="00021272">
        <w:rPr>
          <w:rFonts w:ascii="Arial" w:hAnsi="Arial" w:cs="Arial"/>
          <w:sz w:val="24"/>
          <w:szCs w:val="24"/>
        </w:rPr>
        <w:t>,</w:t>
      </w:r>
      <w:r w:rsidR="00900D3C" w:rsidRPr="00021272">
        <w:rPr>
          <w:rFonts w:ascii="Arial" w:hAnsi="Arial" w:cs="Arial"/>
          <w:sz w:val="24"/>
          <w:szCs w:val="24"/>
        </w:rPr>
        <w:t xml:space="preserve"> </w:t>
      </w:r>
      <w:r w:rsidR="004728D6" w:rsidRPr="00021272">
        <w:rPr>
          <w:rFonts w:ascii="Arial" w:hAnsi="Arial" w:cs="Arial"/>
          <w:sz w:val="24"/>
          <w:szCs w:val="24"/>
        </w:rPr>
        <w:t xml:space="preserve">was able to report upon biologic and immunomodulator use and therefore to confirm a low </w:t>
      </w:r>
      <w:r w:rsidR="007D7F7A">
        <w:rPr>
          <w:rFonts w:ascii="Arial" w:hAnsi="Arial" w:cs="Arial"/>
          <w:sz w:val="24"/>
          <w:szCs w:val="24"/>
        </w:rPr>
        <w:t xml:space="preserve">absolute </w:t>
      </w:r>
      <w:r w:rsidR="00C06E47">
        <w:rPr>
          <w:rFonts w:ascii="Arial" w:hAnsi="Arial" w:cs="Arial"/>
          <w:sz w:val="24"/>
          <w:szCs w:val="24"/>
        </w:rPr>
        <w:t xml:space="preserve">risk </w:t>
      </w:r>
      <w:r w:rsidR="004728D6" w:rsidRPr="00021272">
        <w:rPr>
          <w:rFonts w:ascii="Arial" w:hAnsi="Arial" w:cs="Arial"/>
          <w:sz w:val="24"/>
          <w:szCs w:val="24"/>
        </w:rPr>
        <w:t xml:space="preserve">of </w:t>
      </w:r>
      <w:r w:rsidR="00C14667">
        <w:rPr>
          <w:rFonts w:ascii="Arial" w:hAnsi="Arial" w:cs="Arial"/>
          <w:sz w:val="24"/>
          <w:szCs w:val="24"/>
        </w:rPr>
        <w:t xml:space="preserve">disease </w:t>
      </w:r>
      <w:r w:rsidR="004728D6" w:rsidRPr="00021272">
        <w:rPr>
          <w:rFonts w:ascii="Arial" w:hAnsi="Arial" w:cs="Arial"/>
          <w:sz w:val="24"/>
          <w:szCs w:val="24"/>
        </w:rPr>
        <w:t xml:space="preserve">flare </w:t>
      </w:r>
      <w:r w:rsidR="00C14667">
        <w:rPr>
          <w:rFonts w:ascii="Arial" w:hAnsi="Arial" w:cs="Arial"/>
          <w:sz w:val="24"/>
          <w:szCs w:val="24"/>
        </w:rPr>
        <w:t xml:space="preserve">defined using a combination of symptoms and treatment change </w:t>
      </w:r>
      <w:r w:rsidR="007D7F7A">
        <w:rPr>
          <w:rFonts w:ascii="Arial" w:hAnsi="Arial" w:cs="Arial"/>
          <w:sz w:val="24"/>
          <w:szCs w:val="24"/>
        </w:rPr>
        <w:t xml:space="preserve">within 1 month of vaccination against </w:t>
      </w:r>
      <w:r w:rsidR="0025665E">
        <w:rPr>
          <w:rFonts w:ascii="Arial" w:hAnsi="Arial" w:cs="Arial"/>
          <w:sz w:val="24"/>
          <w:szCs w:val="24"/>
        </w:rPr>
        <w:t>COVID</w:t>
      </w:r>
      <w:r w:rsidR="007D7F7A">
        <w:rPr>
          <w:rFonts w:ascii="Arial" w:hAnsi="Arial" w:cs="Arial"/>
          <w:sz w:val="24"/>
          <w:szCs w:val="24"/>
        </w:rPr>
        <w:t xml:space="preserve">-19 </w:t>
      </w:r>
      <w:r w:rsidR="004728D6" w:rsidRPr="00021272">
        <w:rPr>
          <w:rFonts w:ascii="Arial" w:hAnsi="Arial" w:cs="Arial"/>
          <w:sz w:val="24"/>
          <w:szCs w:val="24"/>
        </w:rPr>
        <w:t>in a population in which the majority were taking biologics or small molecules prior to vaccination.</w:t>
      </w:r>
      <w:r w:rsidR="006A08B8" w:rsidRPr="00021272">
        <w:rPr>
          <w:rFonts w:ascii="Arial" w:hAnsi="Arial" w:cs="Arial"/>
          <w:sz w:val="24"/>
          <w:szCs w:val="24"/>
        </w:rPr>
        <w:t xml:space="preserve"> </w:t>
      </w:r>
      <w:r w:rsidR="007D7F7A">
        <w:rPr>
          <w:rFonts w:ascii="Arial" w:hAnsi="Arial" w:cs="Arial"/>
          <w:sz w:val="24"/>
          <w:szCs w:val="24"/>
        </w:rPr>
        <w:t xml:space="preserve">However, it reported a high rate of IBD symptoms e.g. </w:t>
      </w:r>
      <w:r w:rsidR="007D7F7A" w:rsidRPr="007D7F7A">
        <w:rPr>
          <w:rFonts w:ascii="Arial" w:hAnsi="Arial" w:cs="Arial"/>
          <w:sz w:val="24"/>
          <w:szCs w:val="24"/>
        </w:rPr>
        <w:t>bowel frequency, extra</w:t>
      </w:r>
      <w:r w:rsidR="007D7F7A">
        <w:rPr>
          <w:rFonts w:ascii="Arial" w:hAnsi="Arial" w:cs="Arial"/>
          <w:sz w:val="24"/>
          <w:szCs w:val="24"/>
        </w:rPr>
        <w:t>-</w:t>
      </w:r>
      <w:r w:rsidR="007D7F7A" w:rsidRPr="007D7F7A">
        <w:rPr>
          <w:rFonts w:ascii="Arial" w:hAnsi="Arial" w:cs="Arial"/>
          <w:sz w:val="24"/>
          <w:szCs w:val="24"/>
        </w:rPr>
        <w:t>intestinal manifestations, and abdominal pain in 12%, 12%, and 11% of participants, respectively</w:t>
      </w:r>
      <w:r w:rsidR="007D7F7A">
        <w:rPr>
          <w:rFonts w:ascii="Arial" w:hAnsi="Arial" w:cs="Arial"/>
          <w:sz w:val="24"/>
          <w:szCs w:val="24"/>
        </w:rPr>
        <w:t xml:space="preserve"> in this period and did not report comparative estimates</w:t>
      </w:r>
      <w:r w:rsidR="00C14667">
        <w:rPr>
          <w:rFonts w:ascii="Arial" w:hAnsi="Arial" w:cs="Arial"/>
          <w:sz w:val="24"/>
          <w:szCs w:val="24"/>
        </w:rPr>
        <w:t xml:space="preserve"> leaving the question o</w:t>
      </w:r>
      <w:r w:rsidR="00C06E47">
        <w:rPr>
          <w:rFonts w:ascii="Arial" w:hAnsi="Arial" w:cs="Arial"/>
          <w:sz w:val="24"/>
          <w:szCs w:val="24"/>
        </w:rPr>
        <w:t>f</w:t>
      </w:r>
      <w:r w:rsidR="00C14667">
        <w:rPr>
          <w:rFonts w:ascii="Arial" w:hAnsi="Arial" w:cs="Arial"/>
          <w:sz w:val="24"/>
          <w:szCs w:val="24"/>
        </w:rPr>
        <w:t xml:space="preserve"> association between </w:t>
      </w:r>
      <w:r w:rsidR="0025665E">
        <w:rPr>
          <w:rFonts w:ascii="Arial" w:hAnsi="Arial" w:cs="Arial"/>
          <w:sz w:val="24"/>
          <w:szCs w:val="24"/>
        </w:rPr>
        <w:t>COVID</w:t>
      </w:r>
      <w:r w:rsidR="00C14667">
        <w:rPr>
          <w:rFonts w:ascii="Arial" w:hAnsi="Arial" w:cs="Arial"/>
          <w:sz w:val="24"/>
          <w:szCs w:val="24"/>
        </w:rPr>
        <w:t>-19 vaccination and IBD flares unanswered</w:t>
      </w:r>
      <w:r w:rsidR="007D7F7A">
        <w:rPr>
          <w:rFonts w:ascii="Arial" w:hAnsi="Arial" w:cs="Arial"/>
          <w:sz w:val="24"/>
          <w:szCs w:val="24"/>
        </w:rPr>
        <w:t xml:space="preserve">. </w:t>
      </w:r>
      <w:r w:rsidR="006A08B8" w:rsidRPr="00021272">
        <w:rPr>
          <w:rFonts w:ascii="Arial" w:hAnsi="Arial" w:cs="Arial"/>
          <w:sz w:val="24"/>
          <w:szCs w:val="24"/>
        </w:rPr>
        <w:t>A further study not within the meta-analysis</w:t>
      </w:r>
      <w:r w:rsidR="005344B8" w:rsidRPr="00021272">
        <w:rPr>
          <w:rFonts w:ascii="Arial" w:hAnsi="Arial" w:cs="Arial"/>
          <w:sz w:val="24"/>
          <w:szCs w:val="24"/>
        </w:rPr>
        <w:t xml:space="preserve"> which is based upon self-reported flares by patients in a questionnaire</w:t>
      </w:r>
      <w:r w:rsidR="005344B8" w:rsidRPr="00021272">
        <w:rPr>
          <w:rFonts w:ascii="Arial" w:hAnsi="Arial" w:cs="Arial"/>
          <w:sz w:val="24"/>
          <w:szCs w:val="24"/>
        </w:rPr>
        <w:fldChar w:fldCharType="begin" w:fldLock="1"/>
      </w:r>
      <w:r w:rsidR="003F3F75">
        <w:rPr>
          <w:rFonts w:ascii="Arial" w:hAnsi="Arial" w:cs="Arial"/>
          <w:sz w:val="24"/>
          <w:szCs w:val="24"/>
        </w:rPr>
        <w:instrText>ADDIN CSL_CITATION {"citationItems":[{"id":"ITEM-1","itemData":{"DOI":"10.1055/a-1710-3861","ISSN":"1439-7803","PMID":"35042256","abstract":"BACKGROUND Vaccination against SARS-CoV-2 is a promising strategy to protect immunocompromised IBD patients from a severe course of COVID-19. As these patients were excluded from initial clinical vaccination trials, patients frequently express concerns regarding the safety of these vaccines, especially whether vaccination might trigger IBD flares (\"hit-and-run-hypothesis\"). METHODS In order to assess the risk of an IBD flare after vaccination against SARS-CoV-2, an anonymous survey was performed at five German IBD centers and one patient organization (Deutsche Morbus Crohn/Colitis ulcerosa Vereinigung (DCCV) e.V.) in August and October 2021. RESULTS The questionnaire was answered by 914 patients, 781 of whom reported a previous vaccination against SARS-CoV-2 (85.4%). Vaccination against SARS-CoV-2 was not associated with an increased risk of IBD flares (p=0.319) or unscheduled visits to the IBD physician (p=0.848). Furthermore, typical symptoms of an IBD flare including abdominal pain, increases in stool frequency, or rectal bleeding were not influenced by the vaccination. CONCLUSION Vaccination against SARS-CoV-2 is safe in IBD patients. These results may help to reduce fears regarding the vaccination in IBD patients. Our results can help to reduce fears in IBD patients regarding the SARS-CoV-2 vaccine. A close communication between patients and physicians before and after the vaccination may be beneficial. HINTERGRUND Die Impfung gegen SARS-CoV-2 kann immunkompromittierte Patienten mit einer chronisch-entzündlichen Darmerkrankung (CED) vor einem schweren Verlauf einer COVID-19-Erkrankung schützen. Da diese Patientengruppe in den Zulassungsstudien nicht eingeschlossen wurde, werden vielfach von Patienten Sorgen im Hinblick auf die Sicherheit geäußert, insbesondere bestehen Ängste vor der Auslösung eines akuten CED-Schubs. METHODEN Zwischen August und Oktober 2021 wurde eine retrospektive Umfrage an 5 deutschen CED-Zentren und unter den Mitgliedern der „Deutschen Morbus Crohn/Colitis ulcerosa Vereinigung (DCCV) e.V.“ durchgeführt, um das Auftreten eines Schubs nach SARS-CoV-2-Impfung zu erfassen. RESULTATE Der Fragebogen wurde von 914 Patienten beantwortet. Von diesen haben 781 (85,4%) berichtet, mindestens eine Impfung gegen SARS-CoV-2 erhalten zu haben. Die Vakzinierung gegen SARS-CoV-2 war nicht mit einer erhöhten Frequenz an CED-Schüben (p=0,319) oder ungeplanten Vorstellungen beim CED-Behandler (p=0,848) assoziiert. Des Weiteren war die Impfung nic…","author":[{"dropping-particle":"","family":"Elkharsawi","given":"Ahmed","non-dropping-particle":"","parse-names":false,"suffix":""},{"dropping-particle":"von","family":"Arnim","given":"Ulrike","non-dropping-particle":"","parse-names":false,"suffix":""},{"dropping-particle":"","family":"Schmelz","given":"Renate","non-dropping-particle":"","parse-names":false,"suffix":""},{"dropping-particle":"","family":"Sander","given":"Cornelia","non-dropping-particle":"","parse-names":false,"suffix":""},{"dropping-particle":"","family":"Stallmach","given":"Andreas","non-dropping-particle":"","parse-names":false,"suffix":""},{"dropping-particle":"","family":"Teich","given":"Niels","non-dropping-particle":"","parse-names":false,"suffix":""},{"dropping-particle":"","family":"Walldorf","given":"Jens","non-dropping-particle":"","parse-names":false,"suffix":""},{"dropping-particle":"","family":"Reuken","given":"Philipp A","non-dropping-particle":"","parse-names":false,"suffix":""}],"container-title":"Zeitschrift fur Gastroenterologie","id":"ITEM-1","issue":"1","issued":{"date-parts":[["2022","1"]]},"page":"77-80","title":"SARS-CoV-2 vaccination does not induce relapses of patients with inflammatory bowel disease.","type":"article-journal","volume":"60"},"uris":["http://www.mendeley.com/documents/?uuid=ef0d64ca-df9b-4a0a-83ed-00a407b600f3"]}],"mendeley":{"formattedCitation":"(36)","plainTextFormattedCitation":"(36)","previouslyFormattedCitation":"(34)"},"properties":{"noteIndex":0},"schema":"https://github.com/citation-style-language/schema/raw/master/csl-citation.json"}</w:instrText>
      </w:r>
      <w:r w:rsidR="005344B8" w:rsidRPr="00021272">
        <w:rPr>
          <w:rFonts w:ascii="Arial" w:hAnsi="Arial" w:cs="Arial"/>
          <w:sz w:val="24"/>
          <w:szCs w:val="24"/>
        </w:rPr>
        <w:fldChar w:fldCharType="separate"/>
      </w:r>
      <w:r w:rsidR="003F3F75" w:rsidRPr="003F3F75">
        <w:rPr>
          <w:rFonts w:ascii="Arial" w:hAnsi="Arial" w:cs="Arial"/>
          <w:noProof/>
          <w:sz w:val="24"/>
          <w:szCs w:val="24"/>
        </w:rPr>
        <w:t>(36)</w:t>
      </w:r>
      <w:r w:rsidR="005344B8" w:rsidRPr="00021272">
        <w:rPr>
          <w:rFonts w:ascii="Arial" w:hAnsi="Arial" w:cs="Arial"/>
          <w:sz w:val="24"/>
          <w:szCs w:val="24"/>
        </w:rPr>
        <w:fldChar w:fldCharType="end"/>
      </w:r>
      <w:r w:rsidR="006A08B8" w:rsidRPr="00021272">
        <w:rPr>
          <w:rFonts w:ascii="Arial" w:hAnsi="Arial" w:cs="Arial"/>
          <w:sz w:val="24"/>
          <w:szCs w:val="24"/>
        </w:rPr>
        <w:t xml:space="preserve"> gives additional assurance that </w:t>
      </w:r>
      <w:r w:rsidR="005344B8" w:rsidRPr="00021272">
        <w:rPr>
          <w:rFonts w:ascii="Arial" w:hAnsi="Arial" w:cs="Arial"/>
          <w:sz w:val="24"/>
          <w:szCs w:val="24"/>
        </w:rPr>
        <w:t>the lack of association does indeed include minor flares since these would be included in the 147 subjective records of flare which they report.</w:t>
      </w:r>
    </w:p>
    <w:p w14:paraId="3DF24388" w14:textId="2C2E9563" w:rsidR="00A879C1" w:rsidRDefault="00C74F2F" w:rsidP="000736FB">
      <w:pPr>
        <w:spacing w:line="480" w:lineRule="auto"/>
        <w:rPr>
          <w:rFonts w:ascii="Arial" w:hAnsi="Arial" w:cs="Arial"/>
          <w:sz w:val="24"/>
          <w:szCs w:val="24"/>
        </w:rPr>
      </w:pPr>
      <w:r w:rsidRPr="00480A18">
        <w:rPr>
          <w:rFonts w:ascii="Arial" w:hAnsi="Arial" w:cs="Arial"/>
          <w:i/>
          <w:sz w:val="24"/>
          <w:szCs w:val="24"/>
        </w:rPr>
        <w:lastRenderedPageBreak/>
        <w:t>Clinical implications:</w:t>
      </w:r>
      <w:r>
        <w:rPr>
          <w:rFonts w:ascii="Arial" w:hAnsi="Arial" w:cs="Arial"/>
          <w:sz w:val="24"/>
          <w:szCs w:val="24"/>
        </w:rPr>
        <w:t xml:space="preserve"> </w:t>
      </w:r>
      <w:r w:rsidR="005344B8" w:rsidRPr="00021272">
        <w:rPr>
          <w:rFonts w:ascii="Arial" w:hAnsi="Arial" w:cs="Arial"/>
          <w:sz w:val="24"/>
          <w:szCs w:val="24"/>
        </w:rPr>
        <w:t>O</w:t>
      </w:r>
      <w:r>
        <w:rPr>
          <w:rFonts w:ascii="Arial" w:hAnsi="Arial" w:cs="Arial"/>
          <w:sz w:val="24"/>
          <w:szCs w:val="24"/>
        </w:rPr>
        <w:t xml:space="preserve">ur study provides population-based evidence that </w:t>
      </w:r>
      <w:r w:rsidR="00866DB5">
        <w:rPr>
          <w:rFonts w:ascii="Arial" w:hAnsi="Arial" w:cs="Arial"/>
          <w:sz w:val="24"/>
          <w:szCs w:val="24"/>
        </w:rPr>
        <w:t xml:space="preserve">vaccination against </w:t>
      </w:r>
      <w:r w:rsidR="0025665E">
        <w:rPr>
          <w:rFonts w:ascii="Arial" w:hAnsi="Arial" w:cs="Arial"/>
          <w:sz w:val="24"/>
          <w:szCs w:val="24"/>
        </w:rPr>
        <w:t>COVID-19</w:t>
      </w:r>
      <w:r w:rsidR="005344B8" w:rsidRPr="00021272">
        <w:rPr>
          <w:rFonts w:ascii="Arial" w:hAnsi="Arial" w:cs="Arial"/>
          <w:sz w:val="24"/>
          <w:szCs w:val="24"/>
        </w:rPr>
        <w:t xml:space="preserve"> in patients with IBD does not increase the risk of flare. Patients expressing concern in this regard should therefore be reassured and encouraged to take up vaccination if they have not already done so.</w:t>
      </w:r>
    </w:p>
    <w:p w14:paraId="1DF0DC56" w14:textId="77777777" w:rsidR="00324928" w:rsidRDefault="00324928">
      <w:pPr>
        <w:rPr>
          <w:rFonts w:ascii="Arial" w:hAnsi="Arial" w:cs="Arial"/>
          <w:b/>
          <w:sz w:val="24"/>
          <w:szCs w:val="24"/>
        </w:rPr>
      </w:pPr>
      <w:r>
        <w:rPr>
          <w:rFonts w:ascii="Arial" w:hAnsi="Arial" w:cs="Arial"/>
          <w:b/>
          <w:sz w:val="24"/>
          <w:szCs w:val="24"/>
        </w:rPr>
        <w:br w:type="page"/>
      </w:r>
    </w:p>
    <w:p w14:paraId="6BE7F082" w14:textId="12D96A36" w:rsidR="002F7550" w:rsidRPr="00021272" w:rsidRDefault="002F7550" w:rsidP="00863E2F">
      <w:pPr>
        <w:rPr>
          <w:sz w:val="24"/>
          <w:szCs w:val="24"/>
        </w:rPr>
      </w:pPr>
      <w:r w:rsidRPr="00021272">
        <w:rPr>
          <w:sz w:val="24"/>
          <w:szCs w:val="24"/>
        </w:rPr>
        <w:lastRenderedPageBreak/>
        <w:t>References</w:t>
      </w:r>
    </w:p>
    <w:p w14:paraId="3C028CEF" w14:textId="77777777" w:rsidR="002F7550" w:rsidRPr="00021272" w:rsidRDefault="002F7550" w:rsidP="00863E2F">
      <w:pPr>
        <w:rPr>
          <w:sz w:val="24"/>
          <w:szCs w:val="24"/>
        </w:rPr>
      </w:pPr>
    </w:p>
    <w:p w14:paraId="5A04865F" w14:textId="5124A56B" w:rsidR="003F3F75" w:rsidRPr="003F3F75" w:rsidRDefault="002F7550" w:rsidP="003F3F75">
      <w:pPr>
        <w:widowControl w:val="0"/>
        <w:autoSpaceDE w:val="0"/>
        <w:autoSpaceDN w:val="0"/>
        <w:adjustRightInd w:val="0"/>
        <w:spacing w:line="240" w:lineRule="auto"/>
        <w:ind w:left="640" w:hanging="640"/>
        <w:rPr>
          <w:rFonts w:cs="Times New Roman"/>
          <w:noProof/>
          <w:sz w:val="24"/>
          <w:szCs w:val="24"/>
        </w:rPr>
      </w:pPr>
      <w:r w:rsidRPr="00021272">
        <w:rPr>
          <w:sz w:val="24"/>
          <w:szCs w:val="24"/>
        </w:rPr>
        <w:fldChar w:fldCharType="begin" w:fldLock="1"/>
      </w:r>
      <w:r w:rsidRPr="00021272">
        <w:rPr>
          <w:sz w:val="24"/>
          <w:szCs w:val="24"/>
        </w:rPr>
        <w:instrText xml:space="preserve">ADDIN Mendeley Bibliography CSL_BIBLIOGRAPHY </w:instrText>
      </w:r>
      <w:r w:rsidRPr="00021272">
        <w:rPr>
          <w:sz w:val="24"/>
          <w:szCs w:val="24"/>
        </w:rPr>
        <w:fldChar w:fldCharType="separate"/>
      </w:r>
      <w:r w:rsidR="003F3F75" w:rsidRPr="003F3F75">
        <w:rPr>
          <w:rFonts w:cs="Times New Roman"/>
          <w:noProof/>
          <w:sz w:val="24"/>
          <w:szCs w:val="24"/>
        </w:rPr>
        <w:t xml:space="preserve">1. </w:t>
      </w:r>
      <w:r w:rsidR="003F3F75" w:rsidRPr="003F3F75">
        <w:rPr>
          <w:rFonts w:cs="Times New Roman"/>
          <w:noProof/>
          <w:sz w:val="24"/>
          <w:szCs w:val="24"/>
        </w:rPr>
        <w:tab/>
        <w:t xml:space="preserve">Sands BE, Cuffari C, Katz J, </w:t>
      </w:r>
      <w:r w:rsidR="003F3F75" w:rsidRPr="003F3F75">
        <w:rPr>
          <w:rFonts w:cs="Times New Roman"/>
          <w:i/>
          <w:iCs/>
          <w:noProof/>
          <w:sz w:val="24"/>
          <w:szCs w:val="24"/>
        </w:rPr>
        <w:t>et al.</w:t>
      </w:r>
      <w:r w:rsidR="003F3F75" w:rsidRPr="003F3F75">
        <w:rPr>
          <w:rFonts w:cs="Times New Roman"/>
          <w:noProof/>
          <w:sz w:val="24"/>
          <w:szCs w:val="24"/>
        </w:rPr>
        <w:t xml:space="preserve"> Guidelines for immunizations in patients with inflammatory bowel disease. [Internet]. Inflamm. Bowel Dis. 2004;10:677–92.Available from: http://www.ncbi.nlm.nih.gov/pubmed/15472534</w:t>
      </w:r>
    </w:p>
    <w:p w14:paraId="7AA3DFD9"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 </w:t>
      </w:r>
      <w:r w:rsidRPr="003F3F75">
        <w:rPr>
          <w:rFonts w:cs="Times New Roman"/>
          <w:noProof/>
          <w:sz w:val="24"/>
          <w:szCs w:val="24"/>
        </w:rPr>
        <w:tab/>
        <w:t xml:space="preserve">Rahier JF, Moreels T, Munter P De, </w:t>
      </w:r>
      <w:r w:rsidRPr="003F3F75">
        <w:rPr>
          <w:rFonts w:cs="Times New Roman"/>
          <w:i/>
          <w:iCs/>
          <w:noProof/>
          <w:sz w:val="24"/>
          <w:szCs w:val="24"/>
        </w:rPr>
        <w:t>et al.</w:t>
      </w:r>
      <w:r w:rsidRPr="003F3F75">
        <w:rPr>
          <w:rFonts w:cs="Times New Roman"/>
          <w:noProof/>
          <w:sz w:val="24"/>
          <w:szCs w:val="24"/>
        </w:rPr>
        <w:t xml:space="preserve"> Prevention of opportunistic infections in patients with inflammatory bowel disease and implications of the ECCO consensus in Belgium. Acta Gastroenterol. Belg. 2010;73:41–45.</w:t>
      </w:r>
    </w:p>
    <w:p w14:paraId="7BCF72E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 </w:t>
      </w:r>
      <w:r w:rsidRPr="003F3F75">
        <w:rPr>
          <w:rFonts w:cs="Times New Roman"/>
          <w:noProof/>
          <w:sz w:val="24"/>
          <w:szCs w:val="24"/>
        </w:rPr>
        <w:tab/>
        <w:t xml:space="preserve">Lopez A, Mariette X, Bachelez H, </w:t>
      </w:r>
      <w:r w:rsidRPr="003F3F75">
        <w:rPr>
          <w:rFonts w:cs="Times New Roman"/>
          <w:i/>
          <w:iCs/>
          <w:noProof/>
          <w:sz w:val="24"/>
          <w:szCs w:val="24"/>
        </w:rPr>
        <w:t>et al.</w:t>
      </w:r>
      <w:r w:rsidRPr="003F3F75">
        <w:rPr>
          <w:rFonts w:cs="Times New Roman"/>
          <w:noProof/>
          <w:sz w:val="24"/>
          <w:szCs w:val="24"/>
        </w:rPr>
        <w:t xml:space="preserve"> Vaccination recommendations for the adult immunosuppressed patient: A systematic review and comprehensive field synopsis. J. Autoimmun. 2017;80:10–27.</w:t>
      </w:r>
    </w:p>
    <w:p w14:paraId="6077F77C"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4. </w:t>
      </w:r>
      <w:r w:rsidRPr="003F3F75">
        <w:rPr>
          <w:rFonts w:cs="Times New Roman"/>
          <w:noProof/>
          <w:sz w:val="24"/>
          <w:szCs w:val="24"/>
        </w:rPr>
        <w:tab/>
        <w:t>Hanna M, Poullis A. Sub-optimal H1N1 vaccine uptake by immunocompromised inflammatory bowel disease patients. [Internet]. Clin. Med. 2011;11:301.Available from: http://www.ncbi.nlm.nih.gov/pubmed/21902095</w:t>
      </w:r>
    </w:p>
    <w:p w14:paraId="755E3BB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5. </w:t>
      </w:r>
      <w:r w:rsidRPr="003F3F75">
        <w:rPr>
          <w:rFonts w:cs="Times New Roman"/>
          <w:noProof/>
          <w:sz w:val="24"/>
          <w:szCs w:val="24"/>
        </w:rPr>
        <w:tab/>
        <w:t xml:space="preserve">Hinojosa J, Gisbert JP, Gomollón F, </w:t>
      </w:r>
      <w:r w:rsidRPr="003F3F75">
        <w:rPr>
          <w:rFonts w:cs="Times New Roman"/>
          <w:i/>
          <w:iCs/>
          <w:noProof/>
          <w:sz w:val="24"/>
          <w:szCs w:val="24"/>
        </w:rPr>
        <w:t>et al.</w:t>
      </w:r>
      <w:r w:rsidRPr="003F3F75">
        <w:rPr>
          <w:rFonts w:cs="Times New Roman"/>
          <w:noProof/>
          <w:sz w:val="24"/>
          <w:szCs w:val="24"/>
        </w:rPr>
        <w:t xml:space="preserve"> Adherence of gastroenterologists to European Crohn’s and Colitis Organisation Consensus on Crohn’s disease: A real-life survey in Spain [Internet]. J. Crohn’s Colitis 2012;6:763–770.Available from: http://dx.doi.org/10.1016/j.crohns.2011.12.013</w:t>
      </w:r>
    </w:p>
    <w:p w14:paraId="3B25DC5C"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6. </w:t>
      </w:r>
      <w:r w:rsidRPr="003F3F75">
        <w:rPr>
          <w:rFonts w:cs="Times New Roman"/>
          <w:noProof/>
          <w:sz w:val="24"/>
          <w:szCs w:val="24"/>
        </w:rPr>
        <w:tab/>
        <w:t xml:space="preserve">Reich JS, Miller HL, Wasan SK, </w:t>
      </w:r>
      <w:r w:rsidRPr="003F3F75">
        <w:rPr>
          <w:rFonts w:cs="Times New Roman"/>
          <w:i/>
          <w:iCs/>
          <w:noProof/>
          <w:sz w:val="24"/>
          <w:szCs w:val="24"/>
        </w:rPr>
        <w:t>et al.</w:t>
      </w:r>
      <w:r w:rsidRPr="003F3F75">
        <w:rPr>
          <w:rFonts w:cs="Times New Roman"/>
          <w:noProof/>
          <w:sz w:val="24"/>
          <w:szCs w:val="24"/>
        </w:rPr>
        <w:t xml:space="preserve"> Influenza and pneumococcal vaccination rates in patients with inflammatory bowel disease. Gastroenterol. Hepatol. 2015;11:396–401.</w:t>
      </w:r>
    </w:p>
    <w:p w14:paraId="36837915"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7. </w:t>
      </w:r>
      <w:r w:rsidRPr="003F3F75">
        <w:rPr>
          <w:rFonts w:cs="Times New Roman"/>
          <w:noProof/>
          <w:sz w:val="24"/>
          <w:szCs w:val="24"/>
        </w:rPr>
        <w:tab/>
        <w:t xml:space="preserve">Wasan SK, Calderwood AH, Long MD, </w:t>
      </w:r>
      <w:r w:rsidRPr="003F3F75">
        <w:rPr>
          <w:rFonts w:cs="Times New Roman"/>
          <w:i/>
          <w:iCs/>
          <w:noProof/>
          <w:sz w:val="24"/>
          <w:szCs w:val="24"/>
        </w:rPr>
        <w:t>et al.</w:t>
      </w:r>
      <w:r w:rsidRPr="003F3F75">
        <w:rPr>
          <w:rFonts w:cs="Times New Roman"/>
          <w:noProof/>
          <w:sz w:val="24"/>
          <w:szCs w:val="24"/>
        </w:rPr>
        <w:t xml:space="preserve"> Immunization rates and vaccine beliefs among patients with inflammatory bowel disease: an opportunity for improvement. [Internet]. Inflamm. Bowel Dis. 2014;20:246–50.Available from: https://academic.oup.com/ibdjournal/article/20/2/246-250/4578937</w:t>
      </w:r>
    </w:p>
    <w:p w14:paraId="6CC8F54A"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8. </w:t>
      </w:r>
      <w:r w:rsidRPr="003F3F75">
        <w:rPr>
          <w:rFonts w:cs="Times New Roman"/>
          <w:noProof/>
          <w:sz w:val="24"/>
          <w:szCs w:val="24"/>
        </w:rPr>
        <w:tab/>
        <w:t xml:space="preserve">Desalermos A, Pimienta M, Kalligeros M, </w:t>
      </w:r>
      <w:r w:rsidRPr="003F3F75">
        <w:rPr>
          <w:rFonts w:cs="Times New Roman"/>
          <w:i/>
          <w:iCs/>
          <w:noProof/>
          <w:sz w:val="24"/>
          <w:szCs w:val="24"/>
        </w:rPr>
        <w:t>et al.</w:t>
      </w:r>
      <w:r w:rsidRPr="003F3F75">
        <w:rPr>
          <w:rFonts w:cs="Times New Roman"/>
          <w:noProof/>
          <w:sz w:val="24"/>
          <w:szCs w:val="24"/>
        </w:rPr>
        <w:t xml:space="preserve"> Safety of Immunizations for the Adult Patient With Inflammatory Bowel Disease-A Systematic Review and Meta-analysis. [Internet]. Inflamm. Bowel Dis. 2021;Available from: http://www.ncbi.nlm.nih.gov/pubmed/34849941</w:t>
      </w:r>
    </w:p>
    <w:p w14:paraId="74770FD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9. </w:t>
      </w:r>
      <w:r w:rsidRPr="003F3F75">
        <w:rPr>
          <w:rFonts w:cs="Times New Roman"/>
          <w:noProof/>
          <w:sz w:val="24"/>
          <w:szCs w:val="24"/>
        </w:rPr>
        <w:tab/>
        <w:t xml:space="preserve">Rahier J-F, Papay P, Salleron J, </w:t>
      </w:r>
      <w:r w:rsidRPr="003F3F75">
        <w:rPr>
          <w:rFonts w:cs="Times New Roman"/>
          <w:i/>
          <w:iCs/>
          <w:noProof/>
          <w:sz w:val="24"/>
          <w:szCs w:val="24"/>
        </w:rPr>
        <w:t>et al.</w:t>
      </w:r>
      <w:r w:rsidRPr="003F3F75">
        <w:rPr>
          <w:rFonts w:cs="Times New Roman"/>
          <w:noProof/>
          <w:sz w:val="24"/>
          <w:szCs w:val="24"/>
        </w:rPr>
        <w:t xml:space="preserve"> H1N1 vaccines in a large observational cohort of patients with inflammatory bowel disease treated with immunomodulators and biological therapy. [Internet]. Gut 2011;60:456–62.Available from: https://gut.bmj.com/lookup/doi/10.1136/gut.2010.233981</w:t>
      </w:r>
    </w:p>
    <w:p w14:paraId="16A7A3F8"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10. </w:t>
      </w:r>
      <w:r w:rsidRPr="003F3F75">
        <w:rPr>
          <w:rFonts w:cs="Times New Roman"/>
          <w:noProof/>
          <w:sz w:val="24"/>
          <w:szCs w:val="24"/>
        </w:rPr>
        <w:tab/>
        <w:t xml:space="preserve">Macaluso FS, Giuliano A, Fries, W, </w:t>
      </w:r>
      <w:r w:rsidRPr="003F3F75">
        <w:rPr>
          <w:rFonts w:cs="Times New Roman"/>
          <w:i/>
          <w:iCs/>
          <w:noProof/>
          <w:sz w:val="24"/>
          <w:szCs w:val="24"/>
        </w:rPr>
        <w:t>et al.</w:t>
      </w:r>
      <w:r w:rsidRPr="003F3F75">
        <w:rPr>
          <w:rFonts w:cs="Times New Roman"/>
          <w:noProof/>
          <w:sz w:val="24"/>
          <w:szCs w:val="24"/>
        </w:rPr>
        <w:t xml:space="preserve"> Severe Activity of </w:t>
      </w:r>
      <w:r w:rsidRPr="003F3F75">
        <w:rPr>
          <w:rFonts w:cs="Times New Roman"/>
          <w:noProof/>
          <w:sz w:val="24"/>
          <w:szCs w:val="24"/>
        </w:rPr>
        <w:lastRenderedPageBreak/>
        <w:t>Inflammatory Bowel Disease is a Risk Factor for Severe COVID-19 [Internet]. Inflamm. Bowel Dis. 2022;1–5.Available from: https://academic.oup.com/ibdjournal/advance-article/doi/10.1093/ibd/izac064/6564282</w:t>
      </w:r>
    </w:p>
    <w:p w14:paraId="384A141F"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11. </w:t>
      </w:r>
      <w:r w:rsidRPr="003F3F75">
        <w:rPr>
          <w:rFonts w:cs="Times New Roman"/>
          <w:noProof/>
          <w:sz w:val="24"/>
          <w:szCs w:val="24"/>
        </w:rPr>
        <w:tab/>
        <w:t xml:space="preserve">Brenner EJ, Ungaro RC, Gearry RB, </w:t>
      </w:r>
      <w:r w:rsidRPr="003F3F75">
        <w:rPr>
          <w:rFonts w:cs="Times New Roman"/>
          <w:i/>
          <w:iCs/>
          <w:noProof/>
          <w:sz w:val="24"/>
          <w:szCs w:val="24"/>
        </w:rPr>
        <w:t>et al.</w:t>
      </w:r>
      <w:r w:rsidRPr="003F3F75">
        <w:rPr>
          <w:rFonts w:cs="Times New Roman"/>
          <w:noProof/>
          <w:sz w:val="24"/>
          <w:szCs w:val="24"/>
        </w:rPr>
        <w:t xml:space="preserve"> Corticosteroids, But Not TNF Antagonists, Are Associated With Adverse COVID-19 Outcomes in Patients With Inflammatory Bowel Diseases: Results From an International Registry [Internet]. Gastroenterology 2020;159:481-491.e3.Available from: https://doi.org/10.1053/j.gastro.2020.05.032</w:t>
      </w:r>
    </w:p>
    <w:p w14:paraId="0CF2B77E"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12. </w:t>
      </w:r>
      <w:r w:rsidRPr="003F3F75">
        <w:rPr>
          <w:rFonts w:cs="Times New Roman"/>
          <w:noProof/>
          <w:sz w:val="24"/>
          <w:szCs w:val="24"/>
        </w:rPr>
        <w:tab/>
        <w:t xml:space="preserve">Wu X, Lin J, Buch H, </w:t>
      </w:r>
      <w:r w:rsidRPr="003F3F75">
        <w:rPr>
          <w:rFonts w:cs="Times New Roman"/>
          <w:i/>
          <w:iCs/>
          <w:noProof/>
          <w:sz w:val="24"/>
          <w:szCs w:val="24"/>
        </w:rPr>
        <w:t>et al.</w:t>
      </w:r>
      <w:r w:rsidRPr="003F3F75">
        <w:rPr>
          <w:rFonts w:cs="Times New Roman"/>
          <w:noProof/>
          <w:sz w:val="24"/>
          <w:szCs w:val="24"/>
        </w:rPr>
        <w:t xml:space="preserve"> The COVID-19 Vaccination Hesitancy Among the People With Inflammatory Bowel Disease in China: A Questionnaire Study. Front. Public Heal. 2021;9:1–10.</w:t>
      </w:r>
    </w:p>
    <w:p w14:paraId="56760229"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13. </w:t>
      </w:r>
      <w:r w:rsidRPr="003F3F75">
        <w:rPr>
          <w:rFonts w:cs="Times New Roman"/>
          <w:noProof/>
          <w:sz w:val="24"/>
          <w:szCs w:val="24"/>
        </w:rPr>
        <w:tab/>
        <w:t xml:space="preserve">Nishida Y, Hosomi S, Kobayashi Y, </w:t>
      </w:r>
      <w:r w:rsidRPr="003F3F75">
        <w:rPr>
          <w:rFonts w:cs="Times New Roman"/>
          <w:i/>
          <w:iCs/>
          <w:noProof/>
          <w:sz w:val="24"/>
          <w:szCs w:val="24"/>
        </w:rPr>
        <w:t>et al.</w:t>
      </w:r>
      <w:r w:rsidRPr="003F3F75">
        <w:rPr>
          <w:rFonts w:cs="Times New Roman"/>
          <w:noProof/>
          <w:sz w:val="24"/>
          <w:szCs w:val="24"/>
        </w:rPr>
        <w:t xml:space="preserve"> Acceptance of covid-19 vaccines among patients with inflammatory bowel disease in Japan. Healthc. 2022;10</w:t>
      </w:r>
    </w:p>
    <w:p w14:paraId="083DD13D"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14. </w:t>
      </w:r>
      <w:r w:rsidRPr="003F3F75">
        <w:rPr>
          <w:rFonts w:cs="Times New Roman"/>
          <w:noProof/>
          <w:sz w:val="24"/>
          <w:szCs w:val="24"/>
        </w:rPr>
        <w:tab/>
        <w:t xml:space="preserve">Duong TA, Bryant R V, Andrews JM, </w:t>
      </w:r>
      <w:r w:rsidRPr="003F3F75">
        <w:rPr>
          <w:rFonts w:cs="Times New Roman"/>
          <w:i/>
          <w:iCs/>
          <w:noProof/>
          <w:sz w:val="24"/>
          <w:szCs w:val="24"/>
        </w:rPr>
        <w:t>et al.</w:t>
      </w:r>
      <w:r w:rsidRPr="003F3F75">
        <w:rPr>
          <w:rFonts w:cs="Times New Roman"/>
          <w:noProof/>
          <w:sz w:val="24"/>
          <w:szCs w:val="24"/>
        </w:rPr>
        <w:t xml:space="preserve"> Attitudes towards COVID-19 vaccination in patients with inflammatory bowel disease. [Internet]. Intern. Med. J. 2022;1–5.Available from: https://onlinelibrary.wiley.com/doi/10.1111/imj.15722</w:t>
      </w:r>
    </w:p>
    <w:p w14:paraId="4690CBAE"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15. </w:t>
      </w:r>
      <w:r w:rsidRPr="003F3F75">
        <w:rPr>
          <w:rFonts w:cs="Times New Roman"/>
          <w:noProof/>
          <w:sz w:val="24"/>
          <w:szCs w:val="24"/>
        </w:rPr>
        <w:tab/>
        <w:t xml:space="preserve">Sangha M, Roitman I, Sultan K, </w:t>
      </w:r>
      <w:r w:rsidRPr="003F3F75">
        <w:rPr>
          <w:rFonts w:cs="Times New Roman"/>
          <w:i/>
          <w:iCs/>
          <w:noProof/>
          <w:sz w:val="24"/>
          <w:szCs w:val="24"/>
        </w:rPr>
        <w:t>et al.</w:t>
      </w:r>
      <w:r w:rsidRPr="003F3F75">
        <w:rPr>
          <w:rFonts w:cs="Times New Roman"/>
          <w:noProof/>
          <w:sz w:val="24"/>
          <w:szCs w:val="24"/>
        </w:rPr>
        <w:t xml:space="preserve"> SARS-CoV-2 Immunization in Patients With Inflammatory Bowel Disease May Result in Disease Flares [Internet]. Am. J. Gastroenterol. 2021;116:2480–2481.Available from: http://www.ncbi.nlm.nih.gov/pubmed/34406140</w:t>
      </w:r>
    </w:p>
    <w:p w14:paraId="3BE2A6BB"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16. </w:t>
      </w:r>
      <w:r w:rsidRPr="003F3F75">
        <w:rPr>
          <w:rFonts w:cs="Times New Roman"/>
          <w:noProof/>
          <w:sz w:val="24"/>
          <w:szCs w:val="24"/>
        </w:rPr>
        <w:tab/>
        <w:t>Krawiec P, Opoka-Winiarska V, Pac-Kożuchowska E. Is It Inflammatory Bowel Disease Flare or Pediatric Inflammatory Multisystem Syndrome Temporally Associated with COVID-19? [Internet]. J. Clin. Med. 2022;11Available from: http://www.ncbi.nlm.nih.gov/pubmed/35628892</w:t>
      </w:r>
    </w:p>
    <w:p w14:paraId="01232995"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17. </w:t>
      </w:r>
      <w:r w:rsidRPr="003F3F75">
        <w:rPr>
          <w:rFonts w:cs="Times New Roman"/>
          <w:noProof/>
          <w:sz w:val="24"/>
          <w:szCs w:val="24"/>
        </w:rPr>
        <w:tab/>
        <w:t xml:space="preserve">Melmed GY, Botwin GJ, Sobhani K, </w:t>
      </w:r>
      <w:r w:rsidRPr="003F3F75">
        <w:rPr>
          <w:rFonts w:cs="Times New Roman"/>
          <w:i/>
          <w:iCs/>
          <w:noProof/>
          <w:sz w:val="24"/>
          <w:szCs w:val="24"/>
        </w:rPr>
        <w:t>et al.</w:t>
      </w:r>
      <w:r w:rsidRPr="003F3F75">
        <w:rPr>
          <w:rFonts w:cs="Times New Roman"/>
          <w:noProof/>
          <w:sz w:val="24"/>
          <w:szCs w:val="24"/>
        </w:rPr>
        <w:t xml:space="preserve"> Antibody Responses After SARS-CoV-2 mRNA Vaccination in Adults With Inflammatory Bowel Disease. [Internet]. Ann. Intern. Med. 2021;174:1768–1770.Available from: http://www.ncbi.nlm.nih.gov/pubmed/34633830</w:t>
      </w:r>
    </w:p>
    <w:p w14:paraId="3CFEDDD8"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18. </w:t>
      </w:r>
      <w:r w:rsidRPr="003F3F75">
        <w:rPr>
          <w:rFonts w:cs="Times New Roman"/>
          <w:noProof/>
          <w:sz w:val="24"/>
          <w:szCs w:val="24"/>
        </w:rPr>
        <w:tab/>
        <w:t xml:space="preserve">Kennedy NA, Lin S, Goodhand JR, </w:t>
      </w:r>
      <w:r w:rsidRPr="003F3F75">
        <w:rPr>
          <w:rFonts w:cs="Times New Roman"/>
          <w:i/>
          <w:iCs/>
          <w:noProof/>
          <w:sz w:val="24"/>
          <w:szCs w:val="24"/>
        </w:rPr>
        <w:t>et al.</w:t>
      </w:r>
      <w:r w:rsidRPr="003F3F75">
        <w:rPr>
          <w:rFonts w:cs="Times New Roman"/>
          <w:noProof/>
          <w:sz w:val="24"/>
          <w:szCs w:val="24"/>
        </w:rPr>
        <w:t xml:space="preserve"> Infliximab is associated with attenuated immunogenicity to BNT162b2 and ChAdOx1 nCoV-19 SARS-CoV-2 vaccines in patients with IBD. Gut 2021;70:1884–1893.</w:t>
      </w:r>
    </w:p>
    <w:p w14:paraId="18918176"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19. </w:t>
      </w:r>
      <w:r w:rsidRPr="003F3F75">
        <w:rPr>
          <w:rFonts w:cs="Times New Roman"/>
          <w:noProof/>
          <w:sz w:val="24"/>
          <w:szCs w:val="24"/>
        </w:rPr>
        <w:tab/>
        <w:t xml:space="preserve">Bhurwal A, Mutneja H, Bansal V, </w:t>
      </w:r>
      <w:r w:rsidRPr="003F3F75">
        <w:rPr>
          <w:rFonts w:cs="Times New Roman"/>
          <w:i/>
          <w:iCs/>
          <w:noProof/>
          <w:sz w:val="24"/>
          <w:szCs w:val="24"/>
        </w:rPr>
        <w:t>et al.</w:t>
      </w:r>
      <w:r w:rsidRPr="003F3F75">
        <w:rPr>
          <w:rFonts w:cs="Times New Roman"/>
          <w:noProof/>
          <w:sz w:val="24"/>
          <w:szCs w:val="24"/>
        </w:rPr>
        <w:t xml:space="preserve"> Effectiveness and safety of SARS</w:t>
      </w:r>
      <w:r w:rsidRPr="003F3F75">
        <w:rPr>
          <w:rFonts w:ascii="Cambria Math" w:hAnsi="Cambria Math" w:cs="Cambria Math"/>
          <w:noProof/>
          <w:sz w:val="24"/>
          <w:szCs w:val="24"/>
        </w:rPr>
        <w:t>‐</w:t>
      </w:r>
      <w:r w:rsidRPr="003F3F75">
        <w:rPr>
          <w:rFonts w:cs="Times New Roman"/>
          <w:noProof/>
          <w:sz w:val="24"/>
          <w:szCs w:val="24"/>
        </w:rPr>
        <w:t>CoV</w:t>
      </w:r>
      <w:r w:rsidRPr="003F3F75">
        <w:rPr>
          <w:rFonts w:ascii="Cambria Math" w:hAnsi="Cambria Math" w:cs="Cambria Math"/>
          <w:noProof/>
          <w:sz w:val="24"/>
          <w:szCs w:val="24"/>
        </w:rPr>
        <w:t>‐</w:t>
      </w:r>
      <w:r w:rsidRPr="003F3F75">
        <w:rPr>
          <w:rFonts w:cs="Times New Roman"/>
          <w:noProof/>
          <w:sz w:val="24"/>
          <w:szCs w:val="24"/>
        </w:rPr>
        <w:t>2 vaccine in Inflammatory Bowel Disease patients: a systematic review, meta</w:t>
      </w:r>
      <w:r w:rsidRPr="003F3F75">
        <w:rPr>
          <w:rFonts w:ascii="Cambria Math" w:hAnsi="Cambria Math" w:cs="Cambria Math"/>
          <w:noProof/>
          <w:sz w:val="24"/>
          <w:szCs w:val="24"/>
        </w:rPr>
        <w:t>‐</w:t>
      </w:r>
      <w:r w:rsidRPr="003F3F75">
        <w:rPr>
          <w:rFonts w:cs="Times New Roman"/>
          <w:noProof/>
          <w:sz w:val="24"/>
          <w:szCs w:val="24"/>
        </w:rPr>
        <w:t>analysis and meta</w:t>
      </w:r>
      <w:r w:rsidRPr="003F3F75">
        <w:rPr>
          <w:rFonts w:ascii="Cambria Math" w:hAnsi="Cambria Math" w:cs="Cambria Math"/>
          <w:noProof/>
          <w:sz w:val="24"/>
          <w:szCs w:val="24"/>
        </w:rPr>
        <w:t>‐</w:t>
      </w:r>
      <w:r w:rsidRPr="003F3F75">
        <w:rPr>
          <w:rFonts w:cs="Times New Roman"/>
          <w:noProof/>
          <w:sz w:val="24"/>
          <w:szCs w:val="24"/>
        </w:rPr>
        <w:t xml:space="preserve">regression [Internet]. Aliment. Pharmacol. Ther. 2022;55:1244–1264.Available from: </w:t>
      </w:r>
      <w:r w:rsidRPr="003F3F75">
        <w:rPr>
          <w:rFonts w:cs="Times New Roman"/>
          <w:noProof/>
          <w:sz w:val="24"/>
          <w:szCs w:val="24"/>
        </w:rPr>
        <w:lastRenderedPageBreak/>
        <w:t>https://onlinelibrary.wiley.com/doi/10.1111/apt.16913</w:t>
      </w:r>
    </w:p>
    <w:p w14:paraId="21205094"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20. </w:t>
      </w:r>
      <w:r w:rsidRPr="003F3F75">
        <w:rPr>
          <w:rFonts w:cs="Times New Roman"/>
          <w:noProof/>
          <w:sz w:val="24"/>
          <w:szCs w:val="24"/>
        </w:rPr>
        <w:tab/>
        <w:t xml:space="preserve">Wolf A, Dedman D, Campbell J, </w:t>
      </w:r>
      <w:r w:rsidRPr="003F3F75">
        <w:rPr>
          <w:rFonts w:cs="Times New Roman"/>
          <w:i/>
          <w:iCs/>
          <w:noProof/>
          <w:sz w:val="24"/>
          <w:szCs w:val="24"/>
        </w:rPr>
        <w:t>et al.</w:t>
      </w:r>
      <w:r w:rsidRPr="003F3F75">
        <w:rPr>
          <w:rFonts w:cs="Times New Roman"/>
          <w:noProof/>
          <w:sz w:val="24"/>
          <w:szCs w:val="24"/>
        </w:rPr>
        <w:t xml:space="preserve"> Data resource profile: Clinical Practice Research Datalink (CPRD) Aurum. [Internet]. Int. J. Epidemiol. 2019;48:1740-1740g.Available from: https://academic.oup.com/ije/advance-article/doi/10.1093/ije/dyz034/5374844</w:t>
      </w:r>
    </w:p>
    <w:p w14:paraId="6FC006E5"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21. </w:t>
      </w:r>
      <w:r w:rsidRPr="003F3F75">
        <w:rPr>
          <w:rFonts w:cs="Times New Roman"/>
          <w:noProof/>
          <w:sz w:val="24"/>
          <w:szCs w:val="24"/>
        </w:rPr>
        <w:tab/>
        <w:t>Whitaker HJ, Hocine MN, Farrington CP. The methodology of self-controlled case series studies. [Internet]. Stat. Methods Med. Res. 2009;18:7–26.Available from: http://www.ncbi.nlm.nih.gov/pubmed/18562396</w:t>
      </w:r>
    </w:p>
    <w:p w14:paraId="34D563D2"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22. </w:t>
      </w:r>
      <w:r w:rsidRPr="003F3F75">
        <w:rPr>
          <w:rFonts w:cs="Times New Roman"/>
          <w:noProof/>
          <w:sz w:val="24"/>
          <w:szCs w:val="24"/>
        </w:rPr>
        <w:tab/>
        <w:t>Petersen I, Douglas I, Whitaker H. Self controlled case series methods: an alternative to standard epidemiological study designs. [Internet]. BMJ 2016;354:i4515.Available from: http://www.ncbi.nlm.nih.gov/pubmed/27618829</w:t>
      </w:r>
    </w:p>
    <w:p w14:paraId="7963470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23. </w:t>
      </w:r>
      <w:r w:rsidRPr="003F3F75">
        <w:rPr>
          <w:rFonts w:cs="Times New Roman"/>
          <w:noProof/>
          <w:sz w:val="24"/>
          <w:szCs w:val="24"/>
        </w:rPr>
        <w:tab/>
        <w:t xml:space="preserve">Lewis JD, Brensinger C, Bilker WB, </w:t>
      </w:r>
      <w:r w:rsidRPr="003F3F75">
        <w:rPr>
          <w:rFonts w:cs="Times New Roman"/>
          <w:i/>
          <w:iCs/>
          <w:noProof/>
          <w:sz w:val="24"/>
          <w:szCs w:val="24"/>
        </w:rPr>
        <w:t>et al.</w:t>
      </w:r>
      <w:r w:rsidRPr="003F3F75">
        <w:rPr>
          <w:rFonts w:cs="Times New Roman"/>
          <w:noProof/>
          <w:sz w:val="24"/>
          <w:szCs w:val="24"/>
        </w:rPr>
        <w:t xml:space="preserve"> Validity and completeness of the General Practice Research Database for studies of inflammatory bowel disease [Internet]. Pharmacoepidemiol. Drug Saf. 2002;11:211–218.[cited 2012 Nov 14] Available from: http://www.ncbi.nlm.nih.gov/pubmed/12051120</w:t>
      </w:r>
    </w:p>
    <w:p w14:paraId="70A8CC4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24. </w:t>
      </w:r>
      <w:r w:rsidRPr="003F3F75">
        <w:rPr>
          <w:rFonts w:cs="Times New Roman"/>
          <w:noProof/>
          <w:sz w:val="24"/>
          <w:szCs w:val="24"/>
        </w:rPr>
        <w:tab/>
        <w:t xml:space="preserve">Folegatti PM, Ewer KJ, Aley PK, </w:t>
      </w:r>
      <w:r w:rsidRPr="003F3F75">
        <w:rPr>
          <w:rFonts w:cs="Times New Roman"/>
          <w:i/>
          <w:iCs/>
          <w:noProof/>
          <w:sz w:val="24"/>
          <w:szCs w:val="24"/>
        </w:rPr>
        <w:t>et al.</w:t>
      </w:r>
      <w:r w:rsidRPr="003F3F75">
        <w:rPr>
          <w:rFonts w:cs="Times New Roman"/>
          <w:noProof/>
          <w:sz w:val="24"/>
          <w:szCs w:val="24"/>
        </w:rPr>
        <w:t xml:space="preserve"> Safety and immunogenicity of the ChAdOx1 nCoV-19 vaccine against SARS-CoV-2: a preliminary report of a phase 1/2, single-blind, randomised controlled trial. Lancet 2020;396:467–478.</w:t>
      </w:r>
    </w:p>
    <w:p w14:paraId="16B1C000"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25. </w:t>
      </w:r>
      <w:r w:rsidRPr="003F3F75">
        <w:rPr>
          <w:rFonts w:cs="Times New Roman"/>
          <w:noProof/>
          <w:sz w:val="24"/>
          <w:szCs w:val="24"/>
        </w:rPr>
        <w:tab/>
        <w:t xml:space="preserve">Mulligan MJ, Lyke KE, Kitchin N, </w:t>
      </w:r>
      <w:r w:rsidRPr="003F3F75">
        <w:rPr>
          <w:rFonts w:cs="Times New Roman"/>
          <w:i/>
          <w:iCs/>
          <w:noProof/>
          <w:sz w:val="24"/>
          <w:szCs w:val="24"/>
        </w:rPr>
        <w:t>et al.</w:t>
      </w:r>
      <w:r w:rsidRPr="003F3F75">
        <w:rPr>
          <w:rFonts w:cs="Times New Roman"/>
          <w:noProof/>
          <w:sz w:val="24"/>
          <w:szCs w:val="24"/>
        </w:rPr>
        <w:t xml:space="preserve"> Phase I/II study of COVID-19 RNA vaccine BNT162b1 in adults [Internet]. Nature 2020;586:589–593.Available from: http://dx.doi.org/10.1038/s41586-020-2639-4</w:t>
      </w:r>
    </w:p>
    <w:p w14:paraId="3C1F6B62"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26. </w:t>
      </w:r>
      <w:r w:rsidRPr="003F3F75">
        <w:rPr>
          <w:rFonts w:cs="Times New Roman"/>
          <w:noProof/>
          <w:sz w:val="24"/>
          <w:szCs w:val="24"/>
        </w:rPr>
        <w:tab/>
        <w:t>Met Office. Our seasons [Internet]. Available from: https://www.metoffice.gov.uk/weather/learn-about/met-office-for-schools/other-content/other-resources/our-seasons</w:t>
      </w:r>
    </w:p>
    <w:p w14:paraId="1C676EF6"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27. </w:t>
      </w:r>
      <w:r w:rsidRPr="003F3F75">
        <w:rPr>
          <w:rFonts w:cs="Times New Roman"/>
          <w:noProof/>
          <w:sz w:val="24"/>
          <w:szCs w:val="24"/>
        </w:rPr>
        <w:tab/>
        <w:t>Peng JC, Ran ZH, Shen J. Seasonal variation in onset and relapse of IBD and a model to predict the frequency of onset, relapse, and severity of IBD based on artificial neural network. Int. J. Colorectal Dis. 2015;30:1267–1273.</w:t>
      </w:r>
    </w:p>
    <w:p w14:paraId="47189D79"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28. </w:t>
      </w:r>
      <w:r w:rsidRPr="003F3F75">
        <w:rPr>
          <w:rFonts w:cs="Times New Roman"/>
          <w:noProof/>
          <w:sz w:val="24"/>
          <w:szCs w:val="24"/>
        </w:rPr>
        <w:tab/>
        <w:t xml:space="preserve">Lewis JD, Aberra FN, Lichtenstein GR, </w:t>
      </w:r>
      <w:r w:rsidRPr="003F3F75">
        <w:rPr>
          <w:rFonts w:cs="Times New Roman"/>
          <w:i/>
          <w:iCs/>
          <w:noProof/>
          <w:sz w:val="24"/>
          <w:szCs w:val="24"/>
        </w:rPr>
        <w:t>et al.</w:t>
      </w:r>
      <w:r w:rsidRPr="003F3F75">
        <w:rPr>
          <w:rFonts w:cs="Times New Roman"/>
          <w:noProof/>
          <w:sz w:val="24"/>
          <w:szCs w:val="24"/>
        </w:rPr>
        <w:t xml:space="preserve"> Seasonal variation in flares of inflammatory bowel disease. [Internet]. Gastroenterology 2004;126:665–73.[cited 2012 Jul 11] Available from: http://www.ncbi.nlm.nih.gov/pubmed/14988820</w:t>
      </w:r>
    </w:p>
    <w:p w14:paraId="165DF716"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29. </w:t>
      </w:r>
      <w:r w:rsidRPr="003F3F75">
        <w:rPr>
          <w:rFonts w:cs="Times New Roman"/>
          <w:noProof/>
          <w:sz w:val="24"/>
          <w:szCs w:val="24"/>
        </w:rPr>
        <w:tab/>
        <w:t xml:space="preserve">Nie X, Xu L, Bai Y, </w:t>
      </w:r>
      <w:r w:rsidRPr="003F3F75">
        <w:rPr>
          <w:rFonts w:cs="Times New Roman"/>
          <w:i/>
          <w:iCs/>
          <w:noProof/>
          <w:sz w:val="24"/>
          <w:szCs w:val="24"/>
        </w:rPr>
        <w:t>et al.</w:t>
      </w:r>
      <w:r w:rsidRPr="003F3F75">
        <w:rPr>
          <w:rFonts w:cs="Times New Roman"/>
          <w:noProof/>
          <w:sz w:val="24"/>
          <w:szCs w:val="24"/>
        </w:rPr>
        <w:t xml:space="preserve"> Self-controlled case series design in vaccine safety: a systematic review. [Internet]. Expert Rev. Vaccines 2022;21:313–324.Available from: http://www.ncbi.nlm.nih.gov/pubmed/34937500</w:t>
      </w:r>
    </w:p>
    <w:p w14:paraId="2DDCCF73"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lastRenderedPageBreak/>
        <w:t xml:space="preserve">30. </w:t>
      </w:r>
      <w:r w:rsidRPr="003F3F75">
        <w:rPr>
          <w:rFonts w:cs="Times New Roman"/>
          <w:noProof/>
          <w:sz w:val="24"/>
          <w:szCs w:val="24"/>
        </w:rPr>
        <w:tab/>
        <w:t xml:space="preserve">Herrett E, Gallagher AM, Bhaskaran K, </w:t>
      </w:r>
      <w:r w:rsidRPr="003F3F75">
        <w:rPr>
          <w:rFonts w:cs="Times New Roman"/>
          <w:i/>
          <w:iCs/>
          <w:noProof/>
          <w:sz w:val="24"/>
          <w:szCs w:val="24"/>
        </w:rPr>
        <w:t>et al.</w:t>
      </w:r>
      <w:r w:rsidRPr="003F3F75">
        <w:rPr>
          <w:rFonts w:cs="Times New Roman"/>
          <w:noProof/>
          <w:sz w:val="24"/>
          <w:szCs w:val="24"/>
        </w:rPr>
        <w:t xml:space="preserve"> Data Resource Profile: Clinical Practice Research Datalink (CPRD). [Internet]. Int. J. Epidemiol. 2015;44:827–836.Available from: http://www.ncbi.nlm.nih.gov/pubmed/26050254</w:t>
      </w:r>
    </w:p>
    <w:p w14:paraId="0B0F3B0F"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31. </w:t>
      </w:r>
      <w:r w:rsidRPr="003F3F75">
        <w:rPr>
          <w:rFonts w:cs="Times New Roman"/>
          <w:noProof/>
          <w:sz w:val="24"/>
          <w:szCs w:val="24"/>
        </w:rPr>
        <w:tab/>
        <w:t>Chu TPC, Grainge MJ, Card TR. The risk of venous thromboembolism during and after hospitalisation in patients with inflammatory bowel disease activity. [Internet]. Aliment. Pharmacol. Ther. 2018;48:1099–1108.Available from: https://onlinelibrary.wiley.com/doi/pdf/10.1111/apt.15010</w:t>
      </w:r>
    </w:p>
    <w:p w14:paraId="62595E7A"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32. </w:t>
      </w:r>
      <w:r w:rsidRPr="003F3F75">
        <w:rPr>
          <w:rFonts w:cs="Times New Roman"/>
          <w:noProof/>
          <w:sz w:val="24"/>
          <w:szCs w:val="24"/>
        </w:rPr>
        <w:tab/>
        <w:t>Grainge MJ, West J, Card TR. Venous thromboembolism during active disease and remission in inflammatory bowel disease: a cohort study. [Internet]. Lancet 2010;375:657–63.[cited 2012 May 30] Available from: http://www.ncbi.nlm.nih.gov/pubmed/20149425</w:t>
      </w:r>
    </w:p>
    <w:p w14:paraId="198A58B9"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33. </w:t>
      </w:r>
      <w:r w:rsidRPr="003F3F75">
        <w:rPr>
          <w:rFonts w:cs="Times New Roman"/>
          <w:noProof/>
          <w:sz w:val="24"/>
          <w:szCs w:val="24"/>
        </w:rPr>
        <w:tab/>
        <w:t>Barrett K, Saxena S, Pollok R. Using corticosteroids appropriately in inflammatory bowel disease: A guide for primary care. Br. J. Gen. Pract. 2018;68:497–498.</w:t>
      </w:r>
    </w:p>
    <w:p w14:paraId="6B7A61FC"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34. </w:t>
      </w:r>
      <w:r w:rsidRPr="003F3F75">
        <w:rPr>
          <w:rFonts w:cs="Times New Roman"/>
          <w:noProof/>
          <w:sz w:val="24"/>
          <w:szCs w:val="24"/>
        </w:rPr>
        <w:tab/>
        <w:t xml:space="preserve">James D, Jena A, Bharath PN, </w:t>
      </w:r>
      <w:r w:rsidRPr="003F3F75">
        <w:rPr>
          <w:rFonts w:cs="Times New Roman"/>
          <w:i/>
          <w:iCs/>
          <w:noProof/>
          <w:sz w:val="24"/>
          <w:szCs w:val="24"/>
        </w:rPr>
        <w:t>et al.</w:t>
      </w:r>
      <w:r w:rsidRPr="003F3F75">
        <w:rPr>
          <w:rFonts w:cs="Times New Roman"/>
          <w:noProof/>
          <w:sz w:val="24"/>
          <w:szCs w:val="24"/>
        </w:rPr>
        <w:t xml:space="preserve"> Safety of SARS-CoV-2 vaccination in patients with inflammatory bowel disease: A systematic review and meta-analysis [Internet]. Dig. Liver Dis. 2022;54:713–721.Available from: http://www.ncbi.nlm.nih.gov/pubmed/35382972</w:t>
      </w:r>
    </w:p>
    <w:p w14:paraId="510DE3E7" w14:textId="77777777" w:rsidR="003F3F75" w:rsidRPr="003F3F75" w:rsidRDefault="003F3F75" w:rsidP="003F3F75">
      <w:pPr>
        <w:widowControl w:val="0"/>
        <w:autoSpaceDE w:val="0"/>
        <w:autoSpaceDN w:val="0"/>
        <w:adjustRightInd w:val="0"/>
        <w:spacing w:line="240" w:lineRule="auto"/>
        <w:ind w:left="640" w:hanging="640"/>
        <w:rPr>
          <w:rFonts w:cs="Times New Roman"/>
          <w:noProof/>
          <w:sz w:val="24"/>
          <w:szCs w:val="24"/>
        </w:rPr>
      </w:pPr>
      <w:r w:rsidRPr="003F3F75">
        <w:rPr>
          <w:rFonts w:cs="Times New Roman"/>
          <w:noProof/>
          <w:sz w:val="24"/>
          <w:szCs w:val="24"/>
        </w:rPr>
        <w:t xml:space="preserve">35. </w:t>
      </w:r>
      <w:r w:rsidRPr="003F3F75">
        <w:rPr>
          <w:rFonts w:cs="Times New Roman"/>
          <w:noProof/>
          <w:sz w:val="24"/>
          <w:szCs w:val="24"/>
        </w:rPr>
        <w:tab/>
        <w:t xml:space="preserve">Weaver KN, Zhang X, Dai X, </w:t>
      </w:r>
      <w:r w:rsidRPr="003F3F75">
        <w:rPr>
          <w:rFonts w:cs="Times New Roman"/>
          <w:i/>
          <w:iCs/>
          <w:noProof/>
          <w:sz w:val="24"/>
          <w:szCs w:val="24"/>
        </w:rPr>
        <w:t>et al.</w:t>
      </w:r>
      <w:r w:rsidRPr="003F3F75">
        <w:rPr>
          <w:rFonts w:cs="Times New Roman"/>
          <w:noProof/>
          <w:sz w:val="24"/>
          <w:szCs w:val="24"/>
        </w:rPr>
        <w:t xml:space="preserve"> Impact of SARS-CoV-2 Vaccination on Inflammatory Bowel Disease Activity and Development of Vaccine-Related Adverse Events: Results From PREVENT-COVID. Inflamm. Bowel Dis. 2021;1–9.</w:t>
      </w:r>
    </w:p>
    <w:p w14:paraId="1CECE95D" w14:textId="77777777" w:rsidR="003F3F75" w:rsidRPr="003F3F75" w:rsidRDefault="003F3F75" w:rsidP="003F3F75">
      <w:pPr>
        <w:widowControl w:val="0"/>
        <w:autoSpaceDE w:val="0"/>
        <w:autoSpaceDN w:val="0"/>
        <w:adjustRightInd w:val="0"/>
        <w:spacing w:line="240" w:lineRule="auto"/>
        <w:ind w:left="640" w:hanging="640"/>
        <w:rPr>
          <w:noProof/>
          <w:sz w:val="24"/>
        </w:rPr>
      </w:pPr>
      <w:r w:rsidRPr="003F3F75">
        <w:rPr>
          <w:rFonts w:cs="Times New Roman"/>
          <w:noProof/>
          <w:sz w:val="24"/>
          <w:szCs w:val="24"/>
        </w:rPr>
        <w:t xml:space="preserve">36. </w:t>
      </w:r>
      <w:r w:rsidRPr="003F3F75">
        <w:rPr>
          <w:rFonts w:cs="Times New Roman"/>
          <w:noProof/>
          <w:sz w:val="24"/>
          <w:szCs w:val="24"/>
        </w:rPr>
        <w:tab/>
        <w:t xml:space="preserve">Elkharsawi A, Arnim U von, Schmelz R, </w:t>
      </w:r>
      <w:r w:rsidRPr="003F3F75">
        <w:rPr>
          <w:rFonts w:cs="Times New Roman"/>
          <w:i/>
          <w:iCs/>
          <w:noProof/>
          <w:sz w:val="24"/>
          <w:szCs w:val="24"/>
        </w:rPr>
        <w:t>et al.</w:t>
      </w:r>
      <w:r w:rsidRPr="003F3F75">
        <w:rPr>
          <w:rFonts w:cs="Times New Roman"/>
          <w:noProof/>
          <w:sz w:val="24"/>
          <w:szCs w:val="24"/>
        </w:rPr>
        <w:t xml:space="preserve"> SARS-CoV-2 vaccination does not induce relapses of patients with inflammatory bowel disease. [Internet]. Z. Gastroenterol. 2022;60:77–80.Available from: http://www.ncbi.nlm.nih.gov/pubmed/35042256</w:t>
      </w:r>
    </w:p>
    <w:p w14:paraId="5AF7AC9F" w14:textId="50D365FF" w:rsidR="0097064A" w:rsidRDefault="002F7550" w:rsidP="00863E2F">
      <w:pPr>
        <w:rPr>
          <w:sz w:val="24"/>
          <w:szCs w:val="24"/>
        </w:rPr>
        <w:sectPr w:rsidR="0097064A" w:rsidSect="00F15649">
          <w:pgSz w:w="11906" w:h="16838"/>
          <w:pgMar w:top="1440" w:right="1440" w:bottom="1440" w:left="1440" w:header="708" w:footer="708" w:gutter="0"/>
          <w:lnNumType w:countBy="1"/>
          <w:cols w:space="708"/>
          <w:docGrid w:linePitch="360"/>
        </w:sectPr>
      </w:pPr>
      <w:r w:rsidRPr="00021272">
        <w:rPr>
          <w:sz w:val="24"/>
          <w:szCs w:val="24"/>
        </w:rPr>
        <w:fldChar w:fldCharType="end"/>
      </w:r>
    </w:p>
    <w:p w14:paraId="188891FA" w14:textId="0854D847" w:rsidR="0097064A" w:rsidRDefault="008C1872" w:rsidP="0097064A">
      <w:pPr>
        <w:rPr>
          <w:sz w:val="24"/>
          <w:szCs w:val="24"/>
        </w:rPr>
      </w:pPr>
      <w:r>
        <w:rPr>
          <w:noProof/>
          <w:sz w:val="24"/>
          <w:szCs w:val="24"/>
          <w:lang w:eastAsia="en-GB"/>
        </w:rPr>
        <w:lastRenderedPageBreak/>
        <mc:AlternateContent>
          <mc:Choice Requires="wps">
            <w:drawing>
              <wp:anchor distT="0" distB="0" distL="114300" distR="114300" simplePos="0" relativeHeight="251663368" behindDoc="0" locked="0" layoutInCell="1" allowOverlap="1" wp14:anchorId="26A66833" wp14:editId="3FCAD927">
                <wp:simplePos x="0" y="0"/>
                <wp:positionH relativeFrom="column">
                  <wp:posOffset>2466975</wp:posOffset>
                </wp:positionH>
                <wp:positionV relativeFrom="paragraph">
                  <wp:posOffset>304800</wp:posOffset>
                </wp:positionV>
                <wp:extent cx="7715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wps:spPr>
                      <wps:txbx>
                        <w:txbxContent>
                          <w:p w14:paraId="357809F9" w14:textId="1ED3A3AA" w:rsidR="00877691" w:rsidRDefault="00877691">
                            <w:r>
                              <w:t>2</w:t>
                            </w:r>
                            <w:r w:rsidRPr="00DB136C">
                              <w:rPr>
                                <w:vertAlign w:val="superscript"/>
                              </w:rPr>
                              <w:t>nd</w:t>
                            </w:r>
                            <w:r>
                              <w:t xml:space="preserve"> dose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66833" id="_x0000_t202" coordsize="21600,21600" o:spt="202" path="m,l,21600r21600,l21600,xe">
                <v:stroke joinstyle="miter"/>
                <v:path gradientshapeok="t" o:connecttype="rect"/>
              </v:shapetype>
              <v:shape id="Text Box 15" o:spid="_x0000_s1026" type="#_x0000_t202" style="position:absolute;margin-left:194.25pt;margin-top:24pt;width:60.75pt;height:21.7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" fillcolor="white [3201]" strokeweight=".5pt">
                <v:textbox>
                  <w:txbxContent>
                    <w:p w14:paraId="357809F9" w14:textId="1ED3A3AA" w:rsidR="00877691" w:rsidRDefault="00877691">
                      <w:r>
                        <w:t>2</w:t>
                      </w:r>
                      <w:r w:rsidRPr="00DB136C">
                        <w:rPr>
                          <w:vertAlign w:val="superscript"/>
                        </w:rPr>
                        <w:t>nd</w:t>
                      </w:r>
                      <w:r>
                        <w:t xml:space="preserve"> dose </w:t>
                      </w:r>
                    </w:p>
                  </w:txbxContent>
                </v:textbox>
              </v:shape>
            </w:pict>
          </mc:Fallback>
        </mc:AlternateContent>
      </w:r>
      <w:r w:rsidR="00B30A76">
        <w:rPr>
          <w:noProof/>
          <w:sz w:val="24"/>
          <w:szCs w:val="24"/>
          <w:lang w:eastAsia="en-GB"/>
        </w:rPr>
        <mc:AlternateContent>
          <mc:Choice Requires="wps">
            <w:drawing>
              <wp:anchor distT="0" distB="0" distL="114300" distR="114300" simplePos="0" relativeHeight="251659272" behindDoc="0" locked="0" layoutInCell="1" allowOverlap="1" wp14:anchorId="5C210553" wp14:editId="15CC3A81">
                <wp:simplePos x="0" y="0"/>
                <wp:positionH relativeFrom="column">
                  <wp:posOffset>161290</wp:posOffset>
                </wp:positionH>
                <wp:positionV relativeFrom="paragraph">
                  <wp:posOffset>257175</wp:posOffset>
                </wp:positionV>
                <wp:extent cx="6953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solidFill>
                            <a:prstClr val="black"/>
                          </a:solidFill>
                        </a:ln>
                      </wps:spPr>
                      <wps:txbx>
                        <w:txbxContent>
                          <w:p w14:paraId="18C4CB74" w14:textId="24EB39A9" w:rsidR="00877691" w:rsidRDefault="00877691">
                            <w:r>
                              <w:t>1</w:t>
                            </w:r>
                            <w:r w:rsidRPr="00DB136C">
                              <w:rPr>
                                <w:vertAlign w:val="superscript"/>
                              </w:rPr>
                              <w:t>st</w:t>
                            </w:r>
                            <w:r>
                              <w:t xml:space="preserve">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10553" id="Text Box 2" o:spid="_x0000_s1027" type="#_x0000_t202" style="position:absolute;margin-left:12.7pt;margin-top:20.25pt;width:54.75pt;height:20.25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" fillcolor="white [3201]" strokeweight=".5pt">
                <v:textbox>
                  <w:txbxContent>
                    <w:p w14:paraId="18C4CB74" w14:textId="24EB39A9" w:rsidR="00877691" w:rsidRDefault="00877691">
                      <w:r>
                        <w:t>1</w:t>
                      </w:r>
                      <w:r w:rsidRPr="00DB136C">
                        <w:rPr>
                          <w:vertAlign w:val="superscript"/>
                        </w:rPr>
                        <w:t>st</w:t>
                      </w:r>
                      <w:r>
                        <w:t xml:space="preserve"> dose</w:t>
                      </w:r>
                    </w:p>
                  </w:txbxContent>
                </v:textbox>
              </v:shape>
            </w:pict>
          </mc:Fallback>
        </mc:AlternateContent>
      </w:r>
    </w:p>
    <w:p w14:paraId="1587CCA2" w14:textId="6E13CAB8" w:rsidR="0001788E" w:rsidRDefault="008C0BCF" w:rsidP="0097064A">
      <w:pPr>
        <w:rPr>
          <w:sz w:val="24"/>
          <w:szCs w:val="24"/>
        </w:rPr>
      </w:pPr>
      <w:r>
        <w:rPr>
          <w:noProof/>
          <w:sz w:val="24"/>
          <w:szCs w:val="24"/>
          <w:lang w:eastAsia="en-GB"/>
        </w:rPr>
        <mc:AlternateContent>
          <mc:Choice Requires="wps">
            <w:drawing>
              <wp:anchor distT="0" distB="0" distL="114300" distR="114300" simplePos="0" relativeHeight="251662344" behindDoc="0" locked="0" layoutInCell="1" allowOverlap="1" wp14:anchorId="62932B96" wp14:editId="620E3D8E">
                <wp:simplePos x="0" y="0"/>
                <wp:positionH relativeFrom="column">
                  <wp:posOffset>6781800</wp:posOffset>
                </wp:positionH>
                <wp:positionV relativeFrom="paragraph">
                  <wp:posOffset>88900</wp:posOffset>
                </wp:positionV>
                <wp:extent cx="94297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solidFill>
                            <a:prstClr val="black"/>
                          </a:solidFill>
                        </a:ln>
                      </wps:spPr>
                      <wps:txbx>
                        <w:txbxContent>
                          <w:p w14:paraId="251BCA14" w14:textId="3CDE6B36" w:rsidR="00877691" w:rsidRDefault="00877691">
                            <w:r>
                              <w:t>3rd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2B96" id="Text Box 14" o:spid="_x0000_s1028" type="#_x0000_t202" style="position:absolute;margin-left:534pt;margin-top:7pt;width:74.25pt;height:21.7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" fillcolor="white [3201]" strokeweight=".5pt">
                <v:textbox>
                  <w:txbxContent>
                    <w:p w14:paraId="251BCA14" w14:textId="3CDE6B36" w:rsidR="00877691" w:rsidRDefault="00877691">
                      <w:r>
                        <w:t>3rd dose</w:t>
                      </w:r>
                    </w:p>
                  </w:txbxContent>
                </v:textbox>
              </v:shape>
            </w:pict>
          </mc:Fallback>
        </mc:AlternateContent>
      </w:r>
    </w:p>
    <w:p w14:paraId="521043FD" w14:textId="47DCB80E" w:rsidR="0001788E" w:rsidRDefault="00E13073" w:rsidP="0097064A">
      <w:pPr>
        <w:rPr>
          <w:sz w:val="24"/>
          <w:szCs w:val="24"/>
        </w:rPr>
      </w:pPr>
      <w:r>
        <w:rPr>
          <w:noProof/>
          <w:sz w:val="24"/>
          <w:szCs w:val="24"/>
          <w:lang w:eastAsia="en-GB"/>
        </w:rPr>
        <mc:AlternateContent>
          <mc:Choice Requires="wps">
            <w:drawing>
              <wp:anchor distT="0" distB="0" distL="114300" distR="114300" simplePos="0" relativeHeight="251661320" behindDoc="0" locked="0" layoutInCell="1" allowOverlap="1" wp14:anchorId="798DDDF4" wp14:editId="03840A5A">
                <wp:simplePos x="0" y="0"/>
                <wp:positionH relativeFrom="column">
                  <wp:posOffset>8401050</wp:posOffset>
                </wp:positionH>
                <wp:positionV relativeFrom="paragraph">
                  <wp:posOffset>930275</wp:posOffset>
                </wp:positionV>
                <wp:extent cx="457200" cy="2381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57200" cy="238125"/>
                        </a:xfrm>
                        <a:prstGeom prst="rect">
                          <a:avLst/>
                        </a:prstGeom>
                        <a:solidFill>
                          <a:schemeClr val="lt1"/>
                        </a:solidFill>
                        <a:ln w="6350">
                          <a:solidFill>
                            <a:prstClr val="black"/>
                          </a:solidFill>
                        </a:ln>
                      </wps:spPr>
                      <wps:txbx>
                        <w:txbxContent>
                          <w:p w14:paraId="1F89EDBC" w14:textId="156454B0" w:rsidR="00877691" w:rsidRDefault="00877691">
                            <w:r>
                              <w:t xml:space="preserve">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8DDDF4" id="Text Box 10" o:spid="_x0000_s1029" type="#_x0000_t202" style="position:absolute;margin-left:661.5pt;margin-top:73.25pt;width:36pt;height:18.75pt;z-index:251661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" fillcolor="white [3201]" strokeweight=".5pt">
                <v:textbox>
                  <w:txbxContent>
                    <w:p w14:paraId="1F89EDBC" w14:textId="156454B0" w:rsidR="00877691" w:rsidRDefault="00877691">
                      <w:r>
                        <w:t xml:space="preserve">End </w:t>
                      </w:r>
                    </w:p>
                  </w:txbxContent>
                </v:textbox>
              </v:shape>
            </w:pict>
          </mc:Fallback>
        </mc:AlternateContent>
      </w:r>
      <w:r>
        <w:rPr>
          <w:noProof/>
          <w:sz w:val="24"/>
          <w:szCs w:val="24"/>
          <w:lang w:eastAsia="en-GB"/>
        </w:rPr>
        <mc:AlternateContent>
          <mc:Choice Requires="wps">
            <w:drawing>
              <wp:anchor distT="0" distB="0" distL="114300" distR="114300" simplePos="0" relativeHeight="251660296" behindDoc="0" locked="0" layoutInCell="1" allowOverlap="1" wp14:anchorId="1793352E" wp14:editId="35AEF8EC">
                <wp:simplePos x="0" y="0"/>
                <wp:positionH relativeFrom="column">
                  <wp:posOffset>-9525</wp:posOffset>
                </wp:positionH>
                <wp:positionV relativeFrom="paragraph">
                  <wp:posOffset>1025525</wp:posOffset>
                </wp:positionV>
                <wp:extent cx="542925" cy="228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42925" cy="228600"/>
                        </a:xfrm>
                        <a:prstGeom prst="rect">
                          <a:avLst/>
                        </a:prstGeom>
                        <a:solidFill>
                          <a:schemeClr val="lt1"/>
                        </a:solidFill>
                        <a:ln w="6350">
                          <a:solidFill>
                            <a:prstClr val="black"/>
                          </a:solidFill>
                        </a:ln>
                      </wps:spPr>
                      <wps:txbx>
                        <w:txbxContent>
                          <w:p w14:paraId="154F99EC" w14:textId="689E178D" w:rsidR="00877691" w:rsidRDefault="00877691">
                            <w:r>
                              <w:t xml:space="preserve">Start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352E" id="Text Box 8" o:spid="_x0000_s1030" type="#_x0000_t202" style="position:absolute;margin-left:-.75pt;margin-top:80.75pt;width:42.75pt;height:18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" fillcolor="white [3201]" strokeweight=".5pt">
                <v:textbox>
                  <w:txbxContent>
                    <w:p w14:paraId="154F99EC" w14:textId="689E178D" w:rsidR="00877691" w:rsidRDefault="00877691">
                      <w:r>
                        <w:t xml:space="preserve">Start </w:t>
                      </w:r>
                    </w:p>
                  </w:txbxContent>
                </v:textbox>
              </v:shape>
            </w:pict>
          </mc:Fallback>
        </mc:AlternateContent>
      </w:r>
      <w:r w:rsidR="00BB1051">
        <w:rPr>
          <w:noProof/>
          <w:sz w:val="24"/>
          <w:szCs w:val="24"/>
          <w:lang w:eastAsia="en-GB"/>
        </w:rPr>
        <w:drawing>
          <wp:inline distT="0" distB="0" distL="0" distR="0" wp14:anchorId="5C933AD1" wp14:editId="5DEFCB1A">
            <wp:extent cx="8686800" cy="908685"/>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0" cy="908685"/>
                    </a:xfrm>
                    <a:prstGeom prst="rect">
                      <a:avLst/>
                    </a:prstGeom>
                    <a:noFill/>
                  </pic:spPr>
                </pic:pic>
              </a:graphicData>
            </a:graphic>
          </wp:inline>
        </w:drawing>
      </w:r>
    </w:p>
    <w:p w14:paraId="73B69EAF" w14:textId="77777777" w:rsidR="0001788E" w:rsidRDefault="0001788E" w:rsidP="0097064A">
      <w:pPr>
        <w:rPr>
          <w:sz w:val="24"/>
          <w:szCs w:val="24"/>
        </w:rPr>
      </w:pPr>
    </w:p>
    <w:p w14:paraId="234E682E" w14:textId="48D4A6FC" w:rsidR="0097064A" w:rsidRDefault="0097064A" w:rsidP="0097064A">
      <w:pPr>
        <w:rPr>
          <w:sz w:val="24"/>
          <w:szCs w:val="24"/>
        </w:rPr>
      </w:pPr>
    </w:p>
    <w:p w14:paraId="3DFC19AA" w14:textId="77777777" w:rsidR="0001788E" w:rsidRDefault="0001788E" w:rsidP="0097064A">
      <w:pPr>
        <w:rPr>
          <w:sz w:val="24"/>
          <w:szCs w:val="24"/>
        </w:rPr>
      </w:pPr>
    </w:p>
    <w:p w14:paraId="0E31E918" w14:textId="5E70FEBD" w:rsidR="00BB1051" w:rsidRPr="00BB1051" w:rsidRDefault="00BB1051" w:rsidP="00BB1051">
      <w:pPr>
        <w:rPr>
          <w:rFonts w:ascii="Arial" w:hAnsi="Arial" w:cs="Arial"/>
          <w:sz w:val="24"/>
          <w:szCs w:val="24"/>
        </w:rPr>
      </w:pPr>
      <w:r w:rsidRPr="00BB1051">
        <w:rPr>
          <w:rFonts w:ascii="Arial" w:hAnsi="Arial" w:cs="Arial"/>
          <w:b/>
          <w:sz w:val="24"/>
          <w:szCs w:val="24"/>
          <w:lang w:val="en-US"/>
        </w:rPr>
        <w:t>Figure 1</w:t>
      </w:r>
      <w:r w:rsidRPr="00BB1051">
        <w:rPr>
          <w:rFonts w:ascii="Arial" w:hAnsi="Arial" w:cs="Arial"/>
          <w:sz w:val="24"/>
          <w:szCs w:val="24"/>
          <w:lang w:val="en-US"/>
        </w:rPr>
        <w:t xml:space="preserve">. Schematic representation of self-controlled case series (SCCS) analysis periods. The </w:t>
      </w:r>
      <w:r w:rsidR="00F73F2B">
        <w:rPr>
          <w:rFonts w:ascii="Arial" w:hAnsi="Arial" w:cs="Arial"/>
          <w:sz w:val="24"/>
          <w:szCs w:val="24"/>
          <w:lang w:val="en-US"/>
        </w:rPr>
        <w:t xml:space="preserve">vaccine unexposed </w:t>
      </w:r>
      <w:r w:rsidRPr="00BB1051">
        <w:rPr>
          <w:rFonts w:ascii="Arial" w:hAnsi="Arial" w:cs="Arial"/>
          <w:sz w:val="24"/>
          <w:szCs w:val="24"/>
          <w:lang w:val="en-US"/>
        </w:rPr>
        <w:t xml:space="preserve">baseline, </w:t>
      </w:r>
      <w:r w:rsidR="00F73F2B">
        <w:rPr>
          <w:rFonts w:ascii="Arial" w:hAnsi="Arial" w:cs="Arial"/>
          <w:sz w:val="24"/>
          <w:szCs w:val="24"/>
          <w:lang w:val="en-US"/>
        </w:rPr>
        <w:t>pre-vaccination</w:t>
      </w:r>
      <w:r w:rsidRPr="00BB1051">
        <w:rPr>
          <w:rFonts w:ascii="Arial" w:hAnsi="Arial" w:cs="Arial"/>
          <w:sz w:val="24"/>
          <w:szCs w:val="24"/>
          <w:lang w:val="en-US"/>
        </w:rPr>
        <w:t xml:space="preserve">, and </w:t>
      </w:r>
      <w:r w:rsidR="00F73F2B">
        <w:rPr>
          <w:rFonts w:ascii="Arial" w:hAnsi="Arial" w:cs="Arial"/>
          <w:sz w:val="24"/>
          <w:szCs w:val="24"/>
          <w:lang w:val="en-US"/>
        </w:rPr>
        <w:t>vaccine-</w:t>
      </w:r>
      <w:r w:rsidRPr="00BB1051">
        <w:rPr>
          <w:rFonts w:ascii="Arial" w:hAnsi="Arial" w:cs="Arial"/>
          <w:sz w:val="24"/>
          <w:szCs w:val="24"/>
          <w:lang w:val="en-US"/>
        </w:rPr>
        <w:t xml:space="preserve">exposed periods are shaded speckled, solid and lined respectively. Vaccinations against COVID-19 are represented by solid arrows. Unfilled arrows below indicate the start and end of the study period. Not all participants received all three vaccinations. Follow up began on the latest of current registration date in </w:t>
      </w:r>
      <w:r w:rsidR="00F73F2B">
        <w:rPr>
          <w:rFonts w:ascii="Arial" w:hAnsi="Arial" w:cs="Arial"/>
          <w:sz w:val="24"/>
          <w:szCs w:val="24"/>
          <w:lang w:val="en-US"/>
        </w:rPr>
        <w:t>general practice</w:t>
      </w:r>
      <w:r w:rsidRPr="00BB1051">
        <w:rPr>
          <w:rFonts w:ascii="Arial" w:hAnsi="Arial" w:cs="Arial"/>
          <w:sz w:val="24"/>
          <w:szCs w:val="24"/>
          <w:lang w:val="en-US"/>
        </w:rPr>
        <w:t xml:space="preserve"> surgery or 1</w:t>
      </w:r>
      <w:r w:rsidRPr="00BB1051">
        <w:rPr>
          <w:rFonts w:ascii="Arial" w:hAnsi="Arial" w:cs="Arial"/>
          <w:sz w:val="24"/>
          <w:szCs w:val="24"/>
          <w:vertAlign w:val="superscript"/>
          <w:lang w:val="en-US"/>
        </w:rPr>
        <w:t>st</w:t>
      </w:r>
      <w:r w:rsidRPr="00BB1051">
        <w:rPr>
          <w:rFonts w:ascii="Arial" w:hAnsi="Arial" w:cs="Arial"/>
          <w:sz w:val="24"/>
          <w:szCs w:val="24"/>
          <w:lang w:val="en-US"/>
        </w:rPr>
        <w:t xml:space="preserve"> December 2020 and was censored on the earliest of 31</w:t>
      </w:r>
      <w:r w:rsidRPr="00BB1051">
        <w:rPr>
          <w:rFonts w:ascii="Arial" w:hAnsi="Arial" w:cs="Arial"/>
          <w:sz w:val="24"/>
          <w:szCs w:val="24"/>
          <w:vertAlign w:val="superscript"/>
          <w:lang w:val="en-US"/>
        </w:rPr>
        <w:t>st</w:t>
      </w:r>
      <w:r w:rsidRPr="00BB1051">
        <w:rPr>
          <w:rFonts w:ascii="Arial" w:hAnsi="Arial" w:cs="Arial"/>
          <w:sz w:val="24"/>
          <w:szCs w:val="24"/>
          <w:lang w:val="en-US"/>
        </w:rPr>
        <w:t xml:space="preserve"> December 2021, death date, transfer out date, date of last data collection from the </w:t>
      </w:r>
      <w:r w:rsidR="00F73F2B">
        <w:rPr>
          <w:rFonts w:ascii="Arial" w:hAnsi="Arial" w:cs="Arial"/>
          <w:sz w:val="24"/>
          <w:szCs w:val="24"/>
          <w:lang w:val="en-US"/>
        </w:rPr>
        <w:t>general practice</w:t>
      </w:r>
      <w:r w:rsidRPr="00BB1051">
        <w:rPr>
          <w:rFonts w:ascii="Arial" w:hAnsi="Arial" w:cs="Arial"/>
          <w:sz w:val="24"/>
          <w:szCs w:val="24"/>
          <w:lang w:val="en-US"/>
        </w:rPr>
        <w:t xml:space="preserve"> surgery.</w:t>
      </w:r>
    </w:p>
    <w:p w14:paraId="536DFA02" w14:textId="0C076858" w:rsidR="0001788E" w:rsidRDefault="0001788E" w:rsidP="0097064A">
      <w:pPr>
        <w:rPr>
          <w:sz w:val="24"/>
          <w:szCs w:val="24"/>
        </w:rPr>
        <w:sectPr w:rsidR="0001788E" w:rsidSect="0097064A">
          <w:pgSz w:w="16838" w:h="11906" w:orient="landscape"/>
          <w:pgMar w:top="1440" w:right="1440" w:bottom="1440" w:left="1440" w:header="708" w:footer="708" w:gutter="0"/>
          <w:cols w:space="708"/>
          <w:docGrid w:linePitch="360"/>
        </w:sectPr>
      </w:pPr>
    </w:p>
    <w:p w14:paraId="0FA0FA2E" w14:textId="1CD7EBA6" w:rsidR="0001788E" w:rsidRPr="0001788E" w:rsidRDefault="0001788E" w:rsidP="0001788E">
      <w:pPr>
        <w:jc w:val="both"/>
        <w:rPr>
          <w:rFonts w:ascii="Arial" w:hAnsi="Arial" w:cs="Arial"/>
          <w:b/>
          <w:bCs/>
          <w:sz w:val="24"/>
          <w:szCs w:val="24"/>
        </w:rPr>
      </w:pPr>
      <w:r w:rsidRPr="0001788E">
        <w:rPr>
          <w:rFonts w:ascii="Arial" w:hAnsi="Arial" w:cs="Arial"/>
          <w:b/>
          <w:bCs/>
          <w:sz w:val="24"/>
          <w:szCs w:val="24"/>
        </w:rPr>
        <w:lastRenderedPageBreak/>
        <w:t xml:space="preserve">Figure </w:t>
      </w:r>
      <w:r>
        <w:rPr>
          <w:rFonts w:ascii="Arial" w:hAnsi="Arial" w:cs="Arial"/>
          <w:b/>
          <w:bCs/>
          <w:sz w:val="24"/>
          <w:szCs w:val="24"/>
        </w:rPr>
        <w:t>2</w:t>
      </w:r>
      <w:r w:rsidRPr="0001788E">
        <w:rPr>
          <w:rFonts w:ascii="Arial" w:hAnsi="Arial" w:cs="Arial"/>
          <w:b/>
          <w:bCs/>
          <w:sz w:val="24"/>
          <w:szCs w:val="24"/>
        </w:rPr>
        <w:t xml:space="preserve">: Study population selection criteria </w:t>
      </w:r>
      <w:r w:rsidR="00F73F2B">
        <w:rPr>
          <w:rFonts w:ascii="Arial" w:hAnsi="Arial" w:cs="Arial"/>
          <w:b/>
          <w:bCs/>
          <w:sz w:val="24"/>
          <w:szCs w:val="24"/>
        </w:rPr>
        <w:t>for self-controlled case-series analysis</w:t>
      </w:r>
    </w:p>
    <w:p w14:paraId="2DAA7521" w14:textId="77777777" w:rsidR="0001788E" w:rsidRPr="00E23CC3" w:rsidRDefault="0001788E" w:rsidP="0001788E">
      <w:pPr>
        <w:rPr>
          <w:sz w:val="24"/>
          <w:szCs w:val="24"/>
        </w:rPr>
      </w:pPr>
    </w:p>
    <w:p w14:paraId="7F5C3239" w14:textId="77777777" w:rsidR="0001788E" w:rsidRPr="00E23CC3" w:rsidRDefault="0001788E" w:rsidP="0001788E">
      <w:pPr>
        <w:rPr>
          <w:sz w:val="24"/>
          <w:szCs w:val="24"/>
        </w:rPr>
      </w:pPr>
    </w:p>
    <w:p w14:paraId="0EFFC09A" w14:textId="77777777" w:rsidR="0001788E" w:rsidRPr="00E23CC3" w:rsidRDefault="0001788E" w:rsidP="0001788E">
      <w:pPr>
        <w:rPr>
          <w:sz w:val="24"/>
          <w:szCs w:val="24"/>
        </w:rPr>
      </w:pPr>
      <w:r>
        <w:rPr>
          <w:noProof/>
          <w:sz w:val="24"/>
          <w:szCs w:val="24"/>
          <w:lang w:eastAsia="en-GB"/>
        </w:rPr>
        <mc:AlternateContent>
          <mc:Choice Requires="wps">
            <w:drawing>
              <wp:anchor distT="0" distB="0" distL="114300" distR="114300" simplePos="0" relativeHeight="251658240" behindDoc="0" locked="0" layoutInCell="1" allowOverlap="1" wp14:anchorId="72687C86" wp14:editId="2D7E13B2">
                <wp:simplePos x="0" y="0"/>
                <wp:positionH relativeFrom="column">
                  <wp:posOffset>662256</wp:posOffset>
                </wp:positionH>
                <wp:positionV relativeFrom="paragraph">
                  <wp:posOffset>131445</wp:posOffset>
                </wp:positionV>
                <wp:extent cx="2879725" cy="647700"/>
                <wp:effectExtent l="12700" t="12700" r="15875" b="12700"/>
                <wp:wrapNone/>
                <wp:docPr id="9" name="Text Box 9"/>
                <wp:cNvGraphicFramePr/>
                <a:graphic xmlns:a="http://schemas.openxmlformats.org/drawingml/2006/main">
                  <a:graphicData uri="http://schemas.microsoft.com/office/word/2010/wordprocessingShape">
                    <wps:wsp>
                      <wps:cNvSpPr txBox="1"/>
                      <wps:spPr>
                        <a:xfrm>
                          <a:off x="0" y="0"/>
                          <a:ext cx="2879725" cy="647700"/>
                        </a:xfrm>
                        <a:prstGeom prst="rect">
                          <a:avLst/>
                        </a:prstGeom>
                        <a:solidFill>
                          <a:schemeClr val="lt1"/>
                        </a:solidFill>
                        <a:ln w="19050">
                          <a:solidFill>
                            <a:prstClr val="black"/>
                          </a:solidFill>
                        </a:ln>
                      </wps:spPr>
                      <wps:txbx>
                        <w:txbxContent>
                          <w:p w14:paraId="1C0215FC" w14:textId="77777777" w:rsidR="00877691" w:rsidRDefault="00877691" w:rsidP="0001788E">
                            <w:pPr>
                              <w:spacing w:after="0"/>
                              <w:jc w:val="center"/>
                              <w:rPr>
                                <w:lang w:val="en-US"/>
                              </w:rPr>
                            </w:pPr>
                            <w:r>
                              <w:rPr>
                                <w:lang w:val="en-US"/>
                              </w:rPr>
                              <w:t xml:space="preserve"> Inflammatory bowel disease (IBD) cases who received ≥</w:t>
                            </w:r>
                            <w:r>
                              <w:rPr>
                                <w:rFonts w:cstheme="minorHAnsi"/>
                                <w:lang w:val="en-US"/>
                              </w:rPr>
                              <w:t xml:space="preserve">1 </w:t>
                            </w:r>
                            <w:r>
                              <w:rPr>
                                <w:lang w:val="en-US"/>
                              </w:rPr>
                              <w:t xml:space="preserve">SARS-CoV-2 vaccine </w:t>
                            </w:r>
                          </w:p>
                          <w:p w14:paraId="17123360" w14:textId="77777777" w:rsidR="00877691" w:rsidRPr="00094592" w:rsidRDefault="00877691" w:rsidP="0001788E">
                            <w:pPr>
                              <w:spacing w:after="0"/>
                              <w:jc w:val="center"/>
                              <w:rPr>
                                <w:lang w:val="en-US"/>
                              </w:rPr>
                            </w:pPr>
                            <w:r>
                              <w:rPr>
                                <w:lang w:val="en-US"/>
                              </w:rPr>
                              <w:t xml:space="preserve">n= </w:t>
                            </w:r>
                            <w:r w:rsidRPr="00B72A7B">
                              <w:rPr>
                                <w:lang w:val="en-US"/>
                              </w:rPr>
                              <w:t>73,626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7C86" id="Text Box 9" o:spid="_x0000_s1031" type="#_x0000_t202" style="position:absolute;margin-left:52.15pt;margin-top:10.35pt;width:226.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" fillcolor="white [3201]" strokeweight="1.5pt">
                <v:textbox>
                  <w:txbxContent>
                    <w:p w14:paraId="1C0215FC" w14:textId="77777777" w:rsidR="00877691" w:rsidRDefault="00877691" w:rsidP="0001788E">
                      <w:pPr>
                        <w:spacing w:after="0"/>
                        <w:jc w:val="center"/>
                        <w:rPr>
                          <w:lang w:val="en-US"/>
                        </w:rPr>
                      </w:pPr>
                      <w:r>
                        <w:rPr>
                          <w:lang w:val="en-US"/>
                        </w:rPr>
                        <w:t xml:space="preserve"> Inflammatory bowel disease (IBD) cases who received ≥</w:t>
                      </w:r>
                      <w:r>
                        <w:rPr>
                          <w:rFonts w:cstheme="minorHAnsi"/>
                          <w:lang w:val="en-US"/>
                        </w:rPr>
                        <w:t xml:space="preserve">1 </w:t>
                      </w:r>
                      <w:r>
                        <w:rPr>
                          <w:lang w:val="en-US"/>
                        </w:rPr>
                        <w:t xml:space="preserve">SARS-CoV-2 vaccine </w:t>
                      </w:r>
                    </w:p>
                    <w:p w14:paraId="17123360" w14:textId="77777777" w:rsidR="00877691" w:rsidRPr="00094592" w:rsidRDefault="00877691" w:rsidP="0001788E">
                      <w:pPr>
                        <w:spacing w:after="0"/>
                        <w:jc w:val="center"/>
                        <w:rPr>
                          <w:lang w:val="en-US"/>
                        </w:rPr>
                      </w:pPr>
                      <w:r>
                        <w:rPr>
                          <w:lang w:val="en-US"/>
                        </w:rPr>
                        <w:t xml:space="preserve">n= </w:t>
                      </w:r>
                      <w:r w:rsidRPr="00B72A7B">
                        <w:rPr>
                          <w:lang w:val="en-US"/>
                        </w:rPr>
                        <w:t>73,626</w:t>
                      </w:r>
                    </w:p>
                  </w:txbxContent>
                </v:textbox>
              </v:shape>
            </w:pict>
          </mc:Fallback>
        </mc:AlternateContent>
      </w:r>
    </w:p>
    <w:p w14:paraId="048C8C38" w14:textId="77777777" w:rsidR="0001788E" w:rsidRPr="00E23CC3" w:rsidRDefault="0001788E" w:rsidP="0001788E">
      <w:pPr>
        <w:rPr>
          <w:sz w:val="24"/>
          <w:szCs w:val="24"/>
        </w:rPr>
      </w:pPr>
    </w:p>
    <w:p w14:paraId="1EEC03A2" w14:textId="77777777" w:rsidR="0001788E" w:rsidRPr="00E23CC3" w:rsidRDefault="0001788E" w:rsidP="0001788E">
      <w:pPr>
        <w:rPr>
          <w:sz w:val="24"/>
          <w:szCs w:val="24"/>
        </w:rPr>
      </w:pPr>
      <w:r>
        <w:rPr>
          <w:noProof/>
          <w:sz w:val="24"/>
          <w:szCs w:val="24"/>
          <w:lang w:eastAsia="en-GB"/>
        </w:rPr>
        <mc:AlternateContent>
          <mc:Choice Requires="wps">
            <w:drawing>
              <wp:anchor distT="0" distB="0" distL="114300" distR="114300" simplePos="0" relativeHeight="251658243" behindDoc="0" locked="0" layoutInCell="1" allowOverlap="1" wp14:anchorId="58C6669C" wp14:editId="4E5B4B6F">
                <wp:simplePos x="0" y="0"/>
                <wp:positionH relativeFrom="column">
                  <wp:posOffset>2102485</wp:posOffset>
                </wp:positionH>
                <wp:positionV relativeFrom="paragraph">
                  <wp:posOffset>194701</wp:posOffset>
                </wp:positionV>
                <wp:extent cx="9525" cy="2015490"/>
                <wp:effectExtent l="63500" t="12700" r="41275" b="29210"/>
                <wp:wrapNone/>
                <wp:docPr id="11" name="Straight Arrow Connector 11"/>
                <wp:cNvGraphicFramePr/>
                <a:graphic xmlns:a="http://schemas.openxmlformats.org/drawingml/2006/main">
                  <a:graphicData uri="http://schemas.microsoft.com/office/word/2010/wordprocessingShape">
                    <wps:wsp>
                      <wps:cNvCnPr/>
                      <wps:spPr>
                        <a:xfrm>
                          <a:off x="0" y="0"/>
                          <a:ext cx="9525" cy="20154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A7E569F" id="_x0000_t32" coordsize="21600,21600" o:spt="32" o:oned="t" path="m,l21600,21600e" filled="f">
                <v:path arrowok="t" fillok="f" o:connecttype="none"/>
                <o:lock v:ext="edit" shapetype="t"/>
              </v:shapetype>
              <v:shape id="Straight Arrow Connector 11" o:spid="_x0000_s1026" type="#_x0000_t32" style="position:absolute;margin-left:165.55pt;margin-top:15.35pt;width:.75pt;height:158.7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" strokecolor="black [3200]" strokeweight="1.5pt">
                <v:stroke endarrow="block" joinstyle="miter"/>
              </v:shape>
            </w:pict>
          </mc:Fallback>
        </mc:AlternateContent>
      </w:r>
    </w:p>
    <w:p w14:paraId="5F5415AC" w14:textId="77777777" w:rsidR="0001788E" w:rsidRPr="00E23CC3" w:rsidRDefault="0001788E" w:rsidP="0001788E">
      <w:pPr>
        <w:rPr>
          <w:sz w:val="24"/>
          <w:szCs w:val="24"/>
        </w:rPr>
      </w:pPr>
    </w:p>
    <w:p w14:paraId="37D04DB0" w14:textId="77777777" w:rsidR="0001788E" w:rsidRPr="00E23CC3" w:rsidRDefault="0001788E" w:rsidP="0001788E">
      <w:pPr>
        <w:rPr>
          <w:sz w:val="24"/>
          <w:szCs w:val="24"/>
        </w:rPr>
      </w:pPr>
      <w:r>
        <w:rPr>
          <w:noProof/>
          <w:sz w:val="24"/>
          <w:szCs w:val="24"/>
          <w:lang w:eastAsia="en-GB"/>
        </w:rPr>
        <mc:AlternateContent>
          <mc:Choice Requires="wps">
            <w:drawing>
              <wp:anchor distT="0" distB="0" distL="114300" distR="114300" simplePos="0" relativeHeight="251658248" behindDoc="0" locked="0" layoutInCell="1" allowOverlap="1" wp14:anchorId="1F69B638" wp14:editId="35805477">
                <wp:simplePos x="0" y="0"/>
                <wp:positionH relativeFrom="column">
                  <wp:posOffset>3835400</wp:posOffset>
                </wp:positionH>
                <wp:positionV relativeFrom="paragraph">
                  <wp:posOffset>247346</wp:posOffset>
                </wp:positionV>
                <wp:extent cx="2407920" cy="10439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2407920" cy="1043940"/>
                        </a:xfrm>
                        <a:prstGeom prst="rect">
                          <a:avLst/>
                        </a:prstGeom>
                        <a:solidFill>
                          <a:schemeClr val="lt1"/>
                        </a:solidFill>
                        <a:ln w="19050">
                          <a:solidFill>
                            <a:prstClr val="black"/>
                          </a:solidFill>
                        </a:ln>
                      </wps:spPr>
                      <wps:txbx>
                        <w:txbxContent>
                          <w:p w14:paraId="13A4D1AE" w14:textId="77777777" w:rsidR="00877691" w:rsidRDefault="00877691" w:rsidP="0001788E">
                            <w:pPr>
                              <w:rPr>
                                <w:lang w:val="en-US"/>
                              </w:rPr>
                            </w:pPr>
                            <w:r>
                              <w:rPr>
                                <w:lang w:val="en-US"/>
                              </w:rPr>
                              <w:t>         Excluded n=71,686</w:t>
                            </w:r>
                          </w:p>
                          <w:p w14:paraId="350CBDBA" w14:textId="77777777" w:rsidR="00877691" w:rsidRDefault="00877691" w:rsidP="0001788E">
                            <w:pPr>
                              <w:rPr>
                                <w:lang w:val="en-US"/>
                              </w:rPr>
                            </w:pPr>
                            <w:r>
                              <w:rPr>
                                <w:lang w:val="en-US"/>
                              </w:rPr>
                              <w:t xml:space="preserve">71,686: Vaccinated IBD cases without a flare </w:t>
                            </w:r>
                          </w:p>
                          <w:p w14:paraId="44D76748" w14:textId="77777777" w:rsidR="00877691" w:rsidRDefault="00877691" w:rsidP="0001788E">
                            <w:pPr>
                              <w:rPr>
                                <w:lang w:val="en-US"/>
                              </w:rPr>
                            </w:pPr>
                            <w:r>
                              <w:rPr>
                                <w:lang w:val="en-US"/>
                              </w:rPr>
                              <w:t xml:space="preserve"> </w:t>
                            </w:r>
                          </w:p>
                          <w:p w14:paraId="16A1FF6A" w14:textId="77777777" w:rsidR="00877691" w:rsidRDefault="00877691" w:rsidP="0001788E">
                            <w:pPr>
                              <w:rPr>
                                <w:lang w:val="en-US"/>
                              </w:rPr>
                            </w:pPr>
                          </w:p>
                          <w:p w14:paraId="5FD03935" w14:textId="77777777" w:rsidR="00877691" w:rsidRDefault="00877691" w:rsidP="0001788E">
                            <w:pPr>
                              <w:rPr>
                                <w:lang w:val="en-US"/>
                              </w:rPr>
                            </w:pPr>
                          </w:p>
                          <w:p w14:paraId="522F8CD4" w14:textId="77777777" w:rsidR="00877691" w:rsidRDefault="00877691" w:rsidP="0001788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B638" id="Text Box 6" o:spid="_x0000_s1032" type="#_x0000_t202" style="position:absolute;margin-left:302pt;margin-top:19.5pt;width:189.6pt;height:82.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" fillcolor="white [3201]" strokeweight="1.5pt">
                <v:textbox>
                  <w:txbxContent>
                    <w:p w14:paraId="13A4D1AE" w14:textId="77777777" w:rsidR="00877691" w:rsidRDefault="00877691" w:rsidP="0001788E">
                      <w:pPr>
                        <w:rPr>
                          <w:lang w:val="en-US"/>
                        </w:rPr>
                      </w:pPr>
                      <w:r>
                        <w:rPr>
                          <w:lang w:val="en-US"/>
                        </w:rPr>
                        <w:t>         Excluded n=71,686</w:t>
                      </w:r>
                    </w:p>
                    <w:p w14:paraId="350CBDBA" w14:textId="77777777" w:rsidR="00877691" w:rsidRDefault="00877691" w:rsidP="0001788E">
                      <w:pPr>
                        <w:rPr>
                          <w:lang w:val="en-US"/>
                        </w:rPr>
                      </w:pPr>
                      <w:r>
                        <w:rPr>
                          <w:lang w:val="en-US"/>
                        </w:rPr>
                        <w:t xml:space="preserve">71,686: Vaccinated IBD cases without a flare </w:t>
                      </w:r>
                    </w:p>
                    <w:p w14:paraId="44D76748" w14:textId="77777777" w:rsidR="00877691" w:rsidRDefault="00877691" w:rsidP="0001788E">
                      <w:pPr>
                        <w:rPr>
                          <w:lang w:val="en-US"/>
                        </w:rPr>
                      </w:pPr>
                      <w:r>
                        <w:rPr>
                          <w:lang w:val="en-US"/>
                        </w:rPr>
                        <w:t xml:space="preserve"> </w:t>
                      </w:r>
                    </w:p>
                    <w:p w14:paraId="16A1FF6A" w14:textId="77777777" w:rsidR="00877691" w:rsidRDefault="00877691" w:rsidP="0001788E">
                      <w:pPr>
                        <w:rPr>
                          <w:lang w:val="en-US"/>
                        </w:rPr>
                      </w:pPr>
                    </w:p>
                    <w:p w14:paraId="5FD03935" w14:textId="77777777" w:rsidR="00877691" w:rsidRDefault="00877691" w:rsidP="0001788E">
                      <w:pPr>
                        <w:rPr>
                          <w:lang w:val="en-US"/>
                        </w:rPr>
                      </w:pPr>
                    </w:p>
                    <w:p w14:paraId="522F8CD4" w14:textId="77777777" w:rsidR="00877691" w:rsidRDefault="00877691" w:rsidP="0001788E">
                      <w:pPr>
                        <w:rPr>
                          <w:lang w:val="en-US"/>
                        </w:rPr>
                      </w:pPr>
                    </w:p>
                  </w:txbxContent>
                </v:textbox>
              </v:shape>
            </w:pict>
          </mc:Fallback>
        </mc:AlternateContent>
      </w:r>
    </w:p>
    <w:p w14:paraId="4D41297C" w14:textId="77777777" w:rsidR="0001788E" w:rsidRPr="00E23CC3" w:rsidRDefault="0001788E" w:rsidP="0001788E">
      <w:pPr>
        <w:rPr>
          <w:sz w:val="24"/>
          <w:szCs w:val="24"/>
        </w:rPr>
      </w:pPr>
    </w:p>
    <w:p w14:paraId="57E15E00" w14:textId="77777777" w:rsidR="0001788E" w:rsidRDefault="0001788E" w:rsidP="0001788E">
      <w:pPr>
        <w:rPr>
          <w:sz w:val="24"/>
          <w:szCs w:val="24"/>
        </w:rPr>
      </w:pPr>
      <w:r>
        <w:rPr>
          <w:noProof/>
          <w:sz w:val="24"/>
          <w:szCs w:val="24"/>
          <w:lang w:eastAsia="en-GB"/>
        </w:rPr>
        <mc:AlternateContent>
          <mc:Choice Requires="wps">
            <w:drawing>
              <wp:anchor distT="0" distB="0" distL="114300" distR="114300" simplePos="0" relativeHeight="251658242" behindDoc="0" locked="0" layoutInCell="1" allowOverlap="1" wp14:anchorId="17353612" wp14:editId="6F680609">
                <wp:simplePos x="0" y="0"/>
                <wp:positionH relativeFrom="column">
                  <wp:posOffset>2105025</wp:posOffset>
                </wp:positionH>
                <wp:positionV relativeFrom="paragraph">
                  <wp:posOffset>187178</wp:posOffset>
                </wp:positionV>
                <wp:extent cx="1728000" cy="0"/>
                <wp:effectExtent l="0" t="63500" r="0" b="63500"/>
                <wp:wrapNone/>
                <wp:docPr id="3" name="Straight Arrow Connector 3"/>
                <wp:cNvGraphicFramePr/>
                <a:graphic xmlns:a="http://schemas.openxmlformats.org/drawingml/2006/main">
                  <a:graphicData uri="http://schemas.microsoft.com/office/word/2010/wordprocessingShape">
                    <wps:wsp>
                      <wps:cNvCnPr/>
                      <wps:spPr>
                        <a:xfrm flipV="1">
                          <a:off x="0" y="0"/>
                          <a:ext cx="17280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E42CA" id="Straight Arrow Connector 3" o:spid="_x0000_s1026" type="#_x0000_t32" style="position:absolute;margin-left:165.75pt;margin-top:14.75pt;width:136.05pt;height: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" strokecolor="black [3200]" strokeweight="1.5pt">
                <v:stroke endarrow="block" joinstyle="miter"/>
              </v:shape>
            </w:pict>
          </mc:Fallback>
        </mc:AlternateContent>
      </w:r>
    </w:p>
    <w:p w14:paraId="7BE00BAD" w14:textId="77777777" w:rsidR="0001788E" w:rsidRDefault="0001788E" w:rsidP="0001788E">
      <w:pPr>
        <w:tabs>
          <w:tab w:val="left" w:pos="3130"/>
        </w:tabs>
        <w:rPr>
          <w:sz w:val="24"/>
          <w:szCs w:val="24"/>
        </w:rPr>
      </w:pPr>
      <w:r>
        <w:rPr>
          <w:sz w:val="24"/>
          <w:szCs w:val="24"/>
        </w:rPr>
        <w:tab/>
      </w:r>
    </w:p>
    <w:p w14:paraId="5D2CD858" w14:textId="77777777" w:rsidR="0001788E" w:rsidRDefault="0001788E" w:rsidP="0001788E">
      <w:pPr>
        <w:tabs>
          <w:tab w:val="left" w:pos="3130"/>
        </w:tabs>
        <w:rPr>
          <w:sz w:val="24"/>
          <w:szCs w:val="24"/>
        </w:rPr>
      </w:pPr>
    </w:p>
    <w:p w14:paraId="1C748269" w14:textId="77777777" w:rsidR="0001788E" w:rsidRDefault="0001788E" w:rsidP="0001788E">
      <w:pPr>
        <w:tabs>
          <w:tab w:val="left" w:pos="3130"/>
        </w:tabs>
        <w:rPr>
          <w:sz w:val="24"/>
          <w:szCs w:val="24"/>
        </w:rPr>
      </w:pPr>
      <w:r>
        <w:rPr>
          <w:noProof/>
          <w:sz w:val="24"/>
          <w:szCs w:val="24"/>
          <w:lang w:eastAsia="en-GB"/>
        </w:rPr>
        <mc:AlternateContent>
          <mc:Choice Requires="wps">
            <w:drawing>
              <wp:anchor distT="0" distB="0" distL="114300" distR="114300" simplePos="0" relativeHeight="251658241" behindDoc="0" locked="0" layoutInCell="1" allowOverlap="1" wp14:anchorId="04BC7BA3" wp14:editId="4DDFD323">
                <wp:simplePos x="0" y="0"/>
                <wp:positionH relativeFrom="column">
                  <wp:posOffset>675249</wp:posOffset>
                </wp:positionH>
                <wp:positionV relativeFrom="paragraph">
                  <wp:posOffset>114544</wp:posOffset>
                </wp:positionV>
                <wp:extent cx="2879725" cy="844062"/>
                <wp:effectExtent l="12700" t="12700" r="15875" b="6985"/>
                <wp:wrapNone/>
                <wp:docPr id="1" name="Text Box 1"/>
                <wp:cNvGraphicFramePr/>
                <a:graphic xmlns:a="http://schemas.openxmlformats.org/drawingml/2006/main">
                  <a:graphicData uri="http://schemas.microsoft.com/office/word/2010/wordprocessingShape">
                    <wps:wsp>
                      <wps:cNvSpPr txBox="1"/>
                      <wps:spPr>
                        <a:xfrm>
                          <a:off x="0" y="0"/>
                          <a:ext cx="2879725" cy="844062"/>
                        </a:xfrm>
                        <a:prstGeom prst="rect">
                          <a:avLst/>
                        </a:prstGeom>
                        <a:solidFill>
                          <a:schemeClr val="lt1"/>
                        </a:solidFill>
                        <a:ln w="19050">
                          <a:solidFill>
                            <a:prstClr val="black"/>
                          </a:solidFill>
                        </a:ln>
                      </wps:spPr>
                      <wps:txbx>
                        <w:txbxContent>
                          <w:p w14:paraId="335C2922" w14:textId="7B9E79F4" w:rsidR="00877691" w:rsidRDefault="00877691" w:rsidP="0001788E">
                            <w:pPr>
                              <w:spacing w:after="0"/>
                              <w:jc w:val="center"/>
                              <w:rPr>
                                <w:lang w:val="en-US"/>
                              </w:rPr>
                            </w:pPr>
                            <w:r>
                              <w:rPr>
                                <w:lang w:val="en-US"/>
                              </w:rPr>
                              <w:t>SARS-CoV-2 vaccinated IBD cases with IBD flare within study period:</w:t>
                            </w:r>
                          </w:p>
                          <w:p w14:paraId="71A2BE89" w14:textId="77777777" w:rsidR="00877691" w:rsidRPr="00094592" w:rsidRDefault="00877691" w:rsidP="0001788E">
                            <w:pPr>
                              <w:spacing w:after="0"/>
                              <w:jc w:val="center"/>
                              <w:rPr>
                                <w:lang w:val="en-US"/>
                              </w:rPr>
                            </w:pPr>
                            <w:r>
                              <w:rPr>
                                <w:lang w:val="en-US"/>
                              </w:rPr>
                              <w:t>n=1,940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7BA3" id="Text Box 1" o:spid="_x0000_s1033" type="#_x0000_t202" style="position:absolute;margin-left:53.15pt;margin-top:9pt;width:226.75pt;height:6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" fillcolor="white [3201]" strokeweight="1.5pt">
                <v:textbox>
                  <w:txbxContent>
                    <w:p w14:paraId="335C2922" w14:textId="7B9E79F4" w:rsidR="00877691" w:rsidRDefault="00877691" w:rsidP="0001788E">
                      <w:pPr>
                        <w:spacing w:after="0"/>
                        <w:jc w:val="center"/>
                        <w:rPr>
                          <w:lang w:val="en-US"/>
                        </w:rPr>
                      </w:pPr>
                      <w:r>
                        <w:rPr>
                          <w:lang w:val="en-US"/>
                        </w:rPr>
                        <w:t>SARS-CoV-2 vaccinated IBD cases with IBD flare within study period:</w:t>
                      </w:r>
                    </w:p>
                    <w:p w14:paraId="71A2BE89" w14:textId="77777777" w:rsidR="00877691" w:rsidRPr="00094592" w:rsidRDefault="00877691" w:rsidP="0001788E">
                      <w:pPr>
                        <w:spacing w:after="0"/>
                        <w:jc w:val="center"/>
                        <w:rPr>
                          <w:lang w:val="en-US"/>
                        </w:rPr>
                      </w:pPr>
                      <w:r>
                        <w:rPr>
                          <w:lang w:val="en-US"/>
                        </w:rPr>
                        <w:t>n=1,940</w:t>
                      </w:r>
                    </w:p>
                  </w:txbxContent>
                </v:textbox>
              </v:shape>
            </w:pict>
          </mc:Fallback>
        </mc:AlternateContent>
      </w:r>
    </w:p>
    <w:p w14:paraId="3CBBB2D6" w14:textId="77777777" w:rsidR="0001788E" w:rsidRDefault="0001788E" w:rsidP="0001788E">
      <w:pPr>
        <w:tabs>
          <w:tab w:val="left" w:pos="3130"/>
        </w:tabs>
        <w:rPr>
          <w:sz w:val="24"/>
          <w:szCs w:val="24"/>
        </w:rPr>
      </w:pPr>
    </w:p>
    <w:p w14:paraId="07C89A88" w14:textId="77777777" w:rsidR="0001788E" w:rsidRDefault="0001788E" w:rsidP="0001788E">
      <w:r>
        <w:rPr>
          <w:noProof/>
          <w:sz w:val="24"/>
          <w:szCs w:val="24"/>
          <w:lang w:eastAsia="en-GB"/>
        </w:rPr>
        <mc:AlternateContent>
          <mc:Choice Requires="wps">
            <w:drawing>
              <wp:anchor distT="0" distB="0" distL="114300" distR="114300" simplePos="0" relativeHeight="251658245" behindDoc="0" locked="0" layoutInCell="1" allowOverlap="1" wp14:anchorId="1EB3C507" wp14:editId="719A52D0">
                <wp:simplePos x="0" y="0"/>
                <wp:positionH relativeFrom="column">
                  <wp:posOffset>3887829</wp:posOffset>
                </wp:positionH>
                <wp:positionV relativeFrom="paragraph">
                  <wp:posOffset>227937</wp:posOffset>
                </wp:positionV>
                <wp:extent cx="2456953" cy="1319917"/>
                <wp:effectExtent l="0" t="0" r="19685" b="13970"/>
                <wp:wrapNone/>
                <wp:docPr id="7" name="Text Box 7"/>
                <wp:cNvGraphicFramePr/>
                <a:graphic xmlns:a="http://schemas.openxmlformats.org/drawingml/2006/main">
                  <a:graphicData uri="http://schemas.microsoft.com/office/word/2010/wordprocessingShape">
                    <wps:wsp>
                      <wps:cNvSpPr txBox="1"/>
                      <wps:spPr>
                        <a:xfrm>
                          <a:off x="0" y="0"/>
                          <a:ext cx="2456953" cy="1319917"/>
                        </a:xfrm>
                        <a:prstGeom prst="rect">
                          <a:avLst/>
                        </a:prstGeom>
                        <a:solidFill>
                          <a:schemeClr val="lt1"/>
                        </a:solidFill>
                        <a:ln w="19050">
                          <a:solidFill>
                            <a:prstClr val="black"/>
                          </a:solidFill>
                        </a:ln>
                      </wps:spPr>
                      <wps:txbx>
                        <w:txbxContent>
                          <w:p w14:paraId="119F9965" w14:textId="77777777" w:rsidR="00877691" w:rsidRPr="00181673" w:rsidRDefault="00877691" w:rsidP="0001788E">
                            <w:r>
                              <w:rPr>
                                <w:lang w:val="en-US"/>
                              </w:rPr>
                              <w:t>         Excluded n=29</w:t>
                            </w:r>
                          </w:p>
                          <w:p w14:paraId="32CC84B8" w14:textId="716FFDE0" w:rsidR="00877691" w:rsidRDefault="00877691" w:rsidP="0001788E">
                            <w:pPr>
                              <w:rPr>
                                <w:lang w:val="en-US"/>
                              </w:rPr>
                            </w:pPr>
                            <w:r>
                              <w:rPr>
                                <w:lang w:val="en-US"/>
                              </w:rPr>
                              <w:t xml:space="preserve">28:  </w:t>
                            </w:r>
                            <w:r w:rsidRPr="00FC43B8">
                              <w:rPr>
                                <w:lang w:val="en-US"/>
                              </w:rPr>
                              <w:t xml:space="preserve">participants with at least </w:t>
                            </w:r>
                            <w:r>
                              <w:rPr>
                                <w:lang w:val="en-US"/>
                              </w:rPr>
                              <w:t>one</w:t>
                            </w:r>
                            <w:r w:rsidRPr="00FC43B8">
                              <w:rPr>
                                <w:lang w:val="en-US"/>
                              </w:rPr>
                              <w:t xml:space="preserve"> gap between vaccinations </w:t>
                            </w:r>
                            <w:r>
                              <w:rPr>
                                <w:lang w:val="en-US"/>
                              </w:rPr>
                              <w:t xml:space="preserve">of </w:t>
                            </w:r>
                            <w:r w:rsidRPr="00FC43B8">
                              <w:rPr>
                                <w:lang w:val="en-US"/>
                              </w:rPr>
                              <w:t>&lt;4 weeks</w:t>
                            </w:r>
                            <w:r>
                              <w:rPr>
                                <w:lang w:val="en-US"/>
                              </w:rPr>
                              <w:t xml:space="preserve">* </w:t>
                            </w:r>
                          </w:p>
                          <w:p w14:paraId="6B0C5631" w14:textId="77777777" w:rsidR="00877691" w:rsidRDefault="00877691" w:rsidP="0001788E">
                            <w:pPr>
                              <w:rPr>
                                <w:lang w:val="en-US"/>
                              </w:rPr>
                            </w:pPr>
                            <w:r>
                              <w:rPr>
                                <w:lang w:val="en-US"/>
                              </w:rPr>
                              <w:t xml:space="preserve">1: Transfers out of GP surgery before first SARS-CoV-2 vaccine. </w:t>
                            </w:r>
                          </w:p>
                          <w:p w14:paraId="53537D5A" w14:textId="77777777" w:rsidR="00877691" w:rsidRDefault="00877691" w:rsidP="0001788E">
                            <w:pPr>
                              <w:rPr>
                                <w:lang w:val="en-US"/>
                              </w:rPr>
                            </w:pPr>
                          </w:p>
                          <w:p w14:paraId="44FCC0BC" w14:textId="77777777" w:rsidR="00877691" w:rsidRDefault="00877691" w:rsidP="0001788E">
                            <w:pPr>
                              <w:rPr>
                                <w:lang w:val="en-US"/>
                              </w:rPr>
                            </w:pPr>
                          </w:p>
                          <w:p w14:paraId="2F7ABA60" w14:textId="77777777" w:rsidR="00877691" w:rsidRDefault="00877691" w:rsidP="0001788E">
                            <w:pPr>
                              <w:rPr>
                                <w:lang w:val="en-US"/>
                              </w:rPr>
                            </w:pPr>
                          </w:p>
                          <w:p w14:paraId="124CB2B2" w14:textId="77777777" w:rsidR="00877691" w:rsidRDefault="00877691" w:rsidP="0001788E">
                            <w:pPr>
                              <w:rPr>
                                <w:lang w:val="en-US"/>
                              </w:rPr>
                            </w:pPr>
                          </w:p>
                          <w:p w14:paraId="23700486" w14:textId="77777777" w:rsidR="00877691" w:rsidRDefault="00877691" w:rsidP="0001788E">
                            <w:pPr>
                              <w:rPr>
                                <w:lang w:val="en-US"/>
                              </w:rPr>
                            </w:pPr>
                          </w:p>
                          <w:p w14:paraId="1B6A4274" w14:textId="77777777" w:rsidR="00877691" w:rsidRDefault="00877691" w:rsidP="0001788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C507" id="Text Box 7" o:spid="_x0000_s1034" type="#_x0000_t202" style="position:absolute;margin-left:306.15pt;margin-top:17.95pt;width:193.45pt;height:10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" fillcolor="white [3201]" strokeweight="1.5pt">
                <v:textbox>
                  <w:txbxContent>
                    <w:p w14:paraId="119F9965" w14:textId="77777777" w:rsidR="00877691" w:rsidRPr="00181673" w:rsidRDefault="00877691" w:rsidP="0001788E">
                      <w:r>
                        <w:rPr>
                          <w:lang w:val="en-US"/>
                        </w:rPr>
                        <w:t>         Excluded n=29</w:t>
                      </w:r>
                    </w:p>
                    <w:p w14:paraId="32CC84B8" w14:textId="716FFDE0" w:rsidR="00877691" w:rsidRDefault="00877691" w:rsidP="0001788E">
                      <w:pPr>
                        <w:rPr>
                          <w:lang w:val="en-US"/>
                        </w:rPr>
                      </w:pPr>
                      <w:r>
                        <w:rPr>
                          <w:lang w:val="en-US"/>
                        </w:rPr>
                        <w:t xml:space="preserve">28:  </w:t>
                      </w:r>
                      <w:r w:rsidRPr="00FC43B8">
                        <w:rPr>
                          <w:lang w:val="en-US"/>
                        </w:rPr>
                        <w:t xml:space="preserve">participants with at least </w:t>
                      </w:r>
                      <w:r>
                        <w:rPr>
                          <w:lang w:val="en-US"/>
                        </w:rPr>
                        <w:t>one</w:t>
                      </w:r>
                      <w:r w:rsidRPr="00FC43B8">
                        <w:rPr>
                          <w:lang w:val="en-US"/>
                        </w:rPr>
                        <w:t xml:space="preserve"> gap between vaccinations </w:t>
                      </w:r>
                      <w:r>
                        <w:rPr>
                          <w:lang w:val="en-US"/>
                        </w:rPr>
                        <w:t xml:space="preserve">of </w:t>
                      </w:r>
                      <w:r w:rsidRPr="00FC43B8">
                        <w:rPr>
                          <w:lang w:val="en-US"/>
                        </w:rPr>
                        <w:t>&lt;4 weeks</w:t>
                      </w:r>
                      <w:r>
                        <w:rPr>
                          <w:lang w:val="en-US"/>
                        </w:rPr>
                        <w:t xml:space="preserve">* </w:t>
                      </w:r>
                    </w:p>
                    <w:p w14:paraId="6B0C5631" w14:textId="77777777" w:rsidR="00877691" w:rsidRDefault="00877691" w:rsidP="0001788E">
                      <w:pPr>
                        <w:rPr>
                          <w:lang w:val="en-US"/>
                        </w:rPr>
                      </w:pPr>
                      <w:r>
                        <w:rPr>
                          <w:lang w:val="en-US"/>
                        </w:rPr>
                        <w:t xml:space="preserve">1: Transfers out of GP surgery before first SARS-CoV-2 vaccine. </w:t>
                      </w:r>
                    </w:p>
                    <w:p w14:paraId="53537D5A" w14:textId="77777777" w:rsidR="00877691" w:rsidRDefault="00877691" w:rsidP="0001788E">
                      <w:pPr>
                        <w:rPr>
                          <w:lang w:val="en-US"/>
                        </w:rPr>
                      </w:pPr>
                    </w:p>
                    <w:p w14:paraId="44FCC0BC" w14:textId="77777777" w:rsidR="00877691" w:rsidRDefault="00877691" w:rsidP="0001788E">
                      <w:pPr>
                        <w:rPr>
                          <w:lang w:val="en-US"/>
                        </w:rPr>
                      </w:pPr>
                    </w:p>
                    <w:p w14:paraId="2F7ABA60" w14:textId="77777777" w:rsidR="00877691" w:rsidRDefault="00877691" w:rsidP="0001788E">
                      <w:pPr>
                        <w:rPr>
                          <w:lang w:val="en-US"/>
                        </w:rPr>
                      </w:pPr>
                    </w:p>
                    <w:p w14:paraId="124CB2B2" w14:textId="77777777" w:rsidR="00877691" w:rsidRDefault="00877691" w:rsidP="0001788E">
                      <w:pPr>
                        <w:rPr>
                          <w:lang w:val="en-US"/>
                        </w:rPr>
                      </w:pPr>
                    </w:p>
                    <w:p w14:paraId="23700486" w14:textId="77777777" w:rsidR="00877691" w:rsidRDefault="00877691" w:rsidP="0001788E">
                      <w:pPr>
                        <w:rPr>
                          <w:lang w:val="en-US"/>
                        </w:rPr>
                      </w:pPr>
                    </w:p>
                    <w:p w14:paraId="1B6A4274" w14:textId="77777777" w:rsidR="00877691" w:rsidRDefault="00877691" w:rsidP="0001788E">
                      <w:pPr>
                        <w:rPr>
                          <w:lang w:val="en-US"/>
                        </w:rPr>
                      </w:pPr>
                    </w:p>
                  </w:txbxContent>
                </v:textbox>
              </v:shape>
            </w:pict>
          </mc:Fallback>
        </mc:AlternateContent>
      </w:r>
    </w:p>
    <w:p w14:paraId="35DCFE44" w14:textId="77777777" w:rsidR="0001788E" w:rsidRDefault="0001788E" w:rsidP="0001788E">
      <w:r>
        <w:rPr>
          <w:noProof/>
          <w:sz w:val="24"/>
          <w:szCs w:val="24"/>
          <w:lang w:eastAsia="en-GB"/>
        </w:rPr>
        <mc:AlternateContent>
          <mc:Choice Requires="wps">
            <w:drawing>
              <wp:anchor distT="0" distB="0" distL="114300" distR="114300" simplePos="0" relativeHeight="251658246" behindDoc="0" locked="0" layoutInCell="1" allowOverlap="1" wp14:anchorId="4867FB62" wp14:editId="5823C853">
                <wp:simplePos x="0" y="0"/>
                <wp:positionH relativeFrom="column">
                  <wp:posOffset>2116455</wp:posOffset>
                </wp:positionH>
                <wp:positionV relativeFrom="paragraph">
                  <wp:posOffset>92661</wp:posOffset>
                </wp:positionV>
                <wp:extent cx="0" cy="1007745"/>
                <wp:effectExtent l="63500" t="0" r="38100" b="33655"/>
                <wp:wrapNone/>
                <wp:docPr id="12" name="Straight Arrow Connector 12"/>
                <wp:cNvGraphicFramePr/>
                <a:graphic xmlns:a="http://schemas.openxmlformats.org/drawingml/2006/main">
                  <a:graphicData uri="http://schemas.microsoft.com/office/word/2010/wordprocessingShape">
                    <wps:wsp>
                      <wps:cNvCnPr/>
                      <wps:spPr>
                        <a:xfrm>
                          <a:off x="0" y="0"/>
                          <a:ext cx="0" cy="100774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9FBEF" id="Straight Arrow Connector 12" o:spid="_x0000_s1026" type="#_x0000_t32" style="position:absolute;margin-left:166.65pt;margin-top:7.3pt;width:0;height:7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" strokecolor="black [3200]" strokeweight="1.5pt">
                <v:stroke endarrow="block" joinstyle="miter"/>
              </v:shape>
            </w:pict>
          </mc:Fallback>
        </mc:AlternateContent>
      </w:r>
    </w:p>
    <w:p w14:paraId="7A134CA5" w14:textId="77777777" w:rsidR="0001788E" w:rsidRDefault="0001788E" w:rsidP="0001788E"/>
    <w:p w14:paraId="51703CE4" w14:textId="77777777" w:rsidR="0001788E" w:rsidRDefault="0001788E" w:rsidP="0001788E">
      <w:r>
        <w:rPr>
          <w:noProof/>
          <w:sz w:val="24"/>
          <w:szCs w:val="24"/>
          <w:lang w:eastAsia="en-GB"/>
        </w:rPr>
        <mc:AlternateContent>
          <mc:Choice Requires="wps">
            <w:drawing>
              <wp:anchor distT="0" distB="0" distL="114300" distR="114300" simplePos="0" relativeHeight="251658244" behindDoc="0" locked="0" layoutInCell="1" allowOverlap="1" wp14:anchorId="6FC8FD4E" wp14:editId="0CAA7B6C">
                <wp:simplePos x="0" y="0"/>
                <wp:positionH relativeFrom="column">
                  <wp:posOffset>2132330</wp:posOffset>
                </wp:positionH>
                <wp:positionV relativeFrom="paragraph">
                  <wp:posOffset>19538</wp:posOffset>
                </wp:positionV>
                <wp:extent cx="1727835" cy="0"/>
                <wp:effectExtent l="0" t="63500" r="0" b="63500"/>
                <wp:wrapNone/>
                <wp:docPr id="4" name="Straight Arrow Connector 4"/>
                <wp:cNvGraphicFramePr/>
                <a:graphic xmlns:a="http://schemas.openxmlformats.org/drawingml/2006/main">
                  <a:graphicData uri="http://schemas.microsoft.com/office/word/2010/wordprocessingShape">
                    <wps:wsp>
                      <wps:cNvCnPr/>
                      <wps:spPr>
                        <a:xfrm flipV="1">
                          <a:off x="0" y="0"/>
                          <a:ext cx="172783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F285C" id="Straight Arrow Connector 4" o:spid="_x0000_s1026" type="#_x0000_t32" style="position:absolute;margin-left:167.9pt;margin-top:1.55pt;width:136.05pt;height: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" strokecolor="black [3200]" strokeweight="1.5pt">
                <v:stroke endarrow="block" joinstyle="miter"/>
              </v:shape>
            </w:pict>
          </mc:Fallback>
        </mc:AlternateContent>
      </w:r>
    </w:p>
    <w:p w14:paraId="59DCE6D8" w14:textId="77777777" w:rsidR="0001788E" w:rsidRDefault="0001788E" w:rsidP="0001788E">
      <w:r>
        <w:rPr>
          <w:noProof/>
          <w:sz w:val="24"/>
          <w:szCs w:val="24"/>
          <w:lang w:eastAsia="en-GB"/>
        </w:rPr>
        <mc:AlternateContent>
          <mc:Choice Requires="wps">
            <w:drawing>
              <wp:anchor distT="0" distB="0" distL="114300" distR="114300" simplePos="0" relativeHeight="251658247" behindDoc="0" locked="0" layoutInCell="1" allowOverlap="1" wp14:anchorId="034D88DF" wp14:editId="5088940C">
                <wp:simplePos x="0" y="0"/>
                <wp:positionH relativeFrom="column">
                  <wp:posOffset>688975</wp:posOffset>
                </wp:positionH>
                <wp:positionV relativeFrom="paragraph">
                  <wp:posOffset>255221</wp:posOffset>
                </wp:positionV>
                <wp:extent cx="2879725" cy="506730"/>
                <wp:effectExtent l="12700" t="12700" r="15875" b="13970"/>
                <wp:wrapNone/>
                <wp:docPr id="13" name="Text Box 13"/>
                <wp:cNvGraphicFramePr/>
                <a:graphic xmlns:a="http://schemas.openxmlformats.org/drawingml/2006/main">
                  <a:graphicData uri="http://schemas.microsoft.com/office/word/2010/wordprocessingShape">
                    <wps:wsp>
                      <wps:cNvSpPr txBox="1"/>
                      <wps:spPr>
                        <a:xfrm>
                          <a:off x="0" y="0"/>
                          <a:ext cx="2879725" cy="506730"/>
                        </a:xfrm>
                        <a:prstGeom prst="rect">
                          <a:avLst/>
                        </a:prstGeom>
                        <a:solidFill>
                          <a:schemeClr val="lt1"/>
                        </a:solidFill>
                        <a:ln w="19050">
                          <a:solidFill>
                            <a:prstClr val="black"/>
                          </a:solidFill>
                        </a:ln>
                      </wps:spPr>
                      <wps:txbx>
                        <w:txbxContent>
                          <w:p w14:paraId="239A0F19" w14:textId="77777777" w:rsidR="00877691" w:rsidRDefault="00877691" w:rsidP="0001788E">
                            <w:pPr>
                              <w:spacing w:after="0"/>
                              <w:jc w:val="center"/>
                              <w:rPr>
                                <w:lang w:val="en-US"/>
                              </w:rPr>
                            </w:pPr>
                            <w:r>
                              <w:rPr>
                                <w:lang w:val="en-US"/>
                              </w:rPr>
                              <w:t>Included in the SCCS analysis</w:t>
                            </w:r>
                          </w:p>
                          <w:p w14:paraId="6841F969" w14:textId="77777777" w:rsidR="00877691" w:rsidRPr="00094592" w:rsidRDefault="00877691" w:rsidP="0001788E">
                            <w:pPr>
                              <w:spacing w:after="0"/>
                              <w:jc w:val="center"/>
                              <w:rPr>
                                <w:lang w:val="en-US"/>
                              </w:rPr>
                            </w:pPr>
                            <w:r>
                              <w:rPr>
                                <w:lang w:val="en-US"/>
                              </w:rPr>
                              <w:t>n=</w:t>
                            </w:r>
                            <w:r w:rsidRPr="00BA0090">
                              <w:rPr>
                                <w:lang w:val="en-US"/>
                              </w:rPr>
                              <w:t>1,91</w:t>
                            </w: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88DF" id="Text Box 13" o:spid="_x0000_s1035" type="#_x0000_t202" style="position:absolute;margin-left:54.25pt;margin-top:20.1pt;width:226.75pt;height:39.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" fillcolor="white [3201]" strokeweight="1.5pt">
                <v:textbox>
                  <w:txbxContent>
                    <w:p w14:paraId="239A0F19" w14:textId="77777777" w:rsidR="00877691" w:rsidRDefault="00877691" w:rsidP="0001788E">
                      <w:pPr>
                        <w:spacing w:after="0"/>
                        <w:jc w:val="center"/>
                        <w:rPr>
                          <w:lang w:val="en-US"/>
                        </w:rPr>
                      </w:pPr>
                      <w:r>
                        <w:rPr>
                          <w:lang w:val="en-US"/>
                        </w:rPr>
                        <w:t>Included in the SCCS analysis</w:t>
                      </w:r>
                    </w:p>
                    <w:p w14:paraId="6841F969" w14:textId="77777777" w:rsidR="00877691" w:rsidRPr="00094592" w:rsidRDefault="00877691" w:rsidP="0001788E">
                      <w:pPr>
                        <w:spacing w:after="0"/>
                        <w:jc w:val="center"/>
                        <w:rPr>
                          <w:lang w:val="en-US"/>
                        </w:rPr>
                      </w:pPr>
                      <w:r>
                        <w:rPr>
                          <w:lang w:val="en-US"/>
                        </w:rPr>
                        <w:t>n=</w:t>
                      </w:r>
                      <w:r w:rsidRPr="00BA0090">
                        <w:rPr>
                          <w:lang w:val="en-US"/>
                        </w:rPr>
                        <w:t>1,91</w:t>
                      </w:r>
                      <w:r>
                        <w:rPr>
                          <w:lang w:val="en-US"/>
                        </w:rPr>
                        <w:t>1</w:t>
                      </w:r>
                    </w:p>
                  </w:txbxContent>
                </v:textbox>
              </v:shape>
            </w:pict>
          </mc:Fallback>
        </mc:AlternateContent>
      </w:r>
    </w:p>
    <w:p w14:paraId="0A90DB84" w14:textId="77777777" w:rsidR="0001788E" w:rsidRDefault="0001788E" w:rsidP="0001788E"/>
    <w:p w14:paraId="724211C5" w14:textId="77777777" w:rsidR="0001788E" w:rsidRDefault="0001788E" w:rsidP="0001788E"/>
    <w:p w14:paraId="2EEDA98E" w14:textId="67493309" w:rsidR="00F73F2B" w:rsidRDefault="0001788E" w:rsidP="00F73F2B">
      <w:pPr>
        <w:spacing w:before="219"/>
        <w:ind w:left="1440" w:right="932"/>
        <w:rPr>
          <w:rFonts w:ascii="Arial"/>
        </w:rPr>
      </w:pPr>
      <w:r w:rsidRPr="0001788E">
        <w:rPr>
          <w:rFonts w:ascii="Arial" w:hAnsi="Arial" w:cs="Arial"/>
        </w:rPr>
        <w:t xml:space="preserve">*Rationale for exclusion: </w:t>
      </w:r>
      <w:r w:rsidR="00F73F2B">
        <w:rPr>
          <w:rFonts w:ascii="Arial"/>
        </w:rPr>
        <w:t xml:space="preserve">Primary vaccination against COVID-19 in the UK were administered </w:t>
      </w:r>
      <w:r w:rsidR="00F73F2B">
        <w:rPr>
          <w:rFonts w:ascii="Arial"/>
        </w:rPr>
        <w:t>≥</w:t>
      </w:r>
      <w:r w:rsidR="00F73F2B">
        <w:rPr>
          <w:rFonts w:ascii="Arial"/>
        </w:rPr>
        <w:t xml:space="preserve">4 weeks apart. Thus, vaccination dates &lt;4 week apart may potentially be incorrect entries. Additionally, vaccine exposed period was 3 weeks after vaccination in this study. If the vaccinations are administered less than 4 weeks apart, the pre-vaccination period of the second vaccine truncates the post-vaccine exposed period of the earlier vaccine thus potentially misclassifying outcomes. </w:t>
      </w:r>
    </w:p>
    <w:p w14:paraId="4ADFD120" w14:textId="42BEF018" w:rsidR="00F73F2B" w:rsidRDefault="00F73F2B" w:rsidP="00F15649">
      <w:pPr>
        <w:spacing w:before="219"/>
        <w:ind w:right="932"/>
        <w:rPr>
          <w:rFonts w:ascii="Arial"/>
        </w:rPr>
      </w:pPr>
    </w:p>
    <w:p w14:paraId="58AF82AC" w14:textId="60FC8B04" w:rsidR="0097064A" w:rsidRPr="00021272" w:rsidRDefault="0097064A" w:rsidP="0097064A">
      <w:pPr>
        <w:rPr>
          <w:sz w:val="24"/>
          <w:szCs w:val="24"/>
        </w:rPr>
      </w:pPr>
    </w:p>
    <w:sectPr w:rsidR="0097064A" w:rsidRPr="00021272" w:rsidSect="000178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EF8A4" w16cid:durableId="27445BBF"/>
  <w16cid:commentId w16cid:paraId="351A7E86" w16cid:durableId="27445BDB"/>
  <w16cid:commentId w16cid:paraId="7B10D809" w16cid:durableId="27445BF7"/>
  <w16cid:commentId w16cid:paraId="4DF28646" w16cid:durableId="27445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98E2" w14:textId="77777777" w:rsidR="00877691" w:rsidRDefault="00877691" w:rsidP="00A879C1">
      <w:pPr>
        <w:spacing w:after="0" w:line="240" w:lineRule="auto"/>
      </w:pPr>
      <w:r>
        <w:separator/>
      </w:r>
    </w:p>
  </w:endnote>
  <w:endnote w:type="continuationSeparator" w:id="0">
    <w:p w14:paraId="4AA8C47B" w14:textId="77777777" w:rsidR="00877691" w:rsidRDefault="00877691" w:rsidP="00A879C1">
      <w:pPr>
        <w:spacing w:after="0" w:line="240" w:lineRule="auto"/>
      </w:pPr>
      <w:r>
        <w:continuationSeparator/>
      </w:r>
    </w:p>
  </w:endnote>
  <w:endnote w:type="continuationNotice" w:id="1">
    <w:p w14:paraId="0C5E5E20" w14:textId="77777777" w:rsidR="00877691" w:rsidRDefault="00877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D02E" w14:textId="77777777" w:rsidR="00DC4AD1" w:rsidRDefault="00DC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C01D" w14:textId="77777777" w:rsidR="00877691" w:rsidRPr="00DC4AD1" w:rsidRDefault="00877691" w:rsidP="00DC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9AFF" w14:textId="77777777" w:rsidR="00DC4AD1" w:rsidRDefault="00DC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AA5A" w14:textId="77777777" w:rsidR="00877691" w:rsidRDefault="00877691" w:rsidP="00A879C1">
      <w:pPr>
        <w:spacing w:after="0" w:line="240" w:lineRule="auto"/>
      </w:pPr>
      <w:r>
        <w:separator/>
      </w:r>
    </w:p>
  </w:footnote>
  <w:footnote w:type="continuationSeparator" w:id="0">
    <w:p w14:paraId="6C837A1B" w14:textId="77777777" w:rsidR="00877691" w:rsidRDefault="00877691" w:rsidP="00A879C1">
      <w:pPr>
        <w:spacing w:after="0" w:line="240" w:lineRule="auto"/>
      </w:pPr>
      <w:r>
        <w:continuationSeparator/>
      </w:r>
    </w:p>
  </w:footnote>
  <w:footnote w:type="continuationNotice" w:id="1">
    <w:p w14:paraId="3DA4C0D7" w14:textId="77777777" w:rsidR="00877691" w:rsidRDefault="00877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F598" w14:textId="77777777" w:rsidR="00DC4AD1" w:rsidRDefault="00DC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CB0D" w14:textId="77777777" w:rsidR="00DC4AD1" w:rsidRDefault="00DC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E8B1" w14:textId="77777777" w:rsidR="00DC4AD1" w:rsidRDefault="00DC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938"/>
    <w:multiLevelType w:val="hybridMultilevel"/>
    <w:tmpl w:val="BE9A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F51C1"/>
    <w:multiLevelType w:val="hybridMultilevel"/>
    <w:tmpl w:val="6394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55"/>
    <w:rsid w:val="00001255"/>
    <w:rsid w:val="00004207"/>
    <w:rsid w:val="0001788E"/>
    <w:rsid w:val="00021272"/>
    <w:rsid w:val="00025948"/>
    <w:rsid w:val="000509B5"/>
    <w:rsid w:val="000736FB"/>
    <w:rsid w:val="00082E8A"/>
    <w:rsid w:val="000F0F39"/>
    <w:rsid w:val="00102A53"/>
    <w:rsid w:val="00117145"/>
    <w:rsid w:val="00123942"/>
    <w:rsid w:val="00126C8C"/>
    <w:rsid w:val="001876A8"/>
    <w:rsid w:val="00191DF5"/>
    <w:rsid w:val="001A0CF6"/>
    <w:rsid w:val="001A1C95"/>
    <w:rsid w:val="001A684C"/>
    <w:rsid w:val="001C42CC"/>
    <w:rsid w:val="001C77F5"/>
    <w:rsid w:val="001D0E65"/>
    <w:rsid w:val="00204FCA"/>
    <w:rsid w:val="0025665E"/>
    <w:rsid w:val="00275115"/>
    <w:rsid w:val="002B0BCD"/>
    <w:rsid w:val="002B790E"/>
    <w:rsid w:val="002C0AA6"/>
    <w:rsid w:val="002F7550"/>
    <w:rsid w:val="00304FEE"/>
    <w:rsid w:val="0032390D"/>
    <w:rsid w:val="00324928"/>
    <w:rsid w:val="00334069"/>
    <w:rsid w:val="00347C8D"/>
    <w:rsid w:val="00390036"/>
    <w:rsid w:val="003906ED"/>
    <w:rsid w:val="003A5207"/>
    <w:rsid w:val="003A7F10"/>
    <w:rsid w:val="003B6908"/>
    <w:rsid w:val="003C54AB"/>
    <w:rsid w:val="003F3F75"/>
    <w:rsid w:val="00401CDD"/>
    <w:rsid w:val="00431B1A"/>
    <w:rsid w:val="0043560D"/>
    <w:rsid w:val="0043658C"/>
    <w:rsid w:val="004728D6"/>
    <w:rsid w:val="00475814"/>
    <w:rsid w:val="00480A18"/>
    <w:rsid w:val="00485661"/>
    <w:rsid w:val="00493E07"/>
    <w:rsid w:val="004D5231"/>
    <w:rsid w:val="004D72E1"/>
    <w:rsid w:val="00531420"/>
    <w:rsid w:val="005344B8"/>
    <w:rsid w:val="00557F78"/>
    <w:rsid w:val="00575E16"/>
    <w:rsid w:val="00581F5B"/>
    <w:rsid w:val="005A2B6A"/>
    <w:rsid w:val="005B10F0"/>
    <w:rsid w:val="005C40BE"/>
    <w:rsid w:val="005F5B95"/>
    <w:rsid w:val="006227A7"/>
    <w:rsid w:val="00630573"/>
    <w:rsid w:val="00642613"/>
    <w:rsid w:val="006459C7"/>
    <w:rsid w:val="00650F8A"/>
    <w:rsid w:val="00670275"/>
    <w:rsid w:val="0068094C"/>
    <w:rsid w:val="00684DE5"/>
    <w:rsid w:val="006A08B8"/>
    <w:rsid w:val="006B1FEB"/>
    <w:rsid w:val="006B4448"/>
    <w:rsid w:val="006C691C"/>
    <w:rsid w:val="006D45F3"/>
    <w:rsid w:val="006E7AB1"/>
    <w:rsid w:val="00705A6A"/>
    <w:rsid w:val="00707428"/>
    <w:rsid w:val="00735DB1"/>
    <w:rsid w:val="0074105A"/>
    <w:rsid w:val="00743780"/>
    <w:rsid w:val="007443DB"/>
    <w:rsid w:val="007823AB"/>
    <w:rsid w:val="007B3DE1"/>
    <w:rsid w:val="007B747A"/>
    <w:rsid w:val="007C6FCE"/>
    <w:rsid w:val="007D0A64"/>
    <w:rsid w:val="007D7F7A"/>
    <w:rsid w:val="007E1954"/>
    <w:rsid w:val="00824C24"/>
    <w:rsid w:val="00833706"/>
    <w:rsid w:val="00834563"/>
    <w:rsid w:val="008534EA"/>
    <w:rsid w:val="00863E2F"/>
    <w:rsid w:val="00866DB5"/>
    <w:rsid w:val="00875210"/>
    <w:rsid w:val="00877691"/>
    <w:rsid w:val="008846D6"/>
    <w:rsid w:val="00885BE9"/>
    <w:rsid w:val="008A0D4A"/>
    <w:rsid w:val="008A59B1"/>
    <w:rsid w:val="008A6134"/>
    <w:rsid w:val="008C0BCF"/>
    <w:rsid w:val="008C1872"/>
    <w:rsid w:val="008E075B"/>
    <w:rsid w:val="008F2297"/>
    <w:rsid w:val="008F5E96"/>
    <w:rsid w:val="00900D3C"/>
    <w:rsid w:val="0090352B"/>
    <w:rsid w:val="009142F6"/>
    <w:rsid w:val="00925D11"/>
    <w:rsid w:val="00935369"/>
    <w:rsid w:val="00965B4F"/>
    <w:rsid w:val="0097064A"/>
    <w:rsid w:val="00995017"/>
    <w:rsid w:val="009A16EB"/>
    <w:rsid w:val="009A5D1B"/>
    <w:rsid w:val="009C2EBC"/>
    <w:rsid w:val="009D49E8"/>
    <w:rsid w:val="009E67E2"/>
    <w:rsid w:val="00A04918"/>
    <w:rsid w:val="00A10057"/>
    <w:rsid w:val="00A37C78"/>
    <w:rsid w:val="00A628B0"/>
    <w:rsid w:val="00A67ABB"/>
    <w:rsid w:val="00A81E01"/>
    <w:rsid w:val="00A879C1"/>
    <w:rsid w:val="00AC468D"/>
    <w:rsid w:val="00AC486C"/>
    <w:rsid w:val="00AE3AF1"/>
    <w:rsid w:val="00B03959"/>
    <w:rsid w:val="00B056E7"/>
    <w:rsid w:val="00B25AF9"/>
    <w:rsid w:val="00B30A76"/>
    <w:rsid w:val="00B31584"/>
    <w:rsid w:val="00B4669C"/>
    <w:rsid w:val="00B65E90"/>
    <w:rsid w:val="00B66F19"/>
    <w:rsid w:val="00B70C48"/>
    <w:rsid w:val="00B72708"/>
    <w:rsid w:val="00BA4A05"/>
    <w:rsid w:val="00BB1051"/>
    <w:rsid w:val="00BD06E9"/>
    <w:rsid w:val="00C06E47"/>
    <w:rsid w:val="00C14667"/>
    <w:rsid w:val="00C22FEC"/>
    <w:rsid w:val="00C63A57"/>
    <w:rsid w:val="00C67E6C"/>
    <w:rsid w:val="00C728B5"/>
    <w:rsid w:val="00C73378"/>
    <w:rsid w:val="00C74F2F"/>
    <w:rsid w:val="00CA429B"/>
    <w:rsid w:val="00CB76BB"/>
    <w:rsid w:val="00CC18BB"/>
    <w:rsid w:val="00D025CD"/>
    <w:rsid w:val="00D10EF2"/>
    <w:rsid w:val="00D151E4"/>
    <w:rsid w:val="00D41AA4"/>
    <w:rsid w:val="00D450D6"/>
    <w:rsid w:val="00D52282"/>
    <w:rsid w:val="00D7304A"/>
    <w:rsid w:val="00D76FB6"/>
    <w:rsid w:val="00DB136C"/>
    <w:rsid w:val="00DC4AD1"/>
    <w:rsid w:val="00DE0A9E"/>
    <w:rsid w:val="00DE2605"/>
    <w:rsid w:val="00DF426F"/>
    <w:rsid w:val="00E03001"/>
    <w:rsid w:val="00E13073"/>
    <w:rsid w:val="00E20302"/>
    <w:rsid w:val="00E53561"/>
    <w:rsid w:val="00E5762F"/>
    <w:rsid w:val="00E67B0C"/>
    <w:rsid w:val="00EA1826"/>
    <w:rsid w:val="00EA60BB"/>
    <w:rsid w:val="00EB18A3"/>
    <w:rsid w:val="00EC0673"/>
    <w:rsid w:val="00ED6C43"/>
    <w:rsid w:val="00F067E3"/>
    <w:rsid w:val="00F15649"/>
    <w:rsid w:val="00F41AC4"/>
    <w:rsid w:val="00F4212D"/>
    <w:rsid w:val="00F42218"/>
    <w:rsid w:val="00F5161C"/>
    <w:rsid w:val="00F71331"/>
    <w:rsid w:val="00F73F2B"/>
    <w:rsid w:val="00FA0938"/>
    <w:rsid w:val="00FA765A"/>
    <w:rsid w:val="00FE36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73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DE26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021272"/>
    <w:pPr>
      <w:widowControl w:val="0"/>
      <w:autoSpaceDE w:val="0"/>
      <w:autoSpaceDN w:val="0"/>
      <w:spacing w:after="0" w:line="240" w:lineRule="auto"/>
      <w:ind w:left="100"/>
      <w:outlineLvl w:val="2"/>
    </w:pPr>
    <w:rPr>
      <w:rFonts w:ascii="Arial" w:eastAsia="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68D"/>
    <w:rPr>
      <w:sz w:val="16"/>
      <w:szCs w:val="16"/>
    </w:rPr>
  </w:style>
  <w:style w:type="paragraph" w:styleId="CommentText">
    <w:name w:val="annotation text"/>
    <w:basedOn w:val="Normal"/>
    <w:link w:val="CommentTextChar"/>
    <w:uiPriority w:val="99"/>
    <w:unhideWhenUsed/>
    <w:rsid w:val="00AC468D"/>
    <w:pPr>
      <w:spacing w:line="240" w:lineRule="auto"/>
    </w:pPr>
    <w:rPr>
      <w:szCs w:val="20"/>
    </w:rPr>
  </w:style>
  <w:style w:type="character" w:customStyle="1" w:styleId="CommentTextChar">
    <w:name w:val="Comment Text Char"/>
    <w:basedOn w:val="DefaultParagraphFont"/>
    <w:link w:val="CommentText"/>
    <w:uiPriority w:val="99"/>
    <w:rsid w:val="00AC468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468D"/>
    <w:rPr>
      <w:b/>
      <w:bCs/>
    </w:rPr>
  </w:style>
  <w:style w:type="character" w:customStyle="1" w:styleId="CommentSubjectChar">
    <w:name w:val="Comment Subject Char"/>
    <w:basedOn w:val="CommentTextChar"/>
    <w:link w:val="CommentSubject"/>
    <w:uiPriority w:val="99"/>
    <w:semiHidden/>
    <w:rsid w:val="00AC468D"/>
    <w:rPr>
      <w:rFonts w:ascii="Verdana" w:hAnsi="Verdana"/>
      <w:b/>
      <w:bCs/>
      <w:sz w:val="20"/>
      <w:szCs w:val="20"/>
    </w:rPr>
  </w:style>
  <w:style w:type="paragraph" w:styleId="BalloonText">
    <w:name w:val="Balloon Text"/>
    <w:basedOn w:val="Normal"/>
    <w:link w:val="BalloonTextChar"/>
    <w:uiPriority w:val="99"/>
    <w:semiHidden/>
    <w:unhideWhenUsed/>
    <w:rsid w:val="00AC4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8D"/>
    <w:rPr>
      <w:rFonts w:ascii="Segoe UI" w:hAnsi="Segoe UI" w:cs="Segoe UI"/>
      <w:sz w:val="18"/>
      <w:szCs w:val="18"/>
    </w:rPr>
  </w:style>
  <w:style w:type="character" w:customStyle="1" w:styleId="Heading3Char">
    <w:name w:val="Heading 3 Char"/>
    <w:basedOn w:val="DefaultParagraphFont"/>
    <w:link w:val="Heading3"/>
    <w:uiPriority w:val="1"/>
    <w:rsid w:val="00021272"/>
    <w:rPr>
      <w:rFonts w:ascii="Arial" w:eastAsia="Arial" w:hAnsi="Arial" w:cs="Arial"/>
      <w:b/>
      <w:bCs/>
      <w:lang w:val="en-US"/>
    </w:rPr>
  </w:style>
  <w:style w:type="character" w:styleId="Hyperlink">
    <w:name w:val="Hyperlink"/>
    <w:basedOn w:val="DefaultParagraphFont"/>
    <w:uiPriority w:val="99"/>
    <w:unhideWhenUsed/>
    <w:rsid w:val="00021272"/>
    <w:rPr>
      <w:color w:val="0563C1" w:themeColor="hyperlink"/>
      <w:u w:val="single"/>
    </w:rPr>
  </w:style>
  <w:style w:type="table" w:styleId="TableGrid">
    <w:name w:val="Table Grid"/>
    <w:basedOn w:val="TableNormal"/>
    <w:uiPriority w:val="39"/>
    <w:rsid w:val="0097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036"/>
    <w:pPr>
      <w:spacing w:after="0" w:line="240" w:lineRule="auto"/>
    </w:pPr>
    <w:rPr>
      <w:rFonts w:ascii="Verdana" w:hAnsi="Verdana"/>
      <w:sz w:val="20"/>
    </w:rPr>
  </w:style>
  <w:style w:type="paragraph" w:styleId="Header">
    <w:name w:val="header"/>
    <w:basedOn w:val="Normal"/>
    <w:link w:val="HeaderChar"/>
    <w:uiPriority w:val="99"/>
    <w:unhideWhenUsed/>
    <w:rsid w:val="00A8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C1"/>
    <w:rPr>
      <w:rFonts w:ascii="Verdana" w:hAnsi="Verdana"/>
      <w:sz w:val="20"/>
    </w:rPr>
  </w:style>
  <w:style w:type="paragraph" w:styleId="Footer">
    <w:name w:val="footer"/>
    <w:basedOn w:val="Normal"/>
    <w:link w:val="FooterChar"/>
    <w:uiPriority w:val="99"/>
    <w:unhideWhenUsed/>
    <w:rsid w:val="00A8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C1"/>
    <w:rPr>
      <w:rFonts w:ascii="Verdana" w:hAnsi="Verdana"/>
      <w:sz w:val="20"/>
    </w:rPr>
  </w:style>
  <w:style w:type="paragraph" w:styleId="ListParagraph">
    <w:name w:val="List Paragraph"/>
    <w:basedOn w:val="Normal"/>
    <w:uiPriority w:val="34"/>
    <w:qFormat/>
    <w:rsid w:val="008534EA"/>
    <w:pPr>
      <w:ind w:left="720"/>
      <w:contextualSpacing/>
    </w:pPr>
  </w:style>
  <w:style w:type="character" w:customStyle="1" w:styleId="UnresolvedMention">
    <w:name w:val="Unresolved Mention"/>
    <w:basedOn w:val="DefaultParagraphFont"/>
    <w:uiPriority w:val="99"/>
    <w:semiHidden/>
    <w:unhideWhenUsed/>
    <w:rsid w:val="0025665E"/>
    <w:rPr>
      <w:color w:val="605E5C"/>
      <w:shd w:val="clear" w:color="auto" w:fill="E1DFDD"/>
    </w:rPr>
  </w:style>
  <w:style w:type="character" w:customStyle="1" w:styleId="Heading1Char">
    <w:name w:val="Heading 1 Char"/>
    <w:basedOn w:val="DefaultParagraphFont"/>
    <w:link w:val="Heading1"/>
    <w:uiPriority w:val="9"/>
    <w:rsid w:val="00DE260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866DB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66DB5"/>
    <w:rPr>
      <w:rFonts w:ascii="Arial" w:eastAsia="Arial" w:hAnsi="Arial" w:cs="Arial"/>
      <w:sz w:val="24"/>
      <w:szCs w:val="24"/>
      <w:lang w:val="en-US"/>
    </w:rPr>
  </w:style>
  <w:style w:type="character" w:styleId="LineNumber">
    <w:name w:val="line number"/>
    <w:basedOn w:val="DefaultParagraphFont"/>
    <w:uiPriority w:val="99"/>
    <w:semiHidden/>
    <w:unhideWhenUsed/>
    <w:rsid w:val="001C42CC"/>
  </w:style>
  <w:style w:type="character" w:styleId="FollowedHyperlink">
    <w:name w:val="FollowedHyperlink"/>
    <w:basedOn w:val="DefaultParagraphFont"/>
    <w:uiPriority w:val="99"/>
    <w:semiHidden/>
    <w:unhideWhenUsed/>
    <w:rsid w:val="00EB1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498">
      <w:bodyDiv w:val="1"/>
      <w:marLeft w:val="0"/>
      <w:marRight w:val="0"/>
      <w:marTop w:val="0"/>
      <w:marBottom w:val="0"/>
      <w:divBdr>
        <w:top w:val="none" w:sz="0" w:space="0" w:color="auto"/>
        <w:left w:val="none" w:sz="0" w:space="0" w:color="auto"/>
        <w:bottom w:val="none" w:sz="0" w:space="0" w:color="auto"/>
        <w:right w:val="none" w:sz="0" w:space="0" w:color="auto"/>
      </w:divBdr>
    </w:div>
    <w:div w:id="315378068">
      <w:bodyDiv w:val="1"/>
      <w:marLeft w:val="0"/>
      <w:marRight w:val="0"/>
      <w:marTop w:val="0"/>
      <w:marBottom w:val="0"/>
      <w:divBdr>
        <w:top w:val="none" w:sz="0" w:space="0" w:color="auto"/>
        <w:left w:val="none" w:sz="0" w:space="0" w:color="auto"/>
        <w:bottom w:val="none" w:sz="0" w:space="0" w:color="auto"/>
        <w:right w:val="none" w:sz="0" w:space="0" w:color="auto"/>
      </w:divBdr>
    </w:div>
    <w:div w:id="409931086">
      <w:bodyDiv w:val="1"/>
      <w:marLeft w:val="0"/>
      <w:marRight w:val="0"/>
      <w:marTop w:val="0"/>
      <w:marBottom w:val="0"/>
      <w:divBdr>
        <w:top w:val="none" w:sz="0" w:space="0" w:color="auto"/>
        <w:left w:val="none" w:sz="0" w:space="0" w:color="auto"/>
        <w:bottom w:val="none" w:sz="0" w:space="0" w:color="auto"/>
        <w:right w:val="none" w:sz="0" w:space="0" w:color="auto"/>
      </w:divBdr>
    </w:div>
    <w:div w:id="443234476">
      <w:bodyDiv w:val="1"/>
      <w:marLeft w:val="0"/>
      <w:marRight w:val="0"/>
      <w:marTop w:val="0"/>
      <w:marBottom w:val="0"/>
      <w:divBdr>
        <w:top w:val="none" w:sz="0" w:space="0" w:color="auto"/>
        <w:left w:val="none" w:sz="0" w:space="0" w:color="auto"/>
        <w:bottom w:val="none" w:sz="0" w:space="0" w:color="auto"/>
        <w:right w:val="none" w:sz="0" w:space="0" w:color="auto"/>
      </w:divBdr>
    </w:div>
    <w:div w:id="467746220">
      <w:bodyDiv w:val="1"/>
      <w:marLeft w:val="0"/>
      <w:marRight w:val="0"/>
      <w:marTop w:val="0"/>
      <w:marBottom w:val="0"/>
      <w:divBdr>
        <w:top w:val="none" w:sz="0" w:space="0" w:color="auto"/>
        <w:left w:val="none" w:sz="0" w:space="0" w:color="auto"/>
        <w:bottom w:val="none" w:sz="0" w:space="0" w:color="auto"/>
        <w:right w:val="none" w:sz="0" w:space="0" w:color="auto"/>
      </w:divBdr>
    </w:div>
    <w:div w:id="1328240681">
      <w:bodyDiv w:val="1"/>
      <w:marLeft w:val="0"/>
      <w:marRight w:val="0"/>
      <w:marTop w:val="0"/>
      <w:marBottom w:val="0"/>
      <w:divBdr>
        <w:top w:val="none" w:sz="0" w:space="0" w:color="auto"/>
        <w:left w:val="none" w:sz="0" w:space="0" w:color="auto"/>
        <w:bottom w:val="none" w:sz="0" w:space="0" w:color="auto"/>
        <w:right w:val="none" w:sz="0" w:space="0" w:color="auto"/>
      </w:divBdr>
    </w:div>
    <w:div w:id="17922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cid.org/0000-0002-3859-735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na.nakafero@nottingha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2" ma:contentTypeDescription="Create a new document." ma:contentTypeScope="" ma:versionID="d456085a2e1ac89d493e5f2c4eda3e0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fc76e5f7de8dff22bb1b23591f980aab"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CE49-560B-4C92-B88C-57545A4A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473F5-CC4E-43BC-97B4-F995A8D7C705}">
  <ds:schemaRefs>
    <ds:schemaRef ds:uri="http://schemas.microsoft.com/sharepoint/v3/contenttype/forms"/>
  </ds:schemaRefs>
</ds:datastoreItem>
</file>

<file path=customXml/itemProps3.xml><?xml version="1.0" encoding="utf-8"?>
<ds:datastoreItem xmlns:ds="http://schemas.openxmlformats.org/officeDocument/2006/customXml" ds:itemID="{4F0EC371-A499-4D92-B557-390A9502514E}">
  <ds:schemaRefs>
    <ds:schemaRef ds:uri="http://schemas.microsoft.com/office/2006/documentManagement/types"/>
    <ds:schemaRef ds:uri="http://purl.org/dc/elements/1.1/"/>
    <ds:schemaRef ds:uri="http://schemas.openxmlformats.org/package/2006/metadata/core-properties"/>
    <ds:schemaRef ds:uri="786e620f-b1da-4f59-878c-ef7546d25bf1"/>
    <ds:schemaRef ds:uri="0c1e910d-4918-42f1-af2c-ed1101d63abc"/>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293D391-04CF-4442-89E7-96C95509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32114</Words>
  <Characters>183053</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2023-01-04T14:13:00Z</dcterms:created>
  <dcterms:modified xsi:type="dcterms:W3CDTF">2023-01-04T14:18:00Z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