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35298" w14:textId="561BB735" w:rsidR="00145B15" w:rsidRDefault="00145B15" w:rsidP="007C7406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Acute </w:t>
      </w:r>
      <w:r w:rsidR="001C6125">
        <w:rPr>
          <w:b/>
          <w:sz w:val="24"/>
          <w:u w:val="single"/>
        </w:rPr>
        <w:t>p</w:t>
      </w:r>
      <w:r>
        <w:rPr>
          <w:b/>
          <w:sz w:val="24"/>
          <w:u w:val="single"/>
        </w:rPr>
        <w:t xml:space="preserve">hase </w:t>
      </w:r>
      <w:r w:rsidR="001C6125">
        <w:rPr>
          <w:b/>
          <w:sz w:val="24"/>
          <w:u w:val="single"/>
        </w:rPr>
        <w:t>r</w:t>
      </w:r>
      <w:r>
        <w:rPr>
          <w:b/>
          <w:sz w:val="24"/>
          <w:u w:val="single"/>
        </w:rPr>
        <w:t xml:space="preserve">esponse </w:t>
      </w:r>
      <w:r w:rsidR="001C6125">
        <w:rPr>
          <w:b/>
          <w:sz w:val="24"/>
          <w:u w:val="single"/>
        </w:rPr>
        <w:t>s</w:t>
      </w:r>
      <w:r>
        <w:rPr>
          <w:b/>
          <w:sz w:val="24"/>
          <w:u w:val="single"/>
        </w:rPr>
        <w:t xml:space="preserve">ignalling is altered </w:t>
      </w:r>
      <w:r w:rsidR="001C6125">
        <w:rPr>
          <w:b/>
          <w:sz w:val="24"/>
          <w:u w:val="single"/>
        </w:rPr>
        <w:t>following</w:t>
      </w:r>
      <w:r>
        <w:rPr>
          <w:b/>
          <w:sz w:val="24"/>
          <w:u w:val="single"/>
        </w:rPr>
        <w:t xml:space="preserve"> cartilage harvest in non-responders to Autologous Chondrocyte I</w:t>
      </w:r>
      <w:r w:rsidR="00551A74">
        <w:rPr>
          <w:b/>
          <w:sz w:val="24"/>
          <w:u w:val="single"/>
        </w:rPr>
        <w:t>m</w:t>
      </w:r>
      <w:r>
        <w:rPr>
          <w:b/>
          <w:sz w:val="24"/>
          <w:u w:val="single"/>
        </w:rPr>
        <w:t>plantation</w:t>
      </w:r>
    </w:p>
    <w:p w14:paraId="2B643B68" w14:textId="38BE388B" w:rsidR="00E06C83" w:rsidRDefault="00E06C83" w:rsidP="007C7406">
      <w:pPr>
        <w:rPr>
          <w:sz w:val="20"/>
        </w:rPr>
      </w:pPr>
      <w:r w:rsidRPr="00E06C83">
        <w:rPr>
          <w:sz w:val="20"/>
        </w:rPr>
        <w:t>Charlotte H Hulme</w:t>
      </w:r>
      <w:r w:rsidRPr="00E06C83">
        <w:rPr>
          <w:sz w:val="20"/>
          <w:vertAlign w:val="superscript"/>
        </w:rPr>
        <w:t>1,2</w:t>
      </w:r>
      <w:r w:rsidRPr="00E06C83">
        <w:rPr>
          <w:sz w:val="20"/>
        </w:rPr>
        <w:t>, Emma Wilson</w:t>
      </w:r>
      <w:r w:rsidRPr="00E06C83">
        <w:rPr>
          <w:sz w:val="20"/>
          <w:vertAlign w:val="superscript"/>
        </w:rPr>
        <w:t>2,3</w:t>
      </w:r>
      <w:r w:rsidRPr="00E06C83">
        <w:rPr>
          <w:sz w:val="20"/>
        </w:rPr>
        <w:t>, Heidi R Fuller</w:t>
      </w:r>
      <w:r w:rsidRPr="00E06C83">
        <w:rPr>
          <w:sz w:val="20"/>
          <w:vertAlign w:val="superscript"/>
        </w:rPr>
        <w:t>1</w:t>
      </w:r>
      <w:r w:rsidRPr="00E06C83">
        <w:rPr>
          <w:sz w:val="20"/>
        </w:rPr>
        <w:t>, Sally Roberts</w:t>
      </w:r>
      <w:r w:rsidRPr="00E06C83">
        <w:rPr>
          <w:sz w:val="20"/>
          <w:vertAlign w:val="superscript"/>
        </w:rPr>
        <w:t>1,2</w:t>
      </w:r>
      <w:r w:rsidRPr="00E06C83">
        <w:rPr>
          <w:sz w:val="20"/>
        </w:rPr>
        <w:t>, James B. Richardson</w:t>
      </w:r>
      <w:r w:rsidRPr="00E06C83">
        <w:rPr>
          <w:sz w:val="20"/>
          <w:vertAlign w:val="superscript"/>
        </w:rPr>
        <w:t>1,2</w:t>
      </w:r>
      <w:r w:rsidRPr="00E06C83">
        <w:rPr>
          <w:sz w:val="20"/>
        </w:rPr>
        <w:t>,  Pete Gallacher</w:t>
      </w:r>
      <w:r w:rsidRPr="00E06C83">
        <w:rPr>
          <w:sz w:val="20"/>
          <w:vertAlign w:val="superscript"/>
        </w:rPr>
        <w:t>1,2</w:t>
      </w:r>
      <w:r w:rsidRPr="00E06C83">
        <w:rPr>
          <w:sz w:val="20"/>
        </w:rPr>
        <w:t>, Mandy J. Peffers</w:t>
      </w:r>
      <w:r w:rsidRPr="00E06C83">
        <w:rPr>
          <w:sz w:val="20"/>
          <w:vertAlign w:val="superscript"/>
        </w:rPr>
        <w:t>4</w:t>
      </w:r>
      <w:r w:rsidRPr="00E06C83">
        <w:rPr>
          <w:sz w:val="20"/>
        </w:rPr>
        <w:t>, Sally L Shirran</w:t>
      </w:r>
      <w:r w:rsidRPr="00E06C83">
        <w:rPr>
          <w:sz w:val="20"/>
          <w:vertAlign w:val="superscript"/>
        </w:rPr>
        <w:t>5</w:t>
      </w:r>
      <w:r w:rsidRPr="00E06C83">
        <w:rPr>
          <w:sz w:val="20"/>
        </w:rPr>
        <w:t>, Catherine H. Botting</w:t>
      </w:r>
      <w:r w:rsidRPr="00E06C83">
        <w:rPr>
          <w:sz w:val="20"/>
          <w:vertAlign w:val="superscript"/>
        </w:rPr>
        <w:t>5</w:t>
      </w:r>
      <w:r w:rsidRPr="00E06C83">
        <w:rPr>
          <w:sz w:val="20"/>
        </w:rPr>
        <w:t>, Karina T Wright</w:t>
      </w:r>
      <w:r w:rsidRPr="00E06C83">
        <w:rPr>
          <w:sz w:val="20"/>
          <w:vertAlign w:val="superscript"/>
        </w:rPr>
        <w:t>1,2</w:t>
      </w:r>
    </w:p>
    <w:p w14:paraId="3F47C25F" w14:textId="77777777" w:rsidR="00145B15" w:rsidRPr="00EA1636" w:rsidRDefault="00145B15" w:rsidP="00145B15">
      <w:pPr>
        <w:rPr>
          <w:sz w:val="20"/>
        </w:rPr>
      </w:pPr>
      <w:r w:rsidRPr="00145B15">
        <w:rPr>
          <w:sz w:val="20"/>
        </w:rPr>
        <w:t>1. Institute of Science and Technology in Medicine, Keele Unive</w:t>
      </w:r>
      <w:r>
        <w:rPr>
          <w:sz w:val="20"/>
        </w:rPr>
        <w:t xml:space="preserve">rsity, Keele, Staffordshire, UK; </w:t>
      </w:r>
      <w:r w:rsidRPr="00145B15">
        <w:rPr>
          <w:sz w:val="20"/>
        </w:rPr>
        <w:t xml:space="preserve">2. </w:t>
      </w:r>
      <w:proofErr w:type="gramStart"/>
      <w:r w:rsidRPr="00145B15">
        <w:rPr>
          <w:sz w:val="20"/>
        </w:rPr>
        <w:t>Robert Jones and Agnes Hunt Orthopaedic Hos</w:t>
      </w:r>
      <w:r>
        <w:rPr>
          <w:sz w:val="20"/>
        </w:rPr>
        <w:t xml:space="preserve">pital, Oswestry, Shropshire, UK; </w:t>
      </w:r>
      <w:r w:rsidRPr="00145B15">
        <w:rPr>
          <w:sz w:val="20"/>
        </w:rPr>
        <w:t>3.</w:t>
      </w:r>
      <w:proofErr w:type="gramEnd"/>
      <w:r w:rsidRPr="00145B15">
        <w:rPr>
          <w:sz w:val="20"/>
        </w:rPr>
        <w:t xml:space="preserve"> </w:t>
      </w:r>
      <w:proofErr w:type="gramStart"/>
      <w:r w:rsidRPr="00145B15">
        <w:rPr>
          <w:sz w:val="20"/>
        </w:rPr>
        <w:t xml:space="preserve">Chester Medical School, </w:t>
      </w:r>
      <w:r>
        <w:rPr>
          <w:sz w:val="20"/>
        </w:rPr>
        <w:t xml:space="preserve">Chester University, Chester, UK; </w:t>
      </w:r>
      <w:r w:rsidRPr="00145B15">
        <w:rPr>
          <w:sz w:val="20"/>
        </w:rPr>
        <w:t>4.</w:t>
      </w:r>
      <w:proofErr w:type="gramEnd"/>
      <w:r w:rsidRPr="00145B15">
        <w:rPr>
          <w:sz w:val="20"/>
        </w:rPr>
        <w:t xml:space="preserve"> </w:t>
      </w:r>
      <w:proofErr w:type="gramStart"/>
      <w:r w:rsidRPr="00145B15">
        <w:rPr>
          <w:sz w:val="20"/>
        </w:rPr>
        <w:t>Institute of Ageing and Chronic Disease, Univers</w:t>
      </w:r>
      <w:r>
        <w:rPr>
          <w:sz w:val="20"/>
        </w:rPr>
        <w:t xml:space="preserve">ity of Liverpool, Liverpool, UK; </w:t>
      </w:r>
      <w:r w:rsidRPr="00145B15">
        <w:rPr>
          <w:sz w:val="20"/>
        </w:rPr>
        <w:t>5.</w:t>
      </w:r>
      <w:proofErr w:type="gramEnd"/>
      <w:r w:rsidRPr="00145B15">
        <w:rPr>
          <w:sz w:val="20"/>
        </w:rPr>
        <w:t xml:space="preserve"> BSRC Mass Spectrometry and Proteomics Facility, University of St Andrews, North </w:t>
      </w:r>
      <w:proofErr w:type="spellStart"/>
      <w:r w:rsidRPr="00145B15">
        <w:rPr>
          <w:sz w:val="20"/>
        </w:rPr>
        <w:t>Haugh</w:t>
      </w:r>
      <w:proofErr w:type="spellEnd"/>
      <w:r w:rsidRPr="00145B15">
        <w:rPr>
          <w:sz w:val="20"/>
        </w:rPr>
        <w:t>, Fife, KY16 9ST, UK</w:t>
      </w:r>
    </w:p>
    <w:p w14:paraId="3EF89C31" w14:textId="77777777" w:rsidR="001C51A7" w:rsidRDefault="001C51A7" w:rsidP="00857139">
      <w:pPr>
        <w:spacing w:line="240" w:lineRule="auto"/>
        <w:rPr>
          <w:b/>
        </w:rPr>
      </w:pPr>
      <w:r w:rsidRPr="00EA1636">
        <w:rPr>
          <w:b/>
        </w:rPr>
        <w:t>Purpose (the aim of the study)</w:t>
      </w:r>
    </w:p>
    <w:p w14:paraId="628CC9EF" w14:textId="5450C83A" w:rsidR="00551A74" w:rsidRDefault="00145B15" w:rsidP="0086333D">
      <w:pPr>
        <w:spacing w:line="360" w:lineRule="auto"/>
        <w:rPr>
          <w:sz w:val="20"/>
        </w:rPr>
      </w:pPr>
      <w:r>
        <w:rPr>
          <w:sz w:val="20"/>
        </w:rPr>
        <w:t>Autologous Chondrocyte Implantation</w:t>
      </w:r>
      <w:r w:rsidR="00551A74">
        <w:rPr>
          <w:sz w:val="20"/>
        </w:rPr>
        <w:t xml:space="preserve"> (ACI)</w:t>
      </w:r>
      <w:r>
        <w:rPr>
          <w:sz w:val="20"/>
        </w:rPr>
        <w:t xml:space="preserve"> has recently been recommended</w:t>
      </w:r>
      <w:r w:rsidR="00A654C2">
        <w:rPr>
          <w:sz w:val="20"/>
        </w:rPr>
        <w:t xml:space="preserve"> by the National Institute for h</w:t>
      </w:r>
      <w:r>
        <w:rPr>
          <w:sz w:val="20"/>
        </w:rPr>
        <w:t>ealth and Ca</w:t>
      </w:r>
      <w:r w:rsidR="008A695F">
        <w:rPr>
          <w:sz w:val="20"/>
        </w:rPr>
        <w:t xml:space="preserve">re Excellence (NICE) </w:t>
      </w:r>
      <w:r w:rsidR="005378A7">
        <w:rPr>
          <w:sz w:val="20"/>
        </w:rPr>
        <w:t xml:space="preserve">as a treatment </w:t>
      </w:r>
      <w:r w:rsidR="008A695F">
        <w:rPr>
          <w:sz w:val="20"/>
        </w:rPr>
        <w:t>for</w:t>
      </w:r>
      <w:r w:rsidR="005378A7" w:rsidRPr="005378A7">
        <w:t xml:space="preserve"> </w:t>
      </w:r>
      <w:r w:rsidR="005378A7" w:rsidRPr="005378A7">
        <w:rPr>
          <w:sz w:val="20"/>
        </w:rPr>
        <w:t>knee chondral/osteochondral defects</w:t>
      </w:r>
      <w:r w:rsidR="005378A7">
        <w:rPr>
          <w:sz w:val="20"/>
        </w:rPr>
        <w:t xml:space="preserve"> in a specific subset of</w:t>
      </w:r>
      <w:r>
        <w:rPr>
          <w:sz w:val="20"/>
        </w:rPr>
        <w:t xml:space="preserve"> UK National Health Service</w:t>
      </w:r>
      <w:r w:rsidR="005378A7">
        <w:rPr>
          <w:sz w:val="20"/>
        </w:rPr>
        <w:t xml:space="preserve"> patients</w:t>
      </w:r>
      <w:r>
        <w:rPr>
          <w:sz w:val="20"/>
        </w:rPr>
        <w:t xml:space="preserve">. </w:t>
      </w:r>
      <w:r w:rsidR="008A695F">
        <w:rPr>
          <w:sz w:val="20"/>
        </w:rPr>
        <w:t>For</w:t>
      </w:r>
      <w:r w:rsidR="00551A74">
        <w:rPr>
          <w:sz w:val="20"/>
        </w:rPr>
        <w:t xml:space="preserve"> </w:t>
      </w:r>
      <w:r w:rsidR="00AD0141">
        <w:rPr>
          <w:sz w:val="20"/>
        </w:rPr>
        <w:t>ACI</w:t>
      </w:r>
      <w:r w:rsidR="00551A74">
        <w:rPr>
          <w:sz w:val="20"/>
        </w:rPr>
        <w:t xml:space="preserve"> to be recommended on a wider scale, </w:t>
      </w:r>
      <w:r w:rsidR="008A695F">
        <w:rPr>
          <w:sz w:val="20"/>
        </w:rPr>
        <w:t>a</w:t>
      </w:r>
      <w:r w:rsidR="00551A74">
        <w:rPr>
          <w:sz w:val="20"/>
        </w:rPr>
        <w:t xml:space="preserve"> better understand</w:t>
      </w:r>
      <w:r w:rsidR="008A695F">
        <w:rPr>
          <w:sz w:val="20"/>
        </w:rPr>
        <w:t>ing of</w:t>
      </w:r>
      <w:r w:rsidR="00551A74">
        <w:rPr>
          <w:sz w:val="20"/>
        </w:rPr>
        <w:t xml:space="preserve"> the biological mechanisms underlying ACI success/failure</w:t>
      </w:r>
      <w:r w:rsidR="008A695F">
        <w:rPr>
          <w:sz w:val="20"/>
        </w:rPr>
        <w:t xml:space="preserve"> is needed</w:t>
      </w:r>
      <w:r w:rsidR="00551A74">
        <w:rPr>
          <w:sz w:val="20"/>
        </w:rPr>
        <w:t xml:space="preserve">, so </w:t>
      </w:r>
      <w:r w:rsidR="00A654C2">
        <w:rPr>
          <w:sz w:val="20"/>
        </w:rPr>
        <w:t>as to improve the success rate further</w:t>
      </w:r>
      <w:r w:rsidR="00551A74">
        <w:rPr>
          <w:sz w:val="20"/>
        </w:rPr>
        <w:t xml:space="preserve">. </w:t>
      </w:r>
    </w:p>
    <w:p w14:paraId="4E2BB043" w14:textId="2D8F1036" w:rsidR="00145B15" w:rsidRDefault="00551A74" w:rsidP="0086333D">
      <w:pPr>
        <w:spacing w:line="360" w:lineRule="auto"/>
        <w:rPr>
          <w:sz w:val="20"/>
        </w:rPr>
      </w:pPr>
      <w:r>
        <w:rPr>
          <w:sz w:val="20"/>
        </w:rPr>
        <w:t xml:space="preserve">ACI is a two stage procedure. During initial surgery </w:t>
      </w:r>
      <w:r w:rsidR="004C1D0E">
        <w:rPr>
          <w:sz w:val="20"/>
        </w:rPr>
        <w:t xml:space="preserve">(Stage I) </w:t>
      </w:r>
      <w:r>
        <w:rPr>
          <w:sz w:val="20"/>
        </w:rPr>
        <w:t>healthy cartilage is harvested from the joint</w:t>
      </w:r>
      <w:r w:rsidR="008A695F">
        <w:rPr>
          <w:sz w:val="20"/>
        </w:rPr>
        <w:t>. C</w:t>
      </w:r>
      <w:r>
        <w:rPr>
          <w:sz w:val="20"/>
        </w:rPr>
        <w:t xml:space="preserve">hondrocytes are </w:t>
      </w:r>
      <w:r w:rsidR="008A695F">
        <w:rPr>
          <w:sz w:val="20"/>
        </w:rPr>
        <w:t xml:space="preserve">then </w:t>
      </w:r>
      <w:r>
        <w:rPr>
          <w:sz w:val="20"/>
        </w:rPr>
        <w:t>extracted and culture expanded for 3-4 weeks in a GMP laboratory</w:t>
      </w:r>
      <w:r w:rsidR="008A695F">
        <w:rPr>
          <w:sz w:val="20"/>
        </w:rPr>
        <w:t xml:space="preserve"> before being implanted</w:t>
      </w:r>
      <w:r>
        <w:rPr>
          <w:sz w:val="20"/>
        </w:rPr>
        <w:t xml:space="preserve"> into the defect site under a periosteal patch</w:t>
      </w:r>
      <w:r w:rsidR="00294C6F">
        <w:rPr>
          <w:sz w:val="20"/>
        </w:rPr>
        <w:t xml:space="preserve"> or commercial collagen membrane</w:t>
      </w:r>
      <w:r>
        <w:rPr>
          <w:sz w:val="20"/>
        </w:rPr>
        <w:t xml:space="preserve"> in a second surgery</w:t>
      </w:r>
      <w:r w:rsidR="004C1D0E">
        <w:rPr>
          <w:sz w:val="20"/>
        </w:rPr>
        <w:t xml:space="preserve"> (Stage II)</w:t>
      </w:r>
      <w:r>
        <w:rPr>
          <w:sz w:val="20"/>
        </w:rPr>
        <w:t xml:space="preserve">. We have previously </w:t>
      </w:r>
      <w:r w:rsidR="008A695F">
        <w:rPr>
          <w:sz w:val="20"/>
        </w:rPr>
        <w:t>highlighted</w:t>
      </w:r>
      <w:r>
        <w:rPr>
          <w:sz w:val="20"/>
        </w:rPr>
        <w:t xml:space="preserve"> that there is a marked response to the cartilage harvest procedure in individuals who do not respond well </w:t>
      </w:r>
      <w:r w:rsidR="008A695F">
        <w:rPr>
          <w:sz w:val="20"/>
        </w:rPr>
        <w:t>post-operatively</w:t>
      </w:r>
      <w:r>
        <w:rPr>
          <w:sz w:val="20"/>
        </w:rPr>
        <w:t xml:space="preserve">. </w:t>
      </w:r>
      <w:r w:rsidR="00294C6F">
        <w:rPr>
          <w:sz w:val="20"/>
        </w:rPr>
        <w:t>In this study w</w:t>
      </w:r>
      <w:r>
        <w:rPr>
          <w:sz w:val="20"/>
        </w:rPr>
        <w:t xml:space="preserve">e </w:t>
      </w:r>
      <w:r w:rsidR="00294C6F">
        <w:rPr>
          <w:sz w:val="20"/>
        </w:rPr>
        <w:t>have</w:t>
      </w:r>
      <w:r>
        <w:rPr>
          <w:sz w:val="20"/>
        </w:rPr>
        <w:t xml:space="preserve"> aimed to </w:t>
      </w:r>
      <w:r w:rsidR="001F7412">
        <w:rPr>
          <w:sz w:val="20"/>
        </w:rPr>
        <w:t xml:space="preserve">elucidate </w:t>
      </w:r>
      <w:proofErr w:type="gramStart"/>
      <w:r w:rsidR="001F7412">
        <w:rPr>
          <w:sz w:val="20"/>
        </w:rPr>
        <w:t xml:space="preserve">the </w:t>
      </w:r>
      <w:r>
        <w:rPr>
          <w:sz w:val="20"/>
        </w:rPr>
        <w:t xml:space="preserve"> biological</w:t>
      </w:r>
      <w:proofErr w:type="gramEnd"/>
      <w:r>
        <w:rPr>
          <w:sz w:val="20"/>
        </w:rPr>
        <w:t xml:space="preserve"> pathways </w:t>
      </w:r>
      <w:r w:rsidR="004C1D0E">
        <w:rPr>
          <w:sz w:val="20"/>
        </w:rPr>
        <w:t>that</w:t>
      </w:r>
      <w:r>
        <w:rPr>
          <w:sz w:val="20"/>
        </w:rPr>
        <w:t xml:space="preserve"> are altered in </w:t>
      </w:r>
      <w:r w:rsidR="001F7412">
        <w:rPr>
          <w:sz w:val="20"/>
        </w:rPr>
        <w:t xml:space="preserve">this </w:t>
      </w:r>
      <w:r w:rsidR="004C1D0E">
        <w:rPr>
          <w:sz w:val="20"/>
        </w:rPr>
        <w:t>response.</w:t>
      </w:r>
    </w:p>
    <w:p w14:paraId="7D15DD64" w14:textId="77777777" w:rsidR="001C51A7" w:rsidRDefault="001C51A7" w:rsidP="00857139">
      <w:pPr>
        <w:spacing w:line="240" w:lineRule="auto"/>
        <w:rPr>
          <w:b/>
        </w:rPr>
      </w:pPr>
      <w:r w:rsidRPr="001F0C24">
        <w:rPr>
          <w:b/>
        </w:rPr>
        <w:t>Methods</w:t>
      </w:r>
    </w:p>
    <w:p w14:paraId="4ADB4A7A" w14:textId="006DCA83" w:rsidR="00712721" w:rsidRDefault="004C1D0E" w:rsidP="00DE1DCC">
      <w:pPr>
        <w:spacing w:line="360" w:lineRule="auto"/>
        <w:rPr>
          <w:sz w:val="20"/>
        </w:rPr>
      </w:pPr>
      <w:r>
        <w:rPr>
          <w:sz w:val="20"/>
        </w:rPr>
        <w:t>Isobaric tag for relative and absolute quantitation (iTRAQ)-LC-MS/MS was used to assess the proteome of</w:t>
      </w:r>
      <w:r w:rsidR="00DE1DCC">
        <w:rPr>
          <w:sz w:val="20"/>
        </w:rPr>
        <w:t xml:space="preserve"> high abundance proteins in</w:t>
      </w:r>
      <w:r>
        <w:rPr>
          <w:sz w:val="20"/>
        </w:rPr>
        <w:t xml:space="preserve"> pooled</w:t>
      </w:r>
      <w:r w:rsidR="00DE1DCC">
        <w:rPr>
          <w:sz w:val="20"/>
        </w:rPr>
        <w:t xml:space="preserve"> synovial fluid (SF) </w:t>
      </w:r>
      <w:r>
        <w:rPr>
          <w:sz w:val="20"/>
        </w:rPr>
        <w:t>samples from</w:t>
      </w:r>
      <w:r w:rsidR="00DE1DCC">
        <w:rPr>
          <w:sz w:val="20"/>
        </w:rPr>
        <w:t xml:space="preserve"> the knees of</w:t>
      </w:r>
      <w:r>
        <w:rPr>
          <w:sz w:val="20"/>
        </w:rPr>
        <w:t xml:space="preserve"> 14 ACI responders</w:t>
      </w:r>
      <w:r w:rsidR="00B528A8">
        <w:rPr>
          <w:sz w:val="20"/>
        </w:rPr>
        <w:t xml:space="preserve"> (Stage I, n=8; Stage II, n=12)</w:t>
      </w:r>
      <w:r w:rsidR="00DE1DCC">
        <w:rPr>
          <w:sz w:val="20"/>
        </w:rPr>
        <w:t xml:space="preserve"> and 13 ACI non-responders</w:t>
      </w:r>
      <w:r w:rsidR="00B528A8">
        <w:rPr>
          <w:sz w:val="20"/>
        </w:rPr>
        <w:t xml:space="preserve"> (Stage I, n=7; Stage II, n=12)</w:t>
      </w:r>
      <w:bookmarkStart w:id="0" w:name="_GoBack"/>
      <w:bookmarkEnd w:id="0"/>
      <w:r w:rsidR="00DE1DCC">
        <w:rPr>
          <w:sz w:val="20"/>
        </w:rPr>
        <w:t xml:space="preserve"> collected immediately prior to</w:t>
      </w:r>
      <w:r w:rsidR="00A654C2">
        <w:rPr>
          <w:sz w:val="20"/>
        </w:rPr>
        <w:t xml:space="preserve"> both</w:t>
      </w:r>
      <w:r w:rsidR="00DE1DCC">
        <w:rPr>
          <w:sz w:val="20"/>
        </w:rPr>
        <w:t xml:space="preserve"> Stages I and II. ACI response was determined by change in Lysholm </w:t>
      </w:r>
      <w:r w:rsidR="00CC096B">
        <w:rPr>
          <w:sz w:val="20"/>
        </w:rPr>
        <w:t>score</w:t>
      </w:r>
      <w:r w:rsidR="008A695F">
        <w:rPr>
          <w:sz w:val="20"/>
        </w:rPr>
        <w:t xml:space="preserve"> at 12 months </w:t>
      </w:r>
      <w:r w:rsidR="00DE1DCC">
        <w:rPr>
          <w:sz w:val="20"/>
        </w:rPr>
        <w:t>(</w:t>
      </w:r>
      <w:r w:rsidR="006446D2">
        <w:rPr>
          <w:sz w:val="20"/>
        </w:rPr>
        <w:t xml:space="preserve">the Lysholm is </w:t>
      </w:r>
      <w:r w:rsidR="00DE1DCC">
        <w:rPr>
          <w:sz w:val="20"/>
        </w:rPr>
        <w:t>a scale of 0-100; 100 represents a ‘perfect’ functioning knee); mean improvement was 33 points (range 17-54) and mean worsening was 14 points (range 4-46). This dataset was then combined with our published label-free quantitation</w:t>
      </w:r>
      <w:r w:rsidR="00AF0D4B">
        <w:rPr>
          <w:sz w:val="20"/>
        </w:rPr>
        <w:t xml:space="preserve"> (LF)</w:t>
      </w:r>
      <w:r w:rsidR="00DE1DCC">
        <w:rPr>
          <w:sz w:val="20"/>
        </w:rPr>
        <w:t xml:space="preserve"> proteomic dataset</w:t>
      </w:r>
      <w:r w:rsidR="00712721">
        <w:rPr>
          <w:sz w:val="20"/>
        </w:rPr>
        <w:t xml:space="preserve"> (1)</w:t>
      </w:r>
      <w:r w:rsidR="00DE1DCC">
        <w:rPr>
          <w:sz w:val="20"/>
        </w:rPr>
        <w:t xml:space="preserve">, in which the same SF samples were dynamically compressed to </w:t>
      </w:r>
      <w:r w:rsidR="00712721">
        <w:rPr>
          <w:sz w:val="20"/>
        </w:rPr>
        <w:t>measure</w:t>
      </w:r>
      <w:r w:rsidR="00DE1DCC">
        <w:rPr>
          <w:sz w:val="20"/>
        </w:rPr>
        <w:t xml:space="preserve"> low abundance proteins. </w:t>
      </w:r>
      <w:r w:rsidR="00712721">
        <w:rPr>
          <w:sz w:val="20"/>
        </w:rPr>
        <w:t xml:space="preserve">The combined proteomic profile was assessed using </w:t>
      </w:r>
      <w:proofErr w:type="spellStart"/>
      <w:r w:rsidR="00712721">
        <w:rPr>
          <w:sz w:val="20"/>
        </w:rPr>
        <w:t>Ingenuity</w:t>
      </w:r>
      <w:r w:rsidR="00712721">
        <w:rPr>
          <w:sz w:val="20"/>
          <w:vertAlign w:val="superscript"/>
        </w:rPr>
        <w:t>TM</w:t>
      </w:r>
      <w:proofErr w:type="spellEnd"/>
      <w:r w:rsidR="00712721">
        <w:rPr>
          <w:sz w:val="20"/>
        </w:rPr>
        <w:t xml:space="preserve"> Pathway Analysis</w:t>
      </w:r>
      <w:r w:rsidR="00373209">
        <w:rPr>
          <w:sz w:val="20"/>
        </w:rPr>
        <w:t xml:space="preserve"> (IPA)</w:t>
      </w:r>
      <w:r w:rsidR="00712721">
        <w:rPr>
          <w:sz w:val="20"/>
        </w:rPr>
        <w:t xml:space="preserve"> software (</w:t>
      </w:r>
      <w:proofErr w:type="spellStart"/>
      <w:r w:rsidR="00712721">
        <w:rPr>
          <w:sz w:val="20"/>
        </w:rPr>
        <w:t>Qiagen</w:t>
      </w:r>
      <w:proofErr w:type="spellEnd"/>
      <w:r w:rsidR="00712721">
        <w:rPr>
          <w:sz w:val="20"/>
        </w:rPr>
        <w:t>)</w:t>
      </w:r>
      <w:r w:rsidR="0049037A">
        <w:rPr>
          <w:sz w:val="20"/>
        </w:rPr>
        <w:t xml:space="preserve"> to identify functional pathways which are associated with the differentially abundant proteins</w:t>
      </w:r>
      <w:r w:rsidR="00712721">
        <w:rPr>
          <w:sz w:val="20"/>
        </w:rPr>
        <w:t xml:space="preserve">. </w:t>
      </w:r>
      <w:r w:rsidR="0049037A">
        <w:rPr>
          <w:sz w:val="20"/>
        </w:rPr>
        <w:t>IPA was used to predict t</w:t>
      </w:r>
      <w:r w:rsidR="0004741E">
        <w:rPr>
          <w:sz w:val="20"/>
        </w:rPr>
        <w:t>he abundance of proteins in the bodily fluids (plasma is referred to as the ‘standard’ fluid with this tool) when acute phase response signalling is activated.</w:t>
      </w:r>
    </w:p>
    <w:p w14:paraId="59C4FB9E" w14:textId="77777777" w:rsidR="001C51A7" w:rsidRDefault="001C51A7" w:rsidP="00857139">
      <w:pPr>
        <w:spacing w:line="240" w:lineRule="auto"/>
        <w:rPr>
          <w:b/>
        </w:rPr>
      </w:pPr>
      <w:r w:rsidRPr="001F0C24">
        <w:rPr>
          <w:b/>
        </w:rPr>
        <w:t>Results</w:t>
      </w:r>
    </w:p>
    <w:p w14:paraId="74F5B94E" w14:textId="07936366" w:rsidR="00712721" w:rsidRPr="0049037A" w:rsidRDefault="0049037A" w:rsidP="0049037A">
      <w:pPr>
        <w:spacing w:line="360" w:lineRule="auto"/>
        <w:rPr>
          <w:b/>
        </w:rPr>
      </w:pPr>
      <w:r w:rsidRPr="007F6DDC">
        <w:rPr>
          <w:sz w:val="20"/>
          <w:szCs w:val="20"/>
        </w:rPr>
        <w:t>Assessment</w:t>
      </w:r>
      <w:r w:rsidR="00A654C2">
        <w:rPr>
          <w:sz w:val="20"/>
          <w:szCs w:val="20"/>
        </w:rPr>
        <w:t xml:space="preserve"> </w:t>
      </w:r>
      <w:r w:rsidRPr="007F6DDC">
        <w:rPr>
          <w:sz w:val="20"/>
          <w:szCs w:val="20"/>
        </w:rPr>
        <w:t>of the differential proteome shift identified</w:t>
      </w:r>
      <w:r w:rsidR="00A654C2">
        <w:rPr>
          <w:sz w:val="20"/>
          <w:szCs w:val="20"/>
        </w:rPr>
        <w:t xml:space="preserve"> </w:t>
      </w:r>
      <w:r w:rsidR="00A654C2" w:rsidRPr="007F6DDC">
        <w:rPr>
          <w:sz w:val="20"/>
          <w:szCs w:val="20"/>
        </w:rPr>
        <w:t>using IPA</w:t>
      </w:r>
      <w:r w:rsidRPr="007F6DDC">
        <w:rPr>
          <w:sz w:val="20"/>
          <w:szCs w:val="20"/>
        </w:rPr>
        <w:t xml:space="preserve"> in response to cartilage harvest in non-responders </w:t>
      </w:r>
      <w:r w:rsidR="00A654C2">
        <w:rPr>
          <w:sz w:val="20"/>
          <w:szCs w:val="20"/>
        </w:rPr>
        <w:t>showed</w:t>
      </w:r>
      <w:r w:rsidRPr="007F6DDC">
        <w:rPr>
          <w:sz w:val="20"/>
          <w:szCs w:val="20"/>
        </w:rPr>
        <w:t xml:space="preserve"> altered acute phase response signalling when the iTRAQ (</w:t>
      </w:r>
      <w:r w:rsidRPr="007F6DDC">
        <w:rPr>
          <w:rFonts w:cs="Arial"/>
          <w:sz w:val="20"/>
          <w:szCs w:val="20"/>
        </w:rPr>
        <w:t>p=2.93 x10</w:t>
      </w:r>
      <w:r w:rsidRPr="007F6DDC">
        <w:rPr>
          <w:rFonts w:cs="Arial"/>
          <w:sz w:val="20"/>
          <w:szCs w:val="20"/>
          <w:vertAlign w:val="superscript"/>
        </w:rPr>
        <w:t>-1</w:t>
      </w:r>
      <w:r w:rsidRPr="007F6DDC">
        <w:rPr>
          <w:rFonts w:cs="Arial"/>
          <w:sz w:val="20"/>
          <w:szCs w:val="20"/>
        </w:rPr>
        <w:t>; Fisher’s Exact test</w:t>
      </w:r>
      <w:r w:rsidRPr="007F6DDC">
        <w:rPr>
          <w:sz w:val="20"/>
          <w:szCs w:val="20"/>
        </w:rPr>
        <w:t>) and LF (p= 1.69× 10</w:t>
      </w:r>
      <w:r w:rsidRPr="00193958">
        <w:rPr>
          <w:sz w:val="20"/>
          <w:szCs w:val="20"/>
          <w:vertAlign w:val="superscript"/>
        </w:rPr>
        <w:t>–6</w:t>
      </w:r>
      <w:r w:rsidRPr="007F6DDC">
        <w:rPr>
          <w:sz w:val="20"/>
          <w:szCs w:val="20"/>
        </w:rPr>
        <w:t>; Fisher’s Exact test) datasets were considered independently</w:t>
      </w:r>
      <w:r>
        <w:rPr>
          <w:sz w:val="20"/>
          <w:szCs w:val="20"/>
        </w:rPr>
        <w:t xml:space="preserve">.  When the proteomic </w:t>
      </w:r>
      <w:r>
        <w:rPr>
          <w:sz w:val="20"/>
          <w:szCs w:val="20"/>
        </w:rPr>
        <w:lastRenderedPageBreak/>
        <w:t>datasets were combined, acute phase response signalling was again significant (p=1.10x10</w:t>
      </w:r>
      <w:r>
        <w:rPr>
          <w:sz w:val="20"/>
          <w:szCs w:val="20"/>
          <w:vertAlign w:val="superscript"/>
        </w:rPr>
        <w:t>-9</w:t>
      </w:r>
      <w:r>
        <w:rPr>
          <w:sz w:val="20"/>
          <w:szCs w:val="20"/>
        </w:rPr>
        <w:t>; Fisher’s Exact test)</w:t>
      </w:r>
      <w:r w:rsidRPr="007F6DDC">
        <w:rPr>
          <w:sz w:val="20"/>
          <w:szCs w:val="20"/>
        </w:rPr>
        <w:t>, indicating this pathway</w:t>
      </w:r>
      <w:r>
        <w:rPr>
          <w:sz w:val="20"/>
          <w:szCs w:val="20"/>
        </w:rPr>
        <w:t xml:space="preserve"> likely</w:t>
      </w:r>
      <w:r w:rsidRPr="007F6DDC">
        <w:rPr>
          <w:sz w:val="20"/>
          <w:szCs w:val="20"/>
        </w:rPr>
        <w:t xml:space="preserve"> contribute</w:t>
      </w:r>
      <w:r>
        <w:rPr>
          <w:sz w:val="20"/>
          <w:szCs w:val="20"/>
        </w:rPr>
        <w:t>s</w:t>
      </w:r>
      <w:r w:rsidRPr="007F6DDC">
        <w:rPr>
          <w:sz w:val="20"/>
          <w:szCs w:val="20"/>
        </w:rPr>
        <w:t xml:space="preserve"> to the non-responder phenotype</w:t>
      </w:r>
      <w:r w:rsidR="00373209" w:rsidRPr="007F6DDC">
        <w:rPr>
          <w:sz w:val="20"/>
          <w:szCs w:val="20"/>
        </w:rPr>
        <w:t xml:space="preserve">. </w:t>
      </w:r>
      <w:r w:rsidR="00AF0D4B" w:rsidRPr="007F6DDC">
        <w:rPr>
          <w:sz w:val="20"/>
          <w:szCs w:val="20"/>
        </w:rPr>
        <w:t>Twenty-two of the 39</w:t>
      </w:r>
      <w:r w:rsidR="00373209" w:rsidRPr="007F6DDC">
        <w:rPr>
          <w:sz w:val="20"/>
          <w:szCs w:val="20"/>
        </w:rPr>
        <w:t xml:space="preserve"> proteins that </w:t>
      </w:r>
      <w:r w:rsidR="00F07A26">
        <w:rPr>
          <w:sz w:val="20"/>
          <w:szCs w:val="20"/>
        </w:rPr>
        <w:t>were</w:t>
      </w:r>
      <w:r w:rsidR="00373209" w:rsidRPr="007F6DDC">
        <w:rPr>
          <w:sz w:val="20"/>
          <w:szCs w:val="20"/>
        </w:rPr>
        <w:t xml:space="preserve"> </w:t>
      </w:r>
      <w:proofErr w:type="spellStart"/>
      <w:r w:rsidR="00373209" w:rsidRPr="007F6DDC">
        <w:rPr>
          <w:sz w:val="20"/>
          <w:szCs w:val="20"/>
        </w:rPr>
        <w:t>bioinformatically</w:t>
      </w:r>
      <w:proofErr w:type="spellEnd"/>
      <w:r w:rsidR="00373209" w:rsidRPr="007F6DDC">
        <w:rPr>
          <w:sz w:val="20"/>
          <w:szCs w:val="20"/>
        </w:rPr>
        <w:t xml:space="preserve"> predicted to be increased in the plasma during the acute phase response were more abundant</w:t>
      </w:r>
      <w:r w:rsidR="00AF0D4B" w:rsidRPr="007F6DDC">
        <w:rPr>
          <w:sz w:val="20"/>
          <w:szCs w:val="20"/>
        </w:rPr>
        <w:t xml:space="preserve"> (≥+1.2 fold change (FC))</w:t>
      </w:r>
      <w:r w:rsidR="00373209" w:rsidRPr="007F6DDC">
        <w:rPr>
          <w:sz w:val="20"/>
          <w:szCs w:val="20"/>
        </w:rPr>
        <w:t xml:space="preserve"> in the SF at Stage II compared to Stage I</w:t>
      </w:r>
      <w:r w:rsidR="00193958">
        <w:rPr>
          <w:sz w:val="20"/>
          <w:szCs w:val="20"/>
        </w:rPr>
        <w:t xml:space="preserve"> (Figure 1)</w:t>
      </w:r>
      <w:r w:rsidR="00AF0D4B" w:rsidRPr="007F6DDC">
        <w:rPr>
          <w:sz w:val="20"/>
          <w:szCs w:val="20"/>
        </w:rPr>
        <w:t xml:space="preserve">. Further, two of the ten proteins that </w:t>
      </w:r>
      <w:r w:rsidR="00F07A26">
        <w:rPr>
          <w:sz w:val="20"/>
          <w:szCs w:val="20"/>
        </w:rPr>
        <w:t>were</w:t>
      </w:r>
      <w:r w:rsidR="00AF0D4B" w:rsidRPr="007F6DDC">
        <w:rPr>
          <w:sz w:val="20"/>
          <w:szCs w:val="20"/>
        </w:rPr>
        <w:t xml:space="preserve"> predicted to be downregulated demonstrated decreased abundance in the SF at Stage II compared to Stage I. Interestingly, only </w:t>
      </w:r>
      <w:r w:rsidR="001F7412">
        <w:rPr>
          <w:sz w:val="20"/>
          <w:szCs w:val="20"/>
        </w:rPr>
        <w:t>3</w:t>
      </w:r>
      <w:r w:rsidR="00AF0D4B" w:rsidRPr="007F6DDC">
        <w:rPr>
          <w:sz w:val="20"/>
          <w:szCs w:val="20"/>
        </w:rPr>
        <w:t xml:space="preserve"> of these proteins </w:t>
      </w:r>
      <w:r w:rsidR="00A654C2">
        <w:rPr>
          <w:sz w:val="20"/>
          <w:szCs w:val="20"/>
        </w:rPr>
        <w:t>(fibrinogen alpha-chain; fibrinogen beta-</w:t>
      </w:r>
      <w:r w:rsidR="007F6DDC" w:rsidRPr="007F6DDC">
        <w:rPr>
          <w:sz w:val="20"/>
          <w:szCs w:val="20"/>
        </w:rPr>
        <w:t>chain and f</w:t>
      </w:r>
      <w:r w:rsidR="00AF0D4B" w:rsidRPr="007F6DDC">
        <w:rPr>
          <w:sz w:val="20"/>
          <w:szCs w:val="20"/>
        </w:rPr>
        <w:t>ibr</w:t>
      </w:r>
      <w:r w:rsidR="00A654C2">
        <w:rPr>
          <w:sz w:val="20"/>
          <w:szCs w:val="20"/>
        </w:rPr>
        <w:t>inogen gamma-</w:t>
      </w:r>
      <w:r w:rsidR="007F6DDC" w:rsidRPr="007F6DDC">
        <w:rPr>
          <w:sz w:val="20"/>
          <w:szCs w:val="20"/>
        </w:rPr>
        <w:t>chain</w:t>
      </w:r>
      <w:r w:rsidR="00AF0D4B" w:rsidRPr="007F6DDC">
        <w:rPr>
          <w:sz w:val="20"/>
          <w:szCs w:val="20"/>
        </w:rPr>
        <w:t xml:space="preserve">) were identified by both proteomic techniques, with iTRAQ and LF proteomics highlighting a total of 18 and </w:t>
      </w:r>
      <w:r w:rsidR="001F7412">
        <w:rPr>
          <w:sz w:val="20"/>
          <w:szCs w:val="20"/>
        </w:rPr>
        <w:t>6</w:t>
      </w:r>
      <w:r w:rsidR="00AF0D4B" w:rsidRPr="007F6DDC">
        <w:rPr>
          <w:sz w:val="20"/>
          <w:szCs w:val="20"/>
        </w:rPr>
        <w:t xml:space="preserve"> differentially abundant proteins within the acute phase response signalling pathway, respectively.</w:t>
      </w:r>
    </w:p>
    <w:p w14:paraId="11D2EE88" w14:textId="77777777" w:rsidR="001C51A7" w:rsidRDefault="001F0C24" w:rsidP="00857139">
      <w:pPr>
        <w:spacing w:line="240" w:lineRule="auto"/>
        <w:rPr>
          <w:b/>
        </w:rPr>
      </w:pPr>
      <w:r w:rsidRPr="001F0C24">
        <w:rPr>
          <w:b/>
        </w:rPr>
        <w:t xml:space="preserve">Conclusions </w:t>
      </w:r>
    </w:p>
    <w:p w14:paraId="6415A15C" w14:textId="08657ECD" w:rsidR="007F6DDC" w:rsidRPr="007F6DDC" w:rsidRDefault="007F6DDC" w:rsidP="008A695F">
      <w:pPr>
        <w:spacing w:line="360" w:lineRule="auto"/>
        <w:rPr>
          <w:sz w:val="20"/>
        </w:rPr>
      </w:pPr>
      <w:r w:rsidRPr="007F6DDC">
        <w:rPr>
          <w:sz w:val="20"/>
        </w:rPr>
        <w:t xml:space="preserve">Acute phase response signalling has been </w:t>
      </w:r>
      <w:r w:rsidR="001F7412">
        <w:rPr>
          <w:sz w:val="20"/>
        </w:rPr>
        <w:t>identified</w:t>
      </w:r>
      <w:r w:rsidRPr="007F6DDC">
        <w:rPr>
          <w:sz w:val="20"/>
        </w:rPr>
        <w:t xml:space="preserve"> as a functional pathway which is associated with the </w:t>
      </w:r>
      <w:r>
        <w:rPr>
          <w:sz w:val="20"/>
        </w:rPr>
        <w:t>marked proteome shift that exists in response to car</w:t>
      </w:r>
      <w:r w:rsidR="00A654C2">
        <w:rPr>
          <w:sz w:val="20"/>
        </w:rPr>
        <w:t>tilage harvest in patients who do not respond well</w:t>
      </w:r>
      <w:r>
        <w:rPr>
          <w:sz w:val="20"/>
        </w:rPr>
        <w:t xml:space="preserve"> to ACI. Using two independent proteomic techniques has </w:t>
      </w:r>
      <w:r w:rsidR="008A695F">
        <w:rPr>
          <w:sz w:val="20"/>
        </w:rPr>
        <w:t xml:space="preserve">provided a </w:t>
      </w:r>
      <w:r>
        <w:rPr>
          <w:sz w:val="20"/>
        </w:rPr>
        <w:t>more comprehensive assessment of the proteins within this pathway. The acute phase response is the body’s</w:t>
      </w:r>
      <w:r w:rsidR="00A654C2">
        <w:rPr>
          <w:sz w:val="20"/>
        </w:rPr>
        <w:t xml:space="preserve"> first systemic reaction</w:t>
      </w:r>
      <w:r>
        <w:rPr>
          <w:sz w:val="20"/>
        </w:rPr>
        <w:t xml:space="preserve"> to </w:t>
      </w:r>
      <w:r w:rsidR="000B1EEF">
        <w:rPr>
          <w:sz w:val="20"/>
        </w:rPr>
        <w:t xml:space="preserve">surgery or </w:t>
      </w:r>
      <w:r>
        <w:rPr>
          <w:sz w:val="20"/>
        </w:rPr>
        <w:t>trauma indicating that clinical non-</w:t>
      </w:r>
      <w:r w:rsidRPr="008A695F">
        <w:rPr>
          <w:sz w:val="20"/>
        </w:rPr>
        <w:t>responders may have a greater</w:t>
      </w:r>
      <w:r w:rsidR="001F7412">
        <w:rPr>
          <w:sz w:val="20"/>
        </w:rPr>
        <w:t>/abnormal</w:t>
      </w:r>
      <w:r w:rsidRPr="008A695F">
        <w:rPr>
          <w:sz w:val="20"/>
        </w:rPr>
        <w:t xml:space="preserve"> </w:t>
      </w:r>
      <w:r w:rsidR="008A695F">
        <w:rPr>
          <w:sz w:val="20"/>
        </w:rPr>
        <w:t xml:space="preserve">innate </w:t>
      </w:r>
      <w:r w:rsidRPr="008A695F">
        <w:rPr>
          <w:sz w:val="20"/>
        </w:rPr>
        <w:t>response to</w:t>
      </w:r>
      <w:r w:rsidR="000B1EEF">
        <w:rPr>
          <w:sz w:val="20"/>
        </w:rPr>
        <w:t xml:space="preserve"> cartilage biopsy or</w:t>
      </w:r>
      <w:r w:rsidR="001F7412">
        <w:rPr>
          <w:sz w:val="20"/>
        </w:rPr>
        <w:t xml:space="preserve"> cartilage injury</w:t>
      </w:r>
      <w:r w:rsidRPr="008A695F">
        <w:rPr>
          <w:sz w:val="20"/>
        </w:rPr>
        <w:t xml:space="preserve"> initial surgery</w:t>
      </w:r>
      <w:r w:rsidRPr="008A695F">
        <w:rPr>
          <w:sz w:val="20"/>
        </w:rPr>
        <w:t xml:space="preserve">. </w:t>
      </w:r>
      <w:r w:rsidR="000B1EEF">
        <w:rPr>
          <w:sz w:val="20"/>
        </w:rPr>
        <w:t>In addition</w:t>
      </w:r>
      <w:r w:rsidRPr="008A695F">
        <w:rPr>
          <w:sz w:val="20"/>
        </w:rPr>
        <w:t xml:space="preserve">, this pathway has been associated with </w:t>
      </w:r>
      <w:r w:rsidR="008A695F" w:rsidRPr="008A695F">
        <w:rPr>
          <w:sz w:val="20"/>
        </w:rPr>
        <w:t>the SF</w:t>
      </w:r>
      <w:r w:rsidRPr="008A695F">
        <w:rPr>
          <w:sz w:val="20"/>
        </w:rPr>
        <w:t xml:space="preserve"> proteome</w:t>
      </w:r>
      <w:r w:rsidR="0049037A">
        <w:rPr>
          <w:sz w:val="20"/>
        </w:rPr>
        <w:t xml:space="preserve"> in patients with OA</w:t>
      </w:r>
      <w:r>
        <w:rPr>
          <w:sz w:val="20"/>
        </w:rPr>
        <w:t xml:space="preserve">, perhaps suggesting </w:t>
      </w:r>
      <w:r w:rsidR="00C231FE">
        <w:rPr>
          <w:sz w:val="20"/>
        </w:rPr>
        <w:t>that these patients who do not respond well to ACI</w:t>
      </w:r>
      <w:r w:rsidRPr="007F6DDC">
        <w:rPr>
          <w:sz w:val="20"/>
        </w:rPr>
        <w:t xml:space="preserve"> have already develop</w:t>
      </w:r>
      <w:r>
        <w:rPr>
          <w:sz w:val="20"/>
        </w:rPr>
        <w:t xml:space="preserve">ed a more ‘OA-like’ phenotype meaning </w:t>
      </w:r>
      <w:r w:rsidRPr="007F6DDC">
        <w:rPr>
          <w:sz w:val="20"/>
        </w:rPr>
        <w:t xml:space="preserve">a therapy to repair cartilage injury </w:t>
      </w:r>
      <w:r w:rsidR="008A695F">
        <w:rPr>
          <w:sz w:val="20"/>
        </w:rPr>
        <w:t>may be insufficient to treat whole joint disease</w:t>
      </w:r>
      <w:r w:rsidR="001F7412">
        <w:rPr>
          <w:sz w:val="20"/>
        </w:rPr>
        <w:t>/failure</w:t>
      </w:r>
      <w:r w:rsidRPr="007F6DDC">
        <w:rPr>
          <w:sz w:val="20"/>
        </w:rPr>
        <w:t>.</w:t>
      </w:r>
    </w:p>
    <w:p w14:paraId="3D569062" w14:textId="77777777" w:rsidR="009672EC" w:rsidRDefault="009672EC" w:rsidP="008A695F">
      <w:pPr>
        <w:spacing w:line="240" w:lineRule="auto"/>
      </w:pPr>
    </w:p>
    <w:p w14:paraId="3CEDC356" w14:textId="77777777" w:rsidR="009672EC" w:rsidRDefault="009672EC" w:rsidP="008A695F">
      <w:pPr>
        <w:spacing w:line="240" w:lineRule="auto"/>
      </w:pPr>
    </w:p>
    <w:p w14:paraId="086B9BE1" w14:textId="77777777" w:rsidR="009672EC" w:rsidRDefault="009672EC" w:rsidP="008A695F">
      <w:pPr>
        <w:spacing w:line="240" w:lineRule="auto"/>
      </w:pPr>
    </w:p>
    <w:p w14:paraId="2347ADDA" w14:textId="77777777" w:rsidR="009672EC" w:rsidRDefault="009672EC" w:rsidP="008A695F">
      <w:pPr>
        <w:spacing w:line="240" w:lineRule="auto"/>
      </w:pPr>
    </w:p>
    <w:p w14:paraId="0FE556FF" w14:textId="77777777" w:rsidR="009672EC" w:rsidRDefault="009672EC" w:rsidP="008A695F">
      <w:pPr>
        <w:spacing w:line="240" w:lineRule="auto"/>
      </w:pPr>
    </w:p>
    <w:p w14:paraId="6C471D18" w14:textId="77777777" w:rsidR="009672EC" w:rsidRDefault="009672EC" w:rsidP="008A695F">
      <w:pPr>
        <w:spacing w:line="240" w:lineRule="auto"/>
      </w:pPr>
    </w:p>
    <w:p w14:paraId="7F342537" w14:textId="77777777" w:rsidR="009672EC" w:rsidRDefault="009672EC" w:rsidP="008A695F">
      <w:pPr>
        <w:spacing w:line="240" w:lineRule="auto"/>
      </w:pPr>
    </w:p>
    <w:p w14:paraId="0E84A6CB" w14:textId="77777777" w:rsidR="009672EC" w:rsidRDefault="009672EC" w:rsidP="008A695F">
      <w:pPr>
        <w:spacing w:line="240" w:lineRule="auto"/>
      </w:pPr>
    </w:p>
    <w:p w14:paraId="11FF7E4F" w14:textId="77777777" w:rsidR="009672EC" w:rsidRDefault="009672EC" w:rsidP="008A695F">
      <w:pPr>
        <w:spacing w:line="240" w:lineRule="auto"/>
      </w:pPr>
    </w:p>
    <w:p w14:paraId="119D57E5" w14:textId="77777777" w:rsidR="009672EC" w:rsidRDefault="009672EC" w:rsidP="008A695F">
      <w:pPr>
        <w:spacing w:line="240" w:lineRule="auto"/>
      </w:pPr>
    </w:p>
    <w:p w14:paraId="5C41B2B3" w14:textId="77777777" w:rsidR="009672EC" w:rsidRDefault="009672EC" w:rsidP="008A695F">
      <w:pPr>
        <w:spacing w:line="240" w:lineRule="auto"/>
      </w:pPr>
    </w:p>
    <w:p w14:paraId="5F7153F1" w14:textId="77777777" w:rsidR="009672EC" w:rsidRDefault="009672EC" w:rsidP="008A695F">
      <w:pPr>
        <w:spacing w:line="240" w:lineRule="auto"/>
      </w:pPr>
    </w:p>
    <w:p w14:paraId="19AE395E" w14:textId="77777777" w:rsidR="009672EC" w:rsidRDefault="009672EC" w:rsidP="008A695F">
      <w:pPr>
        <w:spacing w:line="240" w:lineRule="auto"/>
      </w:pPr>
    </w:p>
    <w:p w14:paraId="4BDB8571" w14:textId="77777777" w:rsidR="009672EC" w:rsidRDefault="009672EC" w:rsidP="008A695F">
      <w:pPr>
        <w:spacing w:line="240" w:lineRule="auto"/>
      </w:pPr>
    </w:p>
    <w:p w14:paraId="3F9B2607" w14:textId="77777777" w:rsidR="009672EC" w:rsidRDefault="009672EC" w:rsidP="008A695F">
      <w:pPr>
        <w:spacing w:line="240" w:lineRule="auto"/>
      </w:pPr>
    </w:p>
    <w:p w14:paraId="3E0EBC8D" w14:textId="77777777" w:rsidR="009672EC" w:rsidRDefault="009672EC" w:rsidP="008A695F">
      <w:pPr>
        <w:spacing w:line="240" w:lineRule="auto"/>
      </w:pPr>
    </w:p>
    <w:p w14:paraId="537EB802" w14:textId="77777777" w:rsidR="009672EC" w:rsidRDefault="009672EC" w:rsidP="008A695F">
      <w:pPr>
        <w:spacing w:line="240" w:lineRule="auto"/>
        <w:rPr>
          <w:sz w:val="20"/>
        </w:rPr>
        <w:sectPr w:rsidR="009672E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64372D" w14:textId="4087BB02" w:rsidR="009672EC" w:rsidRDefault="009672EC" w:rsidP="008A695F">
      <w:pPr>
        <w:spacing w:line="240" w:lineRule="auto"/>
        <w:rPr>
          <w:sz w:val="20"/>
        </w:rPr>
      </w:pPr>
      <w:r w:rsidRPr="009672EC"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753A055F" wp14:editId="2E51160F">
            <wp:simplePos x="0" y="0"/>
            <wp:positionH relativeFrom="column">
              <wp:posOffset>63500</wp:posOffset>
            </wp:positionH>
            <wp:positionV relativeFrom="paragraph">
              <wp:posOffset>781050</wp:posOffset>
            </wp:positionV>
            <wp:extent cx="1525270" cy="1134745"/>
            <wp:effectExtent l="0" t="0" r="0" b="8255"/>
            <wp:wrapSquare wrapText="bothSides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2EC">
        <w:rPr>
          <w:noProof/>
          <w:sz w:val="20"/>
          <w:lang w:eastAsia="en-GB"/>
        </w:rPr>
        <w:drawing>
          <wp:anchor distT="0" distB="0" distL="114300" distR="114300" simplePos="0" relativeHeight="251659264" behindDoc="1" locked="0" layoutInCell="1" allowOverlap="1" wp14:anchorId="48456271" wp14:editId="465E64E2">
            <wp:simplePos x="0" y="0"/>
            <wp:positionH relativeFrom="margin">
              <wp:posOffset>946150</wp:posOffset>
            </wp:positionH>
            <wp:positionV relativeFrom="paragraph">
              <wp:posOffset>81280</wp:posOffset>
            </wp:positionV>
            <wp:extent cx="8049895" cy="4866005"/>
            <wp:effectExtent l="0" t="0" r="8255" b="0"/>
            <wp:wrapTight wrapText="bothSides">
              <wp:wrapPolygon edited="0">
                <wp:start x="0" y="0"/>
                <wp:lineTo x="0" y="21479"/>
                <wp:lineTo x="21571" y="21479"/>
                <wp:lineTo x="21571" y="0"/>
                <wp:lineTo x="0" y="0"/>
              </wp:wrapPolygon>
            </wp:wrapTight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895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87F77" w14:textId="77777777" w:rsidR="009672EC" w:rsidRPr="009672EC" w:rsidRDefault="009672EC" w:rsidP="009672EC">
      <w:pPr>
        <w:rPr>
          <w:sz w:val="20"/>
        </w:rPr>
      </w:pPr>
    </w:p>
    <w:p w14:paraId="55824453" w14:textId="77777777" w:rsidR="009672EC" w:rsidRPr="009672EC" w:rsidRDefault="009672EC" w:rsidP="009672EC">
      <w:pPr>
        <w:rPr>
          <w:sz w:val="20"/>
        </w:rPr>
      </w:pPr>
    </w:p>
    <w:p w14:paraId="41C1D347" w14:textId="77777777" w:rsidR="009672EC" w:rsidRPr="009672EC" w:rsidRDefault="009672EC" w:rsidP="009672EC">
      <w:pPr>
        <w:rPr>
          <w:sz w:val="20"/>
        </w:rPr>
      </w:pPr>
    </w:p>
    <w:p w14:paraId="18170222" w14:textId="77777777" w:rsidR="009672EC" w:rsidRPr="009672EC" w:rsidRDefault="009672EC" w:rsidP="009672EC">
      <w:pPr>
        <w:rPr>
          <w:sz w:val="20"/>
        </w:rPr>
      </w:pPr>
    </w:p>
    <w:p w14:paraId="7CE7BE4D" w14:textId="77777777" w:rsidR="009672EC" w:rsidRPr="009672EC" w:rsidRDefault="009672EC" w:rsidP="009672EC">
      <w:pPr>
        <w:rPr>
          <w:sz w:val="20"/>
        </w:rPr>
      </w:pPr>
    </w:p>
    <w:p w14:paraId="007AB9B5" w14:textId="77777777" w:rsidR="009672EC" w:rsidRPr="009672EC" w:rsidRDefault="009672EC" w:rsidP="009672EC">
      <w:pPr>
        <w:rPr>
          <w:sz w:val="20"/>
        </w:rPr>
      </w:pPr>
    </w:p>
    <w:p w14:paraId="60969639" w14:textId="77777777" w:rsidR="009672EC" w:rsidRPr="009672EC" w:rsidRDefault="009672EC" w:rsidP="009672EC">
      <w:pPr>
        <w:rPr>
          <w:sz w:val="20"/>
        </w:rPr>
      </w:pPr>
    </w:p>
    <w:p w14:paraId="0C6B1E84" w14:textId="77777777" w:rsidR="009672EC" w:rsidRPr="009672EC" w:rsidRDefault="009672EC" w:rsidP="009672EC">
      <w:pPr>
        <w:rPr>
          <w:sz w:val="20"/>
        </w:rPr>
      </w:pPr>
    </w:p>
    <w:p w14:paraId="014F74E9" w14:textId="77777777" w:rsidR="009672EC" w:rsidRPr="009672EC" w:rsidRDefault="009672EC" w:rsidP="009672EC">
      <w:pPr>
        <w:rPr>
          <w:sz w:val="20"/>
        </w:rPr>
      </w:pPr>
    </w:p>
    <w:p w14:paraId="4881B4D0" w14:textId="77777777" w:rsidR="009672EC" w:rsidRPr="009672EC" w:rsidRDefault="009672EC" w:rsidP="009672EC">
      <w:pPr>
        <w:rPr>
          <w:sz w:val="20"/>
        </w:rPr>
      </w:pPr>
    </w:p>
    <w:p w14:paraId="0180A457" w14:textId="77777777" w:rsidR="009672EC" w:rsidRPr="009672EC" w:rsidRDefault="009672EC" w:rsidP="009672EC">
      <w:pPr>
        <w:rPr>
          <w:sz w:val="20"/>
        </w:rPr>
      </w:pPr>
    </w:p>
    <w:p w14:paraId="79C0D7E1" w14:textId="1D46CB69" w:rsidR="009672EC" w:rsidRPr="009672EC" w:rsidRDefault="009672EC" w:rsidP="009672EC">
      <w:pPr>
        <w:tabs>
          <w:tab w:val="left" w:pos="2379"/>
        </w:tabs>
        <w:rPr>
          <w:sz w:val="20"/>
        </w:rPr>
      </w:pPr>
      <w:r>
        <w:rPr>
          <w:sz w:val="20"/>
        </w:rPr>
        <w:t xml:space="preserve">Figure 1: </w:t>
      </w:r>
      <w:r w:rsidRPr="009672EC">
        <w:rPr>
          <w:b/>
          <w:sz w:val="20"/>
        </w:rPr>
        <w:t>Proteins of Acute Phase Signalling at Stage II compared to Stage I in non-responders to Autologous Chondrocyte Implantation (ACI).</w:t>
      </w:r>
      <w:r w:rsidRPr="009672EC">
        <w:rPr>
          <w:sz w:val="20"/>
        </w:rPr>
        <w:t xml:space="preserve">  Several synovial fluid proteins that are downstream of acute phase response signalling were differentially abundant between Stages I and II of ACI.  Proteins edged in purple, orange and blue were identified using iTRAQ LC-MS/MS, LF LC-MS/MS or by both techniques, respect</w:t>
      </w:r>
      <w:r>
        <w:rPr>
          <w:sz w:val="20"/>
        </w:rPr>
        <w:t>ively. (Adapted from Ingenuity).</w:t>
      </w:r>
    </w:p>
    <w:p w14:paraId="4B09D2C7" w14:textId="77777777" w:rsidR="009672EC" w:rsidRPr="009672EC" w:rsidRDefault="009672EC" w:rsidP="009672EC">
      <w:pPr>
        <w:rPr>
          <w:sz w:val="20"/>
        </w:rPr>
      </w:pPr>
    </w:p>
    <w:p w14:paraId="2722504D" w14:textId="77777777" w:rsidR="009672EC" w:rsidRPr="009672EC" w:rsidRDefault="009672EC" w:rsidP="009672EC">
      <w:pPr>
        <w:rPr>
          <w:sz w:val="20"/>
        </w:rPr>
      </w:pPr>
    </w:p>
    <w:p w14:paraId="321E05FB" w14:textId="52E7F156" w:rsidR="009672EC" w:rsidRPr="009672EC" w:rsidRDefault="009672EC" w:rsidP="009672EC">
      <w:pPr>
        <w:rPr>
          <w:sz w:val="20"/>
        </w:rPr>
      </w:pPr>
    </w:p>
    <w:sectPr w:rsidR="009672EC" w:rsidRPr="009672EC" w:rsidSect="009672E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idi Fuller">
    <w15:presenceInfo w15:providerId="None" w15:userId="Heidi Fu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A7"/>
    <w:rsid w:val="00007D1D"/>
    <w:rsid w:val="000148B8"/>
    <w:rsid w:val="0004741E"/>
    <w:rsid w:val="000668E2"/>
    <w:rsid w:val="000B1EEF"/>
    <w:rsid w:val="000F5C13"/>
    <w:rsid w:val="00114C7A"/>
    <w:rsid w:val="00137386"/>
    <w:rsid w:val="00145B15"/>
    <w:rsid w:val="00147323"/>
    <w:rsid w:val="00156100"/>
    <w:rsid w:val="00172818"/>
    <w:rsid w:val="00193958"/>
    <w:rsid w:val="00196A93"/>
    <w:rsid w:val="001A1688"/>
    <w:rsid w:val="001A252E"/>
    <w:rsid w:val="001B0107"/>
    <w:rsid w:val="001C51A7"/>
    <w:rsid w:val="001C6125"/>
    <w:rsid w:val="001D37CB"/>
    <w:rsid w:val="001E1AC8"/>
    <w:rsid w:val="001F0C24"/>
    <w:rsid w:val="001F7412"/>
    <w:rsid w:val="00215E82"/>
    <w:rsid w:val="002503B8"/>
    <w:rsid w:val="00294C6F"/>
    <w:rsid w:val="002A65AD"/>
    <w:rsid w:val="002B74A7"/>
    <w:rsid w:val="00344648"/>
    <w:rsid w:val="00367960"/>
    <w:rsid w:val="00373209"/>
    <w:rsid w:val="003B318A"/>
    <w:rsid w:val="003E1427"/>
    <w:rsid w:val="0049037A"/>
    <w:rsid w:val="004A03D3"/>
    <w:rsid w:val="004C1D0E"/>
    <w:rsid w:val="00515CB1"/>
    <w:rsid w:val="005378A7"/>
    <w:rsid w:val="00551A74"/>
    <w:rsid w:val="005E4B88"/>
    <w:rsid w:val="0063172B"/>
    <w:rsid w:val="006446D2"/>
    <w:rsid w:val="00692247"/>
    <w:rsid w:val="00695B18"/>
    <w:rsid w:val="006B621C"/>
    <w:rsid w:val="00712721"/>
    <w:rsid w:val="00782C7C"/>
    <w:rsid w:val="00790CC6"/>
    <w:rsid w:val="007A6FF0"/>
    <w:rsid w:val="007C7406"/>
    <w:rsid w:val="007E128D"/>
    <w:rsid w:val="007F6DDC"/>
    <w:rsid w:val="00827CFC"/>
    <w:rsid w:val="00857139"/>
    <w:rsid w:val="0086333D"/>
    <w:rsid w:val="00863F90"/>
    <w:rsid w:val="0089044C"/>
    <w:rsid w:val="008933D4"/>
    <w:rsid w:val="008A695F"/>
    <w:rsid w:val="008D2C3A"/>
    <w:rsid w:val="008E739A"/>
    <w:rsid w:val="009410B5"/>
    <w:rsid w:val="009672EC"/>
    <w:rsid w:val="009A1572"/>
    <w:rsid w:val="009C7E29"/>
    <w:rsid w:val="00A044CF"/>
    <w:rsid w:val="00A10BAD"/>
    <w:rsid w:val="00A55F70"/>
    <w:rsid w:val="00A654C2"/>
    <w:rsid w:val="00AA466A"/>
    <w:rsid w:val="00AD0141"/>
    <w:rsid w:val="00AD36EF"/>
    <w:rsid w:val="00AD4EA5"/>
    <w:rsid w:val="00AF0D4B"/>
    <w:rsid w:val="00B361C2"/>
    <w:rsid w:val="00B4169F"/>
    <w:rsid w:val="00B4445F"/>
    <w:rsid w:val="00B528A8"/>
    <w:rsid w:val="00C114E5"/>
    <w:rsid w:val="00C231FE"/>
    <w:rsid w:val="00C66408"/>
    <w:rsid w:val="00CB3C71"/>
    <w:rsid w:val="00CC096B"/>
    <w:rsid w:val="00CD2345"/>
    <w:rsid w:val="00CD52B4"/>
    <w:rsid w:val="00D7147C"/>
    <w:rsid w:val="00D73071"/>
    <w:rsid w:val="00DA7F35"/>
    <w:rsid w:val="00DE1DCC"/>
    <w:rsid w:val="00DE45C7"/>
    <w:rsid w:val="00E06C83"/>
    <w:rsid w:val="00E16E36"/>
    <w:rsid w:val="00E73366"/>
    <w:rsid w:val="00EA1636"/>
    <w:rsid w:val="00ED7450"/>
    <w:rsid w:val="00F07A26"/>
    <w:rsid w:val="00F50EB5"/>
    <w:rsid w:val="00F6061A"/>
    <w:rsid w:val="00F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80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2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2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C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BFBD-CD2E-4B71-8484-27CFEC81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2016-11-18T15:17:00Z</cp:lastPrinted>
  <dcterms:created xsi:type="dcterms:W3CDTF">2017-11-28T14:39:00Z</dcterms:created>
  <dcterms:modified xsi:type="dcterms:W3CDTF">2017-11-28T14:42:00Z</dcterms:modified>
</cp:coreProperties>
</file>