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477E" w14:textId="77777777" w:rsidR="00373BB2" w:rsidRPr="00757751" w:rsidRDefault="00373BB2" w:rsidP="00373BB2">
      <w:r w:rsidRPr="00757751">
        <w:t>Facilitators and barriers to teaching undergraduate medical students in general practice.</w:t>
      </w:r>
    </w:p>
    <w:p w14:paraId="55948603" w14:textId="77777777" w:rsidR="00373BB2" w:rsidRPr="00757751" w:rsidRDefault="00373BB2" w:rsidP="00373BB2"/>
    <w:p w14:paraId="3DE607BE" w14:textId="77777777" w:rsidR="00373BB2" w:rsidRPr="00757751" w:rsidRDefault="00373BB2" w:rsidP="00373BB2">
      <w:r w:rsidRPr="00757751">
        <w:t xml:space="preserve">Barber </w:t>
      </w:r>
      <w:proofErr w:type="gramStart"/>
      <w:r w:rsidRPr="00757751">
        <w:t>J</w:t>
      </w:r>
      <w:r w:rsidRPr="00757751">
        <w:rPr>
          <w:vertAlign w:val="superscript"/>
        </w:rPr>
        <w:t>[</w:t>
      </w:r>
      <w:proofErr w:type="gramEnd"/>
      <w:r w:rsidRPr="00757751">
        <w:rPr>
          <w:vertAlign w:val="superscript"/>
        </w:rPr>
        <w:t>1]</w:t>
      </w:r>
      <w:r w:rsidRPr="00757751">
        <w:t>, Park S</w:t>
      </w:r>
      <w:r w:rsidRPr="00757751">
        <w:rPr>
          <w:vertAlign w:val="superscript"/>
        </w:rPr>
        <w:t>[1],</w:t>
      </w:r>
      <w:r w:rsidRPr="00757751">
        <w:t xml:space="preserve"> Jensen K</w:t>
      </w:r>
      <w:r w:rsidRPr="00757751">
        <w:rPr>
          <w:vertAlign w:val="superscript"/>
        </w:rPr>
        <w:t>[2]</w:t>
      </w:r>
      <w:r w:rsidRPr="00757751">
        <w:t>, Marshall H</w:t>
      </w:r>
      <w:r w:rsidRPr="00757751">
        <w:rPr>
          <w:vertAlign w:val="superscript"/>
        </w:rPr>
        <w:t>[3]</w:t>
      </w:r>
      <w:r w:rsidRPr="00757751">
        <w:t>, McDonald P</w:t>
      </w:r>
      <w:r w:rsidRPr="00757751">
        <w:rPr>
          <w:vertAlign w:val="superscript"/>
        </w:rPr>
        <w:t>[4]</w:t>
      </w:r>
      <w:r w:rsidRPr="00757751">
        <w:t>, McKinley RK</w:t>
      </w:r>
      <w:r w:rsidRPr="00757751">
        <w:rPr>
          <w:vertAlign w:val="superscript"/>
        </w:rPr>
        <w:t>[2]</w:t>
      </w:r>
      <w:r w:rsidRPr="00757751">
        <w:t>,</w:t>
      </w:r>
      <w:r w:rsidRPr="00757751">
        <w:rPr>
          <w:vertAlign w:val="superscript"/>
        </w:rPr>
        <w:t xml:space="preserve"> </w:t>
      </w:r>
      <w:proofErr w:type="spellStart"/>
      <w:r w:rsidRPr="00757751">
        <w:t>Randles</w:t>
      </w:r>
      <w:proofErr w:type="spellEnd"/>
      <w:r w:rsidRPr="00757751">
        <w:t xml:space="preserve"> H</w:t>
      </w:r>
      <w:r w:rsidRPr="00757751">
        <w:rPr>
          <w:vertAlign w:val="superscript"/>
        </w:rPr>
        <w:t>[3]</w:t>
      </w:r>
      <w:r w:rsidRPr="00757751">
        <w:t>,</w:t>
      </w:r>
      <w:r w:rsidRPr="00757751">
        <w:rPr>
          <w:vertAlign w:val="superscript"/>
        </w:rPr>
        <w:t xml:space="preserve"> </w:t>
      </w:r>
      <w:proofErr w:type="spellStart"/>
      <w:r w:rsidRPr="00757751">
        <w:t>Alberti</w:t>
      </w:r>
      <w:proofErr w:type="spellEnd"/>
      <w:r w:rsidRPr="00757751">
        <w:t xml:space="preserve"> H</w:t>
      </w:r>
      <w:r w:rsidRPr="00757751">
        <w:rPr>
          <w:vertAlign w:val="superscript"/>
        </w:rPr>
        <w:t>[3]</w:t>
      </w:r>
    </w:p>
    <w:p w14:paraId="3CC3D805" w14:textId="77777777" w:rsidR="00373BB2" w:rsidRPr="00757751" w:rsidRDefault="00373BB2" w:rsidP="00373BB2"/>
    <w:p w14:paraId="4043030B" w14:textId="77777777" w:rsidR="00373BB2" w:rsidRPr="00757751" w:rsidRDefault="00373BB2" w:rsidP="00373BB2">
      <w:r w:rsidRPr="00757751">
        <w:t>[1] Department of Primary Care and Population Health, University College London</w:t>
      </w:r>
    </w:p>
    <w:p w14:paraId="65D8A4EB" w14:textId="77777777" w:rsidR="00373BB2" w:rsidRPr="00757751" w:rsidRDefault="00373BB2" w:rsidP="00373BB2">
      <w:r w:rsidRPr="00757751">
        <w:t xml:space="preserve">[2] School of Medicine, </w:t>
      </w:r>
      <w:proofErr w:type="spellStart"/>
      <w:r w:rsidRPr="00757751">
        <w:t>Keele</w:t>
      </w:r>
      <w:proofErr w:type="spellEnd"/>
      <w:r w:rsidRPr="00757751">
        <w:t xml:space="preserve"> University</w:t>
      </w:r>
    </w:p>
    <w:p w14:paraId="433BC91A" w14:textId="77777777" w:rsidR="00373BB2" w:rsidRPr="00757751" w:rsidRDefault="00373BB2" w:rsidP="00373BB2">
      <w:r w:rsidRPr="00757751">
        <w:t>[3] School of Medical Education, Newcastle University</w:t>
      </w:r>
    </w:p>
    <w:p w14:paraId="679EBC57" w14:textId="77777777" w:rsidR="00373BB2" w:rsidRPr="00757751" w:rsidRDefault="00373BB2" w:rsidP="00373BB2">
      <w:r w:rsidRPr="00757751">
        <w:t>[4] Brighton and Sussex Medical School, University of Brighton</w:t>
      </w:r>
    </w:p>
    <w:p w14:paraId="4FAC43E6" w14:textId="77777777" w:rsidR="00373BB2" w:rsidRPr="00757751" w:rsidRDefault="00373BB2" w:rsidP="00373BB2"/>
    <w:p w14:paraId="1EB5B6C8" w14:textId="77777777" w:rsidR="00373BB2" w:rsidRPr="00757751" w:rsidRDefault="00373BB2" w:rsidP="00373BB2">
      <w:r w:rsidRPr="00757751">
        <w:t>Abstract: 300 words</w:t>
      </w:r>
    </w:p>
    <w:p w14:paraId="3C31E389" w14:textId="77777777" w:rsidR="00373BB2" w:rsidRPr="00757751" w:rsidRDefault="00373BB2" w:rsidP="00373BB2">
      <w:r w:rsidRPr="00757751">
        <w:t xml:space="preserve">Rest of paper: 3706words </w:t>
      </w:r>
    </w:p>
    <w:p w14:paraId="60F2C02E" w14:textId="77777777" w:rsidR="00373BB2" w:rsidRPr="00757751" w:rsidRDefault="00373BB2" w:rsidP="00373BB2">
      <w:r w:rsidRPr="00757751">
        <w:t>Figures: 3</w:t>
      </w:r>
    </w:p>
    <w:p w14:paraId="5BC39481" w14:textId="77777777" w:rsidR="00373BB2" w:rsidRPr="00757751" w:rsidRDefault="00373BB2" w:rsidP="00373BB2"/>
    <w:p w14:paraId="7924F300" w14:textId="77777777" w:rsidR="00373BB2" w:rsidRPr="00757751" w:rsidRDefault="00373BB2" w:rsidP="00373BB2">
      <w:pPr>
        <w:rPr>
          <w:b/>
        </w:rPr>
      </w:pPr>
    </w:p>
    <w:p w14:paraId="198B348C" w14:textId="77777777" w:rsidR="00373BB2" w:rsidRPr="00757751" w:rsidRDefault="00373BB2" w:rsidP="00373BB2">
      <w:pPr>
        <w:rPr>
          <w:b/>
        </w:rPr>
      </w:pPr>
    </w:p>
    <w:p w14:paraId="0C6BA7EB" w14:textId="77777777" w:rsidR="00373BB2" w:rsidRPr="00757751" w:rsidRDefault="00373BB2" w:rsidP="00373BB2">
      <w:pPr>
        <w:rPr>
          <w:b/>
        </w:rPr>
      </w:pPr>
    </w:p>
    <w:p w14:paraId="191599AC" w14:textId="77777777" w:rsidR="00373BB2" w:rsidRPr="00757751" w:rsidRDefault="00373BB2" w:rsidP="00373BB2">
      <w:pPr>
        <w:rPr>
          <w:b/>
        </w:rPr>
      </w:pPr>
    </w:p>
    <w:p w14:paraId="6CB510E8" w14:textId="77777777" w:rsidR="00373BB2" w:rsidRPr="00757751" w:rsidRDefault="00373BB2" w:rsidP="00373BB2">
      <w:pPr>
        <w:rPr>
          <w:b/>
        </w:rPr>
      </w:pPr>
    </w:p>
    <w:p w14:paraId="795681AC" w14:textId="77777777" w:rsidR="00373BB2" w:rsidRPr="00757751" w:rsidRDefault="00373BB2" w:rsidP="00373BB2">
      <w:pPr>
        <w:rPr>
          <w:b/>
        </w:rPr>
      </w:pPr>
    </w:p>
    <w:p w14:paraId="06B9AB2F" w14:textId="77777777" w:rsidR="00373BB2" w:rsidRPr="00757751" w:rsidRDefault="00373BB2" w:rsidP="00373BB2">
      <w:pPr>
        <w:rPr>
          <w:b/>
        </w:rPr>
      </w:pPr>
    </w:p>
    <w:p w14:paraId="1BE8DBC1" w14:textId="77777777" w:rsidR="00373BB2" w:rsidRPr="00757751" w:rsidRDefault="00373BB2" w:rsidP="00373BB2">
      <w:pPr>
        <w:rPr>
          <w:b/>
        </w:rPr>
      </w:pPr>
    </w:p>
    <w:p w14:paraId="4F433EFF" w14:textId="77777777" w:rsidR="00373BB2" w:rsidRPr="00757751" w:rsidRDefault="00373BB2" w:rsidP="00373BB2">
      <w:pPr>
        <w:rPr>
          <w:b/>
        </w:rPr>
      </w:pPr>
    </w:p>
    <w:p w14:paraId="61D4AC34" w14:textId="77777777" w:rsidR="00373BB2" w:rsidRPr="00757751" w:rsidRDefault="00373BB2" w:rsidP="00373BB2">
      <w:pPr>
        <w:rPr>
          <w:b/>
        </w:rPr>
      </w:pPr>
    </w:p>
    <w:p w14:paraId="36DF327D" w14:textId="77777777" w:rsidR="00373BB2" w:rsidRPr="00757751" w:rsidRDefault="00373BB2" w:rsidP="00373BB2">
      <w:pPr>
        <w:rPr>
          <w:b/>
        </w:rPr>
      </w:pPr>
    </w:p>
    <w:p w14:paraId="2BA0B8F5" w14:textId="77777777" w:rsidR="00373BB2" w:rsidRPr="00757751" w:rsidRDefault="00373BB2" w:rsidP="00373BB2">
      <w:pPr>
        <w:rPr>
          <w:b/>
        </w:rPr>
      </w:pPr>
    </w:p>
    <w:p w14:paraId="4FE456C9" w14:textId="77777777" w:rsidR="00373BB2" w:rsidRPr="00757751" w:rsidRDefault="00373BB2" w:rsidP="00373BB2">
      <w:pPr>
        <w:rPr>
          <w:b/>
        </w:rPr>
      </w:pPr>
    </w:p>
    <w:p w14:paraId="05E23750" w14:textId="77777777" w:rsidR="00373BB2" w:rsidRPr="00757751" w:rsidRDefault="00373BB2" w:rsidP="00373BB2">
      <w:pPr>
        <w:rPr>
          <w:b/>
        </w:rPr>
      </w:pPr>
    </w:p>
    <w:p w14:paraId="5270A6D1" w14:textId="77777777" w:rsidR="00373BB2" w:rsidRPr="00757751" w:rsidRDefault="00373BB2" w:rsidP="00373BB2">
      <w:pPr>
        <w:rPr>
          <w:b/>
        </w:rPr>
      </w:pPr>
    </w:p>
    <w:p w14:paraId="46BC86F4" w14:textId="77777777" w:rsidR="00373BB2" w:rsidRPr="00757751" w:rsidRDefault="00373BB2" w:rsidP="00373BB2">
      <w:pPr>
        <w:rPr>
          <w:b/>
        </w:rPr>
      </w:pPr>
    </w:p>
    <w:p w14:paraId="49920F1D" w14:textId="77777777" w:rsidR="00373BB2" w:rsidRPr="00757751" w:rsidRDefault="00373BB2" w:rsidP="00373BB2">
      <w:pPr>
        <w:rPr>
          <w:b/>
        </w:rPr>
      </w:pPr>
    </w:p>
    <w:p w14:paraId="035AA886" w14:textId="77777777" w:rsidR="00373BB2" w:rsidRPr="00757751" w:rsidRDefault="00373BB2" w:rsidP="00373BB2">
      <w:pPr>
        <w:rPr>
          <w:b/>
        </w:rPr>
      </w:pPr>
    </w:p>
    <w:p w14:paraId="47FFE01D" w14:textId="77777777" w:rsidR="00373BB2" w:rsidRPr="00757751" w:rsidRDefault="00373BB2" w:rsidP="00373BB2">
      <w:pPr>
        <w:rPr>
          <w:b/>
        </w:rPr>
      </w:pPr>
    </w:p>
    <w:p w14:paraId="3E45A4A8" w14:textId="77777777" w:rsidR="00373BB2" w:rsidRPr="00757751" w:rsidRDefault="00373BB2" w:rsidP="00373BB2">
      <w:pPr>
        <w:rPr>
          <w:b/>
        </w:rPr>
      </w:pPr>
    </w:p>
    <w:p w14:paraId="10CA9EFF" w14:textId="77777777" w:rsidR="00373BB2" w:rsidRPr="00757751" w:rsidRDefault="00373BB2" w:rsidP="00373BB2">
      <w:pPr>
        <w:rPr>
          <w:b/>
        </w:rPr>
      </w:pPr>
    </w:p>
    <w:p w14:paraId="48424792" w14:textId="77777777" w:rsidR="00373BB2" w:rsidRPr="00757751" w:rsidRDefault="00373BB2" w:rsidP="00373BB2">
      <w:pPr>
        <w:rPr>
          <w:b/>
        </w:rPr>
      </w:pPr>
    </w:p>
    <w:p w14:paraId="31C088F4" w14:textId="77777777" w:rsidR="00373BB2" w:rsidRPr="00757751" w:rsidRDefault="00373BB2" w:rsidP="00373BB2">
      <w:pPr>
        <w:rPr>
          <w:b/>
        </w:rPr>
      </w:pPr>
    </w:p>
    <w:p w14:paraId="4252B51C" w14:textId="77777777" w:rsidR="00373BB2" w:rsidRPr="00757751" w:rsidRDefault="00373BB2" w:rsidP="00373BB2">
      <w:pPr>
        <w:rPr>
          <w:b/>
        </w:rPr>
      </w:pPr>
    </w:p>
    <w:p w14:paraId="79FABD0C" w14:textId="77777777" w:rsidR="00373BB2" w:rsidRPr="00757751" w:rsidRDefault="00373BB2" w:rsidP="00373BB2">
      <w:pPr>
        <w:rPr>
          <w:b/>
        </w:rPr>
      </w:pPr>
    </w:p>
    <w:p w14:paraId="2333794F" w14:textId="77777777" w:rsidR="00373BB2" w:rsidRPr="00757751" w:rsidRDefault="00373BB2" w:rsidP="00373BB2">
      <w:pPr>
        <w:rPr>
          <w:b/>
        </w:rPr>
      </w:pPr>
    </w:p>
    <w:p w14:paraId="08C1A099" w14:textId="77777777" w:rsidR="00373BB2" w:rsidRPr="00757751" w:rsidRDefault="00373BB2" w:rsidP="00373BB2">
      <w:pPr>
        <w:rPr>
          <w:b/>
        </w:rPr>
      </w:pPr>
    </w:p>
    <w:p w14:paraId="073AB958" w14:textId="77777777" w:rsidR="00373BB2" w:rsidRPr="00757751" w:rsidRDefault="00373BB2" w:rsidP="00373BB2">
      <w:pPr>
        <w:rPr>
          <w:b/>
        </w:rPr>
      </w:pPr>
    </w:p>
    <w:p w14:paraId="72E51B70" w14:textId="77777777" w:rsidR="00373BB2" w:rsidRPr="00757751" w:rsidRDefault="00373BB2" w:rsidP="00373BB2">
      <w:pPr>
        <w:rPr>
          <w:b/>
        </w:rPr>
      </w:pPr>
    </w:p>
    <w:p w14:paraId="5A5A99E9" w14:textId="77777777" w:rsidR="00373BB2" w:rsidRPr="00757751" w:rsidRDefault="00373BB2" w:rsidP="00373BB2">
      <w:pPr>
        <w:rPr>
          <w:b/>
        </w:rPr>
      </w:pPr>
    </w:p>
    <w:p w14:paraId="60CF7428" w14:textId="77777777" w:rsidR="00373BB2" w:rsidRPr="00757751" w:rsidRDefault="00373BB2" w:rsidP="00373BB2">
      <w:pPr>
        <w:rPr>
          <w:b/>
        </w:rPr>
      </w:pPr>
    </w:p>
    <w:p w14:paraId="11A80DAF" w14:textId="77777777" w:rsidR="00373BB2" w:rsidRPr="00757751" w:rsidRDefault="00373BB2" w:rsidP="00373BB2">
      <w:pPr>
        <w:rPr>
          <w:b/>
        </w:rPr>
      </w:pPr>
    </w:p>
    <w:p w14:paraId="77219C4E" w14:textId="77777777" w:rsidR="00373BB2" w:rsidRPr="00757751" w:rsidRDefault="00373BB2" w:rsidP="00373BB2">
      <w:pPr>
        <w:rPr>
          <w:b/>
        </w:rPr>
      </w:pPr>
    </w:p>
    <w:p w14:paraId="5F766335" w14:textId="77777777" w:rsidR="00373BB2" w:rsidRPr="00757751" w:rsidRDefault="00373BB2" w:rsidP="00373BB2">
      <w:pPr>
        <w:rPr>
          <w:b/>
          <w:u w:val="single"/>
        </w:rPr>
      </w:pPr>
      <w:r w:rsidRPr="00757751">
        <w:rPr>
          <w:b/>
          <w:u w:val="single"/>
        </w:rPr>
        <w:lastRenderedPageBreak/>
        <w:t>Abstract</w:t>
      </w:r>
    </w:p>
    <w:p w14:paraId="5BC8C04B" w14:textId="77777777" w:rsidR="00373BB2" w:rsidRPr="00757751" w:rsidRDefault="00373BB2" w:rsidP="00373BB2"/>
    <w:p w14:paraId="3F85E77F" w14:textId="77777777" w:rsidR="00373BB2" w:rsidRPr="00757751" w:rsidRDefault="00373BB2" w:rsidP="00373BB2">
      <w:r w:rsidRPr="00757751">
        <w:t xml:space="preserve">Introduction: Globally, primary healthcare is facing workforce shortages. Longer and higher quality placements in primary care increase the likelihood of medical students’ choosing this specialty. However, recruitment and retention of community primary care teachers is challenging. Relevant research is predominantly from the 1990s. We seek to understand contemporary facilitators and barriers for GP (general practitioner) engagement with undergraduate education. Communities of Practice (COP) theory offers a novel </w:t>
      </w:r>
      <w:proofErr w:type="spellStart"/>
      <w:r w:rsidRPr="00757751">
        <w:t>conceptualisation</w:t>
      </w:r>
      <w:proofErr w:type="spellEnd"/>
      <w:r w:rsidRPr="00757751">
        <w:t xml:space="preserve"> which may be pertinent in other community-based teaching settings.</w:t>
      </w:r>
    </w:p>
    <w:p w14:paraId="0F0EBC58" w14:textId="77777777" w:rsidR="00373BB2" w:rsidRPr="00757751" w:rsidRDefault="00373BB2" w:rsidP="00373BB2"/>
    <w:p w14:paraId="435C4134" w14:textId="77777777" w:rsidR="00373BB2" w:rsidRPr="00757751" w:rsidRDefault="00373BB2" w:rsidP="00373BB2">
      <w:r w:rsidRPr="00757751">
        <w:t>Methods: Semi-structured interviews were undertaken with 24 GP teachers at four UK Medical Schools. We purposively sampled: GPs new to teaching, established GP teachers and GPs who have recently stopped. We undertook NVIVO-assisted deductive and inductive thematic analysis of transcripts. COP theory was used to interpret data.</w:t>
      </w:r>
    </w:p>
    <w:p w14:paraId="453E3B70" w14:textId="77777777" w:rsidR="00373BB2" w:rsidRPr="00757751" w:rsidRDefault="00373BB2" w:rsidP="00373BB2"/>
    <w:p w14:paraId="7F7AFF77" w14:textId="1BF7BC99" w:rsidR="00373BB2" w:rsidRPr="00757751" w:rsidRDefault="00373BB2" w:rsidP="00373BB2">
      <w:r w:rsidRPr="00757751">
        <w:t>Results: COP theory illustrated that teachers negotiate membership of three communities of practice: clinical practice, the medical school and a community of teachers. Delivery of clinical care and teaching can be integrated or exist in tension. This can depend upon the positioning of teaching and teacher as central or peripheral to the clinical COP. Remuneration, workload, space and expansion of GP trainee numbers impact on this. Teachers did not identify strongly as members of the medical school or a teaching community. Perception of membership was be affected by medical school communication and support. We demonstrate gaps in medical school recruitment.</w:t>
      </w:r>
    </w:p>
    <w:p w14:paraId="2CA778E2" w14:textId="77777777" w:rsidR="00373BB2" w:rsidRPr="00757751" w:rsidRDefault="00373BB2" w:rsidP="00373BB2"/>
    <w:p w14:paraId="2FD54B4C" w14:textId="77777777" w:rsidR="00373BB2" w:rsidRPr="00757751" w:rsidRDefault="00373BB2" w:rsidP="00373BB2">
      <w:r w:rsidRPr="00757751">
        <w:t xml:space="preserve">Discussion: This research demonstrates the </w:t>
      </w:r>
      <w:proofErr w:type="spellStart"/>
      <w:r w:rsidRPr="00757751">
        <w:t>marginalisation</w:t>
      </w:r>
      <w:proofErr w:type="spellEnd"/>
      <w:r w:rsidRPr="00757751">
        <w:t xml:space="preserve"> of primary care-based teaching and proposes a novel explanation rooted in COP theory. Concepts including identity and membership may be pertinent to other community-based teaching settings. We recommend that medical schools review and broaden recruitment methods. Teacher retention may be improved by </w:t>
      </w:r>
      <w:proofErr w:type="spellStart"/>
      <w:r w:rsidRPr="00757751">
        <w:t>optimising</w:t>
      </w:r>
      <w:proofErr w:type="spellEnd"/>
      <w:r w:rsidRPr="00757751">
        <w:t xml:space="preserve"> the interface between medical schools and teachers, fostering a teaching community, increasing professional rewards for teaching involvement and altering medical school expectations of learning in primary care. </w:t>
      </w:r>
    </w:p>
    <w:p w14:paraId="24B66A3E" w14:textId="77777777" w:rsidR="00373BB2" w:rsidRPr="00757751" w:rsidRDefault="00373BB2" w:rsidP="00373BB2"/>
    <w:p w14:paraId="051698E1" w14:textId="77777777" w:rsidR="00373BB2" w:rsidRPr="00757751" w:rsidRDefault="00373BB2" w:rsidP="00373BB2">
      <w:pPr>
        <w:rPr>
          <w:b/>
        </w:rPr>
      </w:pPr>
    </w:p>
    <w:p w14:paraId="4EF3A6BC" w14:textId="77777777" w:rsidR="00373BB2" w:rsidRPr="00757751" w:rsidRDefault="00373BB2" w:rsidP="00373BB2">
      <w:pPr>
        <w:rPr>
          <w:b/>
        </w:rPr>
      </w:pPr>
    </w:p>
    <w:p w14:paraId="74506092" w14:textId="77777777" w:rsidR="00373BB2" w:rsidRPr="00757751" w:rsidRDefault="00373BB2" w:rsidP="00373BB2">
      <w:pPr>
        <w:rPr>
          <w:b/>
        </w:rPr>
      </w:pPr>
    </w:p>
    <w:p w14:paraId="4A95BEEB" w14:textId="77777777" w:rsidR="00373BB2" w:rsidRPr="00757751" w:rsidRDefault="00373BB2" w:rsidP="00373BB2">
      <w:pPr>
        <w:rPr>
          <w:b/>
        </w:rPr>
      </w:pPr>
    </w:p>
    <w:p w14:paraId="6DCA1D34" w14:textId="77777777" w:rsidR="00373BB2" w:rsidRPr="00757751" w:rsidRDefault="00373BB2" w:rsidP="00373BB2">
      <w:pPr>
        <w:rPr>
          <w:b/>
        </w:rPr>
      </w:pPr>
    </w:p>
    <w:p w14:paraId="7DCF39F1" w14:textId="77777777" w:rsidR="00373BB2" w:rsidRPr="00757751" w:rsidRDefault="00373BB2" w:rsidP="00373BB2">
      <w:pPr>
        <w:rPr>
          <w:b/>
        </w:rPr>
      </w:pPr>
    </w:p>
    <w:p w14:paraId="11EEBBAE" w14:textId="77777777" w:rsidR="00373BB2" w:rsidRPr="00757751" w:rsidRDefault="00373BB2" w:rsidP="00373BB2">
      <w:pPr>
        <w:rPr>
          <w:b/>
        </w:rPr>
      </w:pPr>
    </w:p>
    <w:p w14:paraId="0EA2AFB2" w14:textId="77777777" w:rsidR="00373BB2" w:rsidRPr="00757751" w:rsidRDefault="00373BB2" w:rsidP="00373BB2">
      <w:pPr>
        <w:rPr>
          <w:b/>
        </w:rPr>
      </w:pPr>
    </w:p>
    <w:p w14:paraId="123AFCF5" w14:textId="77777777" w:rsidR="00373BB2" w:rsidRPr="00757751" w:rsidRDefault="00373BB2" w:rsidP="00373BB2">
      <w:pPr>
        <w:rPr>
          <w:b/>
        </w:rPr>
      </w:pPr>
    </w:p>
    <w:p w14:paraId="7C070CCE" w14:textId="77777777" w:rsidR="00373BB2" w:rsidRPr="00757751" w:rsidRDefault="00373BB2" w:rsidP="00373BB2">
      <w:pPr>
        <w:rPr>
          <w:b/>
        </w:rPr>
      </w:pPr>
    </w:p>
    <w:p w14:paraId="358337D1" w14:textId="77777777" w:rsidR="00373BB2" w:rsidRPr="00757751" w:rsidRDefault="00373BB2" w:rsidP="00373BB2">
      <w:pPr>
        <w:rPr>
          <w:b/>
        </w:rPr>
      </w:pPr>
    </w:p>
    <w:p w14:paraId="060125DF" w14:textId="77777777" w:rsidR="00373BB2" w:rsidRPr="00757751" w:rsidRDefault="00373BB2" w:rsidP="00373BB2">
      <w:pPr>
        <w:rPr>
          <w:b/>
        </w:rPr>
      </w:pPr>
    </w:p>
    <w:p w14:paraId="7516806D" w14:textId="77777777" w:rsidR="00373BB2" w:rsidRPr="00757751" w:rsidRDefault="00373BB2" w:rsidP="00373BB2">
      <w:pPr>
        <w:rPr>
          <w:b/>
          <w:u w:val="single"/>
        </w:rPr>
      </w:pPr>
      <w:r w:rsidRPr="00757751">
        <w:rPr>
          <w:b/>
          <w:u w:val="single"/>
        </w:rPr>
        <w:lastRenderedPageBreak/>
        <w:t>Introduction</w:t>
      </w:r>
    </w:p>
    <w:p w14:paraId="7B49BA13" w14:textId="77777777" w:rsidR="00373BB2" w:rsidRPr="00757751" w:rsidRDefault="00373BB2" w:rsidP="00373BB2">
      <w:r w:rsidRPr="00757751">
        <w:t xml:space="preserve"> </w:t>
      </w:r>
    </w:p>
    <w:p w14:paraId="56745B12" w14:textId="77777777" w:rsidR="00373BB2" w:rsidRPr="00757751" w:rsidRDefault="00373BB2" w:rsidP="00373BB2">
      <w:r w:rsidRPr="00757751">
        <w:t xml:space="preserve">The World Health </w:t>
      </w:r>
      <w:proofErr w:type="spellStart"/>
      <w:r w:rsidRPr="00757751">
        <w:t>Organisation</w:t>
      </w:r>
      <w:proofErr w:type="spellEnd"/>
      <w:r w:rsidRPr="00757751">
        <w:t xml:space="preserve"> </w:t>
      </w:r>
      <w:proofErr w:type="spellStart"/>
      <w:r w:rsidRPr="00757751">
        <w:t>emphasises</w:t>
      </w:r>
      <w:proofErr w:type="spellEnd"/>
      <w:r w:rsidRPr="00757751">
        <w:t xml:space="preserve"> the importance of good primary care in improving population health and health equity. </w:t>
      </w:r>
      <w:r w:rsidRPr="00757751">
        <w:fldChar w:fldCharType="begin" w:fldLock="1"/>
      </w:r>
      <w:r w:rsidRPr="00757751">
        <w:instrText>ADDIN CSL_CITATION { "citationID" : "a1ip44cvbn8", "citationItems" : [ { "id" : "ITEM-1", "itemData" : { "author" : [ { "dropping-particle" : "", "family" : "World Health Organisation", "given" : "", "non-dropping-particle" : "", "parse-names" : false, "suffix" : "" } ], "id" : "ITEM-1", "issued" : { "date-parts" : [ [ "2008" ] ] }, "publisher" : "WHO Press", "publisher-place" : "Geneva", "title" : "The world health report 2008. Primary health care: now more than ever.", "type" : "report" }, "uri" : [ "http://zotero.org/users/4338344/items/FHS9RT9S" ], "uris" : [ "http://zotero.org/users/4338344/items/FHS9RT9S", "http://www.mendeley.com/documents/?uuid=1a50e929-6937-4c78-9443-82f181f96793" ] }, { "id" : "ITEM-2", "itemData" : { "DOI" : "10.1111/j.1468-0009.2005.00409.x", "ISSN" : "0887-378X", "abstract" : "Evidence of the health-promoting influence of primary care has been accumulating ever since researchers have been able to distinguish primary care from other aspects of the health services delivery system. This evidence shows that primary care helps prevent illness and death, regardless of whether the care is characterized by supply of primary care physicians, a relationship with a source of primary care, or the receipt of important features of primary care. The evidence also shows that primary care (in contrast to specialty care) is associated with a more equitable distribution of health in populations, a finding that holds in both cross-national and within-national studies. The means by which primary care improves health have been identified, thus suggesting ways to improve overall health and reduce differences in health across major population subgroups.", "author" : [ { "dropping-particle" : "", "family" : "Starfield", "given" : "Barbara", "non-dropping-particle" : "", "parse-names" : false, "suffix" : "" }, { "dropping-particle" : "", "family" : "Shi", "given" : "Leiyu", "non-dropping-particle" : "", "parse-names" : false, "suffix" : "" }, { "dropping-particle" : "", "family" : "Macinko", "given" : "James", "non-dropping-particle" : "", "parse-names" : false, "suffix" : "" } ], "container-title" : "The Milbank Quarterly", "id" : "ITEM-2", "issue" : "3", "issued" : { "date-parts" : [ [ "2005" ] ] }, "language" : "eng", "page" : "457-502", "title" : "Contribution of primary care to health systems and health", "type" : "article-journal", "volume" : "83" }, "uri" : [ "http://zotero.org/users/4338344/items/RMQA9VNQ" ], "uris" : [ "http://zotero.org/users/4338344/items/RMQA9VNQ", "http://www.mendeley.com/documents/?uuid=6484655c-034a-4c37-b25d-d499c4f27f63" ] } ], "mendeley" : { "formattedCitation" : "(1,2)", "plainTextFormattedCitation" : "(1,2)", "previouslyFormattedCitation" : "(1,2)" }, "properties" : { "formattedCitation" : "(1,2)", "noteIndex" : 0, "plainCitation" : "(1,2)" }, "schema" : "https://github.com/citation-style-language/schema/raw/master/csl-citation.json" }</w:instrText>
      </w:r>
      <w:r w:rsidRPr="00757751">
        <w:fldChar w:fldCharType="separate"/>
      </w:r>
      <w:r w:rsidRPr="00757751">
        <w:rPr>
          <w:noProof/>
        </w:rPr>
        <w:t>(1,2)</w:t>
      </w:r>
      <w:r w:rsidRPr="00757751">
        <w:fldChar w:fldCharType="end"/>
      </w:r>
      <w:r w:rsidRPr="00757751">
        <w:t xml:space="preserve"> Globally, primary healthcare is facing overwhelming demand. (3,4) Growth of the primary care workforce is a global priority and needs to be rooted in pre-registration training. (5,6) Pre-registration community-based education enhances recruitment across the health workforce. (6-8) For example, the quality and quantity of time that medical students spend in general practice impacts on eventual decisions to pursue this specialty (9) However, a lack of tutors across primary care is a barrier to the expansion of such education. (10) This shortage is likely to become more acute as, internationally, numbers of health care students increase. A balance between service and teaching activity in primary care is crucial to sustainability and career retention both in the short and long term. (11)</w:t>
      </w:r>
    </w:p>
    <w:p w14:paraId="48D6983B" w14:textId="77777777" w:rsidR="00373BB2" w:rsidRPr="00757751" w:rsidRDefault="00373BB2" w:rsidP="00373BB2"/>
    <w:p w14:paraId="6B9AEF57" w14:textId="77777777" w:rsidR="00373BB2" w:rsidRPr="00757751" w:rsidRDefault="00373BB2" w:rsidP="00373BB2">
      <w:r w:rsidRPr="00757751">
        <w:t xml:space="preserve">Education in general practice in the UK is an exemplar of these issues. There is an acute general practitioner workforce crisis and the number of medical school places in the UK is being increased, partly in response to this crisis </w:t>
      </w:r>
      <w:r w:rsidRPr="00757751">
        <w:fldChar w:fldCharType="begin" w:fldLock="1"/>
      </w:r>
      <w:r w:rsidRPr="00757751">
        <w:instrText>ADDIN CSL_CITATION { "citationItems" : [ { "id" : "ITEM-1", "itemData" : { "DOI" : "10.1111/tct.12076", "ISSN" : "1743-498X", "PMID" : "24629250", "abstract" : "INTRODUCTION AND AIM The Australian general practitioner (GP) teaching workforce will need to expand in order to provide for the increasing number of medical students and doctors-in-training. Understanding factors that motivate GPs to become involved in teaching in their clinical practice environments is important for developing recruitment and retention strategies. METHOD Thirty-one semi-structured interviews were conducted with a cross section of GP teachers and were subjected to thematic analysis. Themes were identified and further classified as motivations and prerequisites for teaching. RESULTS The desire to update clinical knowledge was the most frequently mentioned motivation for teaching, and was described as a strategy for GP teachers to preserve clinical competence through the opportunity to learn new aspects of medicine from junior colleagues. Other motivations included personal fulfillment and enjoyment of teaching, the opportunity to pass on general practice skills and knowledge, promoting general practice as a career, and fulfilling a sense of responsibility to the profession and community. Peers, students and patients also influenced the decision to teach. Most GPs identified that time, workload, availability of space and adequate financial remuneration were prerequisites for teaching. Practice owners also often determined the GP teachers' capacity to teach. DISCUSSION To increase the recruitment and retention of GP teachers, it is recommended that teaching organisations give more recognition to teaching as a clinical professional development activity, place more emphasis on GPs' personal enjoyment, professional responsibility and pride in teaching, and increase engagement with practice owners.", "author" : [ { "dropping-particle" : "", "family" : "Thomson", "given" : "Jennifer", "non-dropping-particle" : "", "parse-names" : false, "suffix" : "" }, { "dropping-particle" : "", "family" : "Haesler", "given" : "Emily", "non-dropping-particle" : "", "parse-names" : false, "suffix" : "" }, { "dropping-particle" : "", "family" : "Anderson", "given" : "Katrina", "non-dropping-particle" : "", "parse-names" : false, "suffix" : "" }, { "dropping-particle" : "", "family" : "Barnard", "given" : "Amanda", "non-dropping-particle" : "", "parse-names" : false, "suffix" : "" } ], "container-title" : "The clinical teacher", "id" : "ITEM-1", "issue" : "2", "issued" : { "date-parts" : [ [ "2014", "4" ] ] }, "page" : "124-30", "title" : "What motivates general practitioners to teach.", "type" : "article-journal", "volume" : "11" }, "uris" : [ "http://www.mendeley.com/documents/?uuid=b6b10a6a-614d-30b5-9c3c-1527d6c3846a" ] }, { "id" : "ITEM-2", "itemData" : { "ISSN" : "0960-1643", "PMID" : "8949323", "abstract" : "BACKGROUND All UK medical schools are revising their curricula following the General Medical Council recommendations to increase general practice involvement in undergraduate education. However, workload in general practice has increased in recent years, raising questions about its ability to maintain, let alone extend, its educational activities. AIM The aim of this study was examine whether recent changes in general practice have affected delivery of practice-based undergraduate education and to assess the extent to which practices will be able to increase their involvement in teaching. METHOD A postal questionnaire survey was conducted of the lead clinical teachers and their partners in the practices to which students from Leicester Medical School had been attached in the last 2 years. RESULTS The questionnaire was completed by 32 out of the 39 lead teachers and 134 of the 150 partners, an overall response rate of 88%. There was widespread support for departmental teaching requirements, but only 17 lead teachers (44%) felt that the suggested reduction by 25% of patients seen per session while teaching was feasible. A total of 14 lead teachers (47%) felt that the ability of their practice to deliver high-quality teaching had declined since 1990. Altogether, 113 (87%) of all doctors in teaching practices felt that time pressures had increased during this period, and 139 (88%) felt that present levels of remuneration were inadequate. The majority of these doctors felt that general practice was the preferred location for learning generic clinical skills and were interested in participating. Nevertheless, most were not prepared to increase their involvement in teaching under present arrangements. CONCLUSION Practice-based teachers appreciate the need for quality teaching, remain enthusiastic about teaching and are, in principle, willing to take an increased teaching load. However, recent changes have made delivery of teaching more difficult, and if an expansion in practice-based teaching is to occur, more realistic levels of funding and support are a prerequisite.", "author" : [ { "dropping-particle" : "", "family" : "Wilson", "given" : "A", "non-dropping-particle" : "", "parse-names" : false, "suffix" : "" }, { "dropping-particle" : "", "family" : "Fraser", "given" : "R", "non-dropping-particle" : "", "parse-names" : false, "suffix" : "" }, { "dropping-particle" : "", "family" : "McKinley", "given" : "R K", "non-dropping-particle" : "", "parse-names" : false, "suffix" : "" }, { "dropping-particle" : "", "family" : "Preston-Whyte", "given" : "E", "non-dropping-particle" : "", "parse-names" : false, "suffix" : "" }, { "dropping-particle" : "", "family" : "Wynn", "given" : "A", "non-dropping-particle" : "", "parse-names" : false, "suffix" : "" } ], "container-title" : "The British journal of general practice : the journal of the Royal College of General Practitioners", "id" : "ITEM-2", "issue" : "409", "issued" : { "date-parts" : [ [ "1996", "8" ] ] }, "page" : "457-60", "title" : "Undergraduate teaching in the community: can general practice deliver?", "type" : "article-journal", "volume" : "46" }, "uris" : [ "http://www.mendeley.com/documents/?uuid=81dd027a-b5ec-3403-8c02-302a8913bd2a" ] } ], "mendeley" : { "formattedCitation" : "(6,7)", "plainTextFormattedCitation" : "(6,7)", "previouslyFormattedCitation" : "(6,7)" }, "properties" : { "noteIndex" : 0 }, "schema" : "https://github.com/citation-style-language/schema/raw/master/csl-citation.json" }</w:instrText>
      </w:r>
      <w:r w:rsidRPr="00757751">
        <w:fldChar w:fldCharType="separate"/>
      </w:r>
      <w:r w:rsidRPr="00757751">
        <w:rPr>
          <w:noProof/>
        </w:rPr>
        <w:t>(3,12,13)</w:t>
      </w:r>
      <w:r w:rsidRPr="00757751">
        <w:fldChar w:fldCharType="end"/>
      </w:r>
      <w:r w:rsidRPr="00757751">
        <w:t xml:space="preserve"> GP tutor recruitment is problematic. (14) This research was initiated because many of the authors were struggling to recruit and retain local GP tutors and had found little recent relevant literature to inform evidence-based recruitment plans with much dating from the 1990s. </w:t>
      </w:r>
      <w:r w:rsidRPr="00757751">
        <w:fldChar w:fldCharType="begin" w:fldLock="1"/>
      </w:r>
      <w:r w:rsidRPr="00757751">
        <w:instrText>ADDIN CSL_CITATION { "citationID" : "al8folj8di", "citationItems" : [ { "id" : "ITEM-1", "itemData" : { "ISSN" : "0960-1643", "PMID" : "8949323", "abstract" : "BACKGROUND All UK medical schools are revising their curricula following the General Medical Council recommendations to increase general practice involvement in undergraduate education. However, workload in general practice has increased in recent years, raising questions about its ability to maintain, let alone extend, its educational activities. AIM The aim of this study was examine whether recent changes in general practice have affected delivery of practice-based undergraduate education and to assess the extent to which practices will be able to increase their involvement in teaching. METHOD A postal questionnaire survey was conducted of the lead clinical teachers and their partners in the practices to which students from Leicester Medical School had been attached in the last 2 years. RESULTS The questionnaire was completed by 32 out of the 39 lead teachers and 134 of the 150 partners, an overall response rate of 88%. There was widespread support for departmental teaching requirements, but only 17 lead teachers (44%) felt that the suggested reduction by 25% of patients seen per session while teaching was feasible. A total of 14 lead teachers (47%) felt that the ability of their practice to deliver high-quality teaching had declined since 1990. Altogether, 113 (87%) of all doctors in teaching practices felt that time pressures had increased during this period, and 139 (88%) felt that present levels of remuneration were inadequate. The majority of these doctors felt that general practice was the preferred location for learning generic clinical skills and were interested in participating. Nevertheless, most were not prepared to increase their involvement in teaching under present arrangements. CONCLUSION Practice-based teachers appreciate the need for quality teaching, remain enthusiastic about teaching and are, in principle, willing to take an increased teaching load. However, recent changes have made delivery of teaching more difficult, and if an expansion in practice-based teaching is to occur, more realistic levels of funding and support are a prerequisite.", "author" : [ { "dropping-particle" : "", "family" : "Wilson", "given" : "A", "non-dropping-particle" : "", "parse-names" : false, "suffix" : "" }, { "dropping-particle" : "", "family" : "Fraser", "given" : "R", "non-dropping-particle" : "", "parse-names" : false, "suffix" : "" }, { "dropping-particle" : "", "family" : "McKinley", "given" : "R K", "non-dropping-particle" : "", "parse-names" : false, "suffix" : "" }, { "dropping-particle" : "", "family" : "Preston-Whyte", "given" : "E", "non-dropping-particle" : "", "parse-names" : false, "suffix" : "" }, { "dropping-particle" : "", "family" : "Wynn", "given" : "A", "non-dropping-particle" : "", "parse-names" : false, "suffix" : "" } ], "container-title" : "The British journal of general practice : the journal of the Royal College of General Practitioners", "id" : "ITEM-1", "issue" : "409", "issued" : { "date-parts" : [ [ "1996", "8" ] ] }, "page" : "457-60", "title" : "Undergraduate teaching in the community: can general practice deliver?", "type" : "article-journal", "volume" : "46" }, "uris" : [ "http://www.mendeley.com/documents/?uuid=81dd027a-b5ec-3403-8c02-302a8913bd2a" ] }, { "id" : "ITEM-2", "itemData" : { "ISSN" : "0959-8138", "PMID" : "10541508", "abstract" : "OBJECTIVE To examine the perceived effect of teaching clinical skills and associated teacher training programmes on general practitioners' morale and clinical practice. DESIGN Qualitative semistructured interview study. SETTING General practices throughout north London. SUBJECTS 30 general practitioners who taught clinical skills were asked about the effect of teaching and teacher training on their morale, confidence in clinical and teaching skills, and clinical practice. RESULTS The main theme was a positive effect on morale. Within teacher training this was attributed to developing peer and professional support; improved teaching skills; and revision of clinical knowledge and skills. Within teaching this was attributed to a broadening of horizons; contact with enthusiastic students; increased time with patients; improved clinical practice; improved teaching skills; and an improved image of the practice. Problems with teaching were due to external factors such as lack of time and space and anxieties about adequacy of clinical cover while teaching. CONCLUSION Teaching clinical skills can have a positive effect on the morale of general practitioner teachers as a result of contact with students and peers, as long as logistic and funding issues are adequately dealt with.", "author" : [ { "dropping-particle" : "", "family" : "Hartley", "given" : "S", "non-dropping-particle" : "", "parse-names" : false, "suffix" : "" }, { "dropping-particle" : "", "family" : "Macfarlane", "given" : "F", "non-dropping-particle" : "", "parse-names" : false, "suffix" : "" }, { "dropping-particle" : "", "family" : "Gantley", "given" : "M", "non-dropping-particle" : "", "parse-names" : false, "suffix" : "" }, { "dropping-particle" : "", "family" : "Murray", "given" : "E", "non-dropping-particle" : "", "parse-names" : false, "suffix" : "" } ], "container-title" : "BMJ (Clinical research ed.)", "id" : "ITEM-2", "issue" : "7218", "issued" : { "date-parts" : [ [ "1999", "10", "30" ] ] }, "page" : "1168-71", "title" : "Influence on general practitioners of teaching undergraduates: qualitative study of London general practitioner teachers.", "type" : "article-journal", "volume" : "319" }, "uris" : [ "http://www.mendeley.com/documents/?uuid=9bb93cbe-c42f-3932-bdd1-9cf3b922f524" ] }, { "id" : "ITEM-3", "itemData" : { "ISSN" : "0960-1643", "PMID" : "9474824", "abstract" : "BACKGROUND In line with the General Medical Council (GMC) recommendations for undergraduate teaching, many medical schools are implementing new programmes of community-based teaching. Little is known about the enthusiasm of general practitioners (GPs) for, or their ability to undertake, an additional teaching role. AIM To assess the reservoir of teaching experience among GPs and, in particular, their undergraduate teaching experience, their views on the rewards and problems of teaching, their interest in teaching in the future, and their needs for support. METHOD Postal questionnaire sent to all 417 GP principals with Lambeth, Southwark, and Lewisham family health service authorities (FHSAs) in January 1995. RESULTS We achieved a 74% (310/417) response rate. A total of 86% (261/303) of GPs have some sort of teaching experience in their current practice. A large number of medical and non-medical subjects are already being taught. Overall, 75% (228/303) of GPs had experience of undergraduate teaching. Only 13% (41/303) had no teaching experience of any kind. Very few responders felt that teaching was best done in hospital. Different rewards and problems of teaching were perceived by undergraduate teaching GPs and other GPs. There was a high level of interest in undergraduate teaching in the future and a demand for a variety of support measures from medical schools. CONCLUSIONS New community-based programmes are likely to receive support from GPs, but the vital issues of time, adequate financial reward, and teacher training must be addressed by medical schools if large-scale changes in undergraduate teaching are to be achieved.", "author" : [ { "dropping-particle" : "", "family" : "Gray", "given" : "J", "non-dropping-particle" : "", "parse-names" : false, "suffix" : "" }, { "dropping-particle" : "", "family" : "Fine", "given" : "B", "non-dropping-particle" : "", "parse-names" : false, "suffix" : "" } ], "container-title" : "The British journal of general practice : the journal of the Royal College of General Practitioners", "id" : "ITEM-3", "issue" : "423", "issued" : { "date-parts" : [ [ "1997", "10" ] ] }, "page" : "623-6", "title" : "General practitioner teaching in the community: a study of their teaching experience and interest in undergraduate teaching in the future.", "type" : "article-journal", "volume" : "47" }, "uris" : [ "http://www.mendeley.com/documents/?uuid=3c0eba96-2b3c-3e83-beb5-c5b68636d7f9" ] }, { "id" : "ITEM-4", "itemData" : { "ISSN" : "1040-2446", "abstract" : "All ten schools participating in the Interdisciplinary Generalist Curriculum (IGC) Project were required to offer students significant generalist longitudinal preceptorship experiences during the first two years of medical school. Each school needed to recruit and then retain many new preceptors to meet the continued large demand. Effective recruitment was usually carried out by established community physicians and/or qualified staff coordinators. Retention of preceptors required establishing regular and succinct communications, quick response to problems, and flexible faculty development programs. For rewards, preceptors primarily requested acknowledgment and appreciation, along with tangible rewards such as decreased fees for continuing medical education and library or e-mail access. Preceptors continue to state that they teach because of the \"joys of teaching\" even in the current environment with increased demands for productivity. This article describes what has been learned about recruitment, retention, and rewards for community preceptors and how to maximize the positive impacts and minimize the negative impacts of teaching for community preceptors., (C) 2001 by the Association of American Medical Colleges", "author" : [ { "dropping-particle" : "", "family" : "Ullian", "given" : "John A.", "non-dropping-particle" : "", "parse-names" : false, "suffix" : "" }, { "dropping-particle" : "", "family" : "Shore", "given" : "William B.", "non-dropping-particle" : "", "parse-names" : false, "suffix" : "" }, { "dropping-particle" : "", "family" : "First", "given" : "Lewis R.", "non-dropping-particle" : "", "parse-names" : false, "suffix" : "" } ], "container-title" : "Academic Medicine", "id" : "ITEM-4", "issue" : "4", "issued" : { "date-parts" : [ [ "2001", "4" ] ] }, "language" : "English.", "title" : "What Did We Learn about the Impact on Community-based Faculty? Recommendations for Recruitment, Retention, and Rewards", "type" : "article-journal", "volume" : "76" }, "uri" : [ "http://zotero.org/users/4338344/items/W229TN2Y" ], "uris" : [ "http://zotero.org/users/4338344/items/W229TN2Y", "http://www.mendeley.com/documents/?uuid=88ad6be7-9c9c-4bdb-8ca5-10c59aebbbc2" ] }, { "id" : "ITEM-5", "itemData" : { "DOI" : "10.1046/j.1365-2923.2001.00980.x", "ISSN" : "0308-0110, 1365-2923", "author" : [ { "dropping-particle" : "", "family" : "Baldor", "given" : "Robert A", "non-dropping-particle" : "", "parse-names" : false, "suffix" : "" }, { "dropping-particle" : "", "family" : "Brooks", "given" : "W Blair", "non-dropping-particle" : "", "parse-names" : false, "suffix" : "" }, { "dropping-particle" : "", "family" : "Warfield", "given" : "Marji Erickson", "non-dropping-particle" : "", "parse-names" : false, "suffix" : "" }, { "dropping-particle" : "", "family" : "O'Shea", "given" : "Kathleen", "non-dropping-particle" : "", "parse-names" : false, "suffix" : "" } ], "container-title" : "Medical Education", "id" : "ITEM-5", "issue" : "8", "issued" : { "date-parts" : [ [ "2001", "8" ] ] }, "language" : "en", "page" : "789-795", "title" : "A survey of primary care physicians' perceptions and needs regarding the precepting of medical students in their offices", "type" : "article-journal", "volume" : "35" }, "uri" : [ "http://zotero.org/users/4338344/items/24GLU5BA" ], "uris" : [ "http://zotero.org/users/4338344/items/24GLU5BA", "http://www.mendeley.com/documents/?uuid=2e7990c3-2594-4426-ba19-993267c3a2ed" ] } ], "mendeley" : { "formattedCitation" : "(7\u201311)", "plainTextFormattedCitation" : "(7\u201311)", "previouslyFormattedCitation" : "(7\u201311)" }, "properties" : { "formattedCitation" : "(7\\uc0\\u8211{}11)", "noteIndex" : 0, "plainCitation" : "(7\u201311)" }, "schema" : "https://github.com/citation-style-language/schema/raw/master/csl-citation.json" }</w:instrText>
      </w:r>
      <w:r w:rsidRPr="00757751">
        <w:fldChar w:fldCharType="separate"/>
      </w:r>
      <w:r w:rsidRPr="00757751">
        <w:rPr>
          <w:noProof/>
        </w:rPr>
        <w:t>(15-19)</w:t>
      </w:r>
      <w:r w:rsidRPr="00757751">
        <w:fldChar w:fldCharType="end"/>
      </w:r>
      <w:r w:rsidRPr="00757751">
        <w:t xml:space="preserve">  </w:t>
      </w:r>
      <w:proofErr w:type="gramStart"/>
      <w:r w:rsidRPr="00757751">
        <w:t>That</w:t>
      </w:r>
      <w:proofErr w:type="gramEnd"/>
      <w:r w:rsidRPr="00757751">
        <w:t xml:space="preserve"> previous research to improve the recruitment and retention of GP teachers originates from UK, USA, Canada and Australia, suggests this is an important issue in many countries. (17, 20-22)</w:t>
      </w:r>
    </w:p>
    <w:p w14:paraId="31DCC9A1" w14:textId="77777777" w:rsidR="00373BB2" w:rsidRPr="00757751" w:rsidRDefault="00373BB2" w:rsidP="00373BB2"/>
    <w:p w14:paraId="7E2FE40D" w14:textId="77777777" w:rsidR="00373BB2" w:rsidRPr="00757751" w:rsidRDefault="00373BB2" w:rsidP="00373BB2">
      <w:pPr>
        <w:rPr>
          <w:lang w:val="en-GB"/>
        </w:rPr>
      </w:pPr>
      <w:r w:rsidRPr="00757751">
        <w:t xml:space="preserve">The facilitators and barriers to general practice tutors which have been highlighted by previous research are listed in Table 1 (15-25). More recent research has almost exclusively been questionnaire and survey-based except for two (an Australian and a UK) qualitative studies. </w:t>
      </w:r>
      <w:r w:rsidRPr="00757751">
        <w:fldChar w:fldCharType="begin" w:fldLock="1"/>
      </w:r>
      <w:r w:rsidRPr="00757751">
        <w:instrText>ADDIN CSL_CITATION { "citationItems" : [ { "id" : "ITEM-1", "itemData" : { "DOI" : "10.1111/tct.12076", "ISSN" : "1743-498X", "PMID" : "24629250", "abstract" : "INTRODUCTION AND AIM The Australian general practitioner (GP) teaching workforce will need to expand in order to provide for the increasing number of medical students and doctors-in-training. Understanding factors that motivate GPs to become involved in teaching in their clinical practice environments is important for developing recruitment and retention strategies. METHOD Thirty-one semi-structured interviews were conducted with a cross section of GP teachers and were subjected to thematic analysis. Themes were identified and further classified as motivations and prerequisites for teaching. RESULTS The desire to update clinical knowledge was the most frequently mentioned motivation for teaching, and was described as a strategy for GP teachers to preserve clinical competence through the opportunity to learn new aspects of medicine from junior colleagues. Other motivations included personal fulfillment and enjoyment of teaching, the opportunity to pass on general practice skills and knowledge, promoting general practice as a career, and fulfilling a sense of responsibility to the profession and community. Peers, students and patients also influenced the decision to teach. Most GPs identified that time, workload, availability of space and adequate financial remuneration were prerequisites for teaching. Practice owners also often determined the GP teachers' capacity to teach. DISCUSSION To increase the recruitment and retention of GP teachers, it is recommended that teaching organisations give more recognition to teaching as a clinical professional development activity, place more emphasis on GPs' personal enjoyment, professional responsibility and pride in teaching, and increase engagement with practice owners.", "author" : [ { "dropping-particle" : "", "family" : "Thomson", "given" : "Jennifer", "non-dropping-particle" : "", "parse-names" : false, "suffix" : "" }, { "dropping-particle" : "", "family" : "Haesler", "given" : "Emily", "non-dropping-particle" : "", "parse-names" : false, "suffix" : "" }, { "dropping-particle" : "", "family" : "Anderson", "given" : "Katrina", "non-dropping-particle" : "", "parse-names" : false, "suffix" : "" }, { "dropping-particle" : "", "family" : "Barnard", "given" : "Amanda", "non-dropping-particle" : "", "parse-names" : false, "suffix" : "" } ], "container-title" : "The clinical teacher", "id" : "ITEM-1", "issue" : "2", "issued" : { "date-parts" : [ [ "2014", "4" ] ] }, "page" : "124-30", "title" : "What motivates general practitioners to teach.", "type" : "article-journal", "volume" : "11" }, "uris" : [ "http://www.mendeley.com/documents/?uuid=b6b10a6a-614d-30b5-9c3c-1527d6c3846a" ] }, { "id" : "ITEM-2", "itemData" : { "ISSN" : "1040-2446", "PMID" : "9159585", "abstract" : "PURPOSE To survey community-based family physician-preceptors about teaching costs, issues, and support desired. METHOD In late 1994 a questionnaire was mailed to all 139 community family physicians who served as preceptors for the University of Iowa College of Medicine's third-year family practice preceptorship. The questionnaire contained items regarding teaching costs and the kinds of assistance desired from the university, the difficult and enjoyable aspects of precepting, and demographic data. Analyses were done to explore the associations between the preceptors' demographic variables and the effects of precepting on number of patients seen, practice income, and time spent at work. Also tested were the associations between the demographic variables and the kinds of support desired. RESULTS In all, 130 surveys were returned, for a response rate of 94%. Nearly all of the respondents were Caucasian, male, and residency trained; 61% were in group practices. While precepting, 87% spent more time at work, 31% saw fewer patients, and 25% lost practice income; mean daily cost estimates of precepting were 51 more minutes at work, 1.4 fewer patients seen, and $34 in lost income. The support the preceptors were most interested in receiving was training in and access to computer-based information. Financial compensation was desired more often by the physicians whose first year of practice was after 1977 (p = .009). Motivations for precepting included positive interactions with students and enjoyment of teaching. Time concerns were overwhelmingly the most difficult aspect of precepting. CONCLUSION The physicians-many of whom noted their enjoyment of teaching for its intrinsic rewards-spent a significant amount of extra time teaching while precepting, and thus both lost income and saw fewer patients. Medical schools need to recognize the valuable contributions of preceptors and find ways to support them.", "author" : [ { "dropping-particle" : "", "family" : "Levy", "given" : "B T", "non-dropping-particle" : "", "parse-names" : false, "suffix" : "" }, { "dropping-particle" : "", "family" : "Gjerde", "given" : "C L", "non-dropping-particle" : "", "parse-names" : false, "suffix" : "" }, { "dropping-particle" : "", "family" : "Albrecht", "given" : "L A", "non-dropping-particle" : "", "parse-names" : false, "suffix" : "" } ], "container-title" : "Academic medicine : journal of the Association of American Medical Colleges", "id" : "ITEM-2", "issue" : "5", "issued" : { "date-parts" : [ [ "1997", "5" ] ] }, "page" : "382-4", "title" : "The effects of precepting on and the support desired by community-based preceptors in Iowa.", "type" : "article-journal", "volume" : "72" }, "uris" : [ "http://www.mendeley.com/documents/?uuid=5293c7de-2095-3739-a0d8-40371e6ca9f3" ] }, { "id" : "ITEM-3", "itemData" : { "DOI" : "10.1080/01421590600627375", "ISSN" : "1466-187X", "PMID" : "17074707", "abstract" : "The recent trend towards ambulatory teaching can pose challenges in terms of recruitment of ambulatory teachers. In order to improve recruitment efforts, we examined the reasons that community preceptors who teach and those who do not teach give for teaching or not teaching students in their offices. Physicians who teach students in their offices report they do so for the enjoyment and for the opportunity to provide teaching to these students. Physicians who do not teach in their offices report constraints of their practice situation, having other non-teaching challenges and being unaware of the teaching possibilities as barriers to teaching. Community preceptors were more likely to be alumni (medical school or postgraduate training) than those who were not preceptors. This study provides insight into the motivators and barriers for ambulatory teachers and has implications for recruiting and rewarding community preceptors.", "author" : [ { "dropping-particle" : "", "family" : "Scott", "given" : "Ian", "non-dropping-particle" : "", "parse-names" : false, "suffix" : "" }, { "dropping-particle" : "", "family" : "Sazegar", "given" : "Payam", "non-dropping-particle" : "", "parse-names" : false, "suffix" : "" } ], "container-title" : "Medical teacher", "id" : "ITEM-3", "issue" : "6", "issued" : { "date-parts" : [ [ "2006", "9" ] ] }, "page" : "563-5", "title" : "Why community physicians teach students (or not): barriers and opportunities for preceptor recruitment.", "type" : "article-journal", "volume" : "28" }, "uris" : [ "http://www.mendeley.com/documents/?uuid=b56e1fce-a6a4-387b-af2d-adcd1ce087ad" ] } ], "mendeley" : { "formattedCitation" : "(6,12,13)", "plainTextFormattedCitation" : "(6,12,13)", "previouslyFormattedCitation" : "(6,12,13)" }, "properties" : { "noteIndex" : 0 }, "schema" : "https://github.com/citation-style-language/schema/raw/master/csl-citation.json" }</w:instrText>
      </w:r>
      <w:r w:rsidRPr="00757751">
        <w:fldChar w:fldCharType="separate"/>
      </w:r>
      <w:r w:rsidRPr="00757751">
        <w:rPr>
          <w:noProof/>
        </w:rPr>
        <w:t>(20-24)</w:t>
      </w:r>
      <w:r w:rsidRPr="00757751">
        <w:fldChar w:fldCharType="end"/>
      </w:r>
      <w:r w:rsidRPr="00757751">
        <w:t xml:space="preserve"> However in the former, participants were self-selected and predominantly </w:t>
      </w:r>
      <w:r w:rsidRPr="00757751">
        <w:rPr>
          <w:i/>
        </w:rPr>
        <w:t>current</w:t>
      </w:r>
      <w:r w:rsidRPr="00757751">
        <w:t xml:space="preserve"> teachers; the latter studied exclusively long-term placements in a very specific context. The broad purposive sample of this research has enabled us to corroborate previously identified facilitators and barriers and to discover novel factors. Communities of Practice theory has enabled us to offer a new perspective </w:t>
      </w:r>
      <w:r w:rsidRPr="00757751">
        <w:rPr>
          <w:lang w:val="en-GB"/>
        </w:rPr>
        <w:t xml:space="preserve">into understanding the 'problem' of GP tutor recruitment and retention as an exemplar which goes beyond the transactional benefits and disadvantages affecting tutors and faculties, to consider a wide range of factors including identity and belonging. Furthermore in </w:t>
      </w:r>
      <w:r w:rsidRPr="00757751">
        <w:t>demonstrating the importance of relationships across clinical and academic institutions in facilitating teachers’ membership and participation, we highlight learning which may be transferable to other community-based clinical learning situations.</w:t>
      </w:r>
    </w:p>
    <w:p w14:paraId="0E4CBA44" w14:textId="77777777" w:rsidR="00373BB2" w:rsidRPr="00757751" w:rsidRDefault="00373BB2" w:rsidP="00373BB2"/>
    <w:p w14:paraId="309279C7" w14:textId="77777777" w:rsidR="00373BB2" w:rsidRPr="00757751" w:rsidRDefault="00373BB2" w:rsidP="00373BB2">
      <w:r w:rsidRPr="00757751">
        <w:t>We now report this multi-</w:t>
      </w:r>
      <w:proofErr w:type="spellStart"/>
      <w:r w:rsidRPr="00757751">
        <w:t>centre</w:t>
      </w:r>
      <w:proofErr w:type="spellEnd"/>
      <w:r w:rsidRPr="00757751">
        <w:t xml:space="preserve"> theoretically-informed qualitative study of the contemporary facilitators and barriers to GPs’ involvement in teaching medical students in general practice. </w:t>
      </w:r>
    </w:p>
    <w:p w14:paraId="7E568E2C" w14:textId="77777777" w:rsidR="00373BB2" w:rsidRPr="00757751" w:rsidRDefault="00373BB2" w:rsidP="00373BB2"/>
    <w:p w14:paraId="599927BE" w14:textId="77777777" w:rsidR="00373BB2" w:rsidRPr="00757751" w:rsidRDefault="00373BB2" w:rsidP="00373BB2"/>
    <w:p w14:paraId="6396844E" w14:textId="77777777" w:rsidR="00373BB2" w:rsidRPr="00757751" w:rsidRDefault="00373BB2" w:rsidP="00373BB2"/>
    <w:p w14:paraId="205E8DD6" w14:textId="77777777" w:rsidR="00373BB2" w:rsidRPr="00757751" w:rsidRDefault="00373BB2" w:rsidP="00373BB2"/>
    <w:p w14:paraId="66741AFD" w14:textId="77777777" w:rsidR="00373BB2" w:rsidRPr="00757751" w:rsidRDefault="00373BB2" w:rsidP="00373BB2">
      <w:pPr>
        <w:rPr>
          <w:b/>
          <w:u w:val="single"/>
        </w:rPr>
      </w:pPr>
      <w:r w:rsidRPr="00757751">
        <w:rPr>
          <w:b/>
          <w:u w:val="single"/>
        </w:rPr>
        <w:lastRenderedPageBreak/>
        <w:t>Methods</w:t>
      </w:r>
    </w:p>
    <w:p w14:paraId="0F3C4A5C" w14:textId="77777777" w:rsidR="00373BB2" w:rsidRPr="00757751" w:rsidRDefault="00373BB2" w:rsidP="00373BB2"/>
    <w:p w14:paraId="16FD54DC" w14:textId="77777777" w:rsidR="00373BB2" w:rsidRPr="00757751" w:rsidRDefault="00373BB2" w:rsidP="00373BB2">
      <w:pPr>
        <w:rPr>
          <w:b/>
          <w:i/>
        </w:rPr>
      </w:pPr>
      <w:r w:rsidRPr="00757751">
        <w:rPr>
          <w:b/>
          <w:i/>
        </w:rPr>
        <w:t>Ethical Approval</w:t>
      </w:r>
    </w:p>
    <w:p w14:paraId="0FAD408F" w14:textId="77777777" w:rsidR="00373BB2" w:rsidRPr="00757751" w:rsidRDefault="00373BB2" w:rsidP="00373BB2"/>
    <w:p w14:paraId="0492701D" w14:textId="77777777" w:rsidR="00373BB2" w:rsidRPr="00757751" w:rsidRDefault="00373BB2" w:rsidP="00373BB2">
      <w:r w:rsidRPr="00757751">
        <w:t>Research ethics approval was obtained from Newcastle University Ethics Committee. (Reference 6494/2016). Researchers at the other participating institutions received local approval and duly followed local Data Protection Registration procedures.</w:t>
      </w:r>
    </w:p>
    <w:p w14:paraId="00E3CAED" w14:textId="77777777" w:rsidR="00373BB2" w:rsidRPr="00757751" w:rsidRDefault="00373BB2" w:rsidP="00373BB2"/>
    <w:p w14:paraId="3DEC9707" w14:textId="77777777" w:rsidR="00373BB2" w:rsidRPr="00757751" w:rsidRDefault="00373BB2" w:rsidP="00373BB2">
      <w:pPr>
        <w:rPr>
          <w:b/>
          <w:i/>
        </w:rPr>
      </w:pPr>
      <w:r w:rsidRPr="00757751">
        <w:rPr>
          <w:b/>
          <w:i/>
        </w:rPr>
        <w:t>Reflexivity</w:t>
      </w:r>
    </w:p>
    <w:p w14:paraId="386AB279" w14:textId="77777777" w:rsidR="00373BB2" w:rsidRPr="00757751" w:rsidRDefault="00373BB2" w:rsidP="00373BB2"/>
    <w:p w14:paraId="704DA378" w14:textId="77777777" w:rsidR="00373BB2" w:rsidRPr="00757751" w:rsidRDefault="00373BB2" w:rsidP="00373BB2">
      <w:r w:rsidRPr="00757751">
        <w:t xml:space="preserve">At the commencement of this study all members of the research team worked as GPs and also as members of teams responsible for their medical schools’ general practice education </w:t>
      </w:r>
      <w:proofErr w:type="spellStart"/>
      <w:r w:rsidRPr="00757751">
        <w:t>programmes</w:t>
      </w:r>
      <w:proofErr w:type="spellEnd"/>
      <w:r w:rsidRPr="00757751">
        <w:t>. We acknowledge that this positioning may influence our interpretation of the data and the ensuing recommendations.</w:t>
      </w:r>
    </w:p>
    <w:p w14:paraId="6D8538CA" w14:textId="77777777" w:rsidR="00373BB2" w:rsidRPr="00757751" w:rsidRDefault="00373BB2" w:rsidP="00373BB2"/>
    <w:p w14:paraId="2AE08383" w14:textId="77777777" w:rsidR="00373BB2" w:rsidRPr="00757751" w:rsidRDefault="00373BB2" w:rsidP="00373BB2">
      <w:pPr>
        <w:rPr>
          <w:b/>
          <w:i/>
        </w:rPr>
      </w:pPr>
      <w:r w:rsidRPr="00757751">
        <w:rPr>
          <w:b/>
          <w:i/>
        </w:rPr>
        <w:t>Sampling</w:t>
      </w:r>
    </w:p>
    <w:p w14:paraId="02220240" w14:textId="77777777" w:rsidR="00373BB2" w:rsidRPr="00757751" w:rsidRDefault="00373BB2" w:rsidP="00373BB2"/>
    <w:p w14:paraId="6DBCF391" w14:textId="77777777" w:rsidR="00373BB2" w:rsidRPr="00757751" w:rsidRDefault="00373BB2" w:rsidP="00373BB2">
      <w:r w:rsidRPr="00757751">
        <w:t>Four medical schools participated ranging from schools struggling to recruit to those with a surplus of teachers and practices; metropolitan and provincial settings; large and small schools; and a range of traditional and modern curricula.  At each school, we purposively recruited: GP teachers who had stopped teaching within the previous two years, current established GP teachers who had taught for two or more years and GPs who had started teaching within the last two years. Within each group we aimed to recruit partners (who lead and often own the practice), salaried (fixed-term contractors employed by the practice) and locum GPs (employed short-term to cover when a GP is absent). Participants received information sheets and gave written consent.</w:t>
      </w:r>
    </w:p>
    <w:p w14:paraId="04D8E2DD" w14:textId="77777777" w:rsidR="00373BB2" w:rsidRPr="00757751" w:rsidRDefault="00373BB2" w:rsidP="00373BB2"/>
    <w:p w14:paraId="0F83F2F5" w14:textId="77777777" w:rsidR="00373BB2" w:rsidRPr="00757751" w:rsidRDefault="00373BB2" w:rsidP="00373BB2">
      <w:pPr>
        <w:rPr>
          <w:b/>
          <w:i/>
        </w:rPr>
      </w:pPr>
      <w:r w:rsidRPr="00757751">
        <w:rPr>
          <w:b/>
          <w:i/>
        </w:rPr>
        <w:t>Interviews</w:t>
      </w:r>
    </w:p>
    <w:p w14:paraId="540C5D18" w14:textId="77777777" w:rsidR="00373BB2" w:rsidRPr="00757751" w:rsidRDefault="00373BB2" w:rsidP="00373BB2"/>
    <w:p w14:paraId="795C557B" w14:textId="77777777" w:rsidR="00373BB2" w:rsidRPr="00757751" w:rsidRDefault="00373BB2" w:rsidP="00373BB2">
      <w:r w:rsidRPr="00757751">
        <w:t>Data were collected in one-to-one semi-structured interviews conducted by HR, PM, KJ and JB. Interviews lasted between 30 and 50 minutes and were audio-recorded and transcribed. The initial interview schedule was developed by HA and SP and iteratively updated during regular teleconferences between the whole research team throughout interviews and analysis. The transcripts of each interviewer’s first interview were shared and discussed by the full research team in a teleconference to ensure congruence of approach.</w:t>
      </w:r>
    </w:p>
    <w:p w14:paraId="664841DF" w14:textId="77777777" w:rsidR="00373BB2" w:rsidRPr="00757751" w:rsidRDefault="00373BB2" w:rsidP="00373BB2"/>
    <w:p w14:paraId="7D140151" w14:textId="77777777" w:rsidR="00373BB2" w:rsidRPr="00757751" w:rsidRDefault="00373BB2" w:rsidP="00373BB2">
      <w:pPr>
        <w:rPr>
          <w:b/>
          <w:i/>
        </w:rPr>
      </w:pPr>
      <w:r w:rsidRPr="00757751">
        <w:rPr>
          <w:b/>
          <w:i/>
        </w:rPr>
        <w:t>Participants</w:t>
      </w:r>
    </w:p>
    <w:p w14:paraId="0383838E" w14:textId="77777777" w:rsidR="00373BB2" w:rsidRPr="00757751" w:rsidRDefault="00373BB2" w:rsidP="00373BB2"/>
    <w:p w14:paraId="675A8D44" w14:textId="77777777" w:rsidR="00373BB2" w:rsidRPr="00757751" w:rsidRDefault="00373BB2" w:rsidP="00373BB2">
      <w:r w:rsidRPr="00757751">
        <w:t>24 GPs participated with between five and eight from each school; eight were new teachers, ten were established teachers and six had stopped teaching; 17 were female; 16 were partners, six were salaried doctors and two were locums.</w:t>
      </w:r>
    </w:p>
    <w:p w14:paraId="17EA49C4" w14:textId="77777777" w:rsidR="00373BB2" w:rsidRPr="00757751" w:rsidRDefault="00373BB2" w:rsidP="00373BB2"/>
    <w:p w14:paraId="121C9270" w14:textId="77777777" w:rsidR="00373BB2" w:rsidRPr="00757751" w:rsidRDefault="00373BB2" w:rsidP="00373BB2">
      <w:pPr>
        <w:rPr>
          <w:b/>
          <w:i/>
        </w:rPr>
      </w:pPr>
      <w:r w:rsidRPr="00757751">
        <w:rPr>
          <w:b/>
          <w:i/>
        </w:rPr>
        <w:t>Primary analysis</w:t>
      </w:r>
    </w:p>
    <w:p w14:paraId="6D2A88EF" w14:textId="77777777" w:rsidR="00373BB2" w:rsidRPr="00757751" w:rsidRDefault="00373BB2" w:rsidP="00373BB2"/>
    <w:p w14:paraId="13D42626" w14:textId="77777777" w:rsidR="00373BB2" w:rsidRPr="00757751" w:rsidRDefault="00373BB2" w:rsidP="00373BB2">
      <w:r w:rsidRPr="00757751">
        <w:t xml:space="preserve">Each interviewer coded their own transcripts using NVIVO 11. Transcripts and emerging codes were reviewed via teleconference and face-to-face meetings of </w:t>
      </w:r>
      <w:r w:rsidRPr="00757751">
        <w:lastRenderedPageBreak/>
        <w:t xml:space="preserve">the whole research team at multiple stages, to ensure they reflected the breadth of data across the institutions. A sample of transcripts (half) were </w:t>
      </w:r>
      <w:proofErr w:type="spellStart"/>
      <w:r w:rsidRPr="00757751">
        <w:t>analysed</w:t>
      </w:r>
      <w:proofErr w:type="spellEnd"/>
      <w:r w:rsidRPr="00757751">
        <w:t xml:space="preserve"> by at least a second researcher from a different institution. Initial thematic analysis was informed by Braun and Clark. </w:t>
      </w:r>
      <w:r w:rsidRPr="00757751">
        <w:fldChar w:fldCharType="begin" w:fldLock="1"/>
      </w:r>
      <w:r w:rsidRPr="00757751">
        <w:instrText>ADDIN CSL_CITATION { "citationID" : "a2e8jfaddgm", "citationItems" : [ { "id" : "ITEM-1", "itemData" : { "DOI" : "10.1191/1478088706qp063oa", "ISSN" : "1478-0887", "abstract" : "Thematic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"Virginia", "non-dropping-particle" : "", "parse-names" : false, "suffix" : "" }, { "dropping-particle" : "", "family" : "Clarke", "given" : "Victoria", "non-dropping-particle" : "", "parse-names" : false, "suffix" : "" } ], "container-title" : "Qualitative Research in Psychology", "id" : "ITEM-1", "issue" : "2", "issued" : { "date-parts" : [ [ "2006", "1" ] ] }, "page" : "77-101", "title" : "Using thematic analysis in psychology", "type" : "article-journal", "volume" : "3" }, "uri" : [ "http://zotero.org/users/4338344/items/3PCSIC26" ], "uris" : [ "http://zotero.org/users/4338344/items/3PCSIC26", "http://www.mendeley.com/documents/?uuid=f9c62c86-5ba4-4c89-b5bb-771906e46c05" ] } ], "mendeley" : { "formattedCitation" : "(14)", "plainTextFormattedCitation" : "(14)", "previouslyFormattedCitation" : "(14)" }, "properties" : { "formattedCitation" : "(13)", "noteIndex" : 0, "plainCitation" : "(13)" }, "schema" : "https://github.com/citation-style-language/schema/raw/master/csl-citation.json" }</w:instrText>
      </w:r>
      <w:r w:rsidRPr="00757751">
        <w:fldChar w:fldCharType="separate"/>
      </w:r>
      <w:r w:rsidRPr="00757751">
        <w:rPr>
          <w:noProof/>
        </w:rPr>
        <w:t>(26)</w:t>
      </w:r>
      <w:r w:rsidRPr="00757751">
        <w:fldChar w:fldCharType="end"/>
      </w:r>
    </w:p>
    <w:p w14:paraId="4CC833E1" w14:textId="77777777" w:rsidR="00373BB2" w:rsidRPr="00757751" w:rsidRDefault="00373BB2" w:rsidP="00373BB2"/>
    <w:p w14:paraId="377B21CB" w14:textId="77777777" w:rsidR="00373BB2" w:rsidRPr="00757751" w:rsidRDefault="00373BB2" w:rsidP="00373BB2">
      <w:pPr>
        <w:rPr>
          <w:b/>
          <w:i/>
        </w:rPr>
      </w:pPr>
      <w:r w:rsidRPr="00757751">
        <w:rPr>
          <w:b/>
          <w:i/>
        </w:rPr>
        <w:t>Theoretical stance and application to analysis</w:t>
      </w:r>
    </w:p>
    <w:p w14:paraId="09CC4789" w14:textId="77777777" w:rsidR="00373BB2" w:rsidRPr="00757751" w:rsidRDefault="00373BB2" w:rsidP="00373BB2"/>
    <w:p w14:paraId="7CE0FDA0" w14:textId="77777777" w:rsidR="00373BB2" w:rsidRPr="00757751" w:rsidRDefault="00373BB2" w:rsidP="00373BB2">
      <w:r w:rsidRPr="00757751">
        <w:rPr>
          <w:lang w:val="en-GB"/>
        </w:rPr>
        <w:t xml:space="preserve">As we became familiar with the data, we recognised that GP teachers were </w:t>
      </w:r>
      <w:r w:rsidRPr="00757751">
        <w:t xml:space="preserve">negotiating membership of three communities: a teaching community; a clinical practice community; and the medical school community, so we considered that Communities of Practice (COP) theory offered the most relevant theoretical framework for analysis. </w:t>
      </w:r>
      <w:r w:rsidRPr="00757751">
        <w:fldChar w:fldCharType="begin" w:fldLock="1"/>
      </w:r>
      <w:r w:rsidRPr="00757751">
        <w:instrText>ADDIN CSL_CITATION { "citationID" : "a1anc0k2iv9", "citationItems" : [ { "id" : "ITEM-1", "itemData" : { "author" : [ { "dropping-particle" : "", "family" : "Wenger", "given" : "E", "non-dropping-particle" : "", "parse-names" : false, "suffix" : "" } ], "id" : "ITEM-1", "issued" : { "date-parts" : [ [ "1998" ] ] }, "title" : "Communities of practice: Learning, Meaning and Identity", "type" : "article-journal" }, "uri" : [ "http://www.mendeley.com/documents/?uuid=3c71c922-bdd2-4fd6-924f-06c4825bbf4e" ], "uris" : [ "http://www.mendeley.com/documents/?uuid=3c71c922-bdd2-4fd6-924f-06c4825bbf4e" ] } ], "mendeley" : { "formattedCitation" : "(15)", "plainTextFormattedCitation" : "(15)", "previouslyFormattedCitation" : "(15)" }, "properties" : { "formattedCitation" : "(14)", "noteIndex" : 0, "plainCitation" : "(14)" }, "schema" : "https://github.com/citation-style-language/schema/raw/master/csl-citation.json" }</w:instrText>
      </w:r>
      <w:r w:rsidRPr="00757751">
        <w:fldChar w:fldCharType="separate"/>
      </w:r>
      <w:r w:rsidRPr="00757751">
        <w:rPr>
          <w:noProof/>
        </w:rPr>
        <w:t>(27)</w:t>
      </w:r>
      <w:r w:rsidRPr="00757751">
        <w:fldChar w:fldCharType="end"/>
      </w:r>
    </w:p>
    <w:p w14:paraId="5E6EDF6E" w14:textId="77777777" w:rsidR="00373BB2" w:rsidRPr="00757751" w:rsidRDefault="00373BB2" w:rsidP="00373BB2"/>
    <w:p w14:paraId="5E7E65FC" w14:textId="77777777" w:rsidR="00373BB2" w:rsidRPr="00757751" w:rsidRDefault="00373BB2" w:rsidP="00373BB2">
      <w:pPr>
        <w:rPr>
          <w:lang w:val="en-GB"/>
        </w:rPr>
      </w:pPr>
      <w:r w:rsidRPr="00757751">
        <w:t>There are many ways of using COP theory in research. We have used Wenger’s definition of COPs as groups sharing expertise and practices.</w:t>
      </w:r>
      <w:r w:rsidRPr="00757751">
        <w:fldChar w:fldCharType="begin" w:fldLock="1"/>
      </w:r>
      <w:r w:rsidRPr="00757751">
        <w:instrText>ADDIN CSL_CITATION { "citationID" : "a2qtpmlivts", "citationItems" : [ { "id" : "ITEM-1", "itemData" : { "author" : [ { "dropping-particle" : "", "family" : "Wenger", "given" : "E", "non-dropping-particle" : "", "parse-names" : false, "suffix" : "" } ], "id" : "ITEM-1", "issued" : { "date-parts" : [ [ "1998" ] ] }, "title" : "Communities of practice: Learning, Meaning and Identity", "type" : "article-journal" }, "uri" : [ "http://www.mendeley.com/documents/?uuid=3c71c922-bdd2-4fd6-924f-06c4825bbf4e" ], "uris" : [ "http://www.mendeley.com/documents/?uuid=3c71c922-bdd2-4fd6-924f-06c4825bbf4e" ] } ], "mendeley" : { "formattedCitation" : "(15)", "plainTextFormattedCitation" : "(15)", "previouslyFormattedCitation" : "(15)" }, "properties" : { "formattedCitation" : "(14)", "noteIndex" : 0, "plainCitation" : "(14)" }, "schema" : "https://github.com/citation-style-language/schema/raw/master/csl-citation.json" }</w:instrText>
      </w:r>
      <w:r w:rsidRPr="00757751">
        <w:fldChar w:fldCharType="separate"/>
      </w:r>
      <w:r w:rsidRPr="00757751">
        <w:rPr>
          <w:noProof/>
        </w:rPr>
        <w:t>(27)</w:t>
      </w:r>
      <w:r w:rsidRPr="00757751">
        <w:fldChar w:fldCharType="end"/>
      </w:r>
      <w:r w:rsidRPr="00757751">
        <w:t xml:space="preserve"> COP members engage in communities through social interactions and active </w:t>
      </w:r>
      <w:r w:rsidRPr="00757751">
        <w:rPr>
          <w:i/>
        </w:rPr>
        <w:t>participation</w:t>
      </w:r>
      <w:r w:rsidRPr="00757751">
        <w:t xml:space="preserve"> in social life and through </w:t>
      </w:r>
      <w:r w:rsidRPr="00757751">
        <w:rPr>
          <w:i/>
        </w:rPr>
        <w:t>reification</w:t>
      </w:r>
      <w:r w:rsidRPr="00757751">
        <w:t xml:space="preserve"> of their participation. Reification is achieved by creating physical and conceptual artefacts that</w:t>
      </w:r>
      <w:r w:rsidRPr="00757751">
        <w:rPr>
          <w:i/>
        </w:rPr>
        <w:t xml:space="preserve"> ‘</w:t>
      </w:r>
      <w:r w:rsidRPr="00757751">
        <w:rPr>
          <w:lang w:val="en-GB"/>
        </w:rPr>
        <w:t xml:space="preserve">reflect a shared experience.’ </w:t>
      </w:r>
      <w:r w:rsidRPr="00757751">
        <w:rPr>
          <w:lang w:val="en-GB"/>
        </w:rPr>
        <w:fldChar w:fldCharType="begin" w:fldLock="1"/>
      </w:r>
      <w:r w:rsidRPr="00757751">
        <w:rPr>
          <w:lang w:val="en-GB"/>
        </w:rPr>
        <w:instrText>ADDIN CSL_CITATION { "citationID" : "aagp2pgivp", "citationItems" : [ { "id" : "ITEM-1", "itemData" : { "author" : [ { "dropping-particle" : "", "family" : "Wenger", "given" : "E", "non-dropping-particle" : "", "parse-names" : false, "suffix" : "" } ], "id" : "ITEM-1", "issued" : { "date-parts" : [ [ "1998" ] ] }, "title" : "Communities of practice: Learning, Meaning and Identity", "type" : "article-journal" }, "uri" : [ "http://www.mendeley.com/documents/?uuid=3c71c922-bdd2-4fd6-924f-06c4825bbf4e" ], "uris" : [ "http://www.mendeley.com/documents/?uuid=3c71c922-bdd2-4fd6-924f-06c4825bbf4e" ] }, { "id" : "ITEM-2", "itemData" : { "author" : [ { "dropping-particle" : "", "family" : "Wenger", "given" : "E", "non-dropping-particle" : "", "parse-names" : false, "suffix" : "" } ], "container-title" : "Social Learning Systems and Communities of Practice", "editor" : [ { "dropping-particle" : "", "family" : "Blackmore", "given" : "C", "non-dropping-particle" : "", "parse-names" : false, "suffix" : "" } ], "id" : "ITEM-2", "issued" : { "date-parts" : [ [ "2010" ] ] }, "publisher" : "Springer", "title" : "Communities of practice and social learning systems: the career of a concept", "type" : "chapter" }, "uris" : [ "http://www.mendeley.com/documents/?uuid=b0647846-880c-4fd8-85fe-3847109a9b49" ] } ], "mendeley" : { "formattedCitation" : "(15,16)", "plainTextFormattedCitation" : "(15,16)", "previouslyFormattedCitation" : "(15,16)" }, "properties" : { "formattedCitation" : "(14,15)", "noteIndex" : 0, "plainCitation" : "(14,15)" }, "schema" : "https://github.com/citation-style-language/schema/raw/master/csl-citation.json" }</w:instrText>
      </w:r>
      <w:r w:rsidRPr="00757751">
        <w:rPr>
          <w:lang w:val="en-GB"/>
        </w:rPr>
        <w:fldChar w:fldCharType="separate"/>
      </w:r>
      <w:r w:rsidRPr="00757751">
        <w:rPr>
          <w:noProof/>
          <w:lang w:val="en-GB"/>
        </w:rPr>
        <w:t>(27,28)</w:t>
      </w:r>
      <w:r w:rsidRPr="00757751">
        <w:fldChar w:fldCharType="end"/>
      </w:r>
      <w:r w:rsidRPr="00757751">
        <w:t>.</w:t>
      </w:r>
      <w:r w:rsidRPr="00757751">
        <w:rPr>
          <w:lang w:val="en-GB"/>
        </w:rPr>
        <w:t xml:space="preserve"> The point at which communities overlap are ‘boundaries’ and movement across boundaries is facilitated by </w:t>
      </w:r>
      <w:r w:rsidRPr="00757751">
        <w:rPr>
          <w:i/>
          <w:lang w:val="en-GB"/>
        </w:rPr>
        <w:t>brokers</w:t>
      </w:r>
      <w:r w:rsidRPr="00757751">
        <w:rPr>
          <w:lang w:val="en-GB"/>
        </w:rPr>
        <w:t xml:space="preserve"> who connect different communities. </w:t>
      </w:r>
      <w:r w:rsidRPr="00757751">
        <w:rPr>
          <w:i/>
          <w:lang w:val="en-GB"/>
        </w:rPr>
        <w:t>Boundary objects</w:t>
      </w:r>
      <w:r w:rsidRPr="00757751">
        <w:rPr>
          <w:lang w:val="en-GB"/>
        </w:rPr>
        <w:t xml:space="preserve"> are forms of reification which can be shared between communities or act as barriers between them. </w:t>
      </w:r>
      <w:r w:rsidRPr="00757751">
        <w:rPr>
          <w:lang w:val="en-GB"/>
        </w:rPr>
        <w:fldChar w:fldCharType="begin" w:fldLock="1"/>
      </w:r>
      <w:r w:rsidRPr="00757751">
        <w:rPr>
          <w:lang w:val="en-GB"/>
        </w:rPr>
        <w:instrText>ADDIN CSL_CITATION { "citationID" : "a1p28cb7836", "citationItems" : [ { "id" : "ITEM-1", "itemData" : { "author" : [ { "dropping-particle" : "", "family" : "Wenger", "given" : "E", "non-dropping-particle" : "", "parse-names" : false, "suffix" : "" } ], "id" : "ITEM-1", "issued" : { "date-parts" : [ [ "1998" ] ] }, "title" : "Communities of practice: Learning, Meaning and Identity", "type" : "article-journal" }, "uri" : [ "http://www.mendeley.com/documents/?uuid=3c71c922-bdd2-4fd6-924f-06c4825bbf4e" ], "uris" : [ "http://www.mendeley.com/documents/?uuid=3c71c922-bdd2-4fd6-924f-06c4825bbf4e" ] } ], "mendeley" : { "formattedCitation" : "(15)", "plainTextFormattedCitation" : "(15)", "previouslyFormattedCitation" : "(15)" }, "properties" : { "formattedCitation" : "(14)", "noteIndex" : 0, "plainCitation" : "(14)" }, "schema" : "https://github.com/citation-style-language/schema/raw/master/csl-citation.json" }</w:instrText>
      </w:r>
      <w:r w:rsidRPr="00757751">
        <w:rPr>
          <w:lang w:val="en-GB"/>
        </w:rPr>
        <w:fldChar w:fldCharType="separate"/>
      </w:r>
      <w:r w:rsidRPr="00757751">
        <w:rPr>
          <w:noProof/>
          <w:lang w:val="en-GB"/>
        </w:rPr>
        <w:t>(27)</w:t>
      </w:r>
      <w:r w:rsidRPr="00757751">
        <w:fldChar w:fldCharType="end"/>
      </w:r>
      <w:r w:rsidRPr="00757751">
        <w:rPr>
          <w:lang w:val="en-GB"/>
        </w:rPr>
        <w:t xml:space="preserve"> Members of a community can be either full (central) or peripheral, often depending, for example, upon their level and experience of participation. </w:t>
      </w:r>
      <w:r w:rsidRPr="00757751">
        <w:rPr>
          <w:lang w:val="en-GB"/>
        </w:rPr>
        <w:fldChar w:fldCharType="begin" w:fldLock="1"/>
      </w:r>
      <w:r w:rsidRPr="00757751">
        <w:rPr>
          <w:lang w:val="en-GB"/>
        </w:rPr>
        <w:instrText>ADDIN CSL_CITATION { "citationID" : "a26n5de215p", "citationItems" : [ { "id" : "ITEM-1", "itemData" : { "ISBN" : "978-0-521-41308-4", "author" : [ { "dropping-particle" : "", "family" : "Lave", "given" : "Jean", "non-dropping-particle" : "", "parse-names" : false, "suffix" : "" }, { "dropping-particle" : "", "family" : "Wenger", "given" : "Etienne", "non-dropping-particle" : "", "parse-names" : false, "suffix" : "" } ], "collection-title" : "Learning in doing", "id" : "ITEM-1", "issued" : { "date-parts" : [ [ "1991" ] ] }, "number-of-pages" : "138", "publisher" : "Cambridge University Press", "publisher-place" : "Cambridge [England] ; New York", "title" : "Situated learning: legitimate peripheral participation", "type" : "book" }, "uri" : [ "http://zotero.org/users/4338344/items/LI8GTNNH" ], "uris" : [ "http://zotero.org/users/4338344/items/LI8GTNNH", "http://www.mendeley.com/documents/?uuid=6bed99a8-27f4-44c6-9539-8790f587b945" ] } ], "mendeley" : { "formattedCitation" : "(17)", "plainTextFormattedCitation" : "(17)", "previouslyFormattedCitation" : "(17)" }, "properties" : { "formattedCitation" : "(16)", "noteIndex" : 0, "plainCitation" : "(16)" }, "schema" : "https://github.com/citation-style-language/schema/raw/master/csl-citation.json" }</w:instrText>
      </w:r>
      <w:r w:rsidRPr="00757751">
        <w:rPr>
          <w:lang w:val="en-GB"/>
        </w:rPr>
        <w:fldChar w:fldCharType="separate"/>
      </w:r>
      <w:r w:rsidRPr="00757751">
        <w:rPr>
          <w:noProof/>
          <w:lang w:val="en-GB"/>
        </w:rPr>
        <w:t>(29)</w:t>
      </w:r>
      <w:r w:rsidRPr="00757751">
        <w:fldChar w:fldCharType="end"/>
      </w:r>
    </w:p>
    <w:p w14:paraId="321B6B62" w14:textId="77777777" w:rsidR="00373BB2" w:rsidRPr="00757751" w:rsidRDefault="00373BB2" w:rsidP="00373BB2">
      <w:pPr>
        <w:rPr>
          <w:lang w:val="en-GB"/>
        </w:rPr>
      </w:pPr>
    </w:p>
    <w:p w14:paraId="60F36B96" w14:textId="14743908" w:rsidR="00373BB2" w:rsidRPr="00757751" w:rsidRDefault="00373BB2" w:rsidP="00373BB2">
      <w:r w:rsidRPr="00757751">
        <w:t xml:space="preserve">We were a team of researchers collecting and analysing data across four sites. It was important, therefore, to ensure clarity about our understanding and application of COP in this study. We pursued iterative conversations and exchange of data to address emerging challenges in the design and analysis phases. We perceived the interrelation of three communities (The Clinical, Teaching and Medical school communities of practice) as shown in Fig 1, which distinguishes factors that are pertinent to activity within individual communities (A-C) and factors pertinent to multiple or all communities (D-G). We defined four units of analysis: </w:t>
      </w:r>
      <w:r w:rsidRPr="00757751">
        <w:rPr>
          <w:i/>
        </w:rPr>
        <w:t xml:space="preserve">participation and reification </w:t>
      </w:r>
      <w:r w:rsidRPr="00757751">
        <w:t>(which related to individual communities) and</w:t>
      </w:r>
      <w:r w:rsidRPr="00757751">
        <w:rPr>
          <w:i/>
        </w:rPr>
        <w:t xml:space="preserve"> brokers and boundary objects </w:t>
      </w:r>
      <w:r w:rsidRPr="00757751">
        <w:t>(which related to the interface between multiple communities)</w:t>
      </w:r>
      <w:r w:rsidRPr="00757751">
        <w:rPr>
          <w:i/>
        </w:rPr>
        <w:t xml:space="preserve">. </w:t>
      </w:r>
      <w:r w:rsidRPr="00757751">
        <w:t>This enabled us to approach the data inductively, but also deductively to look for specific elements relevant to COP theory. Two or three of categories A-G were allocated to pairs of the research team (HA and HR, RKM and KJ, SP and JB). Depending on which community was relevant and whether they related to one or more community, the codes were divided into categories (A-G). Pairs then developed initial themes. JB reviewed these themes relative to the coded data to ensure themes were inclusive a</w:t>
      </w:r>
      <w:r w:rsidR="00F54D73">
        <w:t>nd coherent across the data set</w:t>
      </w:r>
      <w:r w:rsidRPr="00757751">
        <w:t xml:space="preserve">. JB, SP and HA then reviewed, refined and named these themes. This process used COP theory to critically engage across each category and the data set as a whole. </w:t>
      </w:r>
    </w:p>
    <w:p w14:paraId="7573434A" w14:textId="77777777" w:rsidR="00373BB2" w:rsidRPr="00757751" w:rsidRDefault="00373BB2" w:rsidP="00373BB2"/>
    <w:p w14:paraId="61E95A01" w14:textId="77777777" w:rsidR="00373BB2" w:rsidRPr="00757751" w:rsidRDefault="00373BB2" w:rsidP="00373BB2">
      <w:r w:rsidRPr="00757751">
        <w:t xml:space="preserve">We also conducted a deductive analysis by deliberately searching for evidence in the original codes which would corroborate the facilitators and barriers listed in Table 1. All factors were indeed corroborated by our results. </w:t>
      </w:r>
    </w:p>
    <w:p w14:paraId="502EB666" w14:textId="77777777" w:rsidR="00373BB2" w:rsidRPr="00757751" w:rsidRDefault="00373BB2" w:rsidP="00373BB2">
      <w:pPr>
        <w:rPr>
          <w:b/>
          <w:u w:val="single"/>
        </w:rPr>
      </w:pPr>
      <w:r w:rsidRPr="00757751">
        <w:rPr>
          <w:b/>
          <w:u w:val="single"/>
        </w:rPr>
        <w:lastRenderedPageBreak/>
        <w:t>Results</w:t>
      </w:r>
    </w:p>
    <w:p w14:paraId="2B183F52" w14:textId="77777777" w:rsidR="00373BB2" w:rsidRPr="00757751" w:rsidRDefault="00373BB2" w:rsidP="00373BB2"/>
    <w:p w14:paraId="5C420594" w14:textId="77777777" w:rsidR="00373BB2" w:rsidRPr="00757751" w:rsidRDefault="00373BB2" w:rsidP="00373BB2">
      <w:r w:rsidRPr="00757751">
        <w:t>Themes resulting from the analysis are presented under the heading of the community of practice to which they relate. Teaching and teachers vary in their centrality to the clinical COP. Teachers’ varied as to whether they felt a part of a teaching or medical school community. Where this occurred, participants gave pertinent examples of how perceptions of community were fostered.</w:t>
      </w:r>
    </w:p>
    <w:p w14:paraId="6BDCE1F8" w14:textId="77777777" w:rsidR="00373BB2" w:rsidRPr="00757751" w:rsidRDefault="00373BB2" w:rsidP="00373BB2"/>
    <w:p w14:paraId="13D5D3D1" w14:textId="77777777" w:rsidR="00373BB2" w:rsidRPr="00757751" w:rsidRDefault="00373BB2" w:rsidP="00373BB2">
      <w:pPr>
        <w:rPr>
          <w:b/>
          <w:i/>
        </w:rPr>
      </w:pPr>
      <w:r w:rsidRPr="00757751">
        <w:rPr>
          <w:b/>
          <w:i/>
        </w:rPr>
        <w:t>Teaching Community</w:t>
      </w:r>
    </w:p>
    <w:p w14:paraId="0D2BC1FC" w14:textId="77777777" w:rsidR="00373BB2" w:rsidRPr="00757751" w:rsidRDefault="00373BB2" w:rsidP="00373BB2"/>
    <w:p w14:paraId="62BD97D8" w14:textId="77777777" w:rsidR="00373BB2" w:rsidRPr="00757751" w:rsidRDefault="00373BB2" w:rsidP="00373BB2">
      <w:r w:rsidRPr="00757751">
        <w:t>Though rarely experienced by participants, membership of a community of teachers was acknowledged to facilitate teaching. The professional identity of tutors as GPs also positively reinforced desire to teach.</w:t>
      </w:r>
    </w:p>
    <w:p w14:paraId="1E771542" w14:textId="77777777" w:rsidR="00373BB2" w:rsidRPr="00757751" w:rsidRDefault="00373BB2" w:rsidP="00373BB2"/>
    <w:p w14:paraId="59774C02" w14:textId="77777777" w:rsidR="00373BB2" w:rsidRPr="00757751" w:rsidRDefault="00373BB2" w:rsidP="00373BB2">
      <w:pPr>
        <w:rPr>
          <w:i/>
        </w:rPr>
      </w:pPr>
      <w:r w:rsidRPr="00757751">
        <w:rPr>
          <w:i/>
        </w:rPr>
        <w:t>Identity</w:t>
      </w:r>
    </w:p>
    <w:p w14:paraId="50ABCA0F" w14:textId="77777777" w:rsidR="00373BB2" w:rsidRPr="00757751" w:rsidRDefault="00373BB2" w:rsidP="00373BB2"/>
    <w:p w14:paraId="6973796A" w14:textId="77777777" w:rsidR="00373BB2" w:rsidRPr="00757751" w:rsidRDefault="00373BB2" w:rsidP="00373BB2">
      <w:r w:rsidRPr="00757751">
        <w:t xml:space="preserve">Some teachers were galvanized to teach because they felt that primary care offered a different but equally valid experience to that offered in hospital. Some commented that it offered a more positive and unique learning environment. </w:t>
      </w:r>
    </w:p>
    <w:p w14:paraId="0E05BACB" w14:textId="77777777" w:rsidR="00373BB2" w:rsidRPr="00757751" w:rsidRDefault="00373BB2" w:rsidP="00373BB2"/>
    <w:p w14:paraId="0CDBA4B6" w14:textId="77777777" w:rsidR="00373BB2" w:rsidRPr="00757751" w:rsidRDefault="00373BB2" w:rsidP="00373BB2">
      <w:pPr>
        <w:ind w:left="720"/>
      </w:pPr>
      <w:r w:rsidRPr="00757751">
        <w:rPr>
          <w:i/>
          <w:lang w:val="en-GB"/>
        </w:rPr>
        <w:t>“That’s not really the purpose of the job that we do and it’s not really to, to teach a lot of pathology and more recognising perhaps some of the signs and the symptoms and managing that and that uncertainty.”</w:t>
      </w:r>
    </w:p>
    <w:p w14:paraId="614A9EF9" w14:textId="77777777" w:rsidR="00373BB2" w:rsidRPr="00757751" w:rsidRDefault="00373BB2" w:rsidP="00373BB2">
      <w:pPr>
        <w:rPr>
          <w:i/>
        </w:rPr>
      </w:pPr>
    </w:p>
    <w:p w14:paraId="06C1B3E4" w14:textId="77777777" w:rsidR="00373BB2" w:rsidRPr="00757751" w:rsidRDefault="00373BB2" w:rsidP="00373BB2">
      <w:pPr>
        <w:rPr>
          <w:i/>
        </w:rPr>
      </w:pPr>
      <w:r w:rsidRPr="00757751">
        <w:rPr>
          <w:i/>
        </w:rPr>
        <w:t>Membership of a teaching Community of Practice</w:t>
      </w:r>
    </w:p>
    <w:p w14:paraId="501EE7DA" w14:textId="77777777" w:rsidR="00373BB2" w:rsidRPr="00757751" w:rsidRDefault="00373BB2" w:rsidP="00373BB2"/>
    <w:p w14:paraId="4CB16E9C" w14:textId="77777777" w:rsidR="00373BB2" w:rsidRPr="00757751" w:rsidRDefault="00373BB2" w:rsidP="00373BB2">
      <w:r w:rsidRPr="00757751">
        <w:t xml:space="preserve">Participants’ desire to be and perception of being part of a teaching community of practice varied. Those working in practices where other GPs taught felt they were a part of a teaching community, facilitating their teaching participation. Some of those who taught alone felt that a sense of connection to a community was lacking, although equally others considered a community was in fact fostered by their medical school. </w:t>
      </w:r>
    </w:p>
    <w:p w14:paraId="4DED3D66" w14:textId="77777777" w:rsidR="00373BB2" w:rsidRPr="00757751" w:rsidRDefault="00373BB2" w:rsidP="00373BB2"/>
    <w:p w14:paraId="21594D05" w14:textId="77777777" w:rsidR="00373BB2" w:rsidRPr="00757751" w:rsidRDefault="00373BB2" w:rsidP="00373BB2">
      <w:pPr>
        <w:ind w:left="720"/>
        <w:rPr>
          <w:i/>
          <w:lang w:val="en-GB"/>
        </w:rPr>
      </w:pPr>
      <w:r w:rsidRPr="00757751">
        <w:rPr>
          <w:i/>
          <w:lang w:val="en-GB"/>
        </w:rPr>
        <w:t>“No, actually, no, and that’s why I like to go the exam because that’s the only time we speak to people [other teachers]”</w:t>
      </w:r>
    </w:p>
    <w:p w14:paraId="79EC7FEC" w14:textId="77777777" w:rsidR="00373BB2" w:rsidRPr="00757751" w:rsidRDefault="00373BB2" w:rsidP="00373BB2"/>
    <w:p w14:paraId="00F4690A" w14:textId="77777777" w:rsidR="00373BB2" w:rsidRPr="00757751" w:rsidRDefault="00373BB2" w:rsidP="00373BB2">
      <w:pPr>
        <w:rPr>
          <w:b/>
          <w:i/>
        </w:rPr>
      </w:pPr>
      <w:r w:rsidRPr="00757751">
        <w:rPr>
          <w:b/>
          <w:i/>
        </w:rPr>
        <w:t xml:space="preserve">Clinical community of practice </w:t>
      </w:r>
    </w:p>
    <w:p w14:paraId="3B6E521D" w14:textId="77777777" w:rsidR="00373BB2" w:rsidRPr="00757751" w:rsidRDefault="00373BB2" w:rsidP="00373BB2"/>
    <w:p w14:paraId="12510632" w14:textId="77777777" w:rsidR="00373BB2" w:rsidRPr="00757751" w:rsidRDefault="00373BB2" w:rsidP="00373BB2">
      <w:r w:rsidRPr="00757751">
        <w:t>The delivery of clinical care and of medical student teaching are often in tension. The extent of this tension depended on the positioning of teaching as a full or peripheral activity within the clinical community and of the teacher as a full (central) or peripheral member. Physical factors such as the space within the practice also played a role.</w:t>
      </w:r>
    </w:p>
    <w:p w14:paraId="49675B12" w14:textId="77777777" w:rsidR="00373BB2" w:rsidRPr="00757751" w:rsidRDefault="00373BB2" w:rsidP="00373BB2"/>
    <w:p w14:paraId="1D1D9024" w14:textId="77777777" w:rsidR="00373BB2" w:rsidRPr="00757751" w:rsidRDefault="00373BB2" w:rsidP="00373BB2">
      <w:pPr>
        <w:rPr>
          <w:i/>
        </w:rPr>
      </w:pPr>
      <w:r w:rsidRPr="00757751">
        <w:rPr>
          <w:i/>
        </w:rPr>
        <w:t>Teaching as central or peripheral to the work of the clinical COP</w:t>
      </w:r>
    </w:p>
    <w:p w14:paraId="122F7D50" w14:textId="77777777" w:rsidR="00373BB2" w:rsidRPr="00757751" w:rsidRDefault="00373BB2" w:rsidP="00373BB2"/>
    <w:p w14:paraId="42E71D6F" w14:textId="77777777" w:rsidR="00373BB2" w:rsidRPr="00757751" w:rsidRDefault="00373BB2" w:rsidP="00373BB2">
      <w:r w:rsidRPr="00757751">
        <w:t xml:space="preserve">The tension between service and teaching partly depended on the value given to teaching as work by the clinical COP and whether the whole team was involved. The tension was greatest when participants portrayed the main work of the COP </w:t>
      </w:r>
      <w:r w:rsidRPr="00757751">
        <w:lastRenderedPageBreak/>
        <w:t xml:space="preserve">of the practice as clinical, and teaching as additional. For some, increasing clinical workload was an insurmountable barrier to teaching and a cause for the </w:t>
      </w:r>
      <w:proofErr w:type="spellStart"/>
      <w:r w:rsidRPr="00757751">
        <w:t>marginalisation</w:t>
      </w:r>
      <w:proofErr w:type="spellEnd"/>
      <w:r w:rsidRPr="00757751">
        <w:t xml:space="preserve"> of teaching within the clinical COP. </w:t>
      </w:r>
    </w:p>
    <w:p w14:paraId="37610E15" w14:textId="77777777" w:rsidR="00373BB2" w:rsidRPr="00757751" w:rsidRDefault="00373BB2" w:rsidP="00373BB2"/>
    <w:p w14:paraId="2165FE8B" w14:textId="77777777" w:rsidR="00373BB2" w:rsidRPr="00757751" w:rsidRDefault="00373BB2" w:rsidP="00373BB2">
      <w:pPr>
        <w:ind w:left="720"/>
        <w:rPr>
          <w:i/>
          <w:lang w:val="en-GB"/>
        </w:rPr>
      </w:pPr>
      <w:r w:rsidRPr="00757751">
        <w:rPr>
          <w:i/>
          <w:lang w:val="en-GB"/>
        </w:rPr>
        <w:t>“We just don’t have the capacity that we had five or ten years ago, we’re all working much longer hours in our own time, doing the stuff that, either used to be done by someone else, secondary care or other services that don’t exist anymore.”</w:t>
      </w:r>
    </w:p>
    <w:p w14:paraId="60E2D5D6" w14:textId="77777777" w:rsidR="00373BB2" w:rsidRPr="00757751" w:rsidRDefault="00373BB2" w:rsidP="00373BB2"/>
    <w:p w14:paraId="79326D8C" w14:textId="77777777" w:rsidR="00373BB2" w:rsidRPr="00757751" w:rsidRDefault="00373BB2" w:rsidP="00373BB2">
      <w:r w:rsidRPr="00757751">
        <w:t xml:space="preserve">In contrast, positioning teaching centrally within the COP fostered an ethos of teaching and a sense of joint enterprise. Consequently teaching was seen as a valuable contribution to the clinical COP. In such practices teaching was thought to bring prestige to the practice and make it overall a more attractive place to work. Teaching also reified clinical practice through recognition in annual appraisal. </w:t>
      </w:r>
    </w:p>
    <w:p w14:paraId="1EA188E6" w14:textId="77777777" w:rsidR="00373BB2" w:rsidRPr="00757751" w:rsidRDefault="00373BB2" w:rsidP="00373BB2"/>
    <w:p w14:paraId="360DAEE8" w14:textId="77777777" w:rsidR="00373BB2" w:rsidRPr="00757751" w:rsidRDefault="00373BB2" w:rsidP="00373BB2">
      <w:pPr>
        <w:ind w:left="720"/>
        <w:rPr>
          <w:i/>
        </w:rPr>
      </w:pPr>
      <w:r w:rsidRPr="00757751">
        <w:rPr>
          <w:i/>
        </w:rPr>
        <w:t>“I think being a teaching practice does help you recruit and retain… I think the ethos of a teaching practice is slightly different, I think that the perception of teaching practices is that they are perhaps a little bit more up to date, and modern.”</w:t>
      </w:r>
    </w:p>
    <w:p w14:paraId="45FBBB78" w14:textId="77777777" w:rsidR="00373BB2" w:rsidRPr="00757751" w:rsidRDefault="00373BB2" w:rsidP="00373BB2">
      <w:pPr>
        <w:ind w:left="720"/>
      </w:pPr>
    </w:p>
    <w:p w14:paraId="6553C57B" w14:textId="77777777" w:rsidR="00373BB2" w:rsidRPr="00757751" w:rsidRDefault="00373BB2" w:rsidP="00373BB2">
      <w:pPr>
        <w:ind w:left="720"/>
      </w:pPr>
      <w:r w:rsidRPr="00757751">
        <w:rPr>
          <w:i/>
          <w:lang w:val="en-GB"/>
        </w:rPr>
        <w:t>“I’ve always given [teaching] quite high priority, and I suppose being in the fortunate position where that’s been valued by my partners, so, it’s been seen as part of my contribution...”</w:t>
      </w:r>
    </w:p>
    <w:p w14:paraId="59CBE62F" w14:textId="77777777" w:rsidR="00373BB2" w:rsidRPr="00757751" w:rsidRDefault="00373BB2" w:rsidP="00373BB2"/>
    <w:p w14:paraId="7E4A857E" w14:textId="77777777" w:rsidR="00373BB2" w:rsidRPr="00757751" w:rsidRDefault="00373BB2" w:rsidP="00373BB2">
      <w:r w:rsidRPr="00757751">
        <w:t>Teaching-service tensions were reduced in practices where multiple clinicians shared teaching responsibilities and when non-medical staff (</w:t>
      </w:r>
      <w:proofErr w:type="spellStart"/>
      <w:r w:rsidRPr="00757751">
        <w:t>eg</w:t>
      </w:r>
      <w:proofErr w:type="spellEnd"/>
      <w:r w:rsidRPr="00757751">
        <w:t xml:space="preserve"> practice managers) and members of the wider primary healthcare team (</w:t>
      </w:r>
      <w:proofErr w:type="spellStart"/>
      <w:r w:rsidRPr="00757751">
        <w:t>eg</w:t>
      </w:r>
      <w:proofErr w:type="spellEnd"/>
      <w:r w:rsidRPr="00757751">
        <w:t xml:space="preserve"> heart failure nurses) were involved in teaching delivery.</w:t>
      </w:r>
    </w:p>
    <w:p w14:paraId="0BF02C9C" w14:textId="77777777" w:rsidR="00373BB2" w:rsidRPr="00757751" w:rsidRDefault="00373BB2" w:rsidP="00373BB2"/>
    <w:p w14:paraId="17EC1DA3" w14:textId="77777777" w:rsidR="00373BB2" w:rsidRPr="00757751" w:rsidRDefault="00373BB2" w:rsidP="00373BB2">
      <w:pPr>
        <w:rPr>
          <w:i/>
        </w:rPr>
      </w:pPr>
      <w:r w:rsidRPr="00757751">
        <w:rPr>
          <w:i/>
        </w:rPr>
        <w:t>Teacher as central or peripheral to the clinical COP</w:t>
      </w:r>
    </w:p>
    <w:p w14:paraId="5839BC32" w14:textId="77777777" w:rsidR="00373BB2" w:rsidRPr="00757751" w:rsidRDefault="00373BB2" w:rsidP="00373BB2"/>
    <w:p w14:paraId="39F5BD08" w14:textId="77777777" w:rsidR="00373BB2" w:rsidRPr="00757751" w:rsidRDefault="00373BB2" w:rsidP="00373BB2">
      <w:r w:rsidRPr="00757751">
        <w:t xml:space="preserve">The clinician teacher’s position within the clinical COP also affected the service-teaching tension. Central members of the clinical community tended to be partners. Whilst perceived to be in an ideal position to foster an ethos for teaching, many partners reported barriers to teaching prompting ‘regrettable’ decisions to stop. Factors included their responsibility to </w:t>
      </w:r>
      <w:proofErr w:type="spellStart"/>
      <w:r w:rsidRPr="00757751">
        <w:t>prioritise</w:t>
      </w:r>
      <w:proofErr w:type="spellEnd"/>
      <w:r w:rsidRPr="00757751">
        <w:t xml:space="preserve"> patient care at a time when workload was increasing and remuneration for teaching (in real terms) was decreasing. </w:t>
      </w:r>
    </w:p>
    <w:p w14:paraId="2361A0D8" w14:textId="77777777" w:rsidR="00373BB2" w:rsidRPr="00757751" w:rsidRDefault="00373BB2" w:rsidP="00373BB2"/>
    <w:p w14:paraId="73643623" w14:textId="77777777" w:rsidR="00373BB2" w:rsidRPr="00757751" w:rsidRDefault="00373BB2" w:rsidP="00373BB2">
      <w:r w:rsidRPr="00757751">
        <w:t>Training of postgraduate GP trainees was preferred by some participants to undergraduate teaching as it was considered to be financially efficient, rewarding in terms of longitudinal tutor-learner relationship and enhancing of clinical service provision.</w:t>
      </w:r>
    </w:p>
    <w:p w14:paraId="667DDB57" w14:textId="77777777" w:rsidR="00373BB2" w:rsidRPr="00757751" w:rsidRDefault="00373BB2" w:rsidP="00373BB2"/>
    <w:p w14:paraId="055497EA" w14:textId="77777777" w:rsidR="00373BB2" w:rsidRPr="00757751" w:rsidRDefault="00373BB2" w:rsidP="00373BB2">
      <w:r w:rsidRPr="00757751">
        <w:t xml:space="preserve">Peripheral members of the clinical COP, often salaried and locum doctors, were in a weaker position to foster a clinical community-wide value in teaching. However they often possessed greater personal autonomy to teach as they were less constrained by the financial practice priorities of partners. </w:t>
      </w:r>
    </w:p>
    <w:p w14:paraId="1954906D" w14:textId="77777777" w:rsidR="00373BB2" w:rsidRPr="00757751" w:rsidRDefault="00373BB2" w:rsidP="00373BB2"/>
    <w:p w14:paraId="5C3563B6" w14:textId="77777777" w:rsidR="00373BB2" w:rsidRPr="00757751" w:rsidRDefault="00373BB2" w:rsidP="00373BB2">
      <w:pPr>
        <w:ind w:left="720"/>
        <w:rPr>
          <w:i/>
          <w:lang w:val="en-GB"/>
        </w:rPr>
      </w:pPr>
      <w:r w:rsidRPr="00757751">
        <w:rPr>
          <w:i/>
          <w:lang w:val="en-GB"/>
        </w:rPr>
        <w:t>“Most salaried doctors now I think, well most salaried GP’s I think have a day a week that they don’t work [clinically, when] they’re probably much more able than partners are to, to take that time and do something else with it.”</w:t>
      </w:r>
    </w:p>
    <w:p w14:paraId="073F2D37" w14:textId="77777777" w:rsidR="00373BB2" w:rsidRPr="00757751" w:rsidRDefault="00373BB2" w:rsidP="00373BB2"/>
    <w:p w14:paraId="1DB64045" w14:textId="77777777" w:rsidR="00373BB2" w:rsidRPr="00757751" w:rsidRDefault="00373BB2" w:rsidP="00373BB2">
      <w:r w:rsidRPr="00757751">
        <w:t xml:space="preserve">Tension occurred when peripheral members relied upon partners and administrative staff in order to deliver teaching. Peripheral members could limit this dependence by taking full responsibility for all aspects of teaching </w:t>
      </w:r>
      <w:proofErr w:type="spellStart"/>
      <w:r w:rsidRPr="00757751">
        <w:t>organisation</w:t>
      </w:r>
      <w:proofErr w:type="spellEnd"/>
      <w:r w:rsidRPr="00757751">
        <w:t xml:space="preserve">. However, in doing so, teaching became an entirely peripheral activity in the practice. </w:t>
      </w:r>
    </w:p>
    <w:p w14:paraId="73CC4DC3" w14:textId="77777777" w:rsidR="00373BB2" w:rsidRPr="00757751" w:rsidRDefault="00373BB2" w:rsidP="00373BB2"/>
    <w:p w14:paraId="7FD0229A" w14:textId="77777777" w:rsidR="00373BB2" w:rsidRPr="00757751" w:rsidRDefault="00373BB2" w:rsidP="00373BB2">
      <w:pPr>
        <w:ind w:left="720"/>
      </w:pPr>
      <w:r w:rsidRPr="00757751">
        <w:rPr>
          <w:i/>
        </w:rPr>
        <w:t>“…if you come up with a proposal, you can work out with the Medical School and you do it outside your core clinical sessions and you can make it work in a way that’s cost neutral to the practice we are very happy for you to do that.”</w:t>
      </w:r>
      <w:r w:rsidRPr="00757751" w:rsidDel="0078704B">
        <w:t xml:space="preserve"> </w:t>
      </w:r>
    </w:p>
    <w:p w14:paraId="6ECC7C62" w14:textId="77777777" w:rsidR="00373BB2" w:rsidRPr="00757751" w:rsidRDefault="00373BB2" w:rsidP="00373BB2"/>
    <w:p w14:paraId="35CCA0FB" w14:textId="77777777" w:rsidR="00373BB2" w:rsidRPr="00757751" w:rsidRDefault="00373BB2" w:rsidP="00373BB2">
      <w:r w:rsidRPr="00757751">
        <w:t xml:space="preserve">Perhaps the epitome of peripheral membership is that of a locum doctor who is external to the clinical COP and therefore often less able to take responsibility for the administrative work involved in teaching. </w:t>
      </w:r>
      <w:r w:rsidRPr="00757751">
        <w:rPr>
          <w:lang w:val="en-GB"/>
        </w:rPr>
        <w:t>This non-membership was also important to partners (the employers) who described concerns in trusting an often unknown locum to teach while caring for their patients.</w:t>
      </w:r>
    </w:p>
    <w:p w14:paraId="06488DE3" w14:textId="77777777" w:rsidR="00373BB2" w:rsidRPr="00757751" w:rsidRDefault="00373BB2" w:rsidP="00373BB2"/>
    <w:p w14:paraId="2877E2A2" w14:textId="77777777" w:rsidR="00373BB2" w:rsidRPr="00757751" w:rsidRDefault="00373BB2" w:rsidP="00373BB2">
      <w:pPr>
        <w:rPr>
          <w:lang w:val="en-GB"/>
        </w:rPr>
      </w:pPr>
      <w:r w:rsidRPr="00757751">
        <w:rPr>
          <w:lang w:val="en-GB"/>
        </w:rPr>
        <w:t xml:space="preserve">However, one locum had found ‘host’ practices for his teaching and other participants believed that there were locum GPs who were keen to teach but who believed they could not. </w:t>
      </w:r>
    </w:p>
    <w:p w14:paraId="1A3E17ED" w14:textId="77777777" w:rsidR="00373BB2" w:rsidRPr="00757751" w:rsidRDefault="00373BB2" w:rsidP="00373BB2"/>
    <w:p w14:paraId="5B28A5FA" w14:textId="77777777" w:rsidR="00373BB2" w:rsidRPr="00757751" w:rsidRDefault="00373BB2" w:rsidP="00373BB2">
      <w:pPr>
        <w:ind w:left="720"/>
      </w:pPr>
      <w:r w:rsidRPr="00757751">
        <w:rPr>
          <w:i/>
          <w:lang w:val="en-GB"/>
        </w:rPr>
        <w:t>“Younger G.P.’s are definitely not going into partnership, not going into salaried positions, so there are more and more portfolio GPs, so we have a whole host of GPs here who are, maybe, quite keen to teach but they don’t have the facilities to do it.”</w:t>
      </w:r>
    </w:p>
    <w:p w14:paraId="41746194" w14:textId="77777777" w:rsidR="00373BB2" w:rsidRPr="00757751" w:rsidRDefault="00373BB2" w:rsidP="00373BB2">
      <w:pPr>
        <w:rPr>
          <w:i/>
        </w:rPr>
      </w:pPr>
    </w:p>
    <w:p w14:paraId="28D04AFA" w14:textId="77777777" w:rsidR="00373BB2" w:rsidRPr="00757751" w:rsidRDefault="00373BB2" w:rsidP="00373BB2">
      <w:pPr>
        <w:rPr>
          <w:i/>
        </w:rPr>
      </w:pPr>
      <w:r w:rsidRPr="00757751">
        <w:rPr>
          <w:i/>
        </w:rPr>
        <w:t>Physical factors</w:t>
      </w:r>
    </w:p>
    <w:p w14:paraId="59D914FD" w14:textId="77777777" w:rsidR="00373BB2" w:rsidRPr="00757751" w:rsidRDefault="00373BB2" w:rsidP="00373BB2">
      <w:pPr>
        <w:rPr>
          <w:lang w:val="en-GB"/>
        </w:rPr>
      </w:pPr>
      <w:r w:rsidRPr="00757751">
        <w:rPr>
          <w:lang w:val="en-GB"/>
        </w:rPr>
        <w:tab/>
      </w:r>
    </w:p>
    <w:p w14:paraId="78070247" w14:textId="77777777" w:rsidR="00373BB2" w:rsidRPr="00757751" w:rsidRDefault="00373BB2" w:rsidP="00373BB2">
      <w:r w:rsidRPr="00757751">
        <w:t xml:space="preserve">Physical space to accommodate students was a common barrier to teaching within the clinical COP whether in smaller or larger practices. </w:t>
      </w:r>
      <w:r w:rsidRPr="00757751">
        <w:rPr>
          <w:lang w:val="en-GB"/>
        </w:rPr>
        <w:t>Two participants had received external funding for extra teaching space.</w:t>
      </w:r>
    </w:p>
    <w:p w14:paraId="3FEF4BDD" w14:textId="77777777" w:rsidR="00373BB2" w:rsidRPr="00757751" w:rsidRDefault="00373BB2" w:rsidP="00373BB2"/>
    <w:p w14:paraId="5A3E30AE" w14:textId="77777777" w:rsidR="00373BB2" w:rsidRPr="00757751" w:rsidRDefault="00373BB2" w:rsidP="00373BB2"/>
    <w:p w14:paraId="1EDE636C" w14:textId="77777777" w:rsidR="00373BB2" w:rsidRPr="00757751" w:rsidRDefault="00373BB2" w:rsidP="00373BB2">
      <w:pPr>
        <w:rPr>
          <w:b/>
          <w:i/>
        </w:rPr>
      </w:pPr>
      <w:r w:rsidRPr="00757751">
        <w:rPr>
          <w:b/>
          <w:i/>
        </w:rPr>
        <w:t>Membership of the Medical School Community</w:t>
      </w:r>
    </w:p>
    <w:p w14:paraId="5498E267" w14:textId="77777777" w:rsidR="00373BB2" w:rsidRPr="00757751" w:rsidRDefault="00373BB2" w:rsidP="00373BB2"/>
    <w:p w14:paraId="08325DCA" w14:textId="77777777" w:rsidR="00373BB2" w:rsidRPr="00757751" w:rsidRDefault="00373BB2" w:rsidP="00373BB2">
      <w:r w:rsidRPr="00757751">
        <w:t xml:space="preserve">The medical schools in this study were responsible for the overall delivery of undergraduate student placements in the community. This included </w:t>
      </w:r>
      <w:proofErr w:type="spellStart"/>
      <w:r w:rsidRPr="00757751">
        <w:t>organisation</w:t>
      </w:r>
      <w:proofErr w:type="spellEnd"/>
      <w:r w:rsidRPr="00757751">
        <w:t xml:space="preserve"> of placements in individual practices.  Medical schools play an important role in determining teachers’ decisions to teach through the interface they share with teachers, their recruitment strategies and their expectations of practice-based teaching. Feelings of membership of the medical school COP varied, though where they existed they facilitated participation in teaching. </w:t>
      </w:r>
    </w:p>
    <w:p w14:paraId="0F44D618" w14:textId="77777777" w:rsidR="00373BB2" w:rsidRPr="00757751" w:rsidRDefault="00373BB2" w:rsidP="00373BB2"/>
    <w:p w14:paraId="5ED603AD" w14:textId="77777777" w:rsidR="00373BB2" w:rsidRPr="00757751" w:rsidRDefault="00373BB2" w:rsidP="00373BB2">
      <w:pPr>
        <w:rPr>
          <w:i/>
        </w:rPr>
      </w:pPr>
      <w:r w:rsidRPr="00757751">
        <w:rPr>
          <w:i/>
        </w:rPr>
        <w:lastRenderedPageBreak/>
        <w:t>Interface and membership</w:t>
      </w:r>
    </w:p>
    <w:p w14:paraId="5357DD16" w14:textId="77777777" w:rsidR="00373BB2" w:rsidRPr="00757751" w:rsidRDefault="00373BB2" w:rsidP="00373BB2"/>
    <w:p w14:paraId="6CC97BA4" w14:textId="77777777" w:rsidR="00373BB2" w:rsidRPr="00757751" w:rsidRDefault="00373BB2" w:rsidP="00373BB2">
      <w:r w:rsidRPr="00757751">
        <w:t xml:space="preserve">Teachers felt separated from the medical school by both physical distance and poor communication. Nevertheless, the interface between teachers and the medical school was mediated by both brokers and boundary objects.  Administrative staff and teaching leads acted as brokers of this interface and directly impacted on teachers’ sense of membership. </w:t>
      </w:r>
    </w:p>
    <w:p w14:paraId="08993CF1" w14:textId="77777777" w:rsidR="00373BB2" w:rsidRPr="00757751" w:rsidRDefault="00373BB2" w:rsidP="00373BB2"/>
    <w:p w14:paraId="79C38E7D" w14:textId="77777777" w:rsidR="00373BB2" w:rsidRPr="00757751" w:rsidRDefault="00373BB2" w:rsidP="00373BB2">
      <w:pPr>
        <w:ind w:left="720"/>
      </w:pPr>
      <w:r w:rsidRPr="00757751">
        <w:rPr>
          <w:i/>
          <w:lang w:val="en-GB"/>
        </w:rPr>
        <w:t>“</w:t>
      </w:r>
      <w:proofErr w:type="gramStart"/>
      <w:r w:rsidRPr="00757751">
        <w:rPr>
          <w:i/>
          <w:lang w:val="en-GB"/>
        </w:rPr>
        <w:t>the</w:t>
      </w:r>
      <w:proofErr w:type="gramEnd"/>
      <w:r w:rsidRPr="00757751">
        <w:rPr>
          <w:i/>
          <w:lang w:val="en-GB"/>
        </w:rPr>
        <w:t xml:space="preserve"> great thing with someone like </w:t>
      </w:r>
      <w:proofErr w:type="spellStart"/>
      <w:r w:rsidRPr="00757751">
        <w:rPr>
          <w:i/>
          <w:lang w:val="en-GB"/>
        </w:rPr>
        <w:t>xxxx</w:t>
      </w:r>
      <w:proofErr w:type="spellEnd"/>
      <w:r w:rsidRPr="00757751">
        <w:rPr>
          <w:i/>
          <w:lang w:val="en-GB"/>
        </w:rPr>
        <w:t xml:space="preserve"> is that you just go to one person, you can send her an email and she’ll come back very quickly. So, she is, to us the entry point into the Medical School.”</w:t>
      </w:r>
    </w:p>
    <w:p w14:paraId="5E3E404D" w14:textId="77777777" w:rsidR="00373BB2" w:rsidRPr="00757751" w:rsidRDefault="00373BB2" w:rsidP="00373BB2"/>
    <w:p w14:paraId="1535C396" w14:textId="77777777" w:rsidR="00373BB2" w:rsidRPr="00757751" w:rsidRDefault="00373BB2" w:rsidP="00373BB2">
      <w:pPr>
        <w:rPr>
          <w:lang w:val="en-GB"/>
        </w:rPr>
      </w:pPr>
      <w:r w:rsidRPr="00757751">
        <w:t xml:space="preserve">Feedback, prizes and other forms of recognition, acted as boundary objects between the two communities. GPs greatly appreciated swift and detailed feedback about their teaching and conversely were </w:t>
      </w:r>
      <w:r w:rsidRPr="00757751">
        <w:rPr>
          <w:lang w:val="en-GB"/>
        </w:rPr>
        <w:t xml:space="preserve">discouraged when feedback was inconsistent, absent or not frequent enough. </w:t>
      </w:r>
    </w:p>
    <w:p w14:paraId="4A9CFD66" w14:textId="77777777" w:rsidR="00373BB2" w:rsidRPr="00757751" w:rsidRDefault="00373BB2" w:rsidP="00373BB2">
      <w:pPr>
        <w:rPr>
          <w:lang w:val="en-GB"/>
        </w:rPr>
      </w:pPr>
    </w:p>
    <w:p w14:paraId="03B21CD5" w14:textId="77777777" w:rsidR="00373BB2" w:rsidRPr="00757751" w:rsidRDefault="00373BB2" w:rsidP="00373BB2">
      <w:r w:rsidRPr="00757751">
        <w:rPr>
          <w:lang w:val="en-GB"/>
        </w:rPr>
        <w:t>Events organised for teachers in the medical school reduced the perceived physical barrier between them and the medical school community.</w:t>
      </w:r>
      <w:r w:rsidRPr="00757751">
        <w:t xml:space="preserve"> </w:t>
      </w:r>
      <w:r w:rsidRPr="00757751">
        <w:rPr>
          <w:lang w:val="en-GB"/>
        </w:rPr>
        <w:t>Participation in other educational activities in the medical school, such as examining, increased the sense of membership, but many teachers commented that they were not made aware of these opportunities.</w:t>
      </w:r>
    </w:p>
    <w:p w14:paraId="6308C4A2" w14:textId="77777777" w:rsidR="00373BB2" w:rsidRPr="00757751" w:rsidRDefault="00373BB2" w:rsidP="00373BB2">
      <w:pPr>
        <w:rPr>
          <w:lang w:val="en-GB"/>
        </w:rPr>
      </w:pPr>
    </w:p>
    <w:p w14:paraId="626C6FF6" w14:textId="77777777" w:rsidR="00373BB2" w:rsidRPr="00757751" w:rsidRDefault="00373BB2" w:rsidP="00373BB2">
      <w:pPr>
        <w:rPr>
          <w:i/>
        </w:rPr>
      </w:pPr>
      <w:r w:rsidRPr="00757751">
        <w:rPr>
          <w:i/>
        </w:rPr>
        <w:t>Medical school recruitment of tutors</w:t>
      </w:r>
    </w:p>
    <w:p w14:paraId="75102CE5" w14:textId="77777777" w:rsidR="00373BB2" w:rsidRPr="00757751" w:rsidRDefault="00373BB2" w:rsidP="00373BB2"/>
    <w:p w14:paraId="0897490D" w14:textId="77777777" w:rsidR="00373BB2" w:rsidRPr="00757751" w:rsidRDefault="00373BB2" w:rsidP="00373BB2">
      <w:pPr>
        <w:rPr>
          <w:lang w:val="en-GB"/>
        </w:rPr>
      </w:pPr>
      <w:r w:rsidRPr="00757751">
        <w:t xml:space="preserve">Some participants had initiated contact with medical schools themselves having never received medical school recruitment materials. This highlighted that medical school recruitment is not reaching all potential GP teachers. </w:t>
      </w:r>
      <w:r w:rsidRPr="00757751">
        <w:rPr>
          <w:lang w:val="en-GB"/>
        </w:rPr>
        <w:t>Participants suggested a number of ways in which medical schools might improve recruitment (Table 2).</w:t>
      </w:r>
    </w:p>
    <w:p w14:paraId="2EDA34F1" w14:textId="77777777" w:rsidR="00373BB2" w:rsidRPr="00757751" w:rsidRDefault="00373BB2" w:rsidP="00373BB2">
      <w:pPr>
        <w:rPr>
          <w:i/>
          <w:lang w:val="en-GB"/>
        </w:rPr>
      </w:pPr>
    </w:p>
    <w:p w14:paraId="042DC464" w14:textId="77777777" w:rsidR="00373BB2" w:rsidRPr="00757751" w:rsidRDefault="00373BB2" w:rsidP="00373BB2">
      <w:pPr>
        <w:rPr>
          <w:i/>
          <w:lang w:val="en-GB"/>
        </w:rPr>
      </w:pPr>
      <w:r w:rsidRPr="00757751">
        <w:rPr>
          <w:i/>
          <w:lang w:val="en-GB"/>
        </w:rPr>
        <w:t>Medical school expectations of practice-based learning experiences</w:t>
      </w:r>
    </w:p>
    <w:p w14:paraId="6AD3E4B3" w14:textId="77777777" w:rsidR="00373BB2" w:rsidRPr="00757751" w:rsidRDefault="00373BB2" w:rsidP="00373BB2">
      <w:pPr>
        <w:rPr>
          <w:lang w:val="en-GB"/>
        </w:rPr>
      </w:pPr>
    </w:p>
    <w:p w14:paraId="5DF9A5F4" w14:textId="77777777" w:rsidR="00373BB2" w:rsidRPr="00757751" w:rsidRDefault="00373BB2" w:rsidP="00373BB2">
      <w:r w:rsidRPr="00757751">
        <w:rPr>
          <w:lang w:val="en-GB"/>
        </w:rPr>
        <w:t xml:space="preserve">The interviews highlighted the variety of teaching in general practice. Some of this variation reflected the different expectations of medical schools: placements ranged from one day to 15 weeks in length and learning aims/topics from general practice to specialities such as endocrinology. Varying expectations impacted on teachers’ motivations to teach; for example, teachers found longitudinal student relationships rewarding in contrast to short clinical placements. </w:t>
      </w:r>
      <w:r w:rsidRPr="00757751">
        <w:t xml:space="preserve">Curricula which required teaching of specific subjects in general practice reduced teacher autonomy and were perceived to negatively impact on students’ engagement with teaching. </w:t>
      </w:r>
    </w:p>
    <w:p w14:paraId="4D607674" w14:textId="77777777" w:rsidR="00373BB2" w:rsidRPr="00757751" w:rsidRDefault="00373BB2" w:rsidP="00373BB2"/>
    <w:p w14:paraId="08AD20CD" w14:textId="77777777" w:rsidR="00373BB2" w:rsidRPr="00757751" w:rsidRDefault="00373BB2" w:rsidP="00373BB2">
      <w:pPr>
        <w:ind w:left="720"/>
      </w:pPr>
      <w:r w:rsidRPr="00757751">
        <w:rPr>
          <w:i/>
          <w:lang w:val="en-GB"/>
        </w:rPr>
        <w:t>“X’s students all did our heads in because they were so outcome based… they have these green books and you have to tick what they do and if we were doing something that was really exciting with a patient but if they’d already got a tick in that box they weren’t interested.”</w:t>
      </w:r>
    </w:p>
    <w:p w14:paraId="74D01815" w14:textId="77777777" w:rsidR="00373BB2" w:rsidRPr="00757751" w:rsidRDefault="00373BB2" w:rsidP="00373BB2">
      <w:pPr>
        <w:rPr>
          <w:lang w:val="en-GB"/>
        </w:rPr>
      </w:pPr>
    </w:p>
    <w:p w14:paraId="6E38E5FF" w14:textId="77777777" w:rsidR="00373BB2" w:rsidRPr="00757751" w:rsidRDefault="00373BB2" w:rsidP="00373BB2"/>
    <w:p w14:paraId="17DC57F5" w14:textId="77777777" w:rsidR="00373BB2" w:rsidRPr="00757751" w:rsidRDefault="00373BB2" w:rsidP="00373BB2"/>
    <w:p w14:paraId="7B271044" w14:textId="77777777" w:rsidR="00373BB2" w:rsidRPr="00757751" w:rsidRDefault="00373BB2" w:rsidP="00373BB2">
      <w:pPr>
        <w:rPr>
          <w:b/>
          <w:u w:val="single"/>
        </w:rPr>
      </w:pPr>
      <w:r w:rsidRPr="00757751">
        <w:rPr>
          <w:b/>
          <w:u w:val="single"/>
        </w:rPr>
        <w:t>Discussion</w:t>
      </w:r>
    </w:p>
    <w:p w14:paraId="24A7FEBC" w14:textId="77777777" w:rsidR="00373BB2" w:rsidRPr="00757751" w:rsidRDefault="00373BB2" w:rsidP="00373BB2"/>
    <w:p w14:paraId="5BE439DA" w14:textId="77777777" w:rsidR="00373BB2" w:rsidRPr="00757751" w:rsidRDefault="00373BB2" w:rsidP="00373BB2">
      <w:r w:rsidRPr="00757751">
        <w:t xml:space="preserve">Our study demonstrates that the increasing challenge of delivering clinical care is contributing to the </w:t>
      </w:r>
      <w:proofErr w:type="spellStart"/>
      <w:r w:rsidRPr="00757751">
        <w:t>marginalisation</w:t>
      </w:r>
      <w:proofErr w:type="spellEnd"/>
      <w:r w:rsidRPr="00757751">
        <w:t xml:space="preserve"> of undergraduate community-based teaching. However, this is mitigated in practices which have positioned teaching as a core activity.  A ‘frictionless’ interface between the school and the teacher’s community of practice enhances tutors’ engagement with the school and may enhance retention. There appears to be untapped teaching resource in general practice but schools may need to communicate differently to access and support this. </w:t>
      </w:r>
    </w:p>
    <w:p w14:paraId="5D8C4BF1" w14:textId="77777777" w:rsidR="00373BB2" w:rsidRPr="00757751" w:rsidRDefault="00373BB2" w:rsidP="00373BB2"/>
    <w:p w14:paraId="6A4A3E08" w14:textId="77777777" w:rsidR="00373BB2" w:rsidRPr="00757751" w:rsidRDefault="00373BB2" w:rsidP="00373BB2">
      <w:pPr>
        <w:rPr>
          <w:i/>
        </w:rPr>
      </w:pPr>
      <w:r w:rsidRPr="00757751">
        <w:rPr>
          <w:i/>
        </w:rPr>
        <w:t>What this study adds</w:t>
      </w:r>
    </w:p>
    <w:p w14:paraId="3D3A9ECF" w14:textId="77777777" w:rsidR="00373BB2" w:rsidRPr="00757751" w:rsidRDefault="00373BB2" w:rsidP="00373BB2"/>
    <w:p w14:paraId="0CEB463E" w14:textId="77777777" w:rsidR="00373BB2" w:rsidRPr="00757751" w:rsidRDefault="00373BB2" w:rsidP="00373BB2">
      <w:r w:rsidRPr="00757751">
        <w:t>This is the first reported study about undergraduate clinical teacher recruitment in general practice to explicitly use Communities of Practice theory. These findings may have relevance to a number of healthcare professions delivering work-place based teaching with in the community. (6-8, 10, 30)</w:t>
      </w:r>
    </w:p>
    <w:p w14:paraId="38F2603C" w14:textId="77777777" w:rsidR="00373BB2" w:rsidRPr="00757751" w:rsidRDefault="00373BB2" w:rsidP="00373BB2"/>
    <w:p w14:paraId="4562C1FA" w14:textId="77777777" w:rsidR="00373BB2" w:rsidRPr="00757751" w:rsidRDefault="00373BB2" w:rsidP="00373BB2">
      <w:r w:rsidRPr="00757751">
        <w:t xml:space="preserve">We have highlighted the peripheral position of many teachers relative to both clinical and teaching communities. Walters </w:t>
      </w:r>
      <w:r w:rsidRPr="00757751">
        <w:rPr>
          <w:i/>
        </w:rPr>
        <w:t>et al</w:t>
      </w:r>
      <w:r w:rsidRPr="00757751">
        <w:t xml:space="preserve"> alluded to </w:t>
      </w:r>
      <w:proofErr w:type="spellStart"/>
      <w:r w:rsidRPr="00757751">
        <w:t>CoP</w:t>
      </w:r>
      <w:proofErr w:type="spellEnd"/>
      <w:r w:rsidRPr="00757751">
        <w:t xml:space="preserve"> theory in suggesting that identification as “central” members of the teaching community may be the most important motivator to teach. </w:t>
      </w:r>
      <w:r w:rsidRPr="00757751">
        <w:fldChar w:fldCharType="begin" w:fldLock="1"/>
      </w:r>
      <w:r w:rsidRPr="00757751">
        <w:instrText>ADDIN CSL_CITATION { "citationID" : "aesgcsqj8o", "citationItems" : [ { "id" : "ITEM-1", "itemData" : { "DOI" : "10.1111/j.1365-2923.2010.03901.x", "ISSN" : "03080110", "author" : [ { "dropping-particle" : "", "family" : "Walters", "given" : "Lucie", "non-dropping-particle" : "", "parse-names" : false, "suffix" : "" }, { "dropping-particle" : "", "family" : "Prideaux", "given" : "David", "non-dropping-particle" : "", "parse-names" : false, "suffix" : "" }, { "dropping-particle" : "", "family" : "Worley", "given" : "Paul", "non-dropping-particle" : "", "parse-names" : false, "suffix" : "" }, { "dropping-particle" : "", "family" : "Greenhill", "given" : "Jennene", "non-dropping-particle" : "", "parse-names" : false, "suffix" : "" } ], "container-title" : "Medical Education", "id" : "ITEM-1", "issue" : "5", "issued" : { "date-parts" : [ [ "2011", "5" ] ] }, "language" : "en", "page" : "455-463", "title" : "Demonstrating the value of longitudinal integrated placements to general practice preceptors: Value of student placements to preceptors", "type" : "article-journal", "volume" : "45" }, "uri" : [ "http://zotero.org/users/4338344/items/ZUM29MGD" ], "uris" : [ "http://zotero.org/users/4338344/items/ZUM29MGD", "http://www.mendeley.com/documents/?uuid=e1d4bb22-97d0-4280-88cb-835843b3d60a" ] } ], "mendeley" : { "formattedCitation" : "(18)", "plainTextFormattedCitation" : "(18)", "previouslyFormattedCitation" : "(18)" }, "properties" : { "formattedCitation" : "(17)", "noteIndex" : 0, "plainCitation" : "(17)" }, "schema" : "https://github.com/citation-style-language/schema/raw/master/csl-citation.json" }</w:instrText>
      </w:r>
      <w:r w:rsidRPr="00757751">
        <w:fldChar w:fldCharType="separate"/>
      </w:r>
      <w:r w:rsidRPr="00757751">
        <w:rPr>
          <w:noProof/>
        </w:rPr>
        <w:t>(31)</w:t>
      </w:r>
      <w:r w:rsidRPr="00757751">
        <w:fldChar w:fldCharType="end"/>
      </w:r>
      <w:r w:rsidRPr="00757751">
        <w:t xml:space="preserve"> With increasing service demands, careful consideration is needed to ensure that teaching is a central, </w:t>
      </w:r>
      <w:proofErr w:type="spellStart"/>
      <w:r w:rsidRPr="00757751">
        <w:t>normalised</w:t>
      </w:r>
      <w:proofErr w:type="spellEnd"/>
      <w:r w:rsidRPr="00757751">
        <w:t xml:space="preserve"> part of clinical work and that teachers, who may be increasingly isolated, are sufficiently supported by the school and benefit from social interactions across a network of teachers. That there were fewest results pertaining to the Teaching COP is a possible indication that teachers feel less a part of a community of teachers than of a clinical or school community.</w:t>
      </w:r>
    </w:p>
    <w:p w14:paraId="78B86809" w14:textId="77777777" w:rsidR="00373BB2" w:rsidRPr="00757751" w:rsidRDefault="00373BB2" w:rsidP="00373BB2"/>
    <w:p w14:paraId="557C27C4" w14:textId="77777777" w:rsidR="00373BB2" w:rsidRPr="00757751" w:rsidRDefault="00373BB2" w:rsidP="00373BB2">
      <w:pPr>
        <w:rPr>
          <w:noProof/>
        </w:rPr>
      </w:pPr>
      <w:r w:rsidRPr="00757751">
        <w:t>Previous research has suggested the importance of both a community of teachers and of an interface with the school.</w:t>
      </w:r>
      <w:r w:rsidRPr="00757751">
        <w:fldChar w:fldCharType="begin" w:fldLock="1"/>
      </w:r>
      <w:r w:rsidRPr="00757751">
        <w:instrText>ADDIN CSL_CITATION { "citationID" : "al1vbfut4n", "citationItems" : [ { "id" : "ITEM-1", "itemData" : { "DOI" : "10.1080/01421590600825383", "ISSN" : "0142-159X, 1466-187X", "author" : [ { "dropping-particle" : "", "family" : "Grant", "given" : "Andy", "non-dropping-particle" : "", "parse-names" : false, "suffix" : "" }, { "dropping-particle" : "", "family" : "Robling", "given" : "Michael", "non-dropping-particle" : "", "parse-names" : false, "suffix" : "" } ], "container-title" : "Medical Teacher", "id" : "ITEM-1", "issue" : "7", "issued" : { "date-parts" : [ [ "2006", "1" ] ] }, "language" : "en", "page" : "e192-e197", "title" : "Introducing undergraduate medical teaching into general practice: an action research study", "type" : "article-journal", "volume" : "28" }, "uri" : [ "http://zotero.org/users/4338344/items/PZRKCIUQ" ], "uris" : [ "http://zotero.org/users/4338344/items/PZRKCIUQ", "http://www.mendeley.com/documents/?uuid=05216a19-3535-4290-a657-b44db893c885" ] }, { "id" : "ITEM-2", "itemData" : { "DOI" : "10.1080/14739879.2007.11493593", "ISSN" : "1473-9879, 1475-990X", "author" : [ { "dropping-particle" : "", "family" : "Quince", "given" : "Thelma", "non-dropping-particle" : "", "parse-names" : false, "suffix" : "" }, { "dropping-particle" : "", "family" : "Benson", "given" : "John", "non-dropping-particle" : "", "parse-names" : false, "suffix" : "" }, { "dropping-particle" : "", "family" : "Hibble", "given" : "Arthur", "non-dropping-particle" : "", "parse-names" : false, "suffix" : "" }, { "dropping-particle" : "", "family" : "Emery", "given" : "Jon", "non-dropping-particle" : "", "parse-names" : false, "suffix" : "" } ], "container-title" : "Education for Primary Care", "id" : "ITEM-2", "issue" : "5", "issued" : { "date-parts" : [ [ "2007", "1" ] ] }, "language" : "en", "page" : "593-601", "title" : "The Impact of Expanded General Practice-Based Student Teaching: The practices\u2019 Story", "type" : "article-journal", "volume" : "18" }, "uri" : [ "http://zotero.org/users/4338344/items/7GKWBLZS" ], "uris" : [ "http://zotero.org/users/4338344/items/7GKWBLZS", "http://www.mendeley.com/documents/?uuid=03cb6f63-76e3-4c77-a998-4eaa86065b02" ] }, { "id" : "ITEM-3", "itemData" : { "DOI" : "10.1046/j.1365-2923.1998.00243.x", "ISSN" : "0308-0110, 1365-2923", "container-title" : "Medical Education", "id" : "ITEM-3", "issue" : "5", "issued" : { "date-parts" : [ [ "1998", "9" ] ] }, "language" : "en", "page" : "495-501", "title" : "Providing early clinical experience in primary care", "type" : "article-journal", "volume" : "32" }, "uri" : [ "http://zotero.org/users/4338344/items/4MZGBDST" ], "uris" : [ "http://zotero.org/users/4338344/items/4MZGBDST", "http://www.mendeley.com/documents/?uuid=46a4981a-ffbc-4e49-af56-5b3a244a5731" ] }, { "id" : "ITEM-4", "itemData" : { "ISSN" : "0959-8138", "PMID" : "10541508", "abstract" : "OBJECTIVE To examine the perceived effect of teaching clinical skills and associated teacher training programmes on general practitioners' morale and clinical practice. DESIGN Qualitative semistructured interview study. SETTING General practices throughout north London. SUBJECTS 30 general practitioners who taught clinical skills were asked about the effect of teaching and teacher training on their morale, confidence in clinical and teaching skills, and clinical practice. RESULTS The main theme was a positive effect on morale. Within teacher training this was attributed to developing peer and professional support; improved teaching skills; and revision of clinical knowledge and skills. Within teaching this was attributed to a broadening of horizons; contact with enthusiastic students; increased time with patients; improved clinical practice; improved teaching skills; and an improved image of the practice. Problems with teaching were due to external factors such as lack of time and space and anxieties about adequacy of clinical cover while teaching. CONCLUSION Teaching clinical skills can have a positive effect on the morale of general practitioner teachers as a result of contact with students and peers, as long as logistic and funding issues are adequately dealt with.", "author" : [ { "dropping-particle" : "", "family" : "Hartley", "given" : "S", "non-dropping-particle" : "", "parse-names" : false, "suffix" : "" }, { "dropping-particle" : "", "family" : "Macfarlane", "given" : "F", "non-dropping-particle" : "", "parse-names" : false, "suffix" : "" }, { "dropping-particle" : "", "family" : "Gantley", "given" : "M", "non-dropping-particle" : "", "parse-names" : false, "suffix" : "" }, { "dropping-particle" : "", "family" : "Murray", "given" : "E", "non-dropping-particle" : "", "parse-names" : false, "suffix" : "" } ], "container-title" : "BMJ (Clinical research ed.)", "id" : "ITEM-4", "issue" : "7218", "issued" : { "date-parts" : [ [ "1999", "10", "30" ] ] }, "page" : "1168-71", "title" : "Influence on general practitioners of teaching undergraduates: qualitative study of London general practitioner teachers.", "type" : "article-journal", "volume" : "319" }, "uris" : [ "http://www.mendeley.com/documents/?uuid=9bb93cbe-c42f-3932-bdd1-9cf3b922f524" ] }, { "id" : "ITEM-5", "itemData" : { "ISSN" : "0960-1643", "PMID" : "9474824", "abstract" : "BACKGROUND In line with the General Medical Council (GMC) recommendations for undergraduate teaching, many medical schools are implementing new programmes of community-based teaching. Little is known about the enthusiasm of general practitioners (GPs) for, or their ability to undertake, an additional teaching role. AIM To assess the reservoir of teaching experience among GPs and, in particular, their undergraduate teaching experience, their views on the rewards and problems of teaching, their interest in teaching in the future, and their needs for support. METHOD Postal questionnaire sent to all 417 GP principals with Lambeth, Southwark, and Lewisham family health service authorities (FHSAs) in January 1995. RESULTS We achieved a 74% (310/417) response rate. A total of 86% (261/303) of GPs have some sort of teaching experience in their current practice. A large number of medical and non-medical subjects are already being taught. Overall, 75% (228/303) of GPs had experience of undergraduate teaching. Only 13% (41/303) had no teaching experience of any kind. Very few responders felt that teaching was best done in hospital. Different rewards and problems of teaching were perceived by undergraduate teaching GPs and other GPs. There was a high level of interest in undergraduate teaching in the future and a demand for a variety of support measures from medical schools. CONCLUSIONS New community-based programmes are likely to receive support from GPs, but the vital issues of time, adequate financial reward, and teacher training must be addressed by medical schools if large-scale changes in undergraduate teaching are to be achieved.", "author" : [ { "dropping-particle" : "", "family" : "Gray", "given" : "J", "non-dropping-particle" : "", "parse-names" : false, "suffix" : "" }, { "dropping-particle" : "", "family" : "Fine", "given" : "B", "non-dropping-particle" : "", "parse-names" : false, "suffix" : "" } ], "container-title" : "The British journal of general practice : the journal of the Royal College of General Practitioners", "id" : "ITEM-5", "issue" : "423", "issued" : { "date-parts" : [ [ "1997", "10" ] ] }, "page" : "623-6", "title" : "General practitioner teaching in the community: a study of their teaching experience and interest in undergraduate teaching in the future.", "type" : "article-journal", "volume" : "47" }, "uris" : [ "http://www.mendeley.com/documents/?uuid=3c0eba96-2b3c-3e83-beb5-c5b68636d7f9" ] }, { "id" : "ITEM-6", "itemData" : { "DOI" : "10.1111/tct.12076", "ISSN" : "1743-498X", "PMID" : "24629250", "abstract" : "INTRODUCTION AND AIM The Australian general practitioner (GP) teaching workforce will need to expand in order to provide for the increasing number of medical students and doctors-in-training. Understanding factors that motivate GPs to become involved in teaching in their clinical practice environments is important for developing recruitment and retention strategies. METHOD Thirty-one semi-structured interviews were conducted with a cross section of GP teachers and were subjected to thematic analysis. Themes were identified and further classified as motivations and prerequisites for teaching. RESULTS The desire to update clinical knowledge was the most frequently mentioned motivation for teaching, and was described as a strategy for GP teachers to preserve clinical competence through the opportunity to learn new aspects of medicine from junior colleagues. Other motivations included personal fulfillment and enjoyment of teaching, the opportunity to pass on general practice skills and knowledge, promoting general practice as a career, and fulfilling a sense of responsibility to the profession and community. Peers, students and patients also influenced the decision to teach. Most GPs identified that time, workload, availability of space and adequate financial remuneration were prerequisites for teaching. Practice owners also often determined the GP teachers' capacity to teach. DISCUSSION To increase the recruitment and retention of GP teachers, it is recommended that teaching organisations give more recognition to teaching as a clinical professional development activity, place more emphasis on GPs' personal enjoyment, professional responsibility and pride in teaching, and increase engagement with practice owners.", "author" : [ { "dropping-particle" : "", "family" : "Thomson", "given" : "Jennifer", "non-dropping-particle" : "", "parse-names" : false, "suffix" : "" }, { "dropping-particle" : "", "family" : "Haesler", "given" : "Emily", "non-dropping-particle" : "", "parse-names" : false, "suffix" : "" }, { "dropping-particle" : "", "family" : "Anderson", "given" : "Katrina", "non-dropping-particle" : "", "parse-names" : false, "suffix" : "" }, { "dropping-particle" : "", "family" : "Barnard", "given" : "Amanda", "non-dropping-particle" : "", "parse-names" : false, "suffix" : "" } ], "container-title" : "The clinical teacher", "id" : "ITEM-6", "issue" : "2", "issued" : { "date-parts" : [ [ "2014", "4" ] ] }, "page" : "124-30", "title" : "What motivates general practitioners to teach.", "type" : "article-journal", "volume" : "11" }, "uris" : [ "http://www.mendeley.com/documents/?uuid=b6b10a6a-614d-30b5-9c3c-1527d6c3846a" ] } ], "mendeley" : { "formattedCitation" : "(6,8,9,19\u201321)", "plainTextFormattedCitation" : "(6,8,9,19\u201321)", "previouslyFormattedCitation" : "(6,8,9,19\u201321)" }, "properties" : { "formattedCitation" : "(8,9,12,18\\uc0\\u8211{}20)", "noteIndex" : 0, "plainCitation" : "(8,9,12,18\u201320)" }, "schema" : "https://github.com/citation-style-language/schema/raw/master/csl-citation.json" }</w:instrText>
      </w:r>
      <w:r w:rsidRPr="00757751">
        <w:fldChar w:fldCharType="separate"/>
      </w:r>
      <w:r w:rsidRPr="00757751">
        <w:rPr>
          <w:noProof/>
        </w:rPr>
        <w:t>(16,18,20,24)</w:t>
      </w:r>
      <w:r w:rsidRPr="00757751">
        <w:fldChar w:fldCharType="end"/>
      </w:r>
      <w:r w:rsidRPr="00757751">
        <w:t xml:space="preserve"> Our analysis echoes this and offers a more in-depth perspective about how this interface might be improved. Our work supports a recent suggestion that good communication and relationships are fundamental to retention of the teaching faculty.</w:t>
      </w:r>
      <w:r w:rsidRPr="00757751">
        <w:fldChar w:fldCharType="begin" w:fldLock="1"/>
      </w:r>
      <w:r w:rsidRPr="00757751">
        <w:instrText>ADDIN CSL_CITATION { "citationID" : "a1lppv22v3", "citationItems" : [ { "id" : "ITEM-1", "itemData" : { "DOI" : "10.1080/0142159X.2017.1370082", "ISSN" : "1466-187X", "PMID" : "28845726", "abstract" : "BACKGROUND Primary care physicians have become a fundamental aspect of teaching in modern medical school curricula worldwide with a significant proportion of undergraduate teaching taking place in primary care. There are calls for this to increase with more patient care occurring in the community but teaching capacity in primary care is a potential challenge. Medical schools, therefore, need strategies to be able to increase their primary care physician teaching workforce. METHODOLOGY We asked all Heads of General Practice Teaching in UK medical schools to share their three top tips for recruiting and retaining GPs to teach undergraduate students. The majority (two-thirds) of medical schools responded and we have summarized the answers into the following twelve tips. RESULTS Although the twelve tips are varied and comprehensive, including broad topics such as finances and training, one clear theme running through the majority of tips is good communication and relationships between education teams and GPs. CONCLUSIONS The solutions to recruiting and retaining GPs to teach undergraduate medical students are clearly multifactorial and complex. We hope that by presenting suggestions from UK GP heads of teaching as these twelve tips provides some helpful, thought-provoking ideas and inspiration for both the UK and internationally.", "author" : [ { "dropping-particle" : "", "family" : "Alberti", "given" : "Hugh", "non-dropping-particle" : "", "parse-names" : false, "suffix" : "" }, { "dropping-particle" : "", "family" : "Atkinson", "given" : "Jane", "non-dropping-particle" : "", "parse-names" : false, "suffix" : "" } ], "container-title" : "Medical teacher", "id" : "ITEM-1", "issued" : { "date-parts" : [ [ "2017", "8", "28" ] ] }, "page" : "1-4", "title" : "Twelve tips for the recruitment and retention of general practitioners as teachers of medical students.", "type" : "article-journal" }, "uris" : [ "http://www.mendeley.com/documents/?uuid=3e935662-fcde-3f03-8ec2-4214cb62a071" ] } ], "mendeley" : { "formattedCitation" : "(22)", "plainTextFormattedCitation" : "(22)", "previouslyFormattedCitation" : "(22)" }, "properties" : { "formattedCitation" : "(21)", "noteIndex" : 0, "plainCitation" : "(21)" }, "schema" : "https://github.com/citation-style-language/schema/raw/master/csl-citation.json" }</w:instrText>
      </w:r>
      <w:r w:rsidRPr="00757751">
        <w:fldChar w:fldCharType="separate"/>
      </w:r>
      <w:r w:rsidRPr="00757751">
        <w:rPr>
          <w:noProof/>
        </w:rPr>
        <w:t>(14)</w:t>
      </w:r>
      <w:r w:rsidRPr="00757751">
        <w:fldChar w:fldCharType="end"/>
      </w:r>
      <w:r w:rsidRPr="00757751">
        <w:t xml:space="preserve"> No previous research has elicited the impact of medical school expectations on the desire of GPs to teach.</w:t>
      </w:r>
    </w:p>
    <w:p w14:paraId="170E65D8" w14:textId="77777777" w:rsidR="00373BB2" w:rsidRPr="00757751" w:rsidRDefault="00373BB2" w:rsidP="00373BB2"/>
    <w:p w14:paraId="1E65C891" w14:textId="77777777" w:rsidR="00373BB2" w:rsidRPr="00757751" w:rsidRDefault="00373BB2" w:rsidP="00373BB2">
      <w:r w:rsidRPr="00757751">
        <w:t xml:space="preserve">Previous work has focused more on retention of teachers than recruitment. This work is the first to suggest that exposure to medical school recruitment is incomplete. </w:t>
      </w:r>
    </w:p>
    <w:p w14:paraId="41CC25E3" w14:textId="77777777" w:rsidR="00373BB2" w:rsidRPr="00757751" w:rsidRDefault="00373BB2" w:rsidP="00373BB2"/>
    <w:p w14:paraId="4FD64CAE" w14:textId="77777777" w:rsidR="00373BB2" w:rsidRPr="00757751" w:rsidRDefault="00373BB2" w:rsidP="00373BB2">
      <w:pPr>
        <w:rPr>
          <w:i/>
        </w:rPr>
      </w:pPr>
      <w:r w:rsidRPr="00757751">
        <w:rPr>
          <w:i/>
        </w:rPr>
        <w:t>Strengths and limitations</w:t>
      </w:r>
    </w:p>
    <w:p w14:paraId="6B489988" w14:textId="77777777" w:rsidR="00373BB2" w:rsidRPr="00757751" w:rsidRDefault="00373BB2" w:rsidP="00373BB2">
      <w:pPr>
        <w:rPr>
          <w:i/>
        </w:rPr>
      </w:pPr>
    </w:p>
    <w:p w14:paraId="5B36ECF1" w14:textId="77777777" w:rsidR="00373BB2" w:rsidRPr="00757751" w:rsidRDefault="00373BB2" w:rsidP="00373BB2">
      <w:r w:rsidRPr="00757751">
        <w:t xml:space="preserve">We consider our purposive sampling of, and access to, the perspective of teachers who have stopped or only recently started teaching (along with established teachers) and interviewing across four geographical locations both a major strength of this study and novel. </w:t>
      </w:r>
    </w:p>
    <w:p w14:paraId="652CC12D" w14:textId="77777777" w:rsidR="00373BB2" w:rsidRPr="00757751" w:rsidRDefault="00373BB2" w:rsidP="00373BB2"/>
    <w:p w14:paraId="00FBBD35" w14:textId="77777777" w:rsidR="00373BB2" w:rsidRPr="00757751" w:rsidRDefault="00373BB2" w:rsidP="00373BB2">
      <w:r w:rsidRPr="00757751">
        <w:lastRenderedPageBreak/>
        <w:t xml:space="preserve">Nevertheless, multi-site working with multiple interviewers presented challenges to analysis.  We </w:t>
      </w:r>
      <w:proofErr w:type="spellStart"/>
      <w:r w:rsidRPr="00757751">
        <w:t>maximised</w:t>
      </w:r>
      <w:proofErr w:type="spellEnd"/>
      <w:r w:rsidRPr="00757751">
        <w:t xml:space="preserve"> consistency through sharing and discussion of initial transcripts; parallel coding at all four centers with regular discussion of the interviews and coding by teleconference; double coding a large sample of transcripts; and oversight of the whole analysis by a core group. Thus the analysis was rigorous, theory-driven and included the variety of perspectives of the 4 </w:t>
      </w:r>
      <w:proofErr w:type="spellStart"/>
      <w:r w:rsidRPr="00757751">
        <w:t>centres</w:t>
      </w:r>
      <w:proofErr w:type="spellEnd"/>
      <w:r w:rsidRPr="00757751">
        <w:t xml:space="preserve">. </w:t>
      </w:r>
    </w:p>
    <w:p w14:paraId="54965645" w14:textId="77777777" w:rsidR="00373BB2" w:rsidRPr="00757751" w:rsidRDefault="00373BB2" w:rsidP="00373BB2"/>
    <w:p w14:paraId="267881DE" w14:textId="77777777" w:rsidR="00373BB2" w:rsidRPr="00757751" w:rsidRDefault="00373BB2" w:rsidP="00373BB2">
      <w:r w:rsidRPr="00757751">
        <w:t xml:space="preserve">All members of the research team are GPs and employees of the participating medical schools. We acknowledge this may have influenced our interpretation of the results and have lead us to potentially place greater emphasis on certain factors. For instance our results place a strong emphasis on the role of the clinical practice environment and of the medical school. This may have been a result of the theoretical lens chosen or also due to our positioning as GPs and faculty members. We aimed to mitigate bias due to our positioning by acknowledging our preconceived ideas and ensuring codes remained ‘close’ to the data. </w:t>
      </w:r>
    </w:p>
    <w:p w14:paraId="781AD6B2" w14:textId="77777777" w:rsidR="00373BB2" w:rsidRPr="00757751" w:rsidRDefault="00373BB2" w:rsidP="00373BB2"/>
    <w:p w14:paraId="38AB5B95" w14:textId="77777777" w:rsidR="00373BB2" w:rsidRPr="00757751" w:rsidRDefault="00373BB2" w:rsidP="00373BB2">
      <w:r w:rsidRPr="00757751">
        <w:t xml:space="preserve">Communities of practice theory highlighted the importance of community and the isolation of many teachers and, indeed, teaching activity. We used four units of analysis to interpret our data. More data was available for the participation and broker units of analysis categories, while data less often pertained to </w:t>
      </w:r>
      <w:proofErr w:type="spellStart"/>
      <w:r w:rsidRPr="00757751">
        <w:t>reificiation</w:t>
      </w:r>
      <w:proofErr w:type="spellEnd"/>
      <w:r w:rsidRPr="00757751">
        <w:t xml:space="preserve"> and boundary objects. However, boundary objects are likely to facilitate and reward retention of teachers, therefore their relative absence is perhaps pertinent - developing these forms of reification which heighten perceptions of membership might further motivate involvement in teaching.</w:t>
      </w:r>
    </w:p>
    <w:p w14:paraId="20E532C8" w14:textId="77777777" w:rsidR="00373BB2" w:rsidRPr="00757751" w:rsidRDefault="00373BB2" w:rsidP="00373BB2">
      <w:pPr>
        <w:rPr>
          <w:i/>
        </w:rPr>
      </w:pPr>
    </w:p>
    <w:p w14:paraId="13D9D95B" w14:textId="77777777" w:rsidR="00373BB2" w:rsidRPr="00757751" w:rsidRDefault="00373BB2" w:rsidP="00373BB2">
      <w:pPr>
        <w:rPr>
          <w:i/>
        </w:rPr>
      </w:pPr>
      <w:r w:rsidRPr="00757751">
        <w:rPr>
          <w:i/>
        </w:rPr>
        <w:t>Implications for practice</w:t>
      </w:r>
    </w:p>
    <w:p w14:paraId="27744277" w14:textId="77777777" w:rsidR="00373BB2" w:rsidRPr="00757751" w:rsidRDefault="00373BB2" w:rsidP="00373BB2"/>
    <w:p w14:paraId="322690DE" w14:textId="77777777" w:rsidR="00373BB2" w:rsidRPr="00757751" w:rsidRDefault="00373BB2" w:rsidP="00373BB2">
      <w:r w:rsidRPr="00757751">
        <w:t xml:space="preserve">Recommendations for how institutions might improve their recruitment and retention of community-based teachers are presented in Table 2. Given the heterogeneity of opinion encountered we expect relevant factors to vary between </w:t>
      </w:r>
      <w:proofErr w:type="spellStart"/>
      <w:r w:rsidRPr="00757751">
        <w:t>centres</w:t>
      </w:r>
      <w:proofErr w:type="spellEnd"/>
      <w:r w:rsidRPr="00757751">
        <w:t xml:space="preserve"> and would therefore encourage individual institutions to assess their local needs. </w:t>
      </w:r>
    </w:p>
    <w:p w14:paraId="0C9072FD" w14:textId="77777777" w:rsidR="00373BB2" w:rsidRPr="00757751" w:rsidRDefault="00373BB2" w:rsidP="00373BB2"/>
    <w:p w14:paraId="1C97FB53" w14:textId="77777777" w:rsidR="00373BB2" w:rsidRPr="00757751" w:rsidRDefault="00373BB2" w:rsidP="00373BB2">
      <w:r w:rsidRPr="00757751">
        <w:t xml:space="preserve">Recommendations emanate directly from the analysis. The majority of our recommendations relate to the school COP, representing boundary objects, brokers and forms of reification which schools may seek to develop: Given the increased need for community teachers in numerous countries and potential relevance to other specialties delivering community-based teaching we believe these recommendations may be of use internationally. </w:t>
      </w:r>
      <w:r w:rsidRPr="00757751">
        <w:fldChar w:fldCharType="begin" w:fldLock="1"/>
      </w:r>
      <w:r w:rsidRPr="00757751">
        <w:instrText>ADDIN CSL_CITATION { "citationItems" : [ { "id" : "ITEM-1", "itemData" : { "DOI" : "10.1111/tct.12076", "ISSN" : "1743-498X", "PMID" : "24629250", "abstract" : "INTRODUCTION AND AIM The Australian general practitioner (GP) teaching workforce will need to expand in order to provide for the increasing number of medical students and doctors-in-training. Understanding factors that motivate GPs to become involved in teaching in their clinical practice environments is important for developing recruitment and retention strategies. METHOD Thirty-one semi-structured interviews were conducted with a cross section of GP teachers and were subjected to thematic analysis. Themes were identified and further classified as motivations and prerequisites for teaching. RESULTS The desire to update clinical knowledge was the most frequently mentioned motivation for teaching, and was described as a strategy for GP teachers to preserve clinical competence through the opportunity to learn new aspects of medicine from junior colleagues. Other motivations included personal fulfillment and enjoyment of teaching, the opportunity to pass on general practice skills and knowledge, promoting general practice as a career, and fulfilling a sense of responsibility to the profession and community. Peers, students and patients also influenced the decision to teach. Most GPs identified that time, workload, availability of space and adequate financial remuneration were prerequisites for teaching. Practice owners also often determined the GP teachers' capacity to teach. DISCUSSION To increase the recruitment and retention of GP teachers, it is recommended that teaching organisations give more recognition to teaching as a clinical professional development activity, place more emphasis on GPs' personal enjoyment, professional responsibility and pride in teaching, and increase engagement with practice owners.", "author" : [ { "dropping-particle" : "", "family" : "Thomson", "given" : "Jennifer", "non-dropping-particle" : "", "parse-names" : false, "suffix" : "" }, { "dropping-particle" : "", "family" : "Haesler", "given" : "Emily", "non-dropping-particle" : "", "parse-names" : false, "suffix" : "" }, { "dropping-particle" : "", "family" : "Anderson", "given" : "Katrina", "non-dropping-particle" : "", "parse-names" : false, "suffix" : "" }, { "dropping-particle" : "", "family" : "Barnard", "given" : "Amanda", "non-dropping-particle" : "", "parse-names" : false, "suffix" : "" } ], "container-title" : "The clinical teacher", "id" : "ITEM-1", "issue" : "2", "issued" : { "date-parts" : [ [ "2014", "4" ] ] }, "page" : "124-30", "title" : "What motivates general practitioners to teach.", "type" : "article-journal", "volume" : "11" }, "uris" : [ "http://www.mendeley.com/documents/?uuid=b6b10a6a-614d-30b5-9c3c-1527d6c3846a" ] } ], "mendeley" : { "formattedCitation" : "(6)", "plainTextFormattedCitation" : "(6)", "previouslyFormattedCitation" : "(6)" }, "properties" : { "noteIndex" : 0 }, "schema" : "https://github.com/citation-style-language/schema/raw/master/csl-citation.json" }</w:instrText>
      </w:r>
      <w:r w:rsidRPr="00757751">
        <w:fldChar w:fldCharType="separate"/>
      </w:r>
      <w:r w:rsidRPr="00757751">
        <w:rPr>
          <w:noProof/>
        </w:rPr>
        <w:t>(6-8, 10, 30)</w:t>
      </w:r>
      <w:r w:rsidRPr="00757751">
        <w:fldChar w:fldCharType="end"/>
      </w:r>
      <w:r w:rsidRPr="00757751">
        <w:t xml:space="preserve"> Furthermore, these recommendations may be of interest to other specialties and situations where tension exists between teaching and service provision. </w:t>
      </w:r>
      <w:r w:rsidRPr="00757751">
        <w:fldChar w:fldCharType="begin" w:fldLock="1"/>
      </w:r>
      <w:r w:rsidRPr="00757751">
        <w:instrText>ADDIN CSL_CITATION { "citationItems" : [ { "id" : "ITEM-1", "itemData" : { "author" : [ { "dropping-particle" : "", "family" : "Cleland", "given" : "J", "non-dropping-particle" : "", "parse-names" : false, "suffix" : "" }, { "dropping-particle" : "", "family" : "Roberts", "given" : "R", "non-dropping-particle" : "", "parse-names" : false, "suffix" : "" }, { "dropping-particle" : "", "family" : "Kitto", "given" : "S", "non-dropping-particle" : "", "parse-names" : false, "suffix" : "" }, { "dropping-particle" : "", "family" : "Strand", "given" : "P", "non-dropping-particle" : "", "parse-names" : false, "suffix" : "" }, { "dropping-particle" : "", "family" : "Johnston", "given" : "P", "non-dropping-particle" : "", "parse-names" : false, "suffix" : "" } ], "container-title" : "Medical Education", "id" : "ITEM-1", "issue" : "3", "issued" : { "date-parts" : [ [ "2018" ] ] }, "page" : "288-301", "title" : "Using paradox theory to understand responses to tensions between service and training in general surgery.", "type" : "article-journal", "volume" : "52" }, "uris" : [ "http://www.mendeley.com/documents/?uuid=678abfdf-5408-476b-b26f-75112bbfbcf1" ] } ], "mendeley" : { "formattedCitation" : "(23)", "plainTextFormattedCitation" : "(23)", "previouslyFormattedCitation" : "(23)" }, "properties" : { "noteIndex" : 0 }, "schema" : "https://github.com/citation-style-language/schema/raw/master/csl-citation.json" }</w:instrText>
      </w:r>
      <w:r w:rsidRPr="00757751">
        <w:fldChar w:fldCharType="separate"/>
      </w:r>
      <w:r w:rsidRPr="00757751">
        <w:rPr>
          <w:noProof/>
        </w:rPr>
        <w:t>(32)</w:t>
      </w:r>
      <w:r w:rsidRPr="00757751">
        <w:fldChar w:fldCharType="end"/>
      </w:r>
    </w:p>
    <w:p w14:paraId="0D916776" w14:textId="77777777" w:rsidR="00373BB2" w:rsidRPr="00757751" w:rsidRDefault="00373BB2" w:rsidP="00373BB2">
      <w:pPr>
        <w:rPr>
          <w:i/>
        </w:rPr>
      </w:pPr>
    </w:p>
    <w:p w14:paraId="1E3AD836" w14:textId="77777777" w:rsidR="00373BB2" w:rsidRPr="00757751" w:rsidRDefault="00373BB2" w:rsidP="00373BB2">
      <w:pPr>
        <w:rPr>
          <w:i/>
        </w:rPr>
      </w:pPr>
      <w:r w:rsidRPr="00757751">
        <w:rPr>
          <w:i/>
        </w:rPr>
        <w:t>Recommendations for future research</w:t>
      </w:r>
    </w:p>
    <w:p w14:paraId="528547E3" w14:textId="77777777" w:rsidR="00373BB2" w:rsidRPr="00757751" w:rsidRDefault="00373BB2" w:rsidP="00373BB2"/>
    <w:p w14:paraId="5E23B91D" w14:textId="77777777" w:rsidR="00373BB2" w:rsidRPr="00757751" w:rsidRDefault="00373BB2" w:rsidP="00373BB2">
      <w:r w:rsidRPr="00757751">
        <w:t>Our research has suggested that not all primary care practitioners are aware</w:t>
      </w:r>
      <w:bookmarkStart w:id="0" w:name="_GoBack"/>
      <w:bookmarkEnd w:id="0"/>
      <w:r w:rsidRPr="00757751">
        <w:t xml:space="preserve"> of local opportunities to teach undergraduate students. Future research might usefully explore the proportion of community practitioners who are unaware of </w:t>
      </w:r>
      <w:r w:rsidRPr="00757751">
        <w:lastRenderedPageBreak/>
        <w:t>these opportunities and how schools might raise their awareness of them. Future research might also usefully explore the perspectives of community practitioners who do not teach in case there are correctable misconceptions which hinder them from doing so. Finally, whilst our work suggests the importance of the relationship between schools and community-based teachers, further research might seek to understand exactly how schools can better support these teachers and whether doing so will improve their retention rates.</w:t>
      </w:r>
    </w:p>
    <w:p w14:paraId="1B816BB9" w14:textId="77777777" w:rsidR="00373BB2" w:rsidRPr="00757751" w:rsidRDefault="00373BB2" w:rsidP="00373BB2"/>
    <w:p w14:paraId="4F0E580C" w14:textId="77777777" w:rsidR="00373BB2" w:rsidRPr="00757751" w:rsidRDefault="00373BB2" w:rsidP="00373BB2">
      <w:proofErr w:type="spellStart"/>
      <w:r w:rsidRPr="00757751">
        <w:rPr>
          <w:i/>
        </w:rPr>
        <w:t>Contributorship</w:t>
      </w:r>
      <w:proofErr w:type="spellEnd"/>
      <w:r w:rsidRPr="00757751">
        <w:t xml:space="preserve">: HA had the idea for this study. HA, SP and RKM designed the study. JB, HM, HR, PM and KJ conducted interviews and initial analysis supervised by HA, SP and RKM. JB, HA and SP </w:t>
      </w:r>
      <w:proofErr w:type="spellStart"/>
      <w:r w:rsidRPr="00757751">
        <w:t>finalised</w:t>
      </w:r>
      <w:proofErr w:type="spellEnd"/>
      <w:r w:rsidRPr="00757751">
        <w:t xml:space="preserve"> analysis. JB wrote the initial paper which was revised by HA, SP and RKM.</w:t>
      </w:r>
    </w:p>
    <w:p w14:paraId="745494E8" w14:textId="77777777" w:rsidR="00373BB2" w:rsidRPr="00757751" w:rsidRDefault="00373BB2" w:rsidP="00373BB2">
      <w:r w:rsidRPr="00757751">
        <w:rPr>
          <w:i/>
        </w:rPr>
        <w:t>Acknowledgements</w:t>
      </w:r>
      <w:r w:rsidRPr="00757751">
        <w:t>: We would like to thank all participants for giving up their time to be interviewed.</w:t>
      </w:r>
    </w:p>
    <w:p w14:paraId="6BE16C3C" w14:textId="77777777" w:rsidR="00373BB2" w:rsidRPr="00757751" w:rsidRDefault="00373BB2" w:rsidP="00373BB2">
      <w:r w:rsidRPr="00757751">
        <w:rPr>
          <w:i/>
        </w:rPr>
        <w:t>Funding</w:t>
      </w:r>
      <w:r w:rsidRPr="00757751">
        <w:t>: This study was funded by the Association for the Study of Medical Education (ASME) Small Grants Scheme, awarded to HA.</w:t>
      </w:r>
    </w:p>
    <w:p w14:paraId="42021FA0" w14:textId="77777777" w:rsidR="00373BB2" w:rsidRPr="00757751" w:rsidRDefault="00373BB2" w:rsidP="00373BB2">
      <w:r w:rsidRPr="00757751">
        <w:rPr>
          <w:i/>
        </w:rPr>
        <w:t>Conflicts of interest</w:t>
      </w:r>
      <w:r w:rsidRPr="00757751">
        <w:t>: None</w:t>
      </w:r>
    </w:p>
    <w:p w14:paraId="66841144" w14:textId="77777777" w:rsidR="00373BB2" w:rsidRPr="00757751" w:rsidRDefault="00373BB2" w:rsidP="00373BB2"/>
    <w:p w14:paraId="73975D3A" w14:textId="77777777" w:rsidR="00373BB2" w:rsidRPr="00757751" w:rsidRDefault="00373BB2" w:rsidP="00373BB2"/>
    <w:p w14:paraId="10E0801F"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fldChar w:fldCharType="begin" w:fldLock="1"/>
      </w:r>
      <w:r w:rsidRPr="00757751">
        <w:instrText xml:space="preserve">ADDIN Mendeley Bibliography CSL_BIBLIOGRAPHY </w:instrText>
      </w:r>
      <w:r w:rsidRPr="00757751">
        <w:fldChar w:fldCharType="separate"/>
      </w:r>
      <w:r w:rsidRPr="00757751">
        <w:rPr>
          <w:rFonts w:ascii="Cambria" w:hAnsi="Cambria"/>
          <w:noProof/>
        </w:rPr>
        <w:t xml:space="preserve">1. </w:t>
      </w:r>
      <w:r w:rsidRPr="00757751">
        <w:rPr>
          <w:rFonts w:ascii="Cambria" w:hAnsi="Cambria"/>
          <w:noProof/>
        </w:rPr>
        <w:tab/>
        <w:t xml:space="preserve">World Health Organisation. The world health report 2008. Primary health care: now more than ever. Geneva: WHO Press; 2008. </w:t>
      </w:r>
    </w:p>
    <w:p w14:paraId="0F9FD718"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2. </w:t>
      </w:r>
      <w:r w:rsidRPr="00757751">
        <w:rPr>
          <w:rFonts w:ascii="Cambria" w:hAnsi="Cambria"/>
          <w:noProof/>
        </w:rPr>
        <w:tab/>
        <w:t xml:space="preserve">Starfield B, Shi L, Macinko J. Contribution of primary care to health systems and health. Milbank Q. 2005;83(3):457–502. </w:t>
      </w:r>
    </w:p>
    <w:p w14:paraId="020B5F2E"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3. </w:t>
      </w:r>
      <w:r w:rsidRPr="00757751">
        <w:rPr>
          <w:rFonts w:ascii="Cambria" w:hAnsi="Cambria"/>
          <w:noProof/>
        </w:rPr>
        <w:tab/>
        <w:t xml:space="preserve">Baird B, Charles A, Honeyman M, Maguire D, Das P. Understanding pressures in general practice. 2016. </w:t>
      </w:r>
    </w:p>
    <w:p w14:paraId="094F28AD"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4. </w:t>
      </w:r>
      <w:r w:rsidRPr="00757751">
        <w:rPr>
          <w:rFonts w:ascii="Cambria" w:hAnsi="Cambria"/>
          <w:noProof/>
        </w:rPr>
        <w:tab/>
        <w:t xml:space="preserve">Blashki G, McMichael T, Karoly DJ. Climate change and primary health care. Aust Fam Physician. 2007 Dec;36(12):986–9. </w:t>
      </w:r>
    </w:p>
    <w:p w14:paraId="3CD83AD5"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5. </w:t>
      </w:r>
      <w:r w:rsidRPr="00757751">
        <w:rPr>
          <w:rFonts w:ascii="Cambria" w:hAnsi="Cambria"/>
          <w:noProof/>
        </w:rPr>
        <w:tab/>
        <w:t xml:space="preserve">World Health Organisation. Declaration of Astana. 2018. </w:t>
      </w:r>
    </w:p>
    <w:p w14:paraId="4E55E0E0" w14:textId="77777777" w:rsidR="00373BB2" w:rsidRPr="00757751" w:rsidRDefault="00373BB2" w:rsidP="00373BB2">
      <w:pPr>
        <w:widowControl w:val="0"/>
        <w:autoSpaceDE w:val="0"/>
        <w:autoSpaceDN w:val="0"/>
        <w:adjustRightInd w:val="0"/>
        <w:ind w:left="640" w:hanging="640"/>
        <w:rPr>
          <w:rFonts w:ascii="Cambria" w:hAnsi="Cambria"/>
          <w:noProof/>
          <w:lang w:val="en-GB"/>
        </w:rPr>
      </w:pPr>
      <w:r w:rsidRPr="00757751">
        <w:rPr>
          <w:rFonts w:ascii="Cambria" w:hAnsi="Cambria"/>
          <w:noProof/>
        </w:rPr>
        <w:t xml:space="preserve">6. </w:t>
      </w:r>
      <w:r w:rsidRPr="00757751">
        <w:rPr>
          <w:rFonts w:ascii="Cambria" w:hAnsi="Cambria"/>
          <w:noProof/>
        </w:rPr>
        <w:tab/>
      </w:r>
      <w:r w:rsidRPr="00757751">
        <w:rPr>
          <w:rFonts w:ascii="Cambria" w:hAnsi="Cambria"/>
          <w:noProof/>
          <w:lang w:val="en-GB"/>
        </w:rPr>
        <w:t>Winn C, Chisholm B, Hummerbrunner J. Factors affecting recruitment and retention of rehabilitation professionals in Northern Ontario, Canada: a cross-sectional study. Rural Remote Health. 2014 Apr;14 (2):2619</w:t>
      </w:r>
      <w:r w:rsidRPr="00757751">
        <w:rPr>
          <w:rFonts w:ascii="Cambria" w:hAnsi="Cambria"/>
          <w:noProof/>
        </w:rPr>
        <w:t xml:space="preserve">Murray </w:t>
      </w:r>
    </w:p>
    <w:p w14:paraId="4FA0C452" w14:textId="77777777" w:rsidR="00373BB2" w:rsidRPr="00757751" w:rsidRDefault="00373BB2" w:rsidP="00373BB2">
      <w:pPr>
        <w:widowControl w:val="0"/>
        <w:autoSpaceDE w:val="0"/>
        <w:autoSpaceDN w:val="0"/>
        <w:adjustRightInd w:val="0"/>
        <w:ind w:left="640" w:hanging="640"/>
        <w:rPr>
          <w:rFonts w:ascii="Cambria" w:hAnsi="Cambria"/>
          <w:noProof/>
          <w:lang w:val="en-GB"/>
        </w:rPr>
      </w:pPr>
      <w:r w:rsidRPr="00757751">
        <w:rPr>
          <w:rFonts w:ascii="Cambria" w:hAnsi="Cambria"/>
          <w:noProof/>
          <w:lang w:val="en-GB"/>
        </w:rPr>
        <w:t xml:space="preserve">7. </w:t>
      </w:r>
      <w:r w:rsidRPr="00757751">
        <w:rPr>
          <w:rFonts w:ascii="Cambria" w:hAnsi="Cambria"/>
          <w:noProof/>
          <w:lang w:val="en-GB"/>
        </w:rPr>
        <w:tab/>
      </w:r>
      <w:r w:rsidRPr="00757751">
        <w:rPr>
          <w:rFonts w:ascii="Cambria" w:hAnsi="Cambria"/>
          <w:noProof/>
        </w:rPr>
        <w:t xml:space="preserve">B, Wronski I. </w:t>
      </w:r>
      <w:r w:rsidRPr="00757751">
        <w:rPr>
          <w:rFonts w:ascii="Cambria" w:hAnsi="Cambria"/>
          <w:noProof/>
          <w:lang w:val="en-GB"/>
        </w:rPr>
        <w:t>When the tide goes out: health workforce in rural, remote and Indigenous communities. Med J Aust. 2006 Jul;185 (1): 37-38</w:t>
      </w:r>
    </w:p>
    <w:p w14:paraId="65985A8C" w14:textId="77777777" w:rsidR="00373BB2" w:rsidRPr="00757751" w:rsidRDefault="00373BB2" w:rsidP="00373BB2">
      <w:pPr>
        <w:widowControl w:val="0"/>
        <w:autoSpaceDE w:val="0"/>
        <w:autoSpaceDN w:val="0"/>
        <w:adjustRightInd w:val="0"/>
        <w:ind w:left="640" w:hanging="640"/>
        <w:rPr>
          <w:rFonts w:ascii="Cambria" w:hAnsi="Cambria"/>
          <w:bCs/>
          <w:noProof/>
          <w:lang w:val="en-GB"/>
        </w:rPr>
      </w:pPr>
      <w:r w:rsidRPr="00757751">
        <w:rPr>
          <w:rFonts w:ascii="Cambria" w:hAnsi="Cambria"/>
          <w:noProof/>
          <w:lang w:val="en-GB"/>
        </w:rPr>
        <w:t xml:space="preserve">8. </w:t>
      </w:r>
      <w:r w:rsidRPr="00757751">
        <w:rPr>
          <w:rFonts w:ascii="Cambria" w:hAnsi="Cambria"/>
          <w:noProof/>
          <w:lang w:val="en-GB"/>
        </w:rPr>
        <w:tab/>
      </w:r>
      <w:hyperlink r:id="rId5" w:history="1">
        <w:r w:rsidRPr="00757751">
          <w:rPr>
            <w:rStyle w:val="Hyperlink"/>
            <w:rFonts w:ascii="Cambria" w:hAnsi="Cambria"/>
            <w:noProof/>
            <w:color w:val="auto"/>
            <w:u w:val="none"/>
            <w:lang w:val="en-GB"/>
          </w:rPr>
          <w:t>Neill J</w:t>
        </w:r>
      </w:hyperlink>
      <w:r w:rsidRPr="00757751">
        <w:rPr>
          <w:rFonts w:ascii="Cambria" w:hAnsi="Cambria"/>
          <w:noProof/>
          <w:lang w:val="en-GB"/>
        </w:rPr>
        <w:t>, </w:t>
      </w:r>
      <w:hyperlink r:id="rId6" w:history="1">
        <w:r w:rsidRPr="00757751">
          <w:rPr>
            <w:rStyle w:val="Hyperlink"/>
            <w:rFonts w:ascii="Cambria" w:hAnsi="Cambria"/>
            <w:noProof/>
            <w:color w:val="auto"/>
            <w:u w:val="none"/>
            <w:lang w:val="en-GB"/>
          </w:rPr>
          <w:t>Taylor K</w:t>
        </w:r>
      </w:hyperlink>
      <w:r w:rsidRPr="00757751">
        <w:rPr>
          <w:rFonts w:ascii="Cambria" w:hAnsi="Cambria"/>
          <w:noProof/>
          <w:lang w:val="en-GB"/>
        </w:rPr>
        <w:t>.</w:t>
      </w:r>
      <w:r w:rsidRPr="00757751">
        <w:rPr>
          <w:rFonts w:ascii="Cambria" w:hAnsi="Cambria"/>
          <w:b/>
          <w:bCs/>
          <w:noProof/>
          <w:lang w:val="en-GB"/>
        </w:rPr>
        <w:t xml:space="preserve"> </w:t>
      </w:r>
      <w:r w:rsidRPr="00757751">
        <w:rPr>
          <w:rFonts w:ascii="Cambria" w:hAnsi="Cambria"/>
          <w:bCs/>
          <w:noProof/>
          <w:lang w:val="en-GB"/>
        </w:rPr>
        <w:t xml:space="preserve">Undergraduate nursing students' clinical experiences in rural and remote areas: recruitment implications. </w:t>
      </w:r>
      <w:hyperlink r:id="rId7" w:tooltip="The Australian journal of rural health." w:history="1">
        <w:r w:rsidRPr="00757751">
          <w:rPr>
            <w:rStyle w:val="Hyperlink"/>
            <w:rFonts w:ascii="Cambria" w:hAnsi="Cambria"/>
            <w:noProof/>
            <w:color w:val="auto"/>
            <w:u w:val="none"/>
            <w:lang w:val="en-GB"/>
          </w:rPr>
          <w:t>Aust J Rural Health.</w:t>
        </w:r>
      </w:hyperlink>
      <w:r w:rsidRPr="00757751">
        <w:rPr>
          <w:rFonts w:ascii="Cambria" w:hAnsi="Cambria"/>
          <w:noProof/>
          <w:lang w:val="en-GB"/>
        </w:rPr>
        <w:t> 2002 Oct;10(5):239-43.</w:t>
      </w:r>
    </w:p>
    <w:p w14:paraId="20D6A81E" w14:textId="77777777" w:rsidR="00373BB2" w:rsidRPr="00757751" w:rsidRDefault="00373BB2" w:rsidP="00373BB2">
      <w:pPr>
        <w:ind w:left="640" w:hanging="640"/>
        <w:rPr>
          <w:rStyle w:val="cit"/>
          <w:rFonts w:eastAsia="Times New Roman" w:cs="Arial"/>
          <w:noProof/>
        </w:rPr>
      </w:pPr>
      <w:r w:rsidRPr="00757751">
        <w:rPr>
          <w:rStyle w:val="cit"/>
          <w:rFonts w:eastAsia="Times New Roman" w:cs="Arial"/>
          <w:noProof/>
        </w:rPr>
        <w:t xml:space="preserve">9. </w:t>
      </w:r>
      <w:r w:rsidRPr="00757751">
        <w:rPr>
          <w:rStyle w:val="cit"/>
          <w:rFonts w:eastAsia="Times New Roman" w:cs="Arial"/>
          <w:noProof/>
        </w:rPr>
        <w:tab/>
        <w:t>Olid A, Zurro A, Villa J, Hijar A, Tuduri X, Puime A, Delmau G, Alonso-Coello P Medical students’ perspectives and attitudes about family practice: a qualitative research synthesis. BMC Med Educ</w:t>
      </w:r>
      <w:r w:rsidRPr="00757751">
        <w:rPr>
          <w:rStyle w:val="cit"/>
          <w:rFonts w:eastAsia="Times New Roman" w:cs="Arial"/>
          <w:i/>
          <w:noProof/>
        </w:rPr>
        <w:t>.</w:t>
      </w:r>
      <w:r w:rsidRPr="00757751">
        <w:rPr>
          <w:rStyle w:val="cit"/>
          <w:rFonts w:eastAsia="Times New Roman" w:cs="Arial"/>
          <w:noProof/>
        </w:rPr>
        <w:t xml:space="preserve"> 2012;12:81</w:t>
      </w:r>
    </w:p>
    <w:p w14:paraId="65FC5905" w14:textId="77777777" w:rsidR="00373BB2" w:rsidRPr="00757751" w:rsidRDefault="00373BB2" w:rsidP="00373BB2">
      <w:pPr>
        <w:ind w:left="640" w:hanging="640"/>
        <w:rPr>
          <w:rFonts w:eastAsia="Times New Roman" w:cs="Arial"/>
          <w:noProof/>
          <w:lang w:val="en-GB"/>
        </w:rPr>
      </w:pPr>
      <w:r w:rsidRPr="00757751">
        <w:rPr>
          <w:rStyle w:val="cit"/>
          <w:rFonts w:eastAsia="Times New Roman" w:cs="Arial"/>
          <w:noProof/>
        </w:rPr>
        <w:t xml:space="preserve">10. </w:t>
      </w:r>
      <w:r w:rsidRPr="00757751">
        <w:rPr>
          <w:rStyle w:val="cit"/>
          <w:rFonts w:eastAsia="Times New Roman" w:cs="Arial"/>
          <w:noProof/>
        </w:rPr>
        <w:tab/>
      </w:r>
      <w:hyperlink r:id="rId8" w:history="1">
        <w:r w:rsidRPr="00757751">
          <w:rPr>
            <w:rStyle w:val="Hyperlink"/>
            <w:rFonts w:eastAsia="Times New Roman" w:cs="Arial"/>
            <w:noProof/>
            <w:color w:val="auto"/>
            <w:u w:val="none"/>
            <w:lang w:val="en-GB"/>
          </w:rPr>
          <w:t>Kilpatrick SI</w:t>
        </w:r>
      </w:hyperlink>
      <w:r w:rsidRPr="00757751">
        <w:rPr>
          <w:rFonts w:eastAsia="Times New Roman" w:cs="Arial"/>
          <w:noProof/>
          <w:lang w:val="en-GB"/>
        </w:rPr>
        <w:t>, </w:t>
      </w:r>
      <w:hyperlink r:id="rId9" w:history="1">
        <w:r w:rsidRPr="00757751">
          <w:rPr>
            <w:rStyle w:val="Hyperlink"/>
            <w:rFonts w:eastAsia="Times New Roman" w:cs="Arial"/>
            <w:noProof/>
            <w:color w:val="auto"/>
            <w:u w:val="none"/>
            <w:lang w:val="en-GB"/>
          </w:rPr>
          <w:t>Johns SS</w:t>
        </w:r>
      </w:hyperlink>
      <w:r w:rsidRPr="00757751">
        <w:rPr>
          <w:rFonts w:eastAsia="Times New Roman" w:cs="Arial"/>
          <w:noProof/>
          <w:lang w:val="en-GB"/>
        </w:rPr>
        <w:t>, </w:t>
      </w:r>
      <w:hyperlink r:id="rId10" w:history="1">
        <w:r w:rsidRPr="00757751">
          <w:rPr>
            <w:rStyle w:val="Hyperlink"/>
            <w:rFonts w:eastAsia="Times New Roman" w:cs="Arial"/>
            <w:noProof/>
            <w:color w:val="auto"/>
            <w:u w:val="none"/>
            <w:lang w:val="en-GB"/>
          </w:rPr>
          <w:t>Millar P</w:t>
        </w:r>
      </w:hyperlink>
      <w:r w:rsidRPr="00757751">
        <w:rPr>
          <w:rFonts w:eastAsia="Times New Roman" w:cs="Arial"/>
          <w:noProof/>
          <w:lang w:val="en-GB"/>
        </w:rPr>
        <w:t>, </w:t>
      </w:r>
      <w:hyperlink r:id="rId11" w:history="1">
        <w:r w:rsidRPr="00757751">
          <w:rPr>
            <w:rStyle w:val="Hyperlink"/>
            <w:rFonts w:eastAsia="Times New Roman" w:cs="Arial"/>
            <w:noProof/>
            <w:color w:val="auto"/>
            <w:u w:val="none"/>
            <w:lang w:val="en-GB"/>
          </w:rPr>
          <w:t>Le Q</w:t>
        </w:r>
      </w:hyperlink>
      <w:r w:rsidRPr="00757751">
        <w:rPr>
          <w:rFonts w:eastAsia="Times New Roman" w:cs="Arial"/>
          <w:noProof/>
          <w:lang w:val="en-GB"/>
        </w:rPr>
        <w:t>, </w:t>
      </w:r>
      <w:hyperlink r:id="rId12" w:history="1">
        <w:r w:rsidRPr="00757751">
          <w:rPr>
            <w:rStyle w:val="Hyperlink"/>
            <w:rFonts w:eastAsia="Times New Roman" w:cs="Arial"/>
            <w:noProof/>
            <w:color w:val="auto"/>
            <w:u w:val="none"/>
            <w:lang w:val="en-GB"/>
          </w:rPr>
          <w:t>Routley G</w:t>
        </w:r>
      </w:hyperlink>
      <w:r w:rsidRPr="00757751">
        <w:rPr>
          <w:rFonts w:eastAsia="Times New Roman" w:cs="Arial"/>
          <w:noProof/>
          <w:lang w:val="en-GB"/>
        </w:rPr>
        <w:t xml:space="preserve">. </w:t>
      </w:r>
      <w:r w:rsidRPr="00757751">
        <w:rPr>
          <w:rFonts w:eastAsia="Times New Roman" w:cs="Arial"/>
          <w:bCs/>
          <w:noProof/>
          <w:lang w:val="en-GB"/>
        </w:rPr>
        <w:t>Skill shortages in health: innovative solutions using vocational education and training.</w:t>
      </w:r>
      <w:r w:rsidRPr="00757751">
        <w:rPr>
          <w:rFonts w:eastAsia="Times New Roman" w:cs="Arial"/>
          <w:noProof/>
          <w:lang w:val="en-GB"/>
        </w:rPr>
        <w:t xml:space="preserve"> </w:t>
      </w:r>
      <w:hyperlink r:id="rId13" w:tooltip="Rural and remote health." w:history="1">
        <w:r w:rsidRPr="00757751">
          <w:rPr>
            <w:rStyle w:val="Hyperlink"/>
            <w:rFonts w:eastAsia="Times New Roman" w:cs="Arial"/>
            <w:noProof/>
            <w:color w:val="auto"/>
            <w:u w:val="none"/>
            <w:lang w:val="en-GB"/>
          </w:rPr>
          <w:t>Rural Remote Health.</w:t>
        </w:r>
      </w:hyperlink>
      <w:r w:rsidRPr="00757751">
        <w:rPr>
          <w:rFonts w:eastAsia="Times New Roman" w:cs="Arial"/>
          <w:noProof/>
          <w:lang w:val="en-GB"/>
        </w:rPr>
        <w:t> 2007 Jan-Mar;7(1):623.</w:t>
      </w:r>
    </w:p>
    <w:p w14:paraId="1CEFF1A8" w14:textId="77777777" w:rsidR="00373BB2" w:rsidRPr="00757751" w:rsidRDefault="00373BB2" w:rsidP="00373BB2">
      <w:pPr>
        <w:ind w:left="640" w:hanging="640"/>
        <w:rPr>
          <w:rFonts w:eastAsia="Times New Roman" w:cs="Arial"/>
          <w:noProof/>
          <w:lang w:val="en-GB"/>
        </w:rPr>
      </w:pPr>
      <w:r w:rsidRPr="00757751">
        <w:rPr>
          <w:rFonts w:eastAsia="Times New Roman" w:cs="Arial"/>
          <w:noProof/>
        </w:rPr>
        <w:t xml:space="preserve">11. </w:t>
      </w:r>
      <w:r w:rsidRPr="00757751">
        <w:rPr>
          <w:rFonts w:eastAsia="Times New Roman" w:cs="Arial"/>
          <w:noProof/>
        </w:rPr>
        <w:tab/>
      </w:r>
      <w:r w:rsidRPr="00757751">
        <w:rPr>
          <w:rFonts w:eastAsia="Times New Roman" w:cs="Arial"/>
          <w:noProof/>
          <w:lang w:val="en-GB"/>
        </w:rPr>
        <w:t>Park, S. The Contribution of General Practice Placements to Medical Education: An Analysis of the Construction of General Practice Knowledge in Published Medical Education Research. 2017. Doctoral Thesis, University of London.</w:t>
      </w:r>
    </w:p>
    <w:p w14:paraId="3C166F88" w14:textId="77777777" w:rsidR="00373BB2" w:rsidRPr="00757751" w:rsidRDefault="00373BB2" w:rsidP="00373BB2">
      <w:pPr>
        <w:ind w:left="640" w:hanging="640"/>
        <w:rPr>
          <w:rFonts w:ascii="Cambria" w:hAnsi="Cambria"/>
          <w:noProof/>
        </w:rPr>
      </w:pPr>
      <w:r w:rsidRPr="00757751">
        <w:rPr>
          <w:rFonts w:ascii="Cambria" w:hAnsi="Cambria"/>
          <w:noProof/>
        </w:rPr>
        <w:t>12.</w:t>
      </w:r>
      <w:r w:rsidRPr="00757751">
        <w:rPr>
          <w:rFonts w:ascii="Cambria" w:hAnsi="Cambria"/>
          <w:noProof/>
        </w:rPr>
        <w:tab/>
        <w:t>Wass V, Gregory S, Petty-Saphon K. By choice not by chance Supporting medical students towards future careers in general practice. Medical Schools Council; 2016.</w:t>
      </w:r>
    </w:p>
    <w:p w14:paraId="43C18268" w14:textId="77777777" w:rsidR="00373BB2" w:rsidRPr="00757751" w:rsidRDefault="00373BB2" w:rsidP="00373BB2">
      <w:pPr>
        <w:ind w:left="640" w:hanging="640"/>
        <w:rPr>
          <w:rFonts w:ascii="Cambria" w:hAnsi="Cambria"/>
          <w:noProof/>
          <w:lang w:val="en-GB"/>
        </w:rPr>
      </w:pPr>
      <w:r w:rsidRPr="00757751">
        <w:rPr>
          <w:rFonts w:ascii="Cambria" w:hAnsi="Cambria"/>
          <w:noProof/>
        </w:rPr>
        <w:lastRenderedPageBreak/>
        <w:t xml:space="preserve">13. </w:t>
      </w:r>
      <w:r w:rsidRPr="00757751">
        <w:rPr>
          <w:rFonts w:ascii="Cambria" w:hAnsi="Cambria"/>
          <w:noProof/>
        </w:rPr>
        <w:tab/>
        <w:t xml:space="preserve">Rimmer A, </w:t>
      </w:r>
      <w:r w:rsidRPr="00757751">
        <w:rPr>
          <w:rFonts w:ascii="Cambria" w:hAnsi="Cambria"/>
          <w:bCs/>
          <w:noProof/>
          <w:lang w:val="en-GB"/>
        </w:rPr>
        <w:t>Five medical schools are created in England in bid to increase home grown doctors.</w:t>
      </w:r>
      <w:r w:rsidRPr="00757751">
        <w:rPr>
          <w:rFonts w:ascii="Cambria" w:hAnsi="Cambria"/>
          <w:noProof/>
          <w:lang w:val="en-GB"/>
        </w:rPr>
        <w:t xml:space="preserve"> BMJ. 2018;360:k1328</w:t>
      </w:r>
    </w:p>
    <w:p w14:paraId="71B4ACFD" w14:textId="77777777" w:rsidR="00373BB2" w:rsidRPr="00757751" w:rsidRDefault="00373BB2" w:rsidP="00373BB2">
      <w:pPr>
        <w:ind w:left="640" w:hanging="640"/>
        <w:rPr>
          <w:rFonts w:ascii="Cambria" w:hAnsi="Cambria"/>
          <w:b/>
          <w:bCs/>
          <w:noProof/>
          <w:lang w:val="en-GB"/>
        </w:rPr>
      </w:pPr>
      <w:r w:rsidRPr="00757751">
        <w:rPr>
          <w:rFonts w:ascii="Cambria" w:hAnsi="Cambria"/>
          <w:noProof/>
          <w:lang w:val="en-GB"/>
        </w:rPr>
        <w:t xml:space="preserve">14. </w:t>
      </w:r>
      <w:r w:rsidRPr="00757751">
        <w:rPr>
          <w:rFonts w:ascii="Cambria" w:hAnsi="Cambria"/>
          <w:noProof/>
          <w:lang w:val="en-GB"/>
        </w:rPr>
        <w:tab/>
      </w:r>
      <w:r w:rsidRPr="00757751">
        <w:rPr>
          <w:rFonts w:ascii="Cambria" w:hAnsi="Cambria"/>
          <w:noProof/>
        </w:rPr>
        <w:t>Alberti H, Atkinson J. Twelve tips for the recruitment and retention of general practitioners as teachers of medical students. Med Teach. 2017 Aug 28;1–4.</w:t>
      </w:r>
    </w:p>
    <w:p w14:paraId="3B5D649D"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15.</w:t>
      </w:r>
      <w:r w:rsidRPr="00757751">
        <w:rPr>
          <w:rFonts w:ascii="Cambria" w:hAnsi="Cambria"/>
          <w:noProof/>
        </w:rPr>
        <w:tab/>
        <w:t xml:space="preserve">Wilson A, Fraser R, McKinley RK, Preston-Whyte E, Wynn A. Undergraduate teaching in the community: can general practice deliver? Br J Gen Pract. 1996 Aug;46(409):457–60.  </w:t>
      </w:r>
    </w:p>
    <w:p w14:paraId="08E9BADF"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16. </w:t>
      </w:r>
      <w:r w:rsidRPr="00757751">
        <w:rPr>
          <w:rFonts w:ascii="Cambria" w:hAnsi="Cambria"/>
          <w:noProof/>
        </w:rPr>
        <w:tab/>
        <w:t>Gray J, Fine B. General practitioner teaching in the community: a study of their teaching experience and interest in undergraduate teaching in the future. Br J Gen Pract. 1997 Oct;47(423):623–6.</w:t>
      </w:r>
    </w:p>
    <w:p w14:paraId="09B2BCB4"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17.</w:t>
      </w:r>
      <w:r w:rsidRPr="00757751">
        <w:rPr>
          <w:rFonts w:ascii="Cambria" w:hAnsi="Cambria"/>
          <w:noProof/>
        </w:rPr>
        <w:tab/>
        <w:t xml:space="preserve">Hartley S, Macfarlane F, Gantley M, Murray E. Influence on general practitioners of teaching undergraduates: qualitative study of London general practitioner teachers. BMJ. 1999 Oct 30;319(7218):1168–71. </w:t>
      </w:r>
    </w:p>
    <w:p w14:paraId="28FE0801"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18.</w:t>
      </w:r>
      <w:r w:rsidRPr="00757751">
        <w:rPr>
          <w:rFonts w:ascii="Cambria" w:hAnsi="Cambria"/>
          <w:noProof/>
        </w:rPr>
        <w:tab/>
        <w:t xml:space="preserve">Hampshire.  Providing early clinical experience in primary care. </w:t>
      </w:r>
      <w:r w:rsidRPr="00757751">
        <w:rPr>
          <w:rFonts w:ascii="Cambria" w:hAnsi="Cambria"/>
          <w:iCs/>
          <w:noProof/>
        </w:rPr>
        <w:t>Medical Education</w:t>
      </w:r>
      <w:r w:rsidRPr="00757751">
        <w:rPr>
          <w:rFonts w:ascii="Cambria" w:hAnsi="Cambria"/>
          <w:noProof/>
        </w:rPr>
        <w:t xml:space="preserve">. 1999 </w:t>
      </w:r>
      <w:r w:rsidRPr="00757751">
        <w:rPr>
          <w:rFonts w:ascii="Cambria" w:hAnsi="Cambria"/>
          <w:i/>
          <w:iCs/>
          <w:noProof/>
        </w:rPr>
        <w:t>32</w:t>
      </w:r>
      <w:r w:rsidRPr="00757751">
        <w:rPr>
          <w:rFonts w:ascii="Cambria" w:hAnsi="Cambria"/>
          <w:noProof/>
        </w:rPr>
        <w:t xml:space="preserve">(5), 495–501. </w:t>
      </w:r>
    </w:p>
    <w:p w14:paraId="3485D433"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19.</w:t>
      </w:r>
      <w:r w:rsidRPr="00757751">
        <w:rPr>
          <w:rFonts w:ascii="Cambria" w:hAnsi="Cambria"/>
          <w:noProof/>
        </w:rPr>
        <w:tab/>
        <w:t>Levy BT, Gjerde CL, Albrecht LA. The effects of precepting on and the support desired by community-based preceptors in Iowa. Acad Med. 1997 May;72(5):382–4.</w:t>
      </w:r>
    </w:p>
    <w:p w14:paraId="0D2A6719"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20.</w:t>
      </w:r>
      <w:r w:rsidRPr="00757751">
        <w:rPr>
          <w:rFonts w:ascii="Cambria" w:hAnsi="Cambria"/>
          <w:noProof/>
        </w:rPr>
        <w:tab/>
        <w:t xml:space="preserve">Thomson J, Haesler E, Anderson K, Barnard A. What motivates general practitioners to teach. Clin Teach. 2014 Apr;11(2):124–30. </w:t>
      </w:r>
    </w:p>
    <w:p w14:paraId="2EC1D0E5"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21</w:t>
      </w:r>
      <w:r w:rsidRPr="00757751">
        <w:rPr>
          <w:rFonts w:ascii="Cambria" w:hAnsi="Cambria"/>
          <w:noProof/>
        </w:rPr>
        <w:tab/>
        <w:t xml:space="preserve">Scott I, Sazegar P. Why community physicians teach students (or not): barriers and opportunities for preceptor recruitment. Med Teach. 2006 Sep;28(6):563–5. </w:t>
      </w:r>
    </w:p>
    <w:p w14:paraId="5C77BE7A"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22.</w:t>
      </w:r>
      <w:r w:rsidRPr="00757751">
        <w:rPr>
          <w:rFonts w:ascii="Cambria" w:hAnsi="Cambria"/>
          <w:noProof/>
        </w:rPr>
        <w:tab/>
        <w:t xml:space="preserve">Baldor RA, Brooks WB, Warfield ME, O’Shea K. A survey of primary care physicians’ perceptions and needs regarding the precepting of medical students in their offices. Med Educ. 2001 Aug;35(8):789–95. </w:t>
      </w:r>
    </w:p>
    <w:p w14:paraId="78D32DA0"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23.</w:t>
      </w:r>
      <w:r w:rsidRPr="00757751">
        <w:rPr>
          <w:rFonts w:ascii="Cambria" w:hAnsi="Cambria"/>
          <w:noProof/>
        </w:rPr>
        <w:tab/>
        <w:t xml:space="preserve">Cook, V., &amp; Nicholson, S. (2006). How Can GP Teachers be Supported to Make Good Teaching Even Better? </w:t>
      </w:r>
      <w:r w:rsidRPr="00757751">
        <w:rPr>
          <w:rFonts w:ascii="Cambria" w:hAnsi="Cambria"/>
          <w:i/>
          <w:iCs/>
          <w:noProof/>
        </w:rPr>
        <w:t>Education for Primary Care</w:t>
      </w:r>
      <w:r w:rsidRPr="00757751">
        <w:rPr>
          <w:rFonts w:ascii="Cambria" w:hAnsi="Cambria"/>
          <w:noProof/>
        </w:rPr>
        <w:t xml:space="preserve">, </w:t>
      </w:r>
      <w:r w:rsidRPr="00757751">
        <w:rPr>
          <w:rFonts w:ascii="Cambria" w:hAnsi="Cambria"/>
          <w:i/>
          <w:iCs/>
          <w:noProof/>
        </w:rPr>
        <w:t>17</w:t>
      </w:r>
      <w:r w:rsidRPr="00757751">
        <w:rPr>
          <w:rFonts w:ascii="Cambria" w:hAnsi="Cambria"/>
          <w:noProof/>
        </w:rPr>
        <w:t xml:space="preserve">(1), 17–23. </w:t>
      </w:r>
    </w:p>
    <w:p w14:paraId="588A5520"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24.</w:t>
      </w:r>
      <w:r w:rsidRPr="00757751">
        <w:rPr>
          <w:rFonts w:ascii="Cambria" w:hAnsi="Cambria"/>
          <w:noProof/>
        </w:rPr>
        <w:tab/>
        <w:t>Quince T, Benson J, Hibble A, Emery J. The Impact of Expanded General Practice-Based Student Teaching: The practices’ Story. Educ Prim Care. 2007 Jan;18(5):593–601.</w:t>
      </w:r>
    </w:p>
    <w:p w14:paraId="4DF08C28"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25. </w:t>
      </w:r>
      <w:r w:rsidRPr="00757751">
        <w:rPr>
          <w:rFonts w:ascii="Cambria" w:hAnsi="Cambria"/>
          <w:noProof/>
        </w:rPr>
        <w:tab/>
        <w:t>Ullian JA, Shore WB, First LR. What Did We Learn about the Impact on Community-based Faculty? Recommendations for Recruitment, Retention, and Rewards. Acad Med. 2001 Apr;76(4).</w:t>
      </w:r>
    </w:p>
    <w:p w14:paraId="203DCB13"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26. </w:t>
      </w:r>
      <w:r w:rsidRPr="00757751">
        <w:rPr>
          <w:rFonts w:ascii="Cambria" w:hAnsi="Cambria"/>
          <w:noProof/>
        </w:rPr>
        <w:tab/>
        <w:t xml:space="preserve">Braun V, Clarke V. Using thematic analysis in psychology. Qual Res Psychol. 2006 Jan;3(2):77–101. </w:t>
      </w:r>
    </w:p>
    <w:p w14:paraId="7DA46AFF"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27. </w:t>
      </w:r>
      <w:r w:rsidRPr="00757751">
        <w:rPr>
          <w:rFonts w:ascii="Cambria" w:hAnsi="Cambria"/>
          <w:noProof/>
        </w:rPr>
        <w:tab/>
        <w:t xml:space="preserve">Wenger E. Communities of practice: Learning, Meaning and Identity. 1998; </w:t>
      </w:r>
    </w:p>
    <w:p w14:paraId="27A9A356"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28. </w:t>
      </w:r>
      <w:r w:rsidRPr="00757751">
        <w:rPr>
          <w:rFonts w:ascii="Cambria" w:hAnsi="Cambria"/>
          <w:noProof/>
        </w:rPr>
        <w:tab/>
        <w:t xml:space="preserve">Wenger E. Communities of practice and social learning systems: the career of a concept. In: Blackmore C, editor. Social Learning Systems and Communities of Practice. Springer; 2010. </w:t>
      </w:r>
    </w:p>
    <w:p w14:paraId="31EBE6E5"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29. </w:t>
      </w:r>
      <w:r w:rsidRPr="00757751">
        <w:rPr>
          <w:rFonts w:ascii="Cambria" w:hAnsi="Cambria"/>
          <w:noProof/>
        </w:rPr>
        <w:tab/>
        <w:t>Lave J, Wenger E. Situated learning: legitimate peripheral participation. Cambridge [England] ; New York: Cambridge University Press; 1991. p138.</w:t>
      </w:r>
    </w:p>
    <w:p w14:paraId="4205B210" w14:textId="77777777" w:rsidR="00373BB2" w:rsidRPr="00757751" w:rsidRDefault="00373BB2" w:rsidP="00373BB2">
      <w:pPr>
        <w:widowControl w:val="0"/>
        <w:autoSpaceDE w:val="0"/>
        <w:autoSpaceDN w:val="0"/>
        <w:adjustRightInd w:val="0"/>
        <w:ind w:left="640" w:hanging="640"/>
        <w:rPr>
          <w:rFonts w:ascii="Cambria" w:hAnsi="Cambria"/>
          <w:noProof/>
          <w:lang w:val="en-GB"/>
        </w:rPr>
      </w:pPr>
      <w:r w:rsidRPr="00757751">
        <w:rPr>
          <w:rFonts w:ascii="Cambria" w:hAnsi="Cambria"/>
          <w:noProof/>
        </w:rPr>
        <w:t>30</w:t>
      </w:r>
      <w:r w:rsidRPr="00757751">
        <w:rPr>
          <w:rFonts w:ascii="Cambria" w:hAnsi="Cambria"/>
          <w:strike/>
          <w:noProof/>
        </w:rPr>
        <w:t>.</w:t>
      </w:r>
      <w:r w:rsidRPr="00757751">
        <w:rPr>
          <w:rFonts w:ascii="Cambria" w:hAnsi="Cambria"/>
          <w:noProof/>
        </w:rPr>
        <w:t xml:space="preserve"> </w:t>
      </w:r>
      <w:r w:rsidRPr="00757751">
        <w:rPr>
          <w:rFonts w:ascii="Cambria" w:hAnsi="Cambria"/>
          <w:noProof/>
        </w:rPr>
        <w:tab/>
      </w:r>
      <w:hyperlink r:id="rId14" w:history="1">
        <w:r w:rsidRPr="00757751">
          <w:rPr>
            <w:rStyle w:val="Hyperlink"/>
            <w:rFonts w:ascii="Cambria" w:hAnsi="Cambria"/>
            <w:noProof/>
            <w:color w:val="auto"/>
            <w:u w:val="none"/>
            <w:lang w:val="en-GB"/>
          </w:rPr>
          <w:t>Pearson DJ</w:t>
        </w:r>
      </w:hyperlink>
      <w:r w:rsidRPr="00757751">
        <w:rPr>
          <w:rFonts w:ascii="Cambria" w:hAnsi="Cambria"/>
          <w:noProof/>
          <w:lang w:val="en-GB"/>
        </w:rPr>
        <w:t>, </w:t>
      </w:r>
      <w:hyperlink r:id="rId15" w:history="1">
        <w:r w:rsidRPr="00757751">
          <w:rPr>
            <w:rStyle w:val="Hyperlink"/>
            <w:rFonts w:ascii="Cambria" w:hAnsi="Cambria"/>
            <w:noProof/>
            <w:color w:val="auto"/>
            <w:u w:val="none"/>
            <w:lang w:val="en-GB"/>
          </w:rPr>
          <w:t>Lucas BJ</w:t>
        </w:r>
      </w:hyperlink>
      <w:r w:rsidRPr="00757751">
        <w:rPr>
          <w:rFonts w:ascii="Cambria" w:hAnsi="Cambria"/>
          <w:noProof/>
          <w:lang w:val="en-GB"/>
        </w:rPr>
        <w:t>.</w:t>
      </w:r>
      <w:r w:rsidRPr="00757751">
        <w:rPr>
          <w:rFonts w:ascii="Cambria" w:hAnsi="Cambria"/>
          <w:b/>
          <w:bCs/>
          <w:noProof/>
          <w:lang w:val="en-GB"/>
        </w:rPr>
        <w:t xml:space="preserve"> </w:t>
      </w:r>
      <w:r w:rsidRPr="00757751">
        <w:rPr>
          <w:rFonts w:ascii="Cambria" w:hAnsi="Cambria"/>
          <w:bCs/>
          <w:noProof/>
          <w:lang w:val="en-GB"/>
        </w:rPr>
        <w:t>Engagement and opportunity in clinical learning: findings from a case study in primary care.</w:t>
      </w:r>
      <w:r w:rsidRPr="00757751">
        <w:rPr>
          <w:rFonts w:ascii="Cambria" w:hAnsi="Cambria"/>
          <w:b/>
          <w:bCs/>
          <w:noProof/>
          <w:lang w:val="en-GB"/>
        </w:rPr>
        <w:t xml:space="preserve"> </w:t>
      </w:r>
      <w:hyperlink r:id="rId16" w:tooltip="Medical teacher." w:history="1">
        <w:r w:rsidRPr="00757751">
          <w:rPr>
            <w:rStyle w:val="Hyperlink"/>
            <w:rFonts w:ascii="Cambria" w:hAnsi="Cambria"/>
            <w:noProof/>
            <w:color w:val="auto"/>
            <w:u w:val="none"/>
            <w:lang w:val="en-GB"/>
          </w:rPr>
          <w:t>Med Teach.</w:t>
        </w:r>
      </w:hyperlink>
      <w:r w:rsidRPr="00757751">
        <w:rPr>
          <w:rFonts w:ascii="Cambria" w:hAnsi="Cambria"/>
          <w:noProof/>
          <w:lang w:val="en-GB"/>
        </w:rPr>
        <w:t xml:space="preserve"> 2011;33(12):e670-7. </w:t>
      </w:r>
    </w:p>
    <w:p w14:paraId="6F8CE59A"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lang w:val="en-GB"/>
        </w:rPr>
        <w:t xml:space="preserve">31. </w:t>
      </w:r>
      <w:r w:rsidRPr="00757751">
        <w:rPr>
          <w:rFonts w:ascii="Cambria" w:hAnsi="Cambria"/>
          <w:noProof/>
          <w:lang w:val="en-GB"/>
        </w:rPr>
        <w:tab/>
      </w:r>
      <w:r w:rsidRPr="00757751">
        <w:rPr>
          <w:rFonts w:ascii="Cambria" w:hAnsi="Cambria"/>
          <w:noProof/>
        </w:rPr>
        <w:t xml:space="preserve">Walters L, Prideaux D, Worley P, Greenhill J. Demonstrating the value of longitudinal integrated placements to general practice preceptors: Value </w:t>
      </w:r>
      <w:r w:rsidRPr="00757751">
        <w:rPr>
          <w:rFonts w:ascii="Cambria" w:hAnsi="Cambria"/>
          <w:noProof/>
        </w:rPr>
        <w:lastRenderedPageBreak/>
        <w:t>of student placements to preceptors. Med Educ. 2011 May;45(5):455–6</w:t>
      </w:r>
    </w:p>
    <w:p w14:paraId="0B514454"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32</w:t>
      </w:r>
      <w:r w:rsidRPr="00757751">
        <w:rPr>
          <w:rFonts w:ascii="Cambria" w:hAnsi="Cambria"/>
          <w:noProof/>
        </w:rPr>
        <w:tab/>
        <w:t xml:space="preserve">Cleland J, Roberts R, Kitto S, Strand P, Johnston P. Using paradox theory to understand responses to tensions between service and training in general surgery. Med Educ. 2018;52(3):288–301. </w:t>
      </w:r>
    </w:p>
    <w:p w14:paraId="47B6F5E6" w14:textId="77777777" w:rsidR="00373BB2" w:rsidRPr="00757751" w:rsidRDefault="00373BB2" w:rsidP="00373BB2">
      <w:pPr>
        <w:widowControl w:val="0"/>
        <w:autoSpaceDE w:val="0"/>
        <w:autoSpaceDN w:val="0"/>
        <w:adjustRightInd w:val="0"/>
        <w:ind w:left="640" w:hanging="640"/>
        <w:rPr>
          <w:rFonts w:ascii="Cambria" w:hAnsi="Cambria"/>
          <w:noProof/>
        </w:rPr>
      </w:pPr>
      <w:r w:rsidRPr="00757751">
        <w:rPr>
          <w:rFonts w:ascii="Cambria" w:hAnsi="Cambria"/>
          <w:noProof/>
        </w:rPr>
        <w:t xml:space="preserve"> </w:t>
      </w:r>
    </w:p>
    <w:p w14:paraId="510458E9" w14:textId="77777777" w:rsidR="00373BB2" w:rsidRPr="00757751" w:rsidRDefault="00373BB2" w:rsidP="00373BB2">
      <w:pPr>
        <w:widowControl w:val="0"/>
        <w:autoSpaceDE w:val="0"/>
        <w:autoSpaceDN w:val="0"/>
        <w:adjustRightInd w:val="0"/>
        <w:ind w:left="640" w:hanging="640"/>
        <w:rPr>
          <w:rFonts w:ascii="Cambria" w:hAnsi="Cambria"/>
          <w:noProof/>
        </w:rPr>
      </w:pPr>
    </w:p>
    <w:p w14:paraId="2ED3D31D" w14:textId="77777777" w:rsidR="00373BB2" w:rsidRPr="00757751" w:rsidRDefault="00373BB2" w:rsidP="00373BB2">
      <w:pPr>
        <w:widowControl w:val="0"/>
        <w:autoSpaceDE w:val="0"/>
        <w:autoSpaceDN w:val="0"/>
        <w:adjustRightInd w:val="0"/>
        <w:ind w:left="640" w:hanging="640"/>
        <w:rPr>
          <w:rFonts w:ascii="Cambria" w:hAnsi="Cambria"/>
          <w:noProof/>
        </w:rPr>
      </w:pPr>
    </w:p>
    <w:p w14:paraId="0F56CBAA" w14:textId="05EEA3B2" w:rsidR="00AF619E" w:rsidRDefault="00373BB2" w:rsidP="00373BB2">
      <w:pPr>
        <w:widowControl w:val="0"/>
        <w:autoSpaceDE w:val="0"/>
        <w:autoSpaceDN w:val="0"/>
        <w:adjustRightInd w:val="0"/>
        <w:ind w:left="640" w:hanging="640"/>
      </w:pPr>
      <w:r w:rsidRPr="00757751">
        <w:fldChar w:fldCharType="end"/>
      </w:r>
    </w:p>
    <w:p w14:paraId="2F0AA740" w14:textId="77777777" w:rsidR="00AF619E" w:rsidRDefault="00AF619E">
      <w:r>
        <w:br w:type="page"/>
      </w:r>
    </w:p>
    <w:p w14:paraId="147E6ABD" w14:textId="77777777" w:rsidR="00AF619E" w:rsidRDefault="00AF619E" w:rsidP="00AF619E"/>
    <w:p w14:paraId="50D19EFD" w14:textId="77777777" w:rsidR="00AF619E" w:rsidRDefault="00AF619E" w:rsidP="00AF619E">
      <w:r>
        <w:t>Table 1 – previously identified facilitators and barriers</w:t>
      </w:r>
    </w:p>
    <w:p w14:paraId="14CD30F2" w14:textId="77777777" w:rsidR="00AF619E" w:rsidRDefault="00AF619E" w:rsidP="00AF619E"/>
    <w:tbl>
      <w:tblPr>
        <w:tblStyle w:val="TableGrid"/>
        <w:tblW w:w="8647" w:type="dxa"/>
        <w:tblInd w:w="-34" w:type="dxa"/>
        <w:tblLook w:val="0420" w:firstRow="1" w:lastRow="0" w:firstColumn="0" w:lastColumn="0" w:noHBand="0" w:noVBand="1"/>
      </w:tblPr>
      <w:tblGrid>
        <w:gridCol w:w="4395"/>
        <w:gridCol w:w="4252"/>
      </w:tblGrid>
      <w:tr w:rsidR="00AF619E" w14:paraId="2CAB1FD1"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1EDB7002" w14:textId="77777777" w:rsidR="00AF619E" w:rsidRDefault="00AF619E">
            <w:pPr>
              <w:rPr>
                <w:lang w:val="en-GB"/>
              </w:rPr>
            </w:pPr>
            <w:r>
              <w:rPr>
                <w:b/>
                <w:bCs/>
              </w:rPr>
              <w:t>Barriers</w:t>
            </w:r>
          </w:p>
        </w:tc>
        <w:tc>
          <w:tcPr>
            <w:tcW w:w="4252" w:type="dxa"/>
            <w:tcBorders>
              <w:top w:val="single" w:sz="4" w:space="0" w:color="auto"/>
              <w:left w:val="single" w:sz="4" w:space="0" w:color="auto"/>
              <w:bottom w:val="single" w:sz="4" w:space="0" w:color="auto"/>
              <w:right w:val="single" w:sz="4" w:space="0" w:color="auto"/>
            </w:tcBorders>
            <w:hideMark/>
          </w:tcPr>
          <w:p w14:paraId="6364CA20" w14:textId="77777777" w:rsidR="00AF619E" w:rsidRDefault="00AF619E">
            <w:pPr>
              <w:ind w:right="1946"/>
              <w:rPr>
                <w:lang w:val="en-GB"/>
              </w:rPr>
            </w:pPr>
            <w:r>
              <w:rPr>
                <w:b/>
                <w:bCs/>
              </w:rPr>
              <w:t>Facilitators</w:t>
            </w:r>
          </w:p>
        </w:tc>
      </w:tr>
      <w:tr w:rsidR="00AF619E" w14:paraId="3E502AD3"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3BF067DF" w14:textId="77777777" w:rsidR="00AF619E" w:rsidRDefault="00AF619E">
            <w:pPr>
              <w:rPr>
                <w:lang w:val="en-GB"/>
              </w:rPr>
            </w:pPr>
            <w:r>
              <w:t>Lack of time, space and money</w:t>
            </w:r>
          </w:p>
        </w:tc>
        <w:tc>
          <w:tcPr>
            <w:tcW w:w="4252" w:type="dxa"/>
            <w:tcBorders>
              <w:top w:val="single" w:sz="4" w:space="0" w:color="auto"/>
              <w:left w:val="single" w:sz="4" w:space="0" w:color="auto"/>
              <w:bottom w:val="single" w:sz="4" w:space="0" w:color="auto"/>
              <w:right w:val="single" w:sz="4" w:space="0" w:color="auto"/>
            </w:tcBorders>
            <w:hideMark/>
          </w:tcPr>
          <w:p w14:paraId="10CDB2C7" w14:textId="77777777" w:rsidR="00AF619E" w:rsidRDefault="00AF619E">
            <w:pPr>
              <w:rPr>
                <w:lang w:val="en-GB"/>
              </w:rPr>
            </w:pPr>
            <w:r>
              <w:t>Keeping up to date/ improving practice</w:t>
            </w:r>
          </w:p>
        </w:tc>
      </w:tr>
      <w:tr w:rsidR="00AF619E" w14:paraId="74C26510"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2487B2C7" w14:textId="77777777" w:rsidR="00AF619E" w:rsidRDefault="00AF619E">
            <w:pPr>
              <w:rPr>
                <w:lang w:val="en-GB"/>
              </w:rPr>
            </w:pPr>
            <w:r>
              <w:t>Lack of confidence</w:t>
            </w:r>
          </w:p>
        </w:tc>
        <w:tc>
          <w:tcPr>
            <w:tcW w:w="4252" w:type="dxa"/>
            <w:tcBorders>
              <w:top w:val="single" w:sz="4" w:space="0" w:color="auto"/>
              <w:left w:val="single" w:sz="4" w:space="0" w:color="auto"/>
              <w:bottom w:val="single" w:sz="4" w:space="0" w:color="auto"/>
              <w:right w:val="single" w:sz="4" w:space="0" w:color="auto"/>
            </w:tcBorders>
            <w:hideMark/>
          </w:tcPr>
          <w:p w14:paraId="04E232C5" w14:textId="77777777" w:rsidR="00AF619E" w:rsidRDefault="00AF619E">
            <w:pPr>
              <w:rPr>
                <w:lang w:val="en-GB"/>
              </w:rPr>
            </w:pPr>
            <w:r>
              <w:t>Enjoyable</w:t>
            </w:r>
          </w:p>
        </w:tc>
      </w:tr>
      <w:tr w:rsidR="00AF619E" w14:paraId="7A7A1828"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60AC0B2D" w14:textId="77777777" w:rsidR="00AF619E" w:rsidRDefault="00AF619E">
            <w:pPr>
              <w:rPr>
                <w:lang w:val="en-GB"/>
              </w:rPr>
            </w:pPr>
            <w:r>
              <w:t>Patient fatigue</w:t>
            </w:r>
          </w:p>
        </w:tc>
        <w:tc>
          <w:tcPr>
            <w:tcW w:w="4252" w:type="dxa"/>
            <w:tcBorders>
              <w:top w:val="single" w:sz="4" w:space="0" w:color="auto"/>
              <w:left w:val="single" w:sz="4" w:space="0" w:color="auto"/>
              <w:bottom w:val="single" w:sz="4" w:space="0" w:color="auto"/>
              <w:right w:val="single" w:sz="4" w:space="0" w:color="auto"/>
            </w:tcBorders>
            <w:hideMark/>
          </w:tcPr>
          <w:p w14:paraId="43359AA2" w14:textId="77777777" w:rsidR="00AF619E" w:rsidRDefault="00AF619E">
            <w:pPr>
              <w:rPr>
                <w:lang w:val="en-GB"/>
              </w:rPr>
            </w:pPr>
            <w:r>
              <w:t>Promoting GP as a career</w:t>
            </w:r>
          </w:p>
        </w:tc>
      </w:tr>
      <w:tr w:rsidR="00AF619E" w14:paraId="3DD29FBB"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38FDB888" w14:textId="77777777" w:rsidR="00AF619E" w:rsidRDefault="00AF619E">
            <w:pPr>
              <w:rPr>
                <w:lang w:val="en-GB"/>
              </w:rPr>
            </w:pPr>
            <w:proofErr w:type="spellStart"/>
            <w:r>
              <w:t>Organisation</w:t>
            </w:r>
            <w:proofErr w:type="spellEnd"/>
            <w:r>
              <w:t xml:space="preserve"> of teaching/ increased workload</w:t>
            </w:r>
          </w:p>
        </w:tc>
        <w:tc>
          <w:tcPr>
            <w:tcW w:w="4252" w:type="dxa"/>
            <w:tcBorders>
              <w:top w:val="single" w:sz="4" w:space="0" w:color="auto"/>
              <w:left w:val="single" w:sz="4" w:space="0" w:color="auto"/>
              <w:bottom w:val="single" w:sz="4" w:space="0" w:color="auto"/>
              <w:right w:val="single" w:sz="4" w:space="0" w:color="auto"/>
            </w:tcBorders>
            <w:hideMark/>
          </w:tcPr>
          <w:p w14:paraId="789D18F0" w14:textId="77777777" w:rsidR="00AF619E" w:rsidRDefault="00AF619E">
            <w:pPr>
              <w:rPr>
                <w:lang w:val="en-GB"/>
              </w:rPr>
            </w:pPr>
            <w:r>
              <w:t>Improving doctor-patient and student-doctor relationship</w:t>
            </w:r>
          </w:p>
        </w:tc>
      </w:tr>
      <w:tr w:rsidR="00AF619E" w14:paraId="0EFC21F6"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54469C2E" w14:textId="77777777" w:rsidR="00AF619E" w:rsidRDefault="00AF619E">
            <w:pPr>
              <w:rPr>
                <w:lang w:val="en-GB"/>
              </w:rPr>
            </w:pPr>
            <w:r>
              <w:t>Lack of support from the practice</w:t>
            </w:r>
          </w:p>
        </w:tc>
        <w:tc>
          <w:tcPr>
            <w:tcW w:w="4252" w:type="dxa"/>
            <w:tcBorders>
              <w:top w:val="single" w:sz="4" w:space="0" w:color="auto"/>
              <w:left w:val="single" w:sz="4" w:space="0" w:color="auto"/>
              <w:bottom w:val="single" w:sz="4" w:space="0" w:color="auto"/>
              <w:right w:val="single" w:sz="4" w:space="0" w:color="auto"/>
            </w:tcBorders>
            <w:hideMark/>
          </w:tcPr>
          <w:p w14:paraId="33E262FC" w14:textId="77777777" w:rsidR="00AF619E" w:rsidRDefault="00AF619E">
            <w:pPr>
              <w:rPr>
                <w:lang w:val="en-GB"/>
              </w:rPr>
            </w:pPr>
            <w:r>
              <w:t>Variety to working week</w:t>
            </w:r>
          </w:p>
        </w:tc>
      </w:tr>
      <w:tr w:rsidR="00AF619E" w14:paraId="47B70E9E"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79AF879F" w14:textId="77777777" w:rsidR="00AF619E" w:rsidRDefault="00AF619E">
            <w:pPr>
              <w:rPr>
                <w:lang w:val="en-GB"/>
              </w:rPr>
            </w:pPr>
            <w:r>
              <w:t>Lack of feedback</w:t>
            </w:r>
          </w:p>
        </w:tc>
        <w:tc>
          <w:tcPr>
            <w:tcW w:w="4252" w:type="dxa"/>
            <w:tcBorders>
              <w:top w:val="single" w:sz="4" w:space="0" w:color="auto"/>
              <w:left w:val="single" w:sz="4" w:space="0" w:color="auto"/>
              <w:bottom w:val="single" w:sz="4" w:space="0" w:color="auto"/>
              <w:right w:val="single" w:sz="4" w:space="0" w:color="auto"/>
            </w:tcBorders>
            <w:hideMark/>
          </w:tcPr>
          <w:p w14:paraId="5DF2D3E0" w14:textId="77777777" w:rsidR="00AF619E" w:rsidRDefault="00AF619E">
            <w:pPr>
              <w:rPr>
                <w:lang w:val="en-GB"/>
              </w:rPr>
            </w:pPr>
            <w:r>
              <w:t>Improving confidence</w:t>
            </w:r>
          </w:p>
        </w:tc>
      </w:tr>
      <w:tr w:rsidR="00AF619E" w14:paraId="3C0184F1"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54B89FDC" w14:textId="77777777" w:rsidR="00AF619E" w:rsidRDefault="00AF619E">
            <w:pPr>
              <w:rPr>
                <w:lang w:val="en-GB"/>
              </w:rPr>
            </w:pPr>
            <w:r>
              <w:t>Lack of support from medical school or peer support</w:t>
            </w:r>
          </w:p>
        </w:tc>
        <w:tc>
          <w:tcPr>
            <w:tcW w:w="4252" w:type="dxa"/>
            <w:tcBorders>
              <w:top w:val="single" w:sz="4" w:space="0" w:color="auto"/>
              <w:left w:val="single" w:sz="4" w:space="0" w:color="auto"/>
              <w:bottom w:val="single" w:sz="4" w:space="0" w:color="auto"/>
              <w:right w:val="single" w:sz="4" w:space="0" w:color="auto"/>
            </w:tcBorders>
            <w:hideMark/>
          </w:tcPr>
          <w:p w14:paraId="49D99A4E" w14:textId="77777777" w:rsidR="00AF619E" w:rsidRDefault="00AF619E">
            <w:pPr>
              <w:rPr>
                <w:lang w:val="en-GB"/>
              </w:rPr>
            </w:pPr>
            <w:r>
              <w:t>Patient enjoyment</w:t>
            </w:r>
          </w:p>
        </w:tc>
      </w:tr>
      <w:tr w:rsidR="00AF619E" w14:paraId="222F7834"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2155ECE4" w14:textId="77777777" w:rsidR="00AF619E" w:rsidRDefault="00AF619E">
            <w:pPr>
              <w:rPr>
                <w:lang w:val="en-GB"/>
              </w:rPr>
            </w:pPr>
            <w:r>
              <w:rPr>
                <w:lang w:val="en-GB"/>
              </w:rPr>
              <w:t>Affects relationship with patient</w:t>
            </w:r>
          </w:p>
        </w:tc>
        <w:tc>
          <w:tcPr>
            <w:tcW w:w="4252" w:type="dxa"/>
            <w:tcBorders>
              <w:top w:val="single" w:sz="4" w:space="0" w:color="auto"/>
              <w:left w:val="single" w:sz="4" w:space="0" w:color="auto"/>
              <w:bottom w:val="single" w:sz="4" w:space="0" w:color="auto"/>
              <w:right w:val="single" w:sz="4" w:space="0" w:color="auto"/>
            </w:tcBorders>
            <w:hideMark/>
          </w:tcPr>
          <w:p w14:paraId="786DAA69" w14:textId="77777777" w:rsidR="00AF619E" w:rsidRDefault="00AF619E">
            <w:pPr>
              <w:rPr>
                <w:lang w:val="en-GB"/>
              </w:rPr>
            </w:pPr>
            <w:r>
              <w:t>Recognition as CPD</w:t>
            </w:r>
          </w:p>
        </w:tc>
      </w:tr>
      <w:tr w:rsidR="00AF619E" w14:paraId="4AFFF49A"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122338B0" w14:textId="77777777" w:rsidR="00AF619E" w:rsidRDefault="00AF619E">
            <w:pPr>
              <w:rPr>
                <w:lang w:val="en-GB"/>
              </w:rPr>
            </w:pPr>
            <w:r>
              <w:rPr>
                <w:lang w:val="en-GB"/>
              </w:rPr>
              <w:t>Stressful</w:t>
            </w:r>
          </w:p>
        </w:tc>
        <w:tc>
          <w:tcPr>
            <w:tcW w:w="4252" w:type="dxa"/>
            <w:tcBorders>
              <w:top w:val="single" w:sz="4" w:space="0" w:color="auto"/>
              <w:left w:val="single" w:sz="4" w:space="0" w:color="auto"/>
              <w:bottom w:val="single" w:sz="4" w:space="0" w:color="auto"/>
              <w:right w:val="single" w:sz="4" w:space="0" w:color="auto"/>
            </w:tcBorders>
            <w:hideMark/>
          </w:tcPr>
          <w:p w14:paraId="6C426A96" w14:textId="77777777" w:rsidR="00AF619E" w:rsidRDefault="00AF619E">
            <w:pPr>
              <w:rPr>
                <w:lang w:val="en-GB"/>
              </w:rPr>
            </w:pPr>
            <w:r>
              <w:t>Altruism</w:t>
            </w:r>
          </w:p>
        </w:tc>
      </w:tr>
      <w:tr w:rsidR="00AF619E" w14:paraId="7362CF11"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58579860" w14:textId="77777777" w:rsidR="00AF619E" w:rsidRDefault="00AF619E">
            <w:pPr>
              <w:rPr>
                <w:lang w:val="en-GB"/>
              </w:rPr>
            </w:pPr>
            <w:r>
              <w:rPr>
                <w:lang w:val="en-GB"/>
              </w:rPr>
              <w:t>Employment status</w:t>
            </w:r>
          </w:p>
        </w:tc>
        <w:tc>
          <w:tcPr>
            <w:tcW w:w="4252" w:type="dxa"/>
            <w:tcBorders>
              <w:top w:val="single" w:sz="4" w:space="0" w:color="auto"/>
              <w:left w:val="single" w:sz="4" w:space="0" w:color="auto"/>
              <w:bottom w:val="single" w:sz="4" w:space="0" w:color="auto"/>
              <w:right w:val="single" w:sz="4" w:space="0" w:color="auto"/>
            </w:tcBorders>
            <w:hideMark/>
          </w:tcPr>
          <w:p w14:paraId="337D9250" w14:textId="77777777" w:rsidR="00AF619E" w:rsidRDefault="00AF619E">
            <w:pPr>
              <w:rPr>
                <w:lang w:val="en-GB"/>
              </w:rPr>
            </w:pPr>
            <w:r>
              <w:t>Apprenticeship</w:t>
            </w:r>
          </w:p>
        </w:tc>
      </w:tr>
      <w:tr w:rsidR="00AF619E" w14:paraId="784287DA"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hideMark/>
          </w:tcPr>
          <w:p w14:paraId="30AEAE5F" w14:textId="77777777" w:rsidR="00AF619E" w:rsidRDefault="00AF619E">
            <w:pPr>
              <w:rPr>
                <w:lang w:val="en-GB"/>
              </w:rPr>
            </w:pPr>
          </w:p>
        </w:tc>
        <w:tc>
          <w:tcPr>
            <w:tcW w:w="4252" w:type="dxa"/>
            <w:tcBorders>
              <w:top w:val="single" w:sz="4" w:space="0" w:color="auto"/>
              <w:left w:val="single" w:sz="4" w:space="0" w:color="auto"/>
              <w:bottom w:val="single" w:sz="4" w:space="0" w:color="auto"/>
              <w:right w:val="single" w:sz="4" w:space="0" w:color="auto"/>
            </w:tcBorders>
            <w:hideMark/>
          </w:tcPr>
          <w:p w14:paraId="38643B45" w14:textId="77777777" w:rsidR="00AF619E" w:rsidRDefault="00AF619E">
            <w:pPr>
              <w:rPr>
                <w:lang w:val="en-GB"/>
              </w:rPr>
            </w:pPr>
            <w:r>
              <w:t>Increase kudos for practice</w:t>
            </w:r>
          </w:p>
        </w:tc>
      </w:tr>
      <w:tr w:rsidR="00AF619E" w14:paraId="6CA78F8C"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tcPr>
          <w:p w14:paraId="2B62A278" w14:textId="77777777" w:rsidR="00AF619E" w:rsidRDefault="00AF619E">
            <w:pPr>
              <w:rPr>
                <w:lang w:val="en-GB"/>
              </w:rPr>
            </w:pPr>
          </w:p>
        </w:tc>
        <w:tc>
          <w:tcPr>
            <w:tcW w:w="4252" w:type="dxa"/>
            <w:tcBorders>
              <w:top w:val="single" w:sz="4" w:space="0" w:color="auto"/>
              <w:left w:val="single" w:sz="4" w:space="0" w:color="auto"/>
              <w:bottom w:val="single" w:sz="4" w:space="0" w:color="auto"/>
              <w:right w:val="single" w:sz="4" w:space="0" w:color="auto"/>
            </w:tcBorders>
          </w:tcPr>
          <w:p w14:paraId="01FF9B35" w14:textId="77777777" w:rsidR="00AF619E" w:rsidRDefault="00AF619E">
            <w:r>
              <w:t>Interaction with medical faculty</w:t>
            </w:r>
          </w:p>
          <w:p w14:paraId="45F1E9EA" w14:textId="77777777" w:rsidR="00AF619E" w:rsidRDefault="00AF619E">
            <w:pPr>
              <w:jc w:val="center"/>
            </w:pPr>
          </w:p>
        </w:tc>
      </w:tr>
      <w:tr w:rsidR="00AF619E" w14:paraId="4AF22E68"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tcPr>
          <w:p w14:paraId="733AE105" w14:textId="77777777" w:rsidR="00AF619E" w:rsidRDefault="00AF619E">
            <w:pPr>
              <w:rPr>
                <w:lang w:val="en-GB"/>
              </w:rPr>
            </w:pPr>
          </w:p>
        </w:tc>
        <w:tc>
          <w:tcPr>
            <w:tcW w:w="4252" w:type="dxa"/>
            <w:tcBorders>
              <w:top w:val="single" w:sz="4" w:space="0" w:color="auto"/>
              <w:left w:val="single" w:sz="4" w:space="0" w:color="auto"/>
              <w:bottom w:val="single" w:sz="4" w:space="0" w:color="auto"/>
              <w:right w:val="single" w:sz="4" w:space="0" w:color="auto"/>
            </w:tcBorders>
            <w:hideMark/>
          </w:tcPr>
          <w:p w14:paraId="34D78410" w14:textId="77777777" w:rsidR="00AF619E" w:rsidRDefault="00AF619E">
            <w:r>
              <w:t>Benefits appraisal</w:t>
            </w:r>
          </w:p>
        </w:tc>
      </w:tr>
      <w:tr w:rsidR="00AF619E" w14:paraId="0509C7AC" w14:textId="77777777" w:rsidTr="00AF619E">
        <w:trPr>
          <w:trHeight w:val="584"/>
        </w:trPr>
        <w:tc>
          <w:tcPr>
            <w:tcW w:w="4395" w:type="dxa"/>
            <w:tcBorders>
              <w:top w:val="single" w:sz="4" w:space="0" w:color="auto"/>
              <w:left w:val="single" w:sz="4" w:space="0" w:color="auto"/>
              <w:bottom w:val="single" w:sz="4" w:space="0" w:color="auto"/>
              <w:right w:val="single" w:sz="4" w:space="0" w:color="auto"/>
            </w:tcBorders>
          </w:tcPr>
          <w:p w14:paraId="47EB2864" w14:textId="77777777" w:rsidR="00AF619E" w:rsidRDefault="00AF619E">
            <w:pPr>
              <w:rPr>
                <w:lang w:val="en-GB"/>
              </w:rPr>
            </w:pPr>
          </w:p>
        </w:tc>
        <w:tc>
          <w:tcPr>
            <w:tcW w:w="4252" w:type="dxa"/>
            <w:tcBorders>
              <w:top w:val="single" w:sz="4" w:space="0" w:color="auto"/>
              <w:left w:val="single" w:sz="4" w:space="0" w:color="auto"/>
              <w:bottom w:val="single" w:sz="4" w:space="0" w:color="auto"/>
              <w:right w:val="single" w:sz="4" w:space="0" w:color="auto"/>
            </w:tcBorders>
            <w:hideMark/>
          </w:tcPr>
          <w:p w14:paraId="237971A7" w14:textId="77777777" w:rsidR="00AF619E" w:rsidRDefault="00AF619E">
            <w:r>
              <w:t>GP tutor interactions</w:t>
            </w:r>
          </w:p>
        </w:tc>
      </w:tr>
    </w:tbl>
    <w:p w14:paraId="633DC735" w14:textId="77777777" w:rsidR="00AF619E" w:rsidRDefault="00AF619E" w:rsidP="00AF619E"/>
    <w:p w14:paraId="4D064E17" w14:textId="54101F29" w:rsidR="00AF619E" w:rsidRDefault="00AF619E">
      <w:r>
        <w:br w:type="page"/>
      </w:r>
    </w:p>
    <w:p w14:paraId="5417BB0C" w14:textId="77777777" w:rsidR="00AF619E" w:rsidRDefault="00AF619E" w:rsidP="00AF619E">
      <w:r>
        <w:lastRenderedPageBreak/>
        <w:t xml:space="preserve">Table </w:t>
      </w:r>
      <w:proofErr w:type="gramStart"/>
      <w:r>
        <w:t>2</w:t>
      </w:r>
      <w:proofErr w:type="gramEnd"/>
      <w:r>
        <w:t xml:space="preserve"> – Recommendations to improve recruitment and retention of tutors</w:t>
      </w:r>
    </w:p>
    <w:p w14:paraId="2D6F9653" w14:textId="77777777" w:rsidR="00AF619E" w:rsidRDefault="00AF619E" w:rsidP="00AF619E">
      <w:pPr>
        <w:rPr>
          <w:i/>
        </w:rPr>
      </w:pPr>
    </w:p>
    <w:p w14:paraId="2CE6B543" w14:textId="77777777" w:rsidR="00AF619E" w:rsidRDefault="00AF619E" w:rsidP="00AF619E">
      <w:r>
        <w:rPr>
          <w:i/>
        </w:rPr>
        <w:t>Retention</w:t>
      </w:r>
      <w:r>
        <w:t>:</w:t>
      </w:r>
    </w:p>
    <w:p w14:paraId="29C48D47" w14:textId="77777777" w:rsidR="00AF619E" w:rsidRDefault="00AF619E" w:rsidP="00AF619E">
      <w:r>
        <w:t>Interface:</w:t>
      </w:r>
    </w:p>
    <w:p w14:paraId="746CB0A3" w14:textId="77777777" w:rsidR="00AF619E" w:rsidRDefault="00AF619E" w:rsidP="00AF619E">
      <w:pPr>
        <w:ind w:firstLine="720"/>
      </w:pPr>
      <w:r>
        <w:t xml:space="preserve">- </w:t>
      </w:r>
      <w:proofErr w:type="gramStart"/>
      <w:r>
        <w:t>communications</w:t>
      </w:r>
      <w:proofErr w:type="gramEnd"/>
      <w:r>
        <w:t xml:space="preserve"> - single point of contact for GPs, and keep GPs informed of curricular changes</w:t>
      </w:r>
    </w:p>
    <w:p w14:paraId="08C140E0" w14:textId="77777777" w:rsidR="00AF619E" w:rsidRDefault="00AF619E" w:rsidP="00AF619E">
      <w:pPr>
        <w:ind w:firstLine="720"/>
      </w:pPr>
      <w:r>
        <w:t xml:space="preserve">- </w:t>
      </w:r>
      <w:proofErr w:type="gramStart"/>
      <w:r>
        <w:t>recognition</w:t>
      </w:r>
      <w:proofErr w:type="gramEnd"/>
      <w:r>
        <w:t xml:space="preserve"> of teaching e.g. prizes</w:t>
      </w:r>
    </w:p>
    <w:p w14:paraId="78E274F6" w14:textId="77777777" w:rsidR="00AF619E" w:rsidRDefault="00AF619E" w:rsidP="00AF619E">
      <w:pPr>
        <w:ind w:firstLine="720"/>
      </w:pPr>
      <w:r>
        <w:t xml:space="preserve">- </w:t>
      </w:r>
      <w:proofErr w:type="gramStart"/>
      <w:r>
        <w:t>feedback</w:t>
      </w:r>
      <w:proofErr w:type="gramEnd"/>
      <w:r>
        <w:t xml:space="preserve"> – detailed, prompt</w:t>
      </w:r>
    </w:p>
    <w:p w14:paraId="22AE0C49" w14:textId="77777777" w:rsidR="00AF619E" w:rsidRDefault="00AF619E" w:rsidP="00AF619E">
      <w:r>
        <w:t>Community:</w:t>
      </w:r>
    </w:p>
    <w:p w14:paraId="0A1A1D5F" w14:textId="77777777" w:rsidR="00AF619E" w:rsidRDefault="00AF619E" w:rsidP="00AF619E">
      <w:pPr>
        <w:pStyle w:val="ListParagraph"/>
        <w:numPr>
          <w:ilvl w:val="0"/>
          <w:numId w:val="1"/>
        </w:numPr>
      </w:pPr>
      <w:r>
        <w:t xml:space="preserve">offer teachers opportunities to examine, interview, or teach on campus </w:t>
      </w:r>
    </w:p>
    <w:p w14:paraId="26E5789D" w14:textId="77777777" w:rsidR="00AF619E" w:rsidRDefault="00AF619E" w:rsidP="00AF619E">
      <w:pPr>
        <w:pStyle w:val="ListParagraph"/>
        <w:numPr>
          <w:ilvl w:val="0"/>
          <w:numId w:val="1"/>
        </w:numPr>
      </w:pPr>
      <w:proofErr w:type="spellStart"/>
      <w:r>
        <w:t>organise</w:t>
      </w:r>
      <w:proofErr w:type="spellEnd"/>
      <w:r>
        <w:t xml:space="preserve"> events – educational and social </w:t>
      </w:r>
    </w:p>
    <w:p w14:paraId="4C50F43A" w14:textId="77777777" w:rsidR="00AF619E" w:rsidRDefault="00AF619E" w:rsidP="00AF619E">
      <w:pPr>
        <w:pStyle w:val="ListParagraph"/>
        <w:numPr>
          <w:ilvl w:val="0"/>
          <w:numId w:val="1"/>
        </w:numPr>
      </w:pPr>
      <w:r>
        <w:t>make it possible for teachers to discuss their ideas together</w:t>
      </w:r>
    </w:p>
    <w:p w14:paraId="58B64310" w14:textId="77777777" w:rsidR="00AF619E" w:rsidRDefault="00AF619E" w:rsidP="00AF619E">
      <w:r>
        <w:t>Placements:</w:t>
      </w:r>
    </w:p>
    <w:p w14:paraId="6337AF87" w14:textId="77777777" w:rsidR="00AF619E" w:rsidRDefault="00AF619E" w:rsidP="00AF619E">
      <w:pPr>
        <w:pStyle w:val="ListParagraph"/>
        <w:numPr>
          <w:ilvl w:val="0"/>
          <w:numId w:val="1"/>
        </w:numPr>
      </w:pPr>
      <w:r>
        <w:t>validate the role of GP placements to learn skills and knowledge distinct from that learnt in hospital</w:t>
      </w:r>
    </w:p>
    <w:p w14:paraId="6A55AB67" w14:textId="77777777" w:rsidR="00AF619E" w:rsidRDefault="00AF619E" w:rsidP="00AF619E">
      <w:pPr>
        <w:pStyle w:val="ListParagraph"/>
        <w:numPr>
          <w:ilvl w:val="0"/>
          <w:numId w:val="1"/>
        </w:numPr>
      </w:pPr>
      <w:proofErr w:type="gramStart"/>
      <w:r>
        <w:t>broaden</w:t>
      </w:r>
      <w:proofErr w:type="gramEnd"/>
      <w:r>
        <w:t xml:space="preserve"> the remit for learning on placements and encourage involvement of the wider primary care team.</w:t>
      </w:r>
    </w:p>
    <w:p w14:paraId="739D74B1" w14:textId="77777777" w:rsidR="00AF619E" w:rsidRDefault="00AF619E" w:rsidP="00AF619E">
      <w:pPr>
        <w:pStyle w:val="ListParagraph"/>
        <w:numPr>
          <w:ilvl w:val="0"/>
          <w:numId w:val="1"/>
        </w:numPr>
      </w:pPr>
      <w:r>
        <w:t xml:space="preserve">structure placements to </w:t>
      </w:r>
      <w:proofErr w:type="spellStart"/>
      <w:r>
        <w:t>maximise</w:t>
      </w:r>
      <w:proofErr w:type="spellEnd"/>
      <w:r>
        <w:t xml:space="preserve"> opportunities for a longitudinal student-teacher relationship</w:t>
      </w:r>
    </w:p>
    <w:p w14:paraId="7A92A82D" w14:textId="77777777" w:rsidR="00AF619E" w:rsidRDefault="00AF619E" w:rsidP="00AF619E">
      <w:r>
        <w:t>Physical barriers:</w:t>
      </w:r>
    </w:p>
    <w:p w14:paraId="674ACC8B" w14:textId="77777777" w:rsidR="00AF619E" w:rsidRDefault="00AF619E" w:rsidP="00AF619E">
      <w:pPr>
        <w:pStyle w:val="ListParagraph"/>
        <w:numPr>
          <w:ilvl w:val="0"/>
          <w:numId w:val="2"/>
        </w:numPr>
      </w:pPr>
      <w:r>
        <w:t>local meetings</w:t>
      </w:r>
    </w:p>
    <w:p w14:paraId="3B95D6A0" w14:textId="77777777" w:rsidR="00AF619E" w:rsidRDefault="00AF619E" w:rsidP="00AF619E">
      <w:pPr>
        <w:pStyle w:val="ListParagraph"/>
        <w:numPr>
          <w:ilvl w:val="0"/>
          <w:numId w:val="2"/>
        </w:numPr>
      </w:pPr>
      <w:r>
        <w:t>free parking</w:t>
      </w:r>
    </w:p>
    <w:p w14:paraId="7E5781B3" w14:textId="77777777" w:rsidR="00AF619E" w:rsidRDefault="00AF619E" w:rsidP="00AF619E"/>
    <w:p w14:paraId="7E17BE76" w14:textId="77777777" w:rsidR="00AF619E" w:rsidRDefault="00AF619E" w:rsidP="00AF619E">
      <w:pPr>
        <w:rPr>
          <w:i/>
        </w:rPr>
      </w:pPr>
      <w:r>
        <w:rPr>
          <w:i/>
        </w:rPr>
        <w:t>Recruitment:</w:t>
      </w:r>
    </w:p>
    <w:p w14:paraId="6FF2C09B" w14:textId="77777777" w:rsidR="00AF619E" w:rsidRDefault="00AF619E" w:rsidP="00AF619E">
      <w:r>
        <w:t>Recruitment route:</w:t>
      </w:r>
    </w:p>
    <w:p w14:paraId="4ED3F15E" w14:textId="77777777" w:rsidR="00AF619E" w:rsidRDefault="00AF619E" w:rsidP="00AF619E">
      <w:pPr>
        <w:ind w:firstLine="720"/>
      </w:pPr>
      <w:r>
        <w:t>- evaluate whether recruitment methods have full coverage of potential GP teachers</w:t>
      </w:r>
    </w:p>
    <w:p w14:paraId="33DF951E" w14:textId="77777777" w:rsidR="00AF619E" w:rsidRDefault="00AF619E" w:rsidP="00AF619E">
      <w:r>
        <w:t xml:space="preserve">       -     develop a social medial presence and advertise online via GP support groups on social media </w:t>
      </w:r>
    </w:p>
    <w:p w14:paraId="23685DF1" w14:textId="77777777" w:rsidR="00AF619E" w:rsidRDefault="00AF619E" w:rsidP="00AF619E">
      <w:pPr>
        <w:pStyle w:val="ListParagraph"/>
        <w:numPr>
          <w:ilvl w:val="0"/>
          <w:numId w:val="2"/>
        </w:numPr>
      </w:pPr>
      <w:r>
        <w:t>ensure all avenues are explored including via professional bodies and networks</w:t>
      </w:r>
    </w:p>
    <w:p w14:paraId="75E8A94F" w14:textId="77777777" w:rsidR="00AF619E" w:rsidRDefault="00AF619E" w:rsidP="00AF619E">
      <w:r>
        <w:t>Early career doctors:</w:t>
      </w:r>
    </w:p>
    <w:p w14:paraId="79B435D4" w14:textId="77777777" w:rsidR="00AF619E" w:rsidRDefault="00AF619E" w:rsidP="00AF619E">
      <w:pPr>
        <w:pStyle w:val="ListParagraph"/>
        <w:numPr>
          <w:ilvl w:val="0"/>
          <w:numId w:val="2"/>
        </w:numPr>
      </w:pPr>
      <w:r>
        <w:t>advertise via national schemes which support newly qualified GPs</w:t>
      </w:r>
    </w:p>
    <w:p w14:paraId="11820938" w14:textId="77777777" w:rsidR="00AF619E" w:rsidRDefault="00AF619E" w:rsidP="00AF619E">
      <w:pPr>
        <w:pStyle w:val="ListParagraph"/>
        <w:numPr>
          <w:ilvl w:val="0"/>
          <w:numId w:val="2"/>
        </w:numPr>
      </w:pPr>
      <w:r>
        <w:t>ensure GPs in training are aware of opportunities available to teach after finishing professional training</w:t>
      </w:r>
    </w:p>
    <w:p w14:paraId="44A85EEB" w14:textId="77777777" w:rsidR="00AF619E" w:rsidRDefault="00AF619E" w:rsidP="00AF619E">
      <w:r>
        <w:t xml:space="preserve">Locum: </w:t>
      </w:r>
    </w:p>
    <w:p w14:paraId="0A4E3258" w14:textId="77777777" w:rsidR="00AF619E" w:rsidRDefault="00AF619E" w:rsidP="00AF619E">
      <w:pPr>
        <w:pStyle w:val="ListParagraph"/>
        <w:numPr>
          <w:ilvl w:val="0"/>
          <w:numId w:val="2"/>
        </w:numPr>
      </w:pPr>
      <w:r>
        <w:t>encourage locum doctors to retain links with practices where they are known which might later host them to teach</w:t>
      </w:r>
    </w:p>
    <w:p w14:paraId="74EE0CB1" w14:textId="77777777" w:rsidR="00AF619E" w:rsidRDefault="00AF619E" w:rsidP="00AF619E"/>
    <w:p w14:paraId="6B69E160" w14:textId="77777777" w:rsidR="00AF619E" w:rsidRDefault="00AF619E" w:rsidP="00AF619E"/>
    <w:p w14:paraId="57F82279" w14:textId="77777777" w:rsidR="00AF619E" w:rsidRDefault="00AF619E" w:rsidP="00AF619E"/>
    <w:p w14:paraId="654F6CDF" w14:textId="77777777" w:rsidR="00AF619E" w:rsidRDefault="00AF619E" w:rsidP="00AF619E"/>
    <w:p w14:paraId="098838BF" w14:textId="33109CF3" w:rsidR="00AF619E" w:rsidRDefault="00AF619E">
      <w:r>
        <w:br w:type="page"/>
      </w:r>
    </w:p>
    <w:p w14:paraId="1F61EC5F" w14:textId="04AD5F26" w:rsidR="00373BB2" w:rsidRDefault="00AF619E" w:rsidP="00373BB2">
      <w:pPr>
        <w:widowControl w:val="0"/>
        <w:autoSpaceDE w:val="0"/>
        <w:autoSpaceDN w:val="0"/>
        <w:adjustRightInd w:val="0"/>
        <w:ind w:left="640" w:hanging="640"/>
      </w:pPr>
      <w:r>
        <w:lastRenderedPageBreak/>
        <w:t>Fig 1</w:t>
      </w:r>
    </w:p>
    <w:p w14:paraId="0A27D9AC" w14:textId="0697020A" w:rsidR="00AF619E" w:rsidRPr="00757751" w:rsidRDefault="00AF619E" w:rsidP="00373BB2">
      <w:pPr>
        <w:widowControl w:val="0"/>
        <w:autoSpaceDE w:val="0"/>
        <w:autoSpaceDN w:val="0"/>
        <w:adjustRightInd w:val="0"/>
        <w:ind w:left="640" w:hanging="640"/>
      </w:pPr>
      <w:r w:rsidRPr="00AF619E">
        <w:rPr>
          <w:noProof/>
          <w:lang w:val="en-GB" w:eastAsia="en-GB"/>
        </w:rPr>
        <w:drawing>
          <wp:inline distT="0" distB="0" distL="0" distR="0" wp14:anchorId="06A3ED79" wp14:editId="5D970E2E">
            <wp:extent cx="5270500" cy="369797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697974"/>
                    </a:xfrm>
                    <a:prstGeom prst="rect">
                      <a:avLst/>
                    </a:prstGeom>
                    <a:noFill/>
                    <a:ln>
                      <a:noFill/>
                    </a:ln>
                  </pic:spPr>
                </pic:pic>
              </a:graphicData>
            </a:graphic>
          </wp:inline>
        </w:drawing>
      </w:r>
    </w:p>
    <w:p w14:paraId="0FD00137" w14:textId="77777777" w:rsidR="00373BB2" w:rsidRPr="00757751" w:rsidRDefault="00373BB2" w:rsidP="00373BB2"/>
    <w:p w14:paraId="39CB6742" w14:textId="77777777" w:rsidR="00373BB2" w:rsidRPr="00757751" w:rsidRDefault="00373BB2" w:rsidP="00373BB2"/>
    <w:p w14:paraId="4B45255E" w14:textId="77777777" w:rsidR="00373BB2" w:rsidRPr="00757751" w:rsidRDefault="00373BB2" w:rsidP="00373BB2"/>
    <w:p w14:paraId="36B7718C" w14:textId="77777777" w:rsidR="00373BB2" w:rsidRPr="00757751" w:rsidRDefault="00373BB2" w:rsidP="00373BB2"/>
    <w:p w14:paraId="368BDF00" w14:textId="77777777" w:rsidR="00C974D2" w:rsidRPr="00757751" w:rsidRDefault="00C974D2"/>
    <w:sectPr w:rsidR="00C974D2" w:rsidRPr="00757751" w:rsidSect="00C974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E5D"/>
    <w:multiLevelType w:val="hybridMultilevel"/>
    <w:tmpl w:val="87289642"/>
    <w:lvl w:ilvl="0" w:tplc="96747B88">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7770A3"/>
    <w:multiLevelType w:val="hybridMultilevel"/>
    <w:tmpl w:val="A19A26FC"/>
    <w:lvl w:ilvl="0" w:tplc="12CEDC58">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B2"/>
    <w:rsid w:val="00061CAE"/>
    <w:rsid w:val="0006552B"/>
    <w:rsid w:val="001F2270"/>
    <w:rsid w:val="00373BB2"/>
    <w:rsid w:val="003847E4"/>
    <w:rsid w:val="00757751"/>
    <w:rsid w:val="00930827"/>
    <w:rsid w:val="00AF619E"/>
    <w:rsid w:val="00C50591"/>
    <w:rsid w:val="00C974D2"/>
    <w:rsid w:val="00E33DF1"/>
    <w:rsid w:val="00EC52F1"/>
    <w:rsid w:val="00F5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055A"/>
  <w14:defaultImageDpi w14:val="300"/>
  <w15:docId w15:val="{C80B52C2-B728-4D11-B353-F64F2C56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
    <w:name w:val="cit"/>
    <w:basedOn w:val="DefaultParagraphFont"/>
    <w:rsid w:val="00373BB2"/>
  </w:style>
  <w:style w:type="character" w:styleId="Hyperlink">
    <w:name w:val="Hyperlink"/>
    <w:basedOn w:val="DefaultParagraphFont"/>
    <w:uiPriority w:val="99"/>
    <w:unhideWhenUsed/>
    <w:rsid w:val="00373BB2"/>
    <w:rPr>
      <w:color w:val="0000FF" w:themeColor="hyperlink"/>
      <w:u w:val="single"/>
    </w:rPr>
  </w:style>
  <w:style w:type="table" w:styleId="TableGrid">
    <w:name w:val="Table Grid"/>
    <w:basedOn w:val="TableNormal"/>
    <w:uiPriority w:val="59"/>
    <w:rsid w:val="00AF61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6219">
      <w:bodyDiv w:val="1"/>
      <w:marLeft w:val="0"/>
      <w:marRight w:val="0"/>
      <w:marTop w:val="0"/>
      <w:marBottom w:val="0"/>
      <w:divBdr>
        <w:top w:val="none" w:sz="0" w:space="0" w:color="auto"/>
        <w:left w:val="none" w:sz="0" w:space="0" w:color="auto"/>
        <w:bottom w:val="none" w:sz="0" w:space="0" w:color="auto"/>
        <w:right w:val="none" w:sz="0" w:space="0" w:color="auto"/>
      </w:divBdr>
    </w:div>
    <w:div w:id="1016276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ilpatrick%20SI%5BAuthor%5D&amp;cauthor=true&amp;cauthor_uid=17269855" TargetMode="External"/><Relationship Id="rId13" Type="http://schemas.openxmlformats.org/officeDocument/2006/relationships/hyperlink" Target="https://www.ncbi.nlm.nih.gov/pubmed/17269855?ordinalpos=429&amp;itool=EntrezSystem2.PEntrez.Pubmed.Pubmed_ResultsPanel.Pubmed_DefaultReportPanel.Pubmed_RVDocSu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12230431" TargetMode="External"/><Relationship Id="rId12" Type="http://schemas.openxmlformats.org/officeDocument/2006/relationships/hyperlink" Target="https://www.ncbi.nlm.nih.gov/pubmed/?term=Routley%20G%5BAuthor%5D&amp;cauthor=true&amp;cauthor_uid=17269855"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ncbi.nlm.nih.gov/pubmed/22225449" TargetMode="External"/><Relationship Id="rId1" Type="http://schemas.openxmlformats.org/officeDocument/2006/relationships/numbering" Target="numbering.xml"/><Relationship Id="rId6" Type="http://schemas.openxmlformats.org/officeDocument/2006/relationships/hyperlink" Target="https://www.ncbi.nlm.nih.gov/pubmed/?term=Taylor%20K%5BAuthor%5D&amp;cauthor=true&amp;cauthor_uid=12230431" TargetMode="External"/><Relationship Id="rId11" Type="http://schemas.openxmlformats.org/officeDocument/2006/relationships/hyperlink" Target="https://www.ncbi.nlm.nih.gov/pubmed/?term=Le%20Q%5BAuthor%5D&amp;cauthor=true&amp;cauthor_uid=17269855" TargetMode="External"/><Relationship Id="rId5" Type="http://schemas.openxmlformats.org/officeDocument/2006/relationships/hyperlink" Target="https://www.ncbi.nlm.nih.gov/pubmed/?term=Neill%20J%5BAuthor%5D&amp;cauthor=true&amp;cauthor_uid=12230431" TargetMode="External"/><Relationship Id="rId15" Type="http://schemas.openxmlformats.org/officeDocument/2006/relationships/hyperlink" Target="https://www.ncbi.nlm.nih.gov/pubmed/?term=Lucas%20BJ%5BAuthor%5D&amp;cauthor=true&amp;cauthor_uid=22225449" TargetMode="External"/><Relationship Id="rId10" Type="http://schemas.openxmlformats.org/officeDocument/2006/relationships/hyperlink" Target="https://www.ncbi.nlm.nih.gov/pubmed/?term=Millar%20P%5BAuthor%5D&amp;cauthor=true&amp;cauthor_uid=172698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Johns%20SS%5BAuthor%5D&amp;cauthor=true&amp;cauthor_uid=17269855" TargetMode="External"/><Relationship Id="rId14" Type="http://schemas.openxmlformats.org/officeDocument/2006/relationships/hyperlink" Target="https://www.ncbi.nlm.nih.gov/pubmed/?term=Pearson%20DJ%5BAuthor%5D&amp;cauthor=true&amp;cauthor_uid=22225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B154A118</Template>
  <TotalTime>1</TotalTime>
  <Pages>17</Pages>
  <Words>13932</Words>
  <Characters>79417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Barber</dc:creator>
  <cp:keywords/>
  <dc:description/>
  <cp:lastModifiedBy>Robert McKinley</cp:lastModifiedBy>
  <cp:revision>2</cp:revision>
  <dcterms:created xsi:type="dcterms:W3CDTF">2019-03-06T11:04:00Z</dcterms:created>
  <dcterms:modified xsi:type="dcterms:W3CDTF">2019-03-06T11:04:00Z</dcterms:modified>
</cp:coreProperties>
</file>