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31" w:rsidRPr="00F81A31" w:rsidRDefault="00F81A31" w:rsidP="00F970BF">
      <w:pPr>
        <w:rPr>
          <w:rFonts w:ascii="Arial" w:hAnsi="Arial" w:cs="Arial"/>
          <w:b/>
        </w:rPr>
      </w:pPr>
      <w:bookmarkStart w:id="0" w:name="_GoBack"/>
      <w:bookmarkEnd w:id="0"/>
      <w:r w:rsidRPr="00F81A31">
        <w:rPr>
          <w:rFonts w:ascii="Arial" w:hAnsi="Arial" w:cs="Arial"/>
          <w:b/>
        </w:rPr>
        <w:t>TITLE:</w:t>
      </w:r>
    </w:p>
    <w:p w:rsidR="00F81A31" w:rsidRPr="005934F1" w:rsidRDefault="00F81A31" w:rsidP="005934F1">
      <w:pPr>
        <w:spacing w:line="480" w:lineRule="auto"/>
        <w:rPr>
          <w:rFonts w:ascii="Arial" w:hAnsi="Arial" w:cs="Arial"/>
          <w:color w:val="00B050"/>
        </w:rPr>
      </w:pPr>
      <w:r w:rsidRPr="00F81A31">
        <w:rPr>
          <w:rFonts w:ascii="Arial" w:hAnsi="Arial" w:cs="Arial"/>
        </w:rPr>
        <w:t xml:space="preserve">The </w:t>
      </w:r>
      <w:r w:rsidR="008B51A3">
        <w:rPr>
          <w:rFonts w:ascii="Arial" w:hAnsi="Arial" w:cs="Arial"/>
        </w:rPr>
        <w:t>development and</w:t>
      </w:r>
      <w:r w:rsidR="00375C39">
        <w:rPr>
          <w:rFonts w:ascii="Arial" w:hAnsi="Arial" w:cs="Arial"/>
        </w:rPr>
        <w:t xml:space="preserve"> evaluation</w:t>
      </w:r>
      <w:r w:rsidRPr="00F81A31">
        <w:rPr>
          <w:rFonts w:ascii="Arial" w:hAnsi="Arial" w:cs="Arial"/>
        </w:rPr>
        <w:t xml:space="preserve"> of a data calculator to facilitate the introduction and use of a standardised outcome measure (Musculoskeletal Health Questionnaire)</w:t>
      </w:r>
      <w:r w:rsidR="00367BB5">
        <w:rPr>
          <w:rFonts w:ascii="Arial" w:hAnsi="Arial" w:cs="Arial"/>
        </w:rPr>
        <w:t>.</w:t>
      </w:r>
    </w:p>
    <w:p w:rsidR="0058651D" w:rsidRDefault="0058651D" w:rsidP="0058651D">
      <w:pPr>
        <w:rPr>
          <w:rFonts w:ascii="Arial" w:hAnsi="Arial" w:cs="Arial"/>
          <w:color w:val="FF0000"/>
        </w:rPr>
      </w:pPr>
    </w:p>
    <w:p w:rsidR="00B1530C" w:rsidRDefault="00B1530C" w:rsidP="0058651D">
      <w:pPr>
        <w:rPr>
          <w:rFonts w:ascii="Arial" w:hAnsi="Arial" w:cs="Arial"/>
        </w:rPr>
      </w:pPr>
    </w:p>
    <w:p w:rsidR="001C64AE" w:rsidRPr="0058651D" w:rsidRDefault="001C64AE" w:rsidP="0058651D">
      <w:pPr>
        <w:rPr>
          <w:rFonts w:ascii="Arial" w:hAnsi="Arial" w:cs="Arial"/>
        </w:rPr>
      </w:pPr>
    </w:p>
    <w:p w:rsidR="005934F1" w:rsidRPr="005934F1" w:rsidRDefault="005934F1" w:rsidP="005934F1">
      <w:pPr>
        <w:rPr>
          <w:rFonts w:ascii="Arial" w:hAnsi="Arial" w:cs="Arial"/>
          <w:b/>
        </w:rPr>
      </w:pPr>
      <w:r>
        <w:rPr>
          <w:rFonts w:ascii="Arial" w:hAnsi="Arial" w:cs="Arial"/>
          <w:b/>
        </w:rPr>
        <w:t>Author(s):</w:t>
      </w:r>
    </w:p>
    <w:p w:rsidR="005934F1" w:rsidRDefault="005934F1" w:rsidP="0058651D">
      <w:pPr>
        <w:rPr>
          <w:rFonts w:ascii="Arial" w:hAnsi="Arial" w:cs="Arial"/>
          <w:vertAlign w:val="superscript"/>
        </w:rPr>
      </w:pPr>
      <w:r>
        <w:rPr>
          <w:rFonts w:ascii="Arial" w:hAnsi="Arial" w:cs="Arial"/>
        </w:rPr>
        <w:t xml:space="preserve">1.  </w:t>
      </w:r>
      <w:r w:rsidR="0058651D" w:rsidRPr="0058651D">
        <w:rPr>
          <w:rFonts w:ascii="Arial" w:hAnsi="Arial" w:cs="Arial"/>
        </w:rPr>
        <w:t>Sarigiovannis P</w:t>
      </w:r>
      <w:r>
        <w:rPr>
          <w:rFonts w:ascii="Arial" w:hAnsi="Arial" w:cs="Arial"/>
        </w:rPr>
        <w:t xml:space="preserve">, </w:t>
      </w:r>
      <w:r w:rsidR="00283C54">
        <w:rPr>
          <w:rFonts w:ascii="Arial" w:hAnsi="Arial" w:cs="Arial"/>
        </w:rPr>
        <w:t xml:space="preserve">Musculoskeletal Clinical Specialist </w:t>
      </w:r>
      <w:r>
        <w:rPr>
          <w:rFonts w:ascii="Arial" w:hAnsi="Arial" w:cs="Arial"/>
        </w:rPr>
        <w:t xml:space="preserve"> Physiotherap</w:t>
      </w:r>
      <w:r w:rsidR="00283C54">
        <w:rPr>
          <w:rFonts w:ascii="Arial" w:hAnsi="Arial" w:cs="Arial"/>
        </w:rPr>
        <w:t>ist</w:t>
      </w:r>
      <w:r w:rsidR="001C64AE" w:rsidRPr="000432E5">
        <w:rPr>
          <w:rFonts w:ascii="Arial" w:hAnsi="Arial" w:cs="Arial"/>
          <w:vertAlign w:val="superscript"/>
        </w:rPr>
        <w:t>1</w:t>
      </w:r>
      <w:r>
        <w:rPr>
          <w:rFonts w:ascii="Arial" w:hAnsi="Arial" w:cs="Arial"/>
        </w:rPr>
        <w:t>, Pre-Doctoral Clinical Academic Fellow</w:t>
      </w:r>
      <w:r w:rsidR="001C64AE" w:rsidRPr="001C64AE">
        <w:rPr>
          <w:rFonts w:ascii="Arial" w:hAnsi="Arial" w:cs="Arial"/>
          <w:vertAlign w:val="superscript"/>
        </w:rPr>
        <w:t>1</w:t>
      </w:r>
      <w:r w:rsidR="0058651D" w:rsidRPr="001C64AE">
        <w:rPr>
          <w:rFonts w:ascii="Arial" w:hAnsi="Arial" w:cs="Arial"/>
          <w:vertAlign w:val="superscript"/>
        </w:rPr>
        <w:t>,</w:t>
      </w:r>
      <w:r w:rsidR="0058651D" w:rsidRPr="000432E5">
        <w:rPr>
          <w:rFonts w:ascii="Arial" w:hAnsi="Arial" w:cs="Arial"/>
          <w:vertAlign w:val="superscript"/>
        </w:rPr>
        <w:t>2</w:t>
      </w:r>
    </w:p>
    <w:p w:rsidR="005934F1" w:rsidRDefault="005934F1" w:rsidP="005934F1">
      <w:pPr>
        <w:rPr>
          <w:rFonts w:ascii="Arial" w:hAnsi="Arial" w:cs="Arial"/>
        </w:rPr>
      </w:pPr>
      <w:r>
        <w:rPr>
          <w:rFonts w:ascii="Arial" w:hAnsi="Arial" w:cs="Arial"/>
        </w:rPr>
        <w:t xml:space="preserve">Address:  </w:t>
      </w:r>
      <w:r w:rsidRPr="005934F1">
        <w:rPr>
          <w:rFonts w:ascii="Arial" w:hAnsi="Arial" w:cs="Arial"/>
        </w:rPr>
        <w:t>Midlands P</w:t>
      </w:r>
      <w:r>
        <w:rPr>
          <w:rFonts w:ascii="Arial" w:hAnsi="Arial" w:cs="Arial"/>
        </w:rPr>
        <w:t xml:space="preserve">artnership NHS Foundation Trust, </w:t>
      </w:r>
      <w:r w:rsidRPr="005934F1">
        <w:rPr>
          <w:rFonts w:ascii="Arial" w:hAnsi="Arial" w:cs="Arial"/>
        </w:rPr>
        <w:t>2nd Floor, Morston House, The Midway, Newcastle-under-Lyme</w:t>
      </w:r>
      <w:r>
        <w:rPr>
          <w:rFonts w:ascii="Arial" w:hAnsi="Arial" w:cs="Arial"/>
        </w:rPr>
        <w:t xml:space="preserve">, </w:t>
      </w:r>
      <w:r w:rsidRPr="005934F1">
        <w:rPr>
          <w:rFonts w:ascii="Arial" w:hAnsi="Arial" w:cs="Arial"/>
        </w:rPr>
        <w:t>Staffordshire ST5 1QG</w:t>
      </w:r>
      <w:r>
        <w:rPr>
          <w:rFonts w:ascii="Arial" w:hAnsi="Arial" w:cs="Arial"/>
        </w:rPr>
        <w:t>, UK</w:t>
      </w:r>
    </w:p>
    <w:p w:rsidR="005934F1" w:rsidRPr="0058651D" w:rsidRDefault="005934F1" w:rsidP="005934F1">
      <w:pPr>
        <w:rPr>
          <w:rFonts w:ascii="Arial" w:hAnsi="Arial" w:cs="Arial"/>
        </w:rPr>
      </w:pPr>
      <w:r>
        <w:rPr>
          <w:rFonts w:ascii="Arial" w:hAnsi="Arial" w:cs="Arial"/>
        </w:rPr>
        <w:t xml:space="preserve">Telephone: (0044) </w:t>
      </w:r>
      <w:r w:rsidRPr="005934F1">
        <w:rPr>
          <w:rFonts w:ascii="Arial" w:hAnsi="Arial" w:cs="Arial"/>
        </w:rPr>
        <w:t>7595 087542</w:t>
      </w:r>
    </w:p>
    <w:p w:rsidR="005934F1" w:rsidRDefault="005934F1" w:rsidP="0058651D">
      <w:pPr>
        <w:rPr>
          <w:rFonts w:ascii="Arial" w:hAnsi="Arial" w:cs="Arial"/>
        </w:rPr>
      </w:pPr>
      <w:r>
        <w:rPr>
          <w:rFonts w:ascii="Arial" w:hAnsi="Arial" w:cs="Arial"/>
        </w:rPr>
        <w:t xml:space="preserve">Email:  </w:t>
      </w:r>
      <w:hyperlink r:id="rId8" w:history="1">
        <w:r w:rsidRPr="004545E7">
          <w:rPr>
            <w:rStyle w:val="Hyperlink"/>
            <w:rFonts w:ascii="Arial" w:hAnsi="Arial" w:cs="Arial"/>
          </w:rPr>
          <w:t>Panos.Sarigiovannis@mpft.nhs.uk</w:t>
        </w:r>
      </w:hyperlink>
    </w:p>
    <w:p w:rsidR="007B5D59" w:rsidRDefault="007B5D59" w:rsidP="0058651D">
      <w:pPr>
        <w:rPr>
          <w:rFonts w:ascii="Arial" w:hAnsi="Arial" w:cs="Arial"/>
        </w:rPr>
      </w:pPr>
    </w:p>
    <w:p w:rsidR="005934F1" w:rsidRPr="00104253" w:rsidRDefault="00104253" w:rsidP="0058651D">
      <w:pPr>
        <w:rPr>
          <w:rFonts w:ascii="Arial" w:hAnsi="Arial" w:cs="Arial"/>
          <w:vertAlign w:val="superscript"/>
        </w:rPr>
      </w:pPr>
      <w:r>
        <w:rPr>
          <w:rFonts w:ascii="Arial" w:hAnsi="Arial" w:cs="Arial"/>
        </w:rPr>
        <w:t xml:space="preserve">2. </w:t>
      </w:r>
      <w:r w:rsidR="007B5D59">
        <w:rPr>
          <w:rFonts w:ascii="Arial" w:hAnsi="Arial" w:cs="Arial"/>
        </w:rPr>
        <w:t>Bradbury</w:t>
      </w:r>
      <w:r>
        <w:rPr>
          <w:rFonts w:ascii="Arial" w:hAnsi="Arial" w:cs="Arial"/>
        </w:rPr>
        <w:t xml:space="preserve"> H, Head of Allied Health Professionals for Quality and Strategic Delivery</w:t>
      </w:r>
      <w:r>
        <w:rPr>
          <w:rFonts w:ascii="Arial" w:hAnsi="Arial" w:cs="Arial"/>
          <w:vertAlign w:val="superscript"/>
        </w:rPr>
        <w:t>1</w:t>
      </w:r>
    </w:p>
    <w:p w:rsidR="007B5D59" w:rsidRPr="005934F1" w:rsidRDefault="007B5D59" w:rsidP="0058651D">
      <w:pPr>
        <w:rPr>
          <w:rFonts w:ascii="Arial" w:hAnsi="Arial" w:cs="Arial"/>
        </w:rPr>
      </w:pPr>
    </w:p>
    <w:p w:rsidR="007B5D59" w:rsidRPr="000432E5" w:rsidRDefault="005934F1" w:rsidP="0058651D">
      <w:pPr>
        <w:rPr>
          <w:rFonts w:ascii="Arial" w:hAnsi="Arial" w:cs="Arial"/>
          <w:vertAlign w:val="superscript"/>
        </w:rPr>
      </w:pPr>
      <w:r>
        <w:rPr>
          <w:rFonts w:ascii="Arial" w:hAnsi="Arial" w:cs="Arial"/>
        </w:rPr>
        <w:t xml:space="preserve">2.  </w:t>
      </w:r>
      <w:r w:rsidR="0058651D" w:rsidRPr="0058651D">
        <w:rPr>
          <w:rFonts w:ascii="Arial" w:hAnsi="Arial" w:cs="Arial"/>
        </w:rPr>
        <w:t>B</w:t>
      </w:r>
      <w:r w:rsidR="001C64AE">
        <w:rPr>
          <w:rFonts w:ascii="Arial" w:hAnsi="Arial" w:cs="Arial"/>
        </w:rPr>
        <w:t xml:space="preserve">ishop A, </w:t>
      </w:r>
      <w:r w:rsidR="001C64AE" w:rsidRPr="001C64AE">
        <w:rPr>
          <w:rFonts w:ascii="Arial" w:hAnsi="Arial" w:cs="Arial"/>
        </w:rPr>
        <w:t>Honorary Senior Research Fellow</w:t>
      </w:r>
      <w:r w:rsidR="0058651D" w:rsidRPr="000432E5">
        <w:rPr>
          <w:rFonts w:ascii="Arial" w:hAnsi="Arial" w:cs="Arial"/>
          <w:vertAlign w:val="superscript"/>
        </w:rPr>
        <w:t>2</w:t>
      </w:r>
    </w:p>
    <w:p w:rsidR="0058651D" w:rsidRDefault="0058651D" w:rsidP="0058651D">
      <w:pPr>
        <w:rPr>
          <w:rFonts w:ascii="Arial" w:hAnsi="Arial" w:cs="Arial"/>
        </w:rPr>
      </w:pPr>
      <w:r>
        <w:rPr>
          <w:rFonts w:ascii="Arial" w:hAnsi="Arial" w:cs="Arial"/>
        </w:rPr>
        <w:t xml:space="preserve"> </w:t>
      </w:r>
    </w:p>
    <w:p w:rsidR="001C64AE" w:rsidRPr="0058651D" w:rsidRDefault="001C64AE" w:rsidP="0058651D">
      <w:pPr>
        <w:rPr>
          <w:rFonts w:ascii="Arial" w:hAnsi="Arial" w:cs="Arial"/>
        </w:rPr>
      </w:pPr>
    </w:p>
    <w:p w:rsidR="0058651D" w:rsidRPr="005934F1" w:rsidRDefault="005934F1" w:rsidP="0058651D">
      <w:pPr>
        <w:rPr>
          <w:rFonts w:ascii="Arial" w:hAnsi="Arial" w:cs="Arial"/>
          <w:b/>
        </w:rPr>
      </w:pPr>
      <w:r w:rsidRPr="005934F1">
        <w:rPr>
          <w:rFonts w:ascii="Arial" w:hAnsi="Arial" w:cs="Arial"/>
          <w:b/>
        </w:rPr>
        <w:t>Institute(s):</w:t>
      </w:r>
    </w:p>
    <w:p w:rsidR="00F81A31" w:rsidRPr="00F81A31" w:rsidRDefault="0058651D" w:rsidP="001C64AE">
      <w:pPr>
        <w:rPr>
          <w:rFonts w:ascii="Arial" w:hAnsi="Arial" w:cs="Arial"/>
        </w:rPr>
      </w:pPr>
      <w:r w:rsidRPr="0058651D">
        <w:rPr>
          <w:rFonts w:ascii="Arial" w:hAnsi="Arial" w:cs="Arial"/>
        </w:rPr>
        <w:t>Midlands Partnership NHS Foundation Trust, Newcastle under</w:t>
      </w:r>
      <w:r w:rsidR="000432E5">
        <w:rPr>
          <w:rFonts w:ascii="Arial" w:hAnsi="Arial" w:cs="Arial"/>
        </w:rPr>
        <w:t xml:space="preserve"> </w:t>
      </w:r>
      <w:r w:rsidR="005934F1">
        <w:rPr>
          <w:rFonts w:ascii="Arial" w:hAnsi="Arial" w:cs="Arial"/>
        </w:rPr>
        <w:t xml:space="preserve">Lyme, United </w:t>
      </w:r>
      <w:r w:rsidR="000432E5">
        <w:rPr>
          <w:rFonts w:ascii="Arial" w:hAnsi="Arial" w:cs="Arial"/>
        </w:rPr>
        <w:t>Kingdom</w:t>
      </w:r>
      <w:r w:rsidR="000432E5" w:rsidRPr="000432E5">
        <w:rPr>
          <w:rFonts w:ascii="Arial" w:hAnsi="Arial" w:cs="Arial"/>
          <w:vertAlign w:val="superscript"/>
        </w:rPr>
        <w:t>1</w:t>
      </w:r>
      <w:r w:rsidR="000432E5">
        <w:rPr>
          <w:rFonts w:ascii="Arial" w:hAnsi="Arial" w:cs="Arial"/>
        </w:rPr>
        <w:t xml:space="preserve">  </w:t>
      </w:r>
      <w:r w:rsidRPr="0058651D">
        <w:rPr>
          <w:rFonts w:ascii="Arial" w:hAnsi="Arial" w:cs="Arial"/>
        </w:rPr>
        <w:t xml:space="preserve">Keele University, </w:t>
      </w:r>
      <w:r w:rsidR="001C64AE" w:rsidRPr="001C64AE">
        <w:rPr>
          <w:rFonts w:ascii="Arial" w:hAnsi="Arial" w:cs="Arial"/>
        </w:rPr>
        <w:t>Prima</w:t>
      </w:r>
      <w:r w:rsidR="001C64AE">
        <w:rPr>
          <w:rFonts w:ascii="Arial" w:hAnsi="Arial" w:cs="Arial"/>
        </w:rPr>
        <w:t xml:space="preserve">ry Care Centre Versus Arthritis, </w:t>
      </w:r>
      <w:r w:rsidR="001C64AE" w:rsidRPr="001C64AE">
        <w:rPr>
          <w:rFonts w:ascii="Arial" w:hAnsi="Arial" w:cs="Arial"/>
        </w:rPr>
        <w:t xml:space="preserve">School of Primary, Community and Social </w:t>
      </w:r>
      <w:r w:rsidR="001C64AE">
        <w:rPr>
          <w:rFonts w:ascii="Arial" w:hAnsi="Arial" w:cs="Arial"/>
        </w:rPr>
        <w:t>Care</w:t>
      </w:r>
      <w:r w:rsidRPr="0058651D">
        <w:rPr>
          <w:rFonts w:ascii="Arial" w:hAnsi="Arial" w:cs="Arial"/>
        </w:rPr>
        <w:t>, Keele, United Kingdom</w:t>
      </w:r>
      <w:r w:rsidR="000432E5">
        <w:rPr>
          <w:rFonts w:ascii="Arial" w:hAnsi="Arial" w:cs="Arial"/>
        </w:rPr>
        <w:t xml:space="preserve"> </w:t>
      </w:r>
      <w:r w:rsidR="000432E5" w:rsidRPr="000432E5">
        <w:rPr>
          <w:rFonts w:ascii="Arial" w:hAnsi="Arial" w:cs="Arial"/>
          <w:vertAlign w:val="superscript"/>
        </w:rPr>
        <w:t>2</w:t>
      </w:r>
    </w:p>
    <w:p w:rsidR="00F81A31" w:rsidRPr="00F81A31" w:rsidRDefault="00F81A31" w:rsidP="00F970BF">
      <w:pPr>
        <w:rPr>
          <w:rFonts w:ascii="Arial" w:hAnsi="Arial" w:cs="Arial"/>
        </w:rPr>
      </w:pPr>
    </w:p>
    <w:p w:rsidR="00F81A31" w:rsidRPr="00F81A31" w:rsidRDefault="00F81A31" w:rsidP="00F970BF">
      <w:pPr>
        <w:rPr>
          <w:rFonts w:ascii="Arial" w:hAnsi="Arial" w:cs="Arial"/>
        </w:rPr>
      </w:pPr>
    </w:p>
    <w:p w:rsidR="00F81A31" w:rsidRPr="00F81A31" w:rsidRDefault="00F81A31" w:rsidP="00F970BF">
      <w:pPr>
        <w:rPr>
          <w:rFonts w:ascii="Arial" w:hAnsi="Arial" w:cs="Arial"/>
        </w:rPr>
      </w:pPr>
    </w:p>
    <w:p w:rsidR="005934F1" w:rsidRDefault="005934F1" w:rsidP="00F970BF">
      <w:pPr>
        <w:rPr>
          <w:rFonts w:ascii="Arial" w:hAnsi="Arial" w:cs="Arial"/>
        </w:rPr>
      </w:pPr>
    </w:p>
    <w:p w:rsidR="001C64AE" w:rsidRDefault="001C64AE" w:rsidP="00F970BF">
      <w:pPr>
        <w:rPr>
          <w:rFonts w:ascii="Arial" w:hAnsi="Arial" w:cs="Arial"/>
        </w:rPr>
      </w:pPr>
    </w:p>
    <w:p w:rsidR="00B1530C" w:rsidRDefault="00B1530C" w:rsidP="00F970BF">
      <w:pPr>
        <w:rPr>
          <w:rFonts w:ascii="Arial" w:hAnsi="Arial" w:cs="Arial"/>
        </w:rPr>
      </w:pPr>
    </w:p>
    <w:p w:rsidR="00556476" w:rsidRPr="00571C9D" w:rsidRDefault="00556476" w:rsidP="0069528E">
      <w:pPr>
        <w:spacing w:line="480" w:lineRule="auto"/>
        <w:rPr>
          <w:rFonts w:ascii="Arial" w:hAnsi="Arial" w:cs="Arial"/>
          <w:b/>
          <w:color w:val="000000" w:themeColor="text1"/>
        </w:rPr>
      </w:pPr>
      <w:r w:rsidRPr="00571C9D">
        <w:rPr>
          <w:rFonts w:ascii="Arial" w:hAnsi="Arial" w:cs="Arial"/>
          <w:b/>
          <w:color w:val="000000" w:themeColor="text1"/>
        </w:rPr>
        <w:lastRenderedPageBreak/>
        <w:t>A B S T R A C T</w:t>
      </w:r>
    </w:p>
    <w:p w:rsidR="00556476" w:rsidRPr="00571C9D" w:rsidRDefault="00556476" w:rsidP="0069528E">
      <w:pPr>
        <w:spacing w:line="480" w:lineRule="auto"/>
        <w:rPr>
          <w:rFonts w:ascii="Arial" w:hAnsi="Arial" w:cs="Arial"/>
          <w:color w:val="000000" w:themeColor="text1"/>
        </w:rPr>
      </w:pPr>
      <w:r w:rsidRPr="00571C9D">
        <w:rPr>
          <w:rFonts w:ascii="Arial" w:hAnsi="Arial" w:cs="Arial"/>
          <w:color w:val="000000" w:themeColor="text1"/>
        </w:rPr>
        <w:t xml:space="preserve">Purpose: </w:t>
      </w:r>
      <w:r w:rsidR="00A82271" w:rsidRPr="00571C9D">
        <w:rPr>
          <w:rFonts w:ascii="Arial" w:hAnsi="Arial" w:cs="Arial"/>
          <w:color w:val="000000" w:themeColor="text1"/>
        </w:rPr>
        <w:t xml:space="preserve">Musculoskeletal (MSK) physiotherapy teams within Midlands Partnership NHS </w:t>
      </w:r>
      <w:r w:rsidR="002D09B5" w:rsidRPr="00571C9D">
        <w:rPr>
          <w:rFonts w:ascii="Arial" w:hAnsi="Arial" w:cs="Arial"/>
          <w:color w:val="000000" w:themeColor="text1"/>
        </w:rPr>
        <w:t xml:space="preserve">Foundation </w:t>
      </w:r>
      <w:r w:rsidR="00A82271" w:rsidRPr="00571C9D">
        <w:rPr>
          <w:rFonts w:ascii="Arial" w:hAnsi="Arial" w:cs="Arial"/>
          <w:color w:val="000000" w:themeColor="text1"/>
        </w:rPr>
        <w:t xml:space="preserve">Trust (MPFT) used a variety of </w:t>
      </w:r>
      <w:r w:rsidR="00A125CC">
        <w:rPr>
          <w:rFonts w:ascii="Arial" w:hAnsi="Arial" w:cs="Arial"/>
          <w:color w:val="000000" w:themeColor="text1"/>
        </w:rPr>
        <w:t xml:space="preserve">patient-reported </w:t>
      </w:r>
      <w:r w:rsidR="00A82271" w:rsidRPr="00571C9D">
        <w:rPr>
          <w:rFonts w:ascii="Arial" w:hAnsi="Arial" w:cs="Arial"/>
          <w:color w:val="000000" w:themeColor="text1"/>
        </w:rPr>
        <w:t xml:space="preserve">outcome measures </w:t>
      </w:r>
      <w:r w:rsidR="00A125CC">
        <w:rPr>
          <w:rFonts w:ascii="Arial" w:hAnsi="Arial" w:cs="Arial"/>
          <w:color w:val="000000" w:themeColor="text1"/>
        </w:rPr>
        <w:t xml:space="preserve">(PROMs) </w:t>
      </w:r>
      <w:r w:rsidR="00A82271" w:rsidRPr="00571C9D">
        <w:rPr>
          <w:rFonts w:ascii="Arial" w:hAnsi="Arial" w:cs="Arial"/>
          <w:color w:val="000000" w:themeColor="text1"/>
        </w:rPr>
        <w:t>and data collection, inputting and analysis methods varied considerably.   Therefore, a standardised MSK PROM was introduced across MPFT: the MSK-H</w:t>
      </w:r>
      <w:r w:rsidR="00F656D9" w:rsidRPr="00571C9D">
        <w:rPr>
          <w:rFonts w:ascii="Arial" w:hAnsi="Arial" w:cs="Arial"/>
          <w:color w:val="000000" w:themeColor="text1"/>
        </w:rPr>
        <w:t xml:space="preserve">ealth </w:t>
      </w:r>
      <w:r w:rsidR="00A82271" w:rsidRPr="00571C9D">
        <w:rPr>
          <w:rFonts w:ascii="Arial" w:hAnsi="Arial" w:cs="Arial"/>
          <w:color w:val="000000" w:themeColor="text1"/>
        </w:rPr>
        <w:t>Q</w:t>
      </w:r>
      <w:r w:rsidR="00F656D9" w:rsidRPr="00571C9D">
        <w:rPr>
          <w:rFonts w:ascii="Arial" w:hAnsi="Arial" w:cs="Arial"/>
          <w:color w:val="000000" w:themeColor="text1"/>
        </w:rPr>
        <w:t>uestionnaire (MSK-HQ)</w:t>
      </w:r>
      <w:r w:rsidR="00400AEC" w:rsidRPr="00571C9D">
        <w:rPr>
          <w:rFonts w:ascii="Arial" w:hAnsi="Arial" w:cs="Arial"/>
          <w:color w:val="000000" w:themeColor="text1"/>
        </w:rPr>
        <w:t xml:space="preserve">, </w:t>
      </w:r>
      <w:r w:rsidR="00F81A31" w:rsidRPr="00571C9D">
        <w:rPr>
          <w:rFonts w:ascii="Arial" w:hAnsi="Arial" w:cs="Arial"/>
          <w:color w:val="000000" w:themeColor="text1"/>
        </w:rPr>
        <w:t>which is an outcome measure specifically developed for MSK conditions</w:t>
      </w:r>
      <w:bookmarkStart w:id="1" w:name="_Hlk23340173"/>
      <w:r w:rsidR="00A82271" w:rsidRPr="00571C9D">
        <w:rPr>
          <w:rFonts w:ascii="Arial" w:hAnsi="Arial" w:cs="Arial"/>
          <w:color w:val="000000" w:themeColor="text1"/>
        </w:rPr>
        <w:t xml:space="preserve">.  </w:t>
      </w:r>
      <w:r w:rsidR="00D14F0D" w:rsidRPr="00571C9D">
        <w:rPr>
          <w:rFonts w:ascii="Arial" w:hAnsi="Arial" w:cs="Arial"/>
          <w:color w:val="000000" w:themeColor="text1"/>
        </w:rPr>
        <w:t xml:space="preserve"> </w:t>
      </w:r>
      <w:r w:rsidR="00E6397F" w:rsidRPr="00571C9D">
        <w:rPr>
          <w:rFonts w:ascii="Arial" w:hAnsi="Arial" w:cs="Arial"/>
          <w:color w:val="000000" w:themeColor="text1"/>
        </w:rPr>
        <w:t xml:space="preserve"> </w:t>
      </w:r>
      <w:bookmarkEnd w:id="1"/>
      <w:r w:rsidR="00A82271" w:rsidRPr="00571C9D">
        <w:rPr>
          <w:rFonts w:ascii="Arial" w:hAnsi="Arial" w:cs="Arial"/>
          <w:color w:val="000000" w:themeColor="text1"/>
        </w:rPr>
        <w:t xml:space="preserve">The purpose of this </w:t>
      </w:r>
      <w:r w:rsidR="007323C9" w:rsidRPr="00571C9D">
        <w:rPr>
          <w:rFonts w:ascii="Arial" w:hAnsi="Arial" w:cs="Arial"/>
          <w:color w:val="000000" w:themeColor="text1"/>
        </w:rPr>
        <w:t>project was to develop a data calculator to facilitate the introduction and use of</w:t>
      </w:r>
      <w:r w:rsidR="002D09B5" w:rsidRPr="00571C9D">
        <w:rPr>
          <w:rFonts w:ascii="Arial" w:hAnsi="Arial" w:cs="Arial"/>
          <w:color w:val="000000" w:themeColor="text1"/>
        </w:rPr>
        <w:t xml:space="preserve"> MSK-HQ</w:t>
      </w:r>
      <w:r w:rsidR="008B51A3" w:rsidRPr="00571C9D">
        <w:rPr>
          <w:rFonts w:ascii="Arial" w:hAnsi="Arial" w:cs="Arial"/>
          <w:color w:val="000000" w:themeColor="text1"/>
        </w:rPr>
        <w:t xml:space="preserve"> and</w:t>
      </w:r>
      <w:r w:rsidR="007323C9" w:rsidRPr="00571C9D">
        <w:rPr>
          <w:rFonts w:ascii="Arial" w:hAnsi="Arial" w:cs="Arial"/>
          <w:color w:val="000000" w:themeColor="text1"/>
        </w:rPr>
        <w:t xml:space="preserve"> to </w:t>
      </w:r>
      <w:r w:rsidR="00A82271" w:rsidRPr="00571C9D">
        <w:rPr>
          <w:rFonts w:ascii="Arial" w:hAnsi="Arial" w:cs="Arial"/>
          <w:color w:val="000000" w:themeColor="text1"/>
        </w:rPr>
        <w:t>understand the impact that th</w:t>
      </w:r>
      <w:r w:rsidR="00986FD2" w:rsidRPr="00571C9D">
        <w:rPr>
          <w:rFonts w:ascii="Arial" w:hAnsi="Arial" w:cs="Arial"/>
          <w:color w:val="000000" w:themeColor="text1"/>
        </w:rPr>
        <w:t xml:space="preserve">is </w:t>
      </w:r>
      <w:r w:rsidR="004E554E" w:rsidRPr="00571C9D">
        <w:rPr>
          <w:rFonts w:ascii="Arial" w:hAnsi="Arial" w:cs="Arial"/>
          <w:color w:val="000000" w:themeColor="text1"/>
        </w:rPr>
        <w:t>calculator</w:t>
      </w:r>
      <w:r w:rsidR="00986FD2" w:rsidRPr="00571C9D">
        <w:rPr>
          <w:rFonts w:ascii="Arial" w:hAnsi="Arial" w:cs="Arial"/>
          <w:color w:val="000000" w:themeColor="text1"/>
        </w:rPr>
        <w:t xml:space="preserve"> had</w:t>
      </w:r>
      <w:r w:rsidR="00A82271" w:rsidRPr="00571C9D">
        <w:rPr>
          <w:rFonts w:ascii="Arial" w:hAnsi="Arial" w:cs="Arial"/>
          <w:color w:val="000000" w:themeColor="text1"/>
        </w:rPr>
        <w:t xml:space="preserve"> </w:t>
      </w:r>
      <w:r w:rsidR="007541F4" w:rsidRPr="00571C9D">
        <w:rPr>
          <w:rFonts w:ascii="Arial" w:hAnsi="Arial" w:cs="Arial"/>
          <w:color w:val="000000" w:themeColor="text1"/>
        </w:rPr>
        <w:t xml:space="preserve">in relation to implementing </w:t>
      </w:r>
      <w:r w:rsidR="002D09B5" w:rsidRPr="00571C9D">
        <w:rPr>
          <w:rFonts w:ascii="Arial" w:hAnsi="Arial" w:cs="Arial"/>
          <w:color w:val="000000" w:themeColor="text1"/>
        </w:rPr>
        <w:t>the MSK-</w:t>
      </w:r>
      <w:r w:rsidR="007323C9" w:rsidRPr="00571C9D">
        <w:rPr>
          <w:rFonts w:ascii="Arial" w:hAnsi="Arial" w:cs="Arial"/>
          <w:color w:val="000000" w:themeColor="text1"/>
        </w:rPr>
        <w:t>HQ.</w:t>
      </w:r>
    </w:p>
    <w:p w:rsidR="00470DCF" w:rsidRPr="00571C9D" w:rsidRDefault="00E078ED" w:rsidP="007323C9">
      <w:pPr>
        <w:spacing w:line="480" w:lineRule="auto"/>
        <w:rPr>
          <w:color w:val="000000" w:themeColor="text1"/>
        </w:rPr>
      </w:pPr>
      <w:r w:rsidRPr="00571C9D">
        <w:rPr>
          <w:rFonts w:ascii="Arial" w:hAnsi="Arial" w:cs="Arial"/>
          <w:color w:val="000000" w:themeColor="text1"/>
        </w:rPr>
        <w:t>Methods</w:t>
      </w:r>
      <w:r w:rsidR="007323C9" w:rsidRPr="00571C9D">
        <w:rPr>
          <w:rFonts w:ascii="Arial" w:hAnsi="Arial" w:cs="Arial"/>
          <w:color w:val="000000" w:themeColor="text1"/>
        </w:rPr>
        <w:t xml:space="preserve"> Phase 1:  A data inputting and analysis calculator was developed to facilitate the implementation of the MSK-HQ in MPFT. </w:t>
      </w:r>
      <w:r w:rsidR="00F656D9" w:rsidRPr="00571C9D">
        <w:rPr>
          <w:rFonts w:ascii="Arial" w:hAnsi="Arial" w:cs="Arial"/>
          <w:color w:val="000000" w:themeColor="text1"/>
        </w:rPr>
        <w:t xml:space="preserve">   </w:t>
      </w:r>
      <w:r w:rsidR="00707DAF" w:rsidRPr="00571C9D">
        <w:rPr>
          <w:rFonts w:ascii="Arial" w:hAnsi="Arial" w:cs="Arial"/>
          <w:color w:val="000000" w:themeColor="text1"/>
        </w:rPr>
        <w:t xml:space="preserve">Methods </w:t>
      </w:r>
      <w:r w:rsidR="007323C9" w:rsidRPr="00571C9D">
        <w:rPr>
          <w:rFonts w:ascii="Arial" w:hAnsi="Arial" w:cs="Arial"/>
          <w:color w:val="000000" w:themeColor="text1"/>
        </w:rPr>
        <w:t xml:space="preserve">Phase 2:  </w:t>
      </w:r>
      <w:r w:rsidR="002A66D4" w:rsidRPr="00571C9D">
        <w:rPr>
          <w:rFonts w:ascii="Arial" w:hAnsi="Arial" w:cs="Arial"/>
          <w:color w:val="000000" w:themeColor="text1"/>
        </w:rPr>
        <w:t xml:space="preserve">The calculator was made freely available to other NHS Trusts and it was shared with over 50 NHS Trusts.   </w:t>
      </w:r>
      <w:r w:rsidRPr="00571C9D">
        <w:rPr>
          <w:rFonts w:ascii="Arial" w:hAnsi="Arial" w:cs="Arial"/>
          <w:color w:val="000000" w:themeColor="text1"/>
        </w:rPr>
        <w:t>An online questionnaire</w:t>
      </w:r>
      <w:r w:rsidR="00556476" w:rsidRPr="00571C9D">
        <w:rPr>
          <w:rFonts w:ascii="Arial" w:hAnsi="Arial" w:cs="Arial"/>
          <w:color w:val="000000" w:themeColor="text1"/>
        </w:rPr>
        <w:t xml:space="preserve"> was </w:t>
      </w:r>
      <w:r w:rsidR="002A66D4" w:rsidRPr="00571C9D">
        <w:rPr>
          <w:rFonts w:ascii="Arial" w:hAnsi="Arial" w:cs="Arial"/>
          <w:color w:val="000000" w:themeColor="text1"/>
        </w:rPr>
        <w:t xml:space="preserve">then </w:t>
      </w:r>
      <w:r w:rsidR="00556476" w:rsidRPr="00571C9D">
        <w:rPr>
          <w:rFonts w:ascii="Arial" w:hAnsi="Arial" w:cs="Arial"/>
          <w:color w:val="000000" w:themeColor="text1"/>
        </w:rPr>
        <w:t>developed and distribut</w:t>
      </w:r>
      <w:r w:rsidR="00CE5B6C" w:rsidRPr="00571C9D">
        <w:rPr>
          <w:rFonts w:ascii="Arial" w:hAnsi="Arial" w:cs="Arial"/>
          <w:color w:val="000000" w:themeColor="text1"/>
        </w:rPr>
        <w:t>ed via Google Drive to all clinicians</w:t>
      </w:r>
      <w:r w:rsidR="00B231DC" w:rsidRPr="00571C9D">
        <w:rPr>
          <w:rFonts w:ascii="Arial" w:hAnsi="Arial" w:cs="Arial"/>
          <w:color w:val="000000" w:themeColor="text1"/>
        </w:rPr>
        <w:t xml:space="preserve"> who received a copy of the MSK-</w:t>
      </w:r>
      <w:r w:rsidR="00CE5B6C" w:rsidRPr="00571C9D">
        <w:rPr>
          <w:rFonts w:ascii="Arial" w:hAnsi="Arial" w:cs="Arial"/>
          <w:color w:val="000000" w:themeColor="text1"/>
        </w:rPr>
        <w:t>HQ cal</w:t>
      </w:r>
      <w:r w:rsidR="00B231DC" w:rsidRPr="00571C9D">
        <w:rPr>
          <w:rFonts w:ascii="Arial" w:hAnsi="Arial" w:cs="Arial"/>
          <w:color w:val="000000" w:themeColor="text1"/>
        </w:rPr>
        <w:t>culator (</w:t>
      </w:r>
      <w:r w:rsidR="002A66D4" w:rsidRPr="00571C9D">
        <w:rPr>
          <w:rFonts w:ascii="Arial" w:hAnsi="Arial" w:cs="Arial"/>
          <w:color w:val="000000" w:themeColor="text1"/>
        </w:rPr>
        <w:t>n</w:t>
      </w:r>
      <w:r w:rsidR="00B231DC" w:rsidRPr="00571C9D">
        <w:rPr>
          <w:rFonts w:ascii="Arial" w:hAnsi="Arial" w:cs="Arial"/>
          <w:color w:val="000000" w:themeColor="text1"/>
        </w:rPr>
        <w:t xml:space="preserve">=53).  Responses were </w:t>
      </w:r>
      <w:r w:rsidR="00CE5B6C" w:rsidRPr="00571C9D">
        <w:rPr>
          <w:rFonts w:ascii="Arial" w:hAnsi="Arial" w:cs="Arial"/>
          <w:color w:val="000000" w:themeColor="text1"/>
        </w:rPr>
        <w:t>coll</w:t>
      </w:r>
      <w:r w:rsidR="007541F4" w:rsidRPr="00571C9D">
        <w:rPr>
          <w:rFonts w:ascii="Arial" w:hAnsi="Arial" w:cs="Arial"/>
          <w:color w:val="000000" w:themeColor="text1"/>
        </w:rPr>
        <w:t>ected over a four-week-period.</w:t>
      </w:r>
      <w:r w:rsidR="002A66D4" w:rsidRPr="00571C9D">
        <w:rPr>
          <w:color w:val="000000" w:themeColor="text1"/>
        </w:rPr>
        <w:t xml:space="preserve"> </w:t>
      </w:r>
    </w:p>
    <w:p w:rsidR="00BE30D3" w:rsidRPr="00571C9D" w:rsidRDefault="00E078ED" w:rsidP="007323C9">
      <w:pPr>
        <w:spacing w:line="480" w:lineRule="auto"/>
        <w:rPr>
          <w:rFonts w:ascii="Arial" w:hAnsi="Arial" w:cs="Arial"/>
          <w:color w:val="000000" w:themeColor="text1"/>
        </w:rPr>
      </w:pPr>
      <w:r w:rsidRPr="00571C9D">
        <w:rPr>
          <w:rFonts w:ascii="Arial" w:hAnsi="Arial" w:cs="Arial"/>
          <w:color w:val="000000" w:themeColor="text1"/>
        </w:rPr>
        <w:t>Results</w:t>
      </w:r>
      <w:r w:rsidR="005525F5" w:rsidRPr="00571C9D">
        <w:rPr>
          <w:rFonts w:ascii="Arial" w:hAnsi="Arial" w:cs="Arial"/>
          <w:color w:val="000000" w:themeColor="text1"/>
        </w:rPr>
        <w:t xml:space="preserve"> </w:t>
      </w:r>
      <w:r w:rsidR="007323C9" w:rsidRPr="00571C9D">
        <w:rPr>
          <w:rFonts w:ascii="Arial" w:hAnsi="Arial" w:cs="Arial"/>
          <w:color w:val="000000" w:themeColor="text1"/>
        </w:rPr>
        <w:t>Phase 1</w:t>
      </w:r>
      <w:r w:rsidRPr="00571C9D">
        <w:rPr>
          <w:rFonts w:ascii="Arial" w:hAnsi="Arial" w:cs="Arial"/>
          <w:color w:val="000000" w:themeColor="text1"/>
        </w:rPr>
        <w:t>:</w:t>
      </w:r>
      <w:r w:rsidR="007323C9" w:rsidRPr="00571C9D">
        <w:rPr>
          <w:rFonts w:ascii="Arial" w:hAnsi="Arial" w:cs="Arial"/>
          <w:color w:val="000000" w:themeColor="text1"/>
        </w:rPr>
        <w:t xml:space="preserve"> Over 6,000 complete data sets (6,044 in February 2019) have been recorded since the introduction of the MSK-HQ. Overall completion rates across MPFT are 10.2%. Phase 2: </w:t>
      </w:r>
      <w:r w:rsidRPr="00571C9D">
        <w:rPr>
          <w:rFonts w:ascii="Arial" w:hAnsi="Arial" w:cs="Arial"/>
          <w:color w:val="000000" w:themeColor="text1"/>
        </w:rPr>
        <w:t>A total of 32</w:t>
      </w:r>
      <w:r w:rsidR="00CE5B6C" w:rsidRPr="00571C9D">
        <w:rPr>
          <w:rFonts w:ascii="Arial" w:hAnsi="Arial" w:cs="Arial"/>
          <w:color w:val="000000" w:themeColor="text1"/>
        </w:rPr>
        <w:t xml:space="preserve"> questionnaires</w:t>
      </w:r>
      <w:r w:rsidR="00556476" w:rsidRPr="00571C9D">
        <w:rPr>
          <w:rFonts w:ascii="Arial" w:hAnsi="Arial" w:cs="Arial"/>
          <w:color w:val="000000" w:themeColor="text1"/>
        </w:rPr>
        <w:t xml:space="preserve"> were </w:t>
      </w:r>
      <w:r w:rsidR="00F656D9" w:rsidRPr="00571C9D">
        <w:rPr>
          <w:rFonts w:ascii="Arial" w:hAnsi="Arial" w:cs="Arial"/>
          <w:color w:val="000000" w:themeColor="text1"/>
        </w:rPr>
        <w:t>returned</w:t>
      </w:r>
      <w:r w:rsidR="005668E9" w:rsidRPr="00571C9D">
        <w:rPr>
          <w:rFonts w:ascii="Arial" w:hAnsi="Arial" w:cs="Arial"/>
          <w:color w:val="000000" w:themeColor="text1"/>
        </w:rPr>
        <w:t xml:space="preserve"> (60.4</w:t>
      </w:r>
      <w:r w:rsidRPr="00571C9D">
        <w:rPr>
          <w:rFonts w:ascii="Arial" w:hAnsi="Arial" w:cs="Arial"/>
          <w:color w:val="000000" w:themeColor="text1"/>
        </w:rPr>
        <w:t>%)</w:t>
      </w:r>
      <w:r w:rsidR="00556476" w:rsidRPr="00571C9D">
        <w:rPr>
          <w:rFonts w:ascii="Arial" w:hAnsi="Arial" w:cs="Arial"/>
          <w:color w:val="000000" w:themeColor="text1"/>
        </w:rPr>
        <w:t xml:space="preserve">. </w:t>
      </w:r>
      <w:r w:rsidR="005668E9" w:rsidRPr="00571C9D">
        <w:rPr>
          <w:rFonts w:ascii="Arial" w:hAnsi="Arial" w:cs="Arial"/>
          <w:color w:val="000000" w:themeColor="text1"/>
        </w:rPr>
        <w:t xml:space="preserve">  19 of the respondents (59.4%) used the calculator</w:t>
      </w:r>
      <w:r w:rsidR="006900ED" w:rsidRPr="00571C9D">
        <w:rPr>
          <w:rFonts w:ascii="Arial" w:hAnsi="Arial" w:cs="Arial"/>
          <w:color w:val="000000" w:themeColor="text1"/>
        </w:rPr>
        <w:t xml:space="preserve"> </w:t>
      </w:r>
      <w:r w:rsidR="00B231DC" w:rsidRPr="00571C9D">
        <w:rPr>
          <w:rFonts w:ascii="Arial" w:hAnsi="Arial" w:cs="Arial"/>
          <w:color w:val="000000" w:themeColor="text1"/>
        </w:rPr>
        <w:t>in their clinical setting.  78.9</w:t>
      </w:r>
      <w:r w:rsidR="006900ED" w:rsidRPr="00571C9D">
        <w:rPr>
          <w:rFonts w:ascii="Arial" w:hAnsi="Arial" w:cs="Arial"/>
          <w:color w:val="000000" w:themeColor="text1"/>
        </w:rPr>
        <w:t>% reported th</w:t>
      </w:r>
      <w:r w:rsidR="00B231DC" w:rsidRPr="00571C9D">
        <w:rPr>
          <w:rFonts w:ascii="Arial" w:hAnsi="Arial" w:cs="Arial"/>
          <w:color w:val="000000" w:themeColor="text1"/>
        </w:rPr>
        <w:t xml:space="preserve">at the </w:t>
      </w:r>
      <w:r w:rsidR="004E554E" w:rsidRPr="00571C9D">
        <w:rPr>
          <w:rFonts w:ascii="Arial" w:hAnsi="Arial" w:cs="Arial"/>
          <w:color w:val="000000" w:themeColor="text1"/>
        </w:rPr>
        <w:t>c</w:t>
      </w:r>
      <w:r w:rsidR="007F2EC8" w:rsidRPr="00571C9D">
        <w:rPr>
          <w:rFonts w:ascii="Arial" w:hAnsi="Arial" w:cs="Arial"/>
          <w:color w:val="000000" w:themeColor="text1"/>
        </w:rPr>
        <w:t>alculator</w:t>
      </w:r>
      <w:r w:rsidR="00370BEF" w:rsidRPr="00571C9D">
        <w:rPr>
          <w:rFonts w:ascii="Arial" w:hAnsi="Arial" w:cs="Arial"/>
          <w:color w:val="000000" w:themeColor="text1"/>
        </w:rPr>
        <w:t xml:space="preserve"> was simple to use</w:t>
      </w:r>
      <w:r w:rsidR="007F2EC8" w:rsidRPr="00571C9D">
        <w:rPr>
          <w:rFonts w:ascii="Arial" w:hAnsi="Arial" w:cs="Arial"/>
          <w:color w:val="000000" w:themeColor="text1"/>
        </w:rPr>
        <w:t xml:space="preserve">. </w:t>
      </w:r>
      <w:r w:rsidR="00B231DC" w:rsidRPr="00571C9D">
        <w:rPr>
          <w:rFonts w:ascii="Arial" w:hAnsi="Arial" w:cs="Arial"/>
          <w:color w:val="000000" w:themeColor="text1"/>
        </w:rPr>
        <w:t>78.9</w:t>
      </w:r>
      <w:r w:rsidR="00CE5B6C" w:rsidRPr="00571C9D">
        <w:rPr>
          <w:rFonts w:ascii="Arial" w:hAnsi="Arial" w:cs="Arial"/>
          <w:color w:val="000000" w:themeColor="text1"/>
        </w:rPr>
        <w:t xml:space="preserve">% </w:t>
      </w:r>
      <w:r w:rsidR="006900ED" w:rsidRPr="00571C9D">
        <w:rPr>
          <w:rFonts w:ascii="Arial" w:hAnsi="Arial" w:cs="Arial"/>
          <w:color w:val="000000" w:themeColor="text1"/>
        </w:rPr>
        <w:t xml:space="preserve">of the respondents </w:t>
      </w:r>
      <w:r w:rsidR="00F656D9" w:rsidRPr="00571C9D">
        <w:rPr>
          <w:rFonts w:ascii="Arial" w:hAnsi="Arial" w:cs="Arial"/>
          <w:color w:val="000000" w:themeColor="text1"/>
        </w:rPr>
        <w:t xml:space="preserve">also </w:t>
      </w:r>
      <w:r w:rsidR="006900ED" w:rsidRPr="00571C9D">
        <w:rPr>
          <w:rFonts w:ascii="Arial" w:hAnsi="Arial" w:cs="Arial"/>
          <w:color w:val="000000" w:themeColor="text1"/>
        </w:rPr>
        <w:t>reported that</w:t>
      </w:r>
      <w:r w:rsidR="00CE5B6C" w:rsidRPr="00571C9D">
        <w:rPr>
          <w:rFonts w:ascii="Arial" w:hAnsi="Arial" w:cs="Arial"/>
          <w:color w:val="000000" w:themeColor="text1"/>
        </w:rPr>
        <w:t xml:space="preserve"> the </w:t>
      </w:r>
      <w:r w:rsidR="004E554E" w:rsidRPr="00571C9D">
        <w:rPr>
          <w:rFonts w:ascii="Arial" w:hAnsi="Arial" w:cs="Arial"/>
          <w:color w:val="000000" w:themeColor="text1"/>
        </w:rPr>
        <w:t>calculator</w:t>
      </w:r>
      <w:r w:rsidR="00CE5B6C" w:rsidRPr="00571C9D">
        <w:rPr>
          <w:rFonts w:ascii="Arial" w:hAnsi="Arial" w:cs="Arial"/>
          <w:color w:val="000000" w:themeColor="text1"/>
        </w:rPr>
        <w:t xml:space="preserve"> </w:t>
      </w:r>
      <w:r w:rsidR="006900ED" w:rsidRPr="00571C9D">
        <w:rPr>
          <w:rFonts w:ascii="Arial" w:hAnsi="Arial" w:cs="Arial"/>
          <w:color w:val="000000" w:themeColor="text1"/>
        </w:rPr>
        <w:t>helped them</w:t>
      </w:r>
      <w:r w:rsidR="00CE5B6C" w:rsidRPr="00571C9D">
        <w:rPr>
          <w:rFonts w:ascii="Arial" w:hAnsi="Arial" w:cs="Arial"/>
          <w:color w:val="000000" w:themeColor="text1"/>
        </w:rPr>
        <w:t xml:space="preserve"> </w:t>
      </w:r>
      <w:r w:rsidR="006900ED" w:rsidRPr="00571C9D">
        <w:rPr>
          <w:rFonts w:ascii="Arial" w:hAnsi="Arial" w:cs="Arial"/>
          <w:color w:val="000000" w:themeColor="text1"/>
        </w:rPr>
        <w:t xml:space="preserve">implement </w:t>
      </w:r>
      <w:r w:rsidR="00CE5B6C" w:rsidRPr="00571C9D">
        <w:rPr>
          <w:rFonts w:ascii="Arial" w:hAnsi="Arial" w:cs="Arial"/>
          <w:color w:val="000000" w:themeColor="text1"/>
        </w:rPr>
        <w:t xml:space="preserve">the </w:t>
      </w:r>
      <w:r w:rsidR="006900ED" w:rsidRPr="00571C9D">
        <w:rPr>
          <w:rFonts w:ascii="Arial" w:hAnsi="Arial" w:cs="Arial"/>
          <w:color w:val="000000" w:themeColor="text1"/>
        </w:rPr>
        <w:t>MSK</w:t>
      </w:r>
      <w:r w:rsidR="00370BEF" w:rsidRPr="00571C9D">
        <w:rPr>
          <w:rFonts w:ascii="Arial" w:hAnsi="Arial" w:cs="Arial"/>
          <w:color w:val="000000" w:themeColor="text1"/>
        </w:rPr>
        <w:t>-</w:t>
      </w:r>
      <w:r w:rsidR="006900ED" w:rsidRPr="00571C9D">
        <w:rPr>
          <w:rFonts w:ascii="Arial" w:hAnsi="Arial" w:cs="Arial"/>
          <w:color w:val="000000" w:themeColor="text1"/>
        </w:rPr>
        <w:t xml:space="preserve">HQ </w:t>
      </w:r>
      <w:r w:rsidR="00CE5B6C" w:rsidRPr="00571C9D">
        <w:rPr>
          <w:rFonts w:ascii="Arial" w:hAnsi="Arial" w:cs="Arial"/>
          <w:color w:val="000000" w:themeColor="text1"/>
        </w:rPr>
        <w:t>outcome measu</w:t>
      </w:r>
      <w:r w:rsidR="007541F4" w:rsidRPr="00571C9D">
        <w:rPr>
          <w:rFonts w:ascii="Arial" w:hAnsi="Arial" w:cs="Arial"/>
          <w:color w:val="000000" w:themeColor="text1"/>
        </w:rPr>
        <w:t xml:space="preserve">re.  </w:t>
      </w:r>
      <w:r w:rsidR="00F656D9" w:rsidRPr="00571C9D">
        <w:rPr>
          <w:rFonts w:ascii="Arial" w:hAnsi="Arial" w:cs="Arial"/>
          <w:color w:val="000000" w:themeColor="text1"/>
        </w:rPr>
        <w:t xml:space="preserve">Finally, </w:t>
      </w:r>
      <w:r w:rsidR="006900ED" w:rsidRPr="00571C9D">
        <w:rPr>
          <w:rFonts w:ascii="Arial" w:hAnsi="Arial" w:cs="Arial"/>
          <w:color w:val="000000" w:themeColor="text1"/>
        </w:rPr>
        <w:t xml:space="preserve">68.7% </w:t>
      </w:r>
      <w:r w:rsidR="00B231DC" w:rsidRPr="00571C9D">
        <w:rPr>
          <w:rFonts w:ascii="Arial" w:hAnsi="Arial" w:cs="Arial"/>
          <w:color w:val="000000" w:themeColor="text1"/>
        </w:rPr>
        <w:t xml:space="preserve">of all respondents </w:t>
      </w:r>
      <w:r w:rsidR="006900ED" w:rsidRPr="00571C9D">
        <w:rPr>
          <w:rFonts w:ascii="Arial" w:hAnsi="Arial" w:cs="Arial"/>
          <w:color w:val="000000" w:themeColor="text1"/>
        </w:rPr>
        <w:t xml:space="preserve">reported that they would find </w:t>
      </w:r>
      <w:r w:rsidR="00370BEF" w:rsidRPr="00571C9D">
        <w:rPr>
          <w:rFonts w:ascii="Arial" w:hAnsi="Arial" w:cs="Arial"/>
          <w:color w:val="000000" w:themeColor="text1"/>
        </w:rPr>
        <w:t xml:space="preserve">it </w:t>
      </w:r>
      <w:r w:rsidR="006900ED" w:rsidRPr="00571C9D">
        <w:rPr>
          <w:rFonts w:ascii="Arial" w:hAnsi="Arial" w:cs="Arial"/>
          <w:color w:val="000000" w:themeColor="text1"/>
        </w:rPr>
        <w:t xml:space="preserve">either useful or very useful to have a similar </w:t>
      </w:r>
      <w:r w:rsidR="004E554E" w:rsidRPr="00571C9D">
        <w:rPr>
          <w:rFonts w:ascii="Arial" w:hAnsi="Arial" w:cs="Arial"/>
          <w:color w:val="000000" w:themeColor="text1"/>
        </w:rPr>
        <w:t>calculator</w:t>
      </w:r>
      <w:r w:rsidR="006900ED" w:rsidRPr="00571C9D">
        <w:rPr>
          <w:rFonts w:ascii="Arial" w:hAnsi="Arial" w:cs="Arial"/>
          <w:color w:val="000000" w:themeColor="text1"/>
        </w:rPr>
        <w:t xml:space="preserve"> when implementin</w:t>
      </w:r>
      <w:r w:rsidR="00D14F0D" w:rsidRPr="00571C9D">
        <w:rPr>
          <w:rFonts w:ascii="Arial" w:hAnsi="Arial" w:cs="Arial"/>
          <w:color w:val="000000" w:themeColor="text1"/>
        </w:rPr>
        <w:t>g other outcome measures</w:t>
      </w:r>
      <w:r w:rsidR="006900ED" w:rsidRPr="00571C9D">
        <w:rPr>
          <w:rFonts w:ascii="Arial" w:hAnsi="Arial" w:cs="Arial"/>
          <w:color w:val="000000" w:themeColor="text1"/>
        </w:rPr>
        <w:t>.</w:t>
      </w:r>
    </w:p>
    <w:p w:rsidR="00BE30D3" w:rsidRPr="00571C9D" w:rsidRDefault="00556476" w:rsidP="0069528E">
      <w:pPr>
        <w:spacing w:line="480" w:lineRule="auto"/>
        <w:rPr>
          <w:rFonts w:ascii="Arial" w:hAnsi="Arial" w:cs="Arial"/>
          <w:color w:val="000000" w:themeColor="text1"/>
        </w:rPr>
      </w:pPr>
      <w:r w:rsidRPr="00571C9D">
        <w:rPr>
          <w:rFonts w:ascii="Arial" w:hAnsi="Arial" w:cs="Arial"/>
          <w:color w:val="000000" w:themeColor="text1"/>
        </w:rPr>
        <w:t>Concl</w:t>
      </w:r>
      <w:r w:rsidR="00CE5B6C" w:rsidRPr="00571C9D">
        <w:rPr>
          <w:rFonts w:ascii="Arial" w:hAnsi="Arial" w:cs="Arial"/>
          <w:color w:val="000000" w:themeColor="text1"/>
        </w:rPr>
        <w:t>usion</w:t>
      </w:r>
      <w:r w:rsidR="00BE30D3" w:rsidRPr="00571C9D">
        <w:rPr>
          <w:rFonts w:ascii="Arial" w:hAnsi="Arial" w:cs="Arial"/>
          <w:color w:val="000000" w:themeColor="text1"/>
        </w:rPr>
        <w:t xml:space="preserve">: </w:t>
      </w:r>
      <w:r w:rsidR="00943451" w:rsidRPr="00571C9D">
        <w:rPr>
          <w:rFonts w:ascii="Arial" w:hAnsi="Arial" w:cs="Arial"/>
          <w:color w:val="000000" w:themeColor="text1"/>
        </w:rPr>
        <w:t xml:space="preserve">The outcome measure calculator facilitated the implementation of MSK-HQ and it provided clear guidance on data collection, which assisted clinicians’ </w:t>
      </w:r>
      <w:r w:rsidR="00943451" w:rsidRPr="00571C9D">
        <w:rPr>
          <w:rFonts w:ascii="Arial" w:hAnsi="Arial" w:cs="Arial"/>
          <w:color w:val="000000" w:themeColor="text1"/>
        </w:rPr>
        <w:lastRenderedPageBreak/>
        <w:t>interpretation of result</w:t>
      </w:r>
      <w:r w:rsidR="00666CAB" w:rsidRPr="00571C9D">
        <w:rPr>
          <w:rFonts w:ascii="Arial" w:hAnsi="Arial" w:cs="Arial"/>
          <w:color w:val="000000" w:themeColor="text1"/>
        </w:rPr>
        <w:t>s and enhanced their</w:t>
      </w:r>
      <w:r w:rsidR="00943451" w:rsidRPr="00571C9D">
        <w:rPr>
          <w:rFonts w:ascii="Arial" w:hAnsi="Arial" w:cs="Arial"/>
          <w:color w:val="000000" w:themeColor="text1"/>
        </w:rPr>
        <w:t xml:space="preserve"> engagement. </w:t>
      </w:r>
      <w:r w:rsidR="00BE30D3" w:rsidRPr="00571C9D">
        <w:rPr>
          <w:rFonts w:ascii="Arial" w:hAnsi="Arial" w:cs="Arial"/>
          <w:color w:val="000000" w:themeColor="text1"/>
        </w:rPr>
        <w:t>The evaluation of the calculator highlighted that clinical and operation leads would like similar tool</w:t>
      </w:r>
      <w:r w:rsidR="005525F5" w:rsidRPr="00571C9D">
        <w:rPr>
          <w:rFonts w:ascii="Arial" w:hAnsi="Arial" w:cs="Arial"/>
          <w:color w:val="000000" w:themeColor="text1"/>
        </w:rPr>
        <w:t>s</w:t>
      </w:r>
      <w:r w:rsidR="00BE30D3" w:rsidRPr="00571C9D">
        <w:rPr>
          <w:rFonts w:ascii="Arial" w:hAnsi="Arial" w:cs="Arial"/>
          <w:color w:val="000000" w:themeColor="text1"/>
        </w:rPr>
        <w:t xml:space="preserve"> to be made available when they implement a new PROM.  Researchers, outcome measures developers and operational leads should consider providing such </w:t>
      </w:r>
      <w:r w:rsidR="004E554E" w:rsidRPr="00571C9D">
        <w:rPr>
          <w:rFonts w:ascii="Arial" w:hAnsi="Arial" w:cs="Arial"/>
          <w:color w:val="000000" w:themeColor="text1"/>
        </w:rPr>
        <w:t>calculator</w:t>
      </w:r>
      <w:r w:rsidR="00BE30D3" w:rsidRPr="00571C9D">
        <w:rPr>
          <w:rFonts w:ascii="Arial" w:hAnsi="Arial" w:cs="Arial"/>
          <w:color w:val="000000" w:themeColor="text1"/>
        </w:rPr>
        <w:t>s when new outcome measures are released to increase clinical uptake and implementation.</w:t>
      </w:r>
    </w:p>
    <w:p w:rsidR="00F2752A" w:rsidRPr="00571C9D" w:rsidRDefault="0069528E" w:rsidP="0069528E">
      <w:pPr>
        <w:spacing w:line="480" w:lineRule="auto"/>
        <w:rPr>
          <w:rFonts w:ascii="Arial" w:hAnsi="Arial" w:cs="Arial"/>
          <w:color w:val="000000" w:themeColor="text1"/>
        </w:rPr>
      </w:pPr>
      <w:r w:rsidRPr="00571C9D">
        <w:rPr>
          <w:rFonts w:ascii="Arial" w:hAnsi="Arial" w:cs="Arial"/>
          <w:color w:val="000000" w:themeColor="text1"/>
        </w:rPr>
        <w:t>Keywor</w:t>
      </w:r>
      <w:r w:rsidR="0063580D" w:rsidRPr="00571C9D">
        <w:rPr>
          <w:rFonts w:ascii="Arial" w:hAnsi="Arial" w:cs="Arial"/>
          <w:color w:val="000000" w:themeColor="text1"/>
        </w:rPr>
        <w:t>ds: Outcome measures, Musculoskeletal Health Questionnaire, Calculator</w:t>
      </w:r>
    </w:p>
    <w:p w:rsidR="00A53495" w:rsidRPr="00571C9D" w:rsidRDefault="00A53495" w:rsidP="0069528E">
      <w:pPr>
        <w:spacing w:line="480" w:lineRule="auto"/>
        <w:rPr>
          <w:rFonts w:ascii="Arial" w:hAnsi="Arial" w:cs="Arial"/>
          <w:color w:val="000000" w:themeColor="text1"/>
        </w:rPr>
      </w:pPr>
    </w:p>
    <w:p w:rsidR="0069528E" w:rsidRPr="00571C9D" w:rsidRDefault="0069528E" w:rsidP="0069528E">
      <w:pPr>
        <w:spacing w:after="225" w:line="480" w:lineRule="auto"/>
        <w:jc w:val="both"/>
        <w:rPr>
          <w:rFonts w:ascii="Arial" w:eastAsia="Calibri" w:hAnsi="Arial" w:cs="Arial"/>
          <w:b/>
          <w:color w:val="000000" w:themeColor="text1"/>
        </w:rPr>
      </w:pPr>
      <w:r w:rsidRPr="00571C9D">
        <w:rPr>
          <w:rFonts w:ascii="Arial" w:eastAsia="Calibri" w:hAnsi="Arial" w:cs="Arial"/>
          <w:b/>
          <w:color w:val="000000" w:themeColor="text1"/>
        </w:rPr>
        <w:t>Introduction:</w:t>
      </w:r>
    </w:p>
    <w:p w:rsidR="00A045B7" w:rsidRPr="00571C9D" w:rsidRDefault="00A045B7" w:rsidP="0069528E">
      <w:pPr>
        <w:spacing w:after="225" w:line="480" w:lineRule="auto"/>
        <w:jc w:val="both"/>
        <w:rPr>
          <w:rFonts w:ascii="Arial" w:eastAsia="Calibri" w:hAnsi="Arial" w:cs="Arial"/>
          <w:color w:val="000000" w:themeColor="text1"/>
        </w:rPr>
      </w:pPr>
      <w:r w:rsidRPr="00571C9D">
        <w:rPr>
          <w:rFonts w:ascii="Arial" w:eastAsia="Calibri" w:hAnsi="Arial" w:cs="Arial"/>
          <w:color w:val="000000" w:themeColor="text1"/>
        </w:rPr>
        <w:t>The need for physiot</w:t>
      </w:r>
      <w:r w:rsidR="00A125CC">
        <w:rPr>
          <w:rFonts w:ascii="Arial" w:eastAsia="Calibri" w:hAnsi="Arial" w:cs="Arial"/>
          <w:color w:val="000000" w:themeColor="text1"/>
        </w:rPr>
        <w:t>herapists to use standardised PROMs</w:t>
      </w:r>
      <w:r w:rsidRPr="00571C9D">
        <w:rPr>
          <w:rFonts w:ascii="Arial" w:eastAsia="Calibri" w:hAnsi="Arial" w:cs="Arial"/>
          <w:color w:val="000000" w:themeColor="text1"/>
        </w:rPr>
        <w:t xml:space="preserve"> has been recognised and is recommended in clinical guidelines (Swinkels et al, 2011). Although the importance of standardising the use of PROMs within the physiotherapy profession is well recognised, this has largely failed to be delivered in practice</w:t>
      </w:r>
      <w:r w:rsidR="0043349D" w:rsidRPr="00571C9D">
        <w:rPr>
          <w:rFonts w:ascii="Arial" w:eastAsia="Calibri" w:hAnsi="Arial" w:cs="Arial"/>
          <w:color w:val="000000" w:themeColor="text1"/>
        </w:rPr>
        <w:t xml:space="preserve"> (Kyte et al 2015)</w:t>
      </w:r>
      <w:r w:rsidRPr="00571C9D">
        <w:rPr>
          <w:rFonts w:ascii="Arial" w:eastAsia="Calibri" w:hAnsi="Arial" w:cs="Arial"/>
          <w:color w:val="000000" w:themeColor="text1"/>
        </w:rPr>
        <w:t>.  A number of barriers for implementation of standardised outcome measures have been reported including the lack of knowledge and the lack of instructions in relation to the application, scoring and interpretation of the outcome measure(s) (Jettte et al, 2009).</w:t>
      </w:r>
      <w:r w:rsidRPr="00571C9D">
        <w:rPr>
          <w:rFonts w:ascii="Arial" w:hAnsi="Arial" w:cs="Arial"/>
          <w:color w:val="000000" w:themeColor="text1"/>
        </w:rPr>
        <w:t xml:space="preserve"> </w:t>
      </w:r>
    </w:p>
    <w:p w:rsidR="002402C3" w:rsidRPr="00571C9D" w:rsidRDefault="00F2752A" w:rsidP="002402C3">
      <w:pPr>
        <w:spacing w:after="225" w:line="480" w:lineRule="auto"/>
        <w:jc w:val="both"/>
        <w:rPr>
          <w:rFonts w:ascii="Arial" w:eastAsia="Calibri" w:hAnsi="Arial" w:cs="Arial"/>
          <w:color w:val="000000" w:themeColor="text1"/>
        </w:rPr>
      </w:pPr>
      <w:r w:rsidRPr="00571C9D">
        <w:rPr>
          <w:rFonts w:ascii="Arial" w:eastAsia="Calibri" w:hAnsi="Arial" w:cs="Arial"/>
          <w:color w:val="000000" w:themeColor="text1"/>
        </w:rPr>
        <w:t>Musculoskeletal (MSK) physiotherapy teams within Midlands Partnership NHS Trust (MPFT) used a variety of outcome measures including the EuroQol (EQ-5D-5L) alongside condition specific PROMS and a patient</w:t>
      </w:r>
      <w:r w:rsidR="000E539B" w:rsidRPr="00571C9D">
        <w:rPr>
          <w:rFonts w:ascii="Arial" w:eastAsia="Calibri" w:hAnsi="Arial" w:cs="Arial"/>
          <w:color w:val="000000" w:themeColor="text1"/>
        </w:rPr>
        <w:t xml:space="preserve"> </w:t>
      </w:r>
      <w:r w:rsidR="00FE7631" w:rsidRPr="00571C9D">
        <w:rPr>
          <w:rFonts w:ascii="Arial" w:eastAsia="Calibri" w:hAnsi="Arial" w:cs="Arial"/>
          <w:color w:val="000000" w:themeColor="text1"/>
        </w:rPr>
        <w:t xml:space="preserve">reported </w:t>
      </w:r>
      <w:r w:rsidR="000E539B" w:rsidRPr="00571C9D">
        <w:rPr>
          <w:rFonts w:ascii="Arial" w:eastAsia="Calibri" w:hAnsi="Arial" w:cs="Arial"/>
          <w:color w:val="000000" w:themeColor="text1"/>
        </w:rPr>
        <w:t>experience</w:t>
      </w:r>
      <w:r w:rsidR="00FE7631" w:rsidRPr="00571C9D">
        <w:rPr>
          <w:rFonts w:ascii="Arial" w:eastAsia="Calibri" w:hAnsi="Arial" w:cs="Arial"/>
          <w:color w:val="000000" w:themeColor="text1"/>
        </w:rPr>
        <w:t xml:space="preserve"> </w:t>
      </w:r>
      <w:r w:rsidRPr="00571C9D">
        <w:rPr>
          <w:rFonts w:ascii="Arial" w:eastAsia="Calibri" w:hAnsi="Arial" w:cs="Arial"/>
          <w:color w:val="000000" w:themeColor="text1"/>
        </w:rPr>
        <w:t xml:space="preserve">measure, in line with </w:t>
      </w:r>
      <w:r w:rsidR="00901B25" w:rsidRPr="00571C9D">
        <w:rPr>
          <w:rFonts w:ascii="Arial" w:eastAsia="Calibri" w:hAnsi="Arial" w:cs="Arial"/>
          <w:color w:val="000000" w:themeColor="text1"/>
        </w:rPr>
        <w:t>the Chartered Society of Physiotherapy’s</w:t>
      </w:r>
      <w:r w:rsidRPr="00571C9D">
        <w:rPr>
          <w:rFonts w:ascii="Arial" w:eastAsia="Calibri" w:hAnsi="Arial" w:cs="Arial"/>
          <w:color w:val="000000" w:themeColor="text1"/>
        </w:rPr>
        <w:t xml:space="preserve"> recommendations (Kyte et al 2015). Nevertheless, the teams did not use the same outcome measure and data collection, inputting and analysis methods varied considerably</w:t>
      </w:r>
      <w:r w:rsidR="0069528E" w:rsidRPr="00571C9D">
        <w:rPr>
          <w:rFonts w:ascii="Arial" w:eastAsia="Calibri" w:hAnsi="Arial" w:cs="Arial"/>
          <w:color w:val="000000" w:themeColor="text1"/>
        </w:rPr>
        <w:t xml:space="preserve">.  </w:t>
      </w:r>
      <w:r w:rsidR="00FA09F4" w:rsidRPr="00571C9D">
        <w:rPr>
          <w:rFonts w:ascii="Arial" w:eastAsia="Calibri" w:hAnsi="Arial" w:cs="Arial"/>
          <w:color w:val="000000" w:themeColor="text1"/>
        </w:rPr>
        <w:t xml:space="preserve">Following a consensus exercise with clinical and operational </w:t>
      </w:r>
      <w:r w:rsidR="00400AEC" w:rsidRPr="00571C9D">
        <w:rPr>
          <w:rFonts w:ascii="Arial" w:eastAsia="Calibri" w:hAnsi="Arial" w:cs="Arial"/>
          <w:color w:val="000000" w:themeColor="text1"/>
        </w:rPr>
        <w:t>leads,</w:t>
      </w:r>
      <w:r w:rsidR="00FA09F4" w:rsidRPr="00571C9D">
        <w:rPr>
          <w:rFonts w:ascii="Arial" w:eastAsia="Calibri" w:hAnsi="Arial" w:cs="Arial"/>
          <w:color w:val="000000" w:themeColor="text1"/>
        </w:rPr>
        <w:t xml:space="preserve"> </w:t>
      </w:r>
      <w:r w:rsidRPr="00571C9D">
        <w:rPr>
          <w:rFonts w:ascii="Arial" w:eastAsia="Calibri" w:hAnsi="Arial" w:cs="Arial"/>
          <w:color w:val="000000" w:themeColor="text1"/>
        </w:rPr>
        <w:t xml:space="preserve">the </w:t>
      </w:r>
      <w:r w:rsidR="00666CAB" w:rsidRPr="00571C9D">
        <w:rPr>
          <w:rFonts w:ascii="Arial" w:eastAsia="Calibri" w:hAnsi="Arial" w:cs="Arial"/>
          <w:color w:val="000000" w:themeColor="text1"/>
        </w:rPr>
        <w:t>Musculoskeletal-</w:t>
      </w:r>
      <w:r w:rsidR="00FA09F4" w:rsidRPr="00571C9D">
        <w:rPr>
          <w:rFonts w:ascii="Arial" w:eastAsia="Calibri" w:hAnsi="Arial" w:cs="Arial"/>
          <w:color w:val="000000" w:themeColor="text1"/>
        </w:rPr>
        <w:t>Health Questionnaire (</w:t>
      </w:r>
      <w:r w:rsidRPr="00571C9D">
        <w:rPr>
          <w:rFonts w:ascii="Arial" w:eastAsia="Calibri" w:hAnsi="Arial" w:cs="Arial"/>
          <w:color w:val="000000" w:themeColor="text1"/>
        </w:rPr>
        <w:t>MSK-HQ</w:t>
      </w:r>
      <w:r w:rsidR="00FA09F4" w:rsidRPr="00571C9D">
        <w:rPr>
          <w:rFonts w:ascii="Arial" w:eastAsia="Calibri" w:hAnsi="Arial" w:cs="Arial"/>
          <w:color w:val="000000" w:themeColor="text1"/>
        </w:rPr>
        <w:t>)</w:t>
      </w:r>
      <w:r w:rsidRPr="00571C9D">
        <w:rPr>
          <w:rFonts w:ascii="Arial" w:eastAsia="Calibri" w:hAnsi="Arial" w:cs="Arial"/>
          <w:color w:val="000000" w:themeColor="text1"/>
        </w:rPr>
        <w:t xml:space="preserve"> </w:t>
      </w:r>
      <w:r w:rsidR="00F45806" w:rsidRPr="00571C9D">
        <w:rPr>
          <w:rFonts w:ascii="Arial" w:eastAsia="Calibri" w:hAnsi="Arial" w:cs="Arial"/>
          <w:color w:val="000000" w:themeColor="text1"/>
        </w:rPr>
        <w:t xml:space="preserve">was introduced </w:t>
      </w:r>
      <w:r w:rsidRPr="00571C9D">
        <w:rPr>
          <w:rFonts w:ascii="Arial" w:eastAsia="Calibri" w:hAnsi="Arial" w:cs="Arial"/>
          <w:color w:val="000000" w:themeColor="text1"/>
        </w:rPr>
        <w:t>as a st</w:t>
      </w:r>
      <w:r w:rsidR="00FA09F4" w:rsidRPr="00571C9D">
        <w:rPr>
          <w:rFonts w:ascii="Arial" w:eastAsia="Calibri" w:hAnsi="Arial" w:cs="Arial"/>
          <w:color w:val="000000" w:themeColor="text1"/>
        </w:rPr>
        <w:t>andardised MSK PROM across MPFT</w:t>
      </w:r>
      <w:r w:rsidRPr="00571C9D">
        <w:rPr>
          <w:rFonts w:ascii="Arial" w:eastAsia="Calibri" w:hAnsi="Arial" w:cs="Arial"/>
          <w:color w:val="000000" w:themeColor="text1"/>
        </w:rPr>
        <w:t xml:space="preserve"> (Sarigiovannis et al, 2017).    </w:t>
      </w:r>
      <w:r w:rsidR="00FA09F4" w:rsidRPr="00571C9D">
        <w:rPr>
          <w:rFonts w:ascii="Arial" w:eastAsia="Calibri" w:hAnsi="Arial" w:cs="Arial"/>
          <w:color w:val="000000" w:themeColor="text1"/>
        </w:rPr>
        <w:t>The MSK-HQ</w:t>
      </w:r>
      <w:r w:rsidR="0069528E" w:rsidRPr="00571C9D">
        <w:rPr>
          <w:rFonts w:ascii="Arial" w:eastAsia="Calibri" w:hAnsi="Arial" w:cs="Arial"/>
          <w:color w:val="000000" w:themeColor="text1"/>
        </w:rPr>
        <w:t xml:space="preserve"> is an outcome measure specifically developed for MSK conditions. It </w:t>
      </w:r>
      <w:r w:rsidR="0069528E" w:rsidRPr="00571C9D">
        <w:rPr>
          <w:rFonts w:ascii="Arial" w:eastAsia="Calibri" w:hAnsi="Arial" w:cs="Arial"/>
          <w:color w:val="000000" w:themeColor="text1"/>
        </w:rPr>
        <w:lastRenderedPageBreak/>
        <w:t xml:space="preserve">contains 14 items that capture key </w:t>
      </w:r>
      <w:r w:rsidR="00E437A8" w:rsidRPr="00571C9D">
        <w:rPr>
          <w:rFonts w:ascii="Arial" w:eastAsia="Calibri" w:hAnsi="Arial" w:cs="Arial"/>
          <w:color w:val="000000" w:themeColor="text1"/>
        </w:rPr>
        <w:t>aspect</w:t>
      </w:r>
      <w:r w:rsidR="0069528E" w:rsidRPr="00571C9D">
        <w:rPr>
          <w:rFonts w:ascii="Arial" w:eastAsia="Calibri" w:hAnsi="Arial" w:cs="Arial"/>
          <w:color w:val="000000" w:themeColor="text1"/>
        </w:rPr>
        <w:t>s that patients with a range of MSK conditions have prioritised as important across the clinical pathway.</w:t>
      </w:r>
      <w:r w:rsidR="008C7F17" w:rsidRPr="00571C9D">
        <w:rPr>
          <w:rFonts w:ascii="Arial" w:eastAsia="Calibri" w:hAnsi="Arial" w:cs="Arial"/>
          <w:color w:val="000000" w:themeColor="text1"/>
        </w:rPr>
        <w:t xml:space="preserve">  The MSK-HQ is scored on a range of 0-56, with a higher score indicating better MSK-HQ health status.  </w:t>
      </w:r>
      <w:r w:rsidR="0069528E" w:rsidRPr="00571C9D">
        <w:rPr>
          <w:rFonts w:ascii="Arial" w:eastAsia="Calibri" w:hAnsi="Arial" w:cs="Arial"/>
          <w:color w:val="000000" w:themeColor="text1"/>
        </w:rPr>
        <w:t>It has been shown that this outcome has excellent test–retest reliability and strong convergent validity with reference standards, including the EQ-5D-5L, and Oxford Hip, Knee and Shoulder scores (Hill et al, 2016).   NHS England, the Chartere</w:t>
      </w:r>
      <w:r w:rsidR="009E054C">
        <w:rPr>
          <w:rFonts w:ascii="Arial" w:eastAsia="Calibri" w:hAnsi="Arial" w:cs="Arial"/>
          <w:color w:val="000000" w:themeColor="text1"/>
        </w:rPr>
        <w:t>d Society of Physiotherapy</w:t>
      </w:r>
      <w:r w:rsidR="00A53495" w:rsidRPr="00571C9D">
        <w:rPr>
          <w:rFonts w:ascii="Arial" w:eastAsia="Calibri" w:hAnsi="Arial" w:cs="Arial"/>
          <w:color w:val="000000" w:themeColor="text1"/>
        </w:rPr>
        <w:t xml:space="preserve">, </w:t>
      </w:r>
      <w:r w:rsidR="0069528E" w:rsidRPr="00571C9D">
        <w:rPr>
          <w:rFonts w:ascii="Arial" w:eastAsia="Calibri" w:hAnsi="Arial" w:cs="Arial"/>
          <w:color w:val="000000" w:themeColor="text1"/>
        </w:rPr>
        <w:t xml:space="preserve">the Royal College of General Practitioners </w:t>
      </w:r>
      <w:r w:rsidR="00811258" w:rsidRPr="00571C9D">
        <w:rPr>
          <w:rFonts w:ascii="Arial" w:eastAsia="Calibri" w:hAnsi="Arial" w:cs="Arial"/>
          <w:color w:val="000000" w:themeColor="text1"/>
        </w:rPr>
        <w:t xml:space="preserve">and Versus Arthritis </w:t>
      </w:r>
      <w:r w:rsidR="0069528E" w:rsidRPr="00571C9D">
        <w:rPr>
          <w:rFonts w:ascii="Arial" w:eastAsia="Calibri" w:hAnsi="Arial" w:cs="Arial"/>
          <w:color w:val="000000" w:themeColor="text1"/>
        </w:rPr>
        <w:t>have endorsed the MSK-HQ.</w:t>
      </w:r>
      <w:r w:rsidR="002A66D4" w:rsidRPr="00571C9D">
        <w:rPr>
          <w:rFonts w:ascii="Arial" w:eastAsia="Calibri" w:hAnsi="Arial" w:cs="Arial"/>
          <w:color w:val="000000" w:themeColor="text1"/>
        </w:rPr>
        <w:t xml:space="preserve">  </w:t>
      </w:r>
      <w:r w:rsidR="0069528E" w:rsidRPr="00571C9D">
        <w:rPr>
          <w:rFonts w:ascii="Arial" w:eastAsia="Calibri" w:hAnsi="Arial" w:cs="Arial"/>
          <w:color w:val="000000" w:themeColor="text1"/>
        </w:rPr>
        <w:t>Data analysis and interpretati</w:t>
      </w:r>
      <w:r w:rsidR="00FA09F4" w:rsidRPr="00571C9D">
        <w:rPr>
          <w:rFonts w:ascii="Arial" w:eastAsia="Calibri" w:hAnsi="Arial" w:cs="Arial"/>
          <w:color w:val="000000" w:themeColor="text1"/>
        </w:rPr>
        <w:t>o</w:t>
      </w:r>
      <w:r w:rsidR="007922E7" w:rsidRPr="00571C9D">
        <w:rPr>
          <w:rFonts w:ascii="Arial" w:eastAsia="Calibri" w:hAnsi="Arial" w:cs="Arial"/>
          <w:color w:val="000000" w:themeColor="text1"/>
        </w:rPr>
        <w:t>n were considered</w:t>
      </w:r>
      <w:r w:rsidR="0069528E" w:rsidRPr="00571C9D">
        <w:rPr>
          <w:rFonts w:ascii="Arial" w:eastAsia="Calibri" w:hAnsi="Arial" w:cs="Arial"/>
          <w:color w:val="000000" w:themeColor="text1"/>
        </w:rPr>
        <w:t xml:space="preserve"> crucial </w:t>
      </w:r>
      <w:r w:rsidR="00DB44A5" w:rsidRPr="00571C9D">
        <w:rPr>
          <w:rFonts w:ascii="Arial" w:eastAsia="Calibri" w:hAnsi="Arial" w:cs="Arial"/>
          <w:color w:val="000000" w:themeColor="text1"/>
        </w:rPr>
        <w:t>to enhance c</w:t>
      </w:r>
      <w:r w:rsidR="00947144" w:rsidRPr="00571C9D">
        <w:rPr>
          <w:rFonts w:ascii="Arial" w:eastAsia="Calibri" w:hAnsi="Arial" w:cs="Arial"/>
          <w:color w:val="000000" w:themeColor="text1"/>
        </w:rPr>
        <w:t>linical engagement</w:t>
      </w:r>
      <w:r w:rsidR="00D64A2D" w:rsidRPr="00571C9D">
        <w:rPr>
          <w:rFonts w:ascii="Arial" w:eastAsia="Calibri" w:hAnsi="Arial" w:cs="Arial"/>
          <w:color w:val="000000" w:themeColor="text1"/>
        </w:rPr>
        <w:t xml:space="preserve"> of the MSK-HQ</w:t>
      </w:r>
      <w:r w:rsidR="001044B5" w:rsidRPr="00571C9D">
        <w:rPr>
          <w:rFonts w:ascii="Arial" w:eastAsia="Calibri" w:hAnsi="Arial" w:cs="Arial"/>
          <w:color w:val="000000" w:themeColor="text1"/>
        </w:rPr>
        <w:t>.  Ther</w:t>
      </w:r>
      <w:r w:rsidR="00947144" w:rsidRPr="00571C9D">
        <w:rPr>
          <w:rFonts w:ascii="Arial" w:eastAsia="Calibri" w:hAnsi="Arial" w:cs="Arial"/>
          <w:color w:val="000000" w:themeColor="text1"/>
        </w:rPr>
        <w:t xml:space="preserve">efore, </w:t>
      </w:r>
      <w:r w:rsidR="004535B0" w:rsidRPr="00571C9D">
        <w:rPr>
          <w:rFonts w:ascii="Arial" w:eastAsia="Calibri" w:hAnsi="Arial" w:cs="Arial"/>
          <w:color w:val="000000" w:themeColor="text1"/>
        </w:rPr>
        <w:t xml:space="preserve">it was decided to develop </w:t>
      </w:r>
      <w:r w:rsidR="00947144" w:rsidRPr="00571C9D">
        <w:rPr>
          <w:rFonts w:ascii="Arial" w:eastAsia="Calibri" w:hAnsi="Arial" w:cs="Arial"/>
          <w:color w:val="000000" w:themeColor="text1"/>
        </w:rPr>
        <w:t xml:space="preserve">a </w:t>
      </w:r>
      <w:r w:rsidRPr="00571C9D">
        <w:rPr>
          <w:rFonts w:ascii="Arial" w:eastAsia="Calibri" w:hAnsi="Arial" w:cs="Arial"/>
          <w:color w:val="000000" w:themeColor="text1"/>
        </w:rPr>
        <w:t>data inputting and analysis calculator</w:t>
      </w:r>
      <w:r w:rsidR="004535B0" w:rsidRPr="00571C9D">
        <w:rPr>
          <w:rFonts w:ascii="Arial" w:eastAsia="Calibri" w:hAnsi="Arial" w:cs="Arial"/>
          <w:color w:val="000000" w:themeColor="text1"/>
        </w:rPr>
        <w:t xml:space="preserve"> </w:t>
      </w:r>
      <w:r w:rsidRPr="00571C9D">
        <w:rPr>
          <w:rFonts w:ascii="Arial" w:eastAsia="Calibri" w:hAnsi="Arial" w:cs="Arial"/>
          <w:color w:val="000000" w:themeColor="text1"/>
        </w:rPr>
        <w:t xml:space="preserve">to facilitate </w:t>
      </w:r>
      <w:r w:rsidR="00666CAB" w:rsidRPr="00571C9D">
        <w:rPr>
          <w:rFonts w:ascii="Arial" w:eastAsia="Calibri" w:hAnsi="Arial" w:cs="Arial"/>
          <w:color w:val="000000" w:themeColor="text1"/>
        </w:rPr>
        <w:t xml:space="preserve">its </w:t>
      </w:r>
      <w:r w:rsidR="00D64A2D" w:rsidRPr="00571C9D">
        <w:rPr>
          <w:rFonts w:ascii="Arial" w:eastAsia="Calibri" w:hAnsi="Arial" w:cs="Arial"/>
          <w:color w:val="000000" w:themeColor="text1"/>
        </w:rPr>
        <w:t>implementation</w:t>
      </w:r>
      <w:r w:rsidR="00666CAB" w:rsidRPr="00571C9D">
        <w:rPr>
          <w:rFonts w:ascii="Arial" w:eastAsia="Calibri" w:hAnsi="Arial" w:cs="Arial"/>
          <w:color w:val="000000" w:themeColor="text1"/>
        </w:rPr>
        <w:t xml:space="preserve"> in MPFT</w:t>
      </w:r>
      <w:r w:rsidRPr="00571C9D">
        <w:rPr>
          <w:rFonts w:ascii="Arial" w:eastAsia="Calibri" w:hAnsi="Arial" w:cs="Arial"/>
          <w:color w:val="000000" w:themeColor="text1"/>
        </w:rPr>
        <w:t xml:space="preserve">.  </w:t>
      </w:r>
      <w:r w:rsidR="00943451" w:rsidRPr="00571C9D">
        <w:rPr>
          <w:rFonts w:ascii="Arial" w:eastAsia="Calibri" w:hAnsi="Arial" w:cs="Arial"/>
          <w:color w:val="000000" w:themeColor="text1"/>
        </w:rPr>
        <w:t xml:space="preserve">The purpose of this </w:t>
      </w:r>
      <w:r w:rsidR="00A53495" w:rsidRPr="00571C9D">
        <w:rPr>
          <w:rFonts w:ascii="Arial" w:eastAsia="Calibri" w:hAnsi="Arial" w:cs="Arial"/>
          <w:color w:val="000000" w:themeColor="text1"/>
        </w:rPr>
        <w:t>paper</w:t>
      </w:r>
      <w:r w:rsidR="00943451" w:rsidRPr="00571C9D">
        <w:rPr>
          <w:rFonts w:ascii="Arial" w:eastAsia="Calibri" w:hAnsi="Arial" w:cs="Arial"/>
          <w:color w:val="000000" w:themeColor="text1"/>
        </w:rPr>
        <w:t xml:space="preserve"> </w:t>
      </w:r>
      <w:r w:rsidR="00A53495" w:rsidRPr="00571C9D">
        <w:rPr>
          <w:rFonts w:ascii="Arial" w:eastAsia="Calibri" w:hAnsi="Arial" w:cs="Arial"/>
          <w:color w:val="000000" w:themeColor="text1"/>
        </w:rPr>
        <w:t xml:space="preserve">is </w:t>
      </w:r>
      <w:r w:rsidR="00943451" w:rsidRPr="00571C9D">
        <w:rPr>
          <w:rFonts w:ascii="Arial" w:eastAsia="Calibri" w:hAnsi="Arial" w:cs="Arial"/>
          <w:color w:val="000000" w:themeColor="text1"/>
        </w:rPr>
        <w:t>to de</w:t>
      </w:r>
      <w:r w:rsidR="00A53495" w:rsidRPr="00571C9D">
        <w:rPr>
          <w:rFonts w:ascii="Arial" w:eastAsia="Calibri" w:hAnsi="Arial" w:cs="Arial"/>
          <w:color w:val="000000" w:themeColor="text1"/>
        </w:rPr>
        <w:t>scribe</w:t>
      </w:r>
      <w:r w:rsidR="00943451" w:rsidRPr="00571C9D">
        <w:rPr>
          <w:rFonts w:ascii="Arial" w:eastAsia="Calibri" w:hAnsi="Arial" w:cs="Arial"/>
          <w:color w:val="000000" w:themeColor="text1"/>
        </w:rPr>
        <w:t xml:space="preserve"> t</w:t>
      </w:r>
      <w:r w:rsidR="00A53495" w:rsidRPr="00571C9D">
        <w:rPr>
          <w:rFonts w:ascii="Arial" w:eastAsia="Calibri" w:hAnsi="Arial" w:cs="Arial"/>
          <w:color w:val="000000" w:themeColor="text1"/>
        </w:rPr>
        <w:t>he</w:t>
      </w:r>
      <w:r w:rsidR="00943451" w:rsidRPr="00571C9D">
        <w:rPr>
          <w:rFonts w:ascii="Arial" w:eastAsia="Calibri" w:hAnsi="Arial" w:cs="Arial"/>
          <w:color w:val="000000" w:themeColor="text1"/>
        </w:rPr>
        <w:t xml:space="preserve"> develop</w:t>
      </w:r>
      <w:r w:rsidR="00A53495" w:rsidRPr="00571C9D">
        <w:rPr>
          <w:rFonts w:ascii="Arial" w:eastAsia="Calibri" w:hAnsi="Arial" w:cs="Arial"/>
          <w:color w:val="000000" w:themeColor="text1"/>
        </w:rPr>
        <w:t>ment of the calculator</w:t>
      </w:r>
      <w:r w:rsidR="00943451" w:rsidRPr="00571C9D">
        <w:rPr>
          <w:rFonts w:ascii="Arial" w:eastAsia="Calibri" w:hAnsi="Arial" w:cs="Arial"/>
          <w:color w:val="000000" w:themeColor="text1"/>
        </w:rPr>
        <w:t xml:space="preserve"> </w:t>
      </w:r>
      <w:r w:rsidR="004535B0" w:rsidRPr="00571C9D">
        <w:rPr>
          <w:rFonts w:ascii="Arial" w:eastAsia="Calibri" w:hAnsi="Arial" w:cs="Arial"/>
          <w:color w:val="000000" w:themeColor="text1"/>
        </w:rPr>
        <w:t>and</w:t>
      </w:r>
      <w:r w:rsidR="00F656D9" w:rsidRPr="00571C9D">
        <w:rPr>
          <w:rFonts w:ascii="Arial" w:eastAsia="Calibri" w:hAnsi="Arial" w:cs="Arial"/>
          <w:color w:val="000000" w:themeColor="text1"/>
        </w:rPr>
        <w:t xml:space="preserve"> the</w:t>
      </w:r>
      <w:r w:rsidR="004535B0" w:rsidRPr="00571C9D">
        <w:rPr>
          <w:rFonts w:ascii="Arial" w:eastAsia="Calibri" w:hAnsi="Arial" w:cs="Arial"/>
          <w:color w:val="000000" w:themeColor="text1"/>
        </w:rPr>
        <w:t xml:space="preserve"> evaluat</w:t>
      </w:r>
      <w:r w:rsidR="00F656D9" w:rsidRPr="00571C9D">
        <w:rPr>
          <w:rFonts w:ascii="Arial" w:eastAsia="Calibri" w:hAnsi="Arial" w:cs="Arial"/>
          <w:color w:val="000000" w:themeColor="text1"/>
        </w:rPr>
        <w:t>ion of</w:t>
      </w:r>
      <w:r w:rsidR="004535B0" w:rsidRPr="00571C9D">
        <w:rPr>
          <w:rFonts w:ascii="Arial" w:eastAsia="Calibri" w:hAnsi="Arial" w:cs="Arial"/>
          <w:color w:val="000000" w:themeColor="text1"/>
        </w:rPr>
        <w:t xml:space="preserve"> its impact </w:t>
      </w:r>
      <w:r w:rsidR="00943451" w:rsidRPr="00571C9D">
        <w:rPr>
          <w:rFonts w:ascii="Arial" w:eastAsia="Calibri" w:hAnsi="Arial" w:cs="Arial"/>
          <w:color w:val="000000" w:themeColor="text1"/>
        </w:rPr>
        <w:t xml:space="preserve">in clinical practice in relation to </w:t>
      </w:r>
      <w:r w:rsidR="004535B0" w:rsidRPr="00571C9D">
        <w:rPr>
          <w:rFonts w:ascii="Arial" w:eastAsia="Calibri" w:hAnsi="Arial" w:cs="Arial"/>
          <w:color w:val="000000" w:themeColor="text1"/>
        </w:rPr>
        <w:t>implementing the MSK-HQ</w:t>
      </w:r>
      <w:r w:rsidR="00943451" w:rsidRPr="00571C9D">
        <w:rPr>
          <w:rFonts w:ascii="Arial" w:eastAsia="Calibri" w:hAnsi="Arial" w:cs="Arial"/>
          <w:color w:val="000000" w:themeColor="text1"/>
        </w:rPr>
        <w:t>.</w:t>
      </w:r>
    </w:p>
    <w:p w:rsidR="00D64A2D" w:rsidRPr="00571C9D" w:rsidRDefault="00D64A2D" w:rsidP="0069528E">
      <w:pPr>
        <w:spacing w:line="480" w:lineRule="auto"/>
        <w:rPr>
          <w:rFonts w:ascii="Arial" w:hAnsi="Arial" w:cs="Arial"/>
          <w:color w:val="000000" w:themeColor="text1"/>
        </w:rPr>
      </w:pPr>
    </w:p>
    <w:p w:rsidR="009947AC" w:rsidRPr="00571C9D" w:rsidRDefault="009947AC" w:rsidP="00940CBA">
      <w:pPr>
        <w:spacing w:line="480" w:lineRule="auto"/>
        <w:jc w:val="both"/>
        <w:rPr>
          <w:rFonts w:ascii="Arial" w:hAnsi="Arial" w:cs="Arial"/>
          <w:b/>
          <w:color w:val="000000" w:themeColor="text1"/>
        </w:rPr>
      </w:pPr>
      <w:r w:rsidRPr="00571C9D">
        <w:rPr>
          <w:rFonts w:ascii="Arial" w:hAnsi="Arial" w:cs="Arial"/>
          <w:b/>
          <w:color w:val="000000" w:themeColor="text1"/>
        </w:rPr>
        <w:t>Methods:</w:t>
      </w:r>
    </w:p>
    <w:p w:rsidR="00811258" w:rsidRPr="00571C9D" w:rsidRDefault="004E554E" w:rsidP="00A53495">
      <w:pPr>
        <w:pStyle w:val="ListParagraph"/>
        <w:numPr>
          <w:ilvl w:val="0"/>
          <w:numId w:val="4"/>
        </w:numPr>
        <w:spacing w:line="480" w:lineRule="auto"/>
        <w:jc w:val="both"/>
        <w:rPr>
          <w:rFonts w:ascii="Arial" w:hAnsi="Arial" w:cs="Arial"/>
          <w:color w:val="000000" w:themeColor="text1"/>
        </w:rPr>
      </w:pPr>
      <w:r w:rsidRPr="00571C9D">
        <w:rPr>
          <w:rFonts w:ascii="Arial" w:hAnsi="Arial" w:cs="Arial"/>
          <w:color w:val="000000" w:themeColor="text1"/>
        </w:rPr>
        <w:t xml:space="preserve"> Phase 1</w:t>
      </w:r>
      <w:r w:rsidR="00811258" w:rsidRPr="00571C9D">
        <w:rPr>
          <w:rFonts w:ascii="Arial" w:eastAsia="Calibri" w:hAnsi="Arial" w:cs="Arial"/>
          <w:color w:val="000000" w:themeColor="text1"/>
        </w:rPr>
        <w:t xml:space="preserve"> </w:t>
      </w:r>
    </w:p>
    <w:p w:rsidR="002A1FB9" w:rsidRPr="00571C9D" w:rsidRDefault="00811258" w:rsidP="005550A9">
      <w:pPr>
        <w:spacing w:line="480" w:lineRule="auto"/>
        <w:ind w:left="60"/>
        <w:jc w:val="both"/>
        <w:rPr>
          <w:rFonts w:ascii="Arial" w:hAnsi="Arial" w:cs="Arial"/>
          <w:color w:val="000000" w:themeColor="text1"/>
        </w:rPr>
      </w:pPr>
      <w:r w:rsidRPr="00571C9D">
        <w:rPr>
          <w:rFonts w:ascii="Arial" w:eastAsia="Calibri" w:hAnsi="Arial" w:cs="Arial"/>
          <w:color w:val="000000" w:themeColor="text1"/>
        </w:rPr>
        <w:t>The calculator was designed and developed based on the feedback received from physiotherapy operational and clinical leads.  The Trust’s Performance and Information Management and Technology Teams provided support with the technical aspects. The calculator includes various fields and it shows whether a minimal clinical important difference has been achieved based on the pre and post treatment score</w:t>
      </w:r>
      <w:r w:rsidR="001C11D8" w:rsidRPr="00571C9D">
        <w:rPr>
          <w:rFonts w:ascii="Arial" w:eastAsia="Calibri" w:hAnsi="Arial" w:cs="Arial"/>
          <w:color w:val="000000" w:themeColor="text1"/>
        </w:rPr>
        <w:t>s</w:t>
      </w:r>
      <w:r w:rsidRPr="00571C9D">
        <w:rPr>
          <w:rFonts w:ascii="Arial" w:eastAsia="Calibri" w:hAnsi="Arial" w:cs="Arial"/>
          <w:color w:val="000000" w:themeColor="text1"/>
        </w:rPr>
        <w:t xml:space="preserve">. </w:t>
      </w:r>
      <w:r w:rsidRPr="00571C9D">
        <w:rPr>
          <w:color w:val="000000" w:themeColor="text1"/>
        </w:rPr>
        <w:t xml:space="preserve"> </w:t>
      </w:r>
      <w:r w:rsidRPr="00571C9D">
        <w:rPr>
          <w:rFonts w:ascii="Arial" w:eastAsia="Calibri" w:hAnsi="Arial" w:cs="Arial"/>
          <w:color w:val="000000" w:themeColor="text1"/>
        </w:rPr>
        <w:t>Once piloted, the calculator was introduced gradually to all MSK physiotherapy teams within MPFT: teams with administrative support were the first implementers. The calculator was made available to the teams within the Trust's intranet system: designated administrative staff and the clinical and operational leads for each team were granted access.</w:t>
      </w:r>
      <w:r w:rsidR="005550A9" w:rsidRPr="00571C9D">
        <w:rPr>
          <w:rFonts w:ascii="Arial" w:eastAsia="Calibri" w:hAnsi="Arial" w:cs="Arial"/>
          <w:color w:val="000000" w:themeColor="text1"/>
        </w:rPr>
        <w:t xml:space="preserve"> </w:t>
      </w:r>
      <w:r w:rsidRPr="00571C9D">
        <w:rPr>
          <w:rFonts w:ascii="Arial" w:eastAsia="Calibri" w:hAnsi="Arial" w:cs="Arial"/>
          <w:color w:val="000000" w:themeColor="text1"/>
        </w:rPr>
        <w:t xml:space="preserve"> A standard operating procedure, in relation to using the calculator, and a data </w:t>
      </w:r>
      <w:r w:rsidRPr="00571C9D">
        <w:rPr>
          <w:rFonts w:ascii="Arial" w:eastAsia="Calibri" w:hAnsi="Arial" w:cs="Arial"/>
          <w:color w:val="000000" w:themeColor="text1"/>
        </w:rPr>
        <w:lastRenderedPageBreak/>
        <w:t>collection sheet, which was made available via the Electronic Patient Record, were produced to simplify the implementation process.</w:t>
      </w:r>
    </w:p>
    <w:p w:rsidR="004E554E" w:rsidRPr="00571C9D" w:rsidRDefault="004E554E">
      <w:pPr>
        <w:spacing w:line="480" w:lineRule="auto"/>
        <w:ind w:left="60"/>
        <w:jc w:val="both"/>
        <w:rPr>
          <w:rFonts w:ascii="Arial" w:hAnsi="Arial" w:cs="Arial"/>
          <w:color w:val="000000" w:themeColor="text1"/>
        </w:rPr>
      </w:pPr>
    </w:p>
    <w:p w:rsidR="004E554E" w:rsidRPr="00571C9D" w:rsidRDefault="004E554E" w:rsidP="005550A9">
      <w:pPr>
        <w:pStyle w:val="ListParagraph"/>
        <w:numPr>
          <w:ilvl w:val="0"/>
          <w:numId w:val="4"/>
        </w:numPr>
        <w:spacing w:line="480" w:lineRule="auto"/>
        <w:jc w:val="both"/>
        <w:rPr>
          <w:rFonts w:ascii="Arial" w:hAnsi="Arial" w:cs="Arial"/>
          <w:color w:val="000000" w:themeColor="text1"/>
        </w:rPr>
      </w:pPr>
      <w:r w:rsidRPr="00571C9D">
        <w:rPr>
          <w:rFonts w:ascii="Arial" w:hAnsi="Arial" w:cs="Arial"/>
          <w:color w:val="000000" w:themeColor="text1"/>
        </w:rPr>
        <w:t>Phase 2</w:t>
      </w:r>
    </w:p>
    <w:p w:rsidR="00160CB6" w:rsidRPr="00571C9D" w:rsidRDefault="00943451" w:rsidP="005550A9">
      <w:pPr>
        <w:spacing w:line="480" w:lineRule="auto"/>
        <w:ind w:left="60"/>
        <w:jc w:val="both"/>
        <w:rPr>
          <w:rFonts w:ascii="Arial" w:hAnsi="Arial" w:cs="Arial"/>
          <w:color w:val="000000" w:themeColor="text1"/>
        </w:rPr>
      </w:pPr>
      <w:r w:rsidRPr="00571C9D">
        <w:rPr>
          <w:rFonts w:ascii="Arial" w:hAnsi="Arial" w:cs="Arial"/>
          <w:color w:val="000000" w:themeColor="text1"/>
        </w:rPr>
        <w:t xml:space="preserve">The calculator was made freely available to other NHS Trusts and it was shared with over 50 NHS Trusts.  </w:t>
      </w:r>
      <w:r w:rsidR="005550A9" w:rsidRPr="00571C9D">
        <w:rPr>
          <w:rFonts w:ascii="Arial" w:hAnsi="Arial" w:cs="Arial"/>
          <w:color w:val="000000" w:themeColor="text1"/>
        </w:rPr>
        <w:t>Seven months later, a</w:t>
      </w:r>
      <w:r w:rsidR="009947AC" w:rsidRPr="00571C9D">
        <w:rPr>
          <w:rFonts w:ascii="Arial" w:hAnsi="Arial" w:cs="Arial"/>
          <w:color w:val="000000" w:themeColor="text1"/>
        </w:rPr>
        <w:t>n onlin</w:t>
      </w:r>
      <w:r w:rsidR="00B231DC" w:rsidRPr="00571C9D">
        <w:rPr>
          <w:rFonts w:ascii="Arial" w:hAnsi="Arial" w:cs="Arial"/>
          <w:color w:val="000000" w:themeColor="text1"/>
        </w:rPr>
        <w:t xml:space="preserve">e questionnaire was </w:t>
      </w:r>
      <w:r w:rsidR="00B65EA4" w:rsidRPr="00571C9D">
        <w:rPr>
          <w:rFonts w:ascii="Arial" w:hAnsi="Arial" w:cs="Arial"/>
          <w:color w:val="000000" w:themeColor="text1"/>
        </w:rPr>
        <w:t xml:space="preserve">developed </w:t>
      </w:r>
      <w:r w:rsidR="005550A9" w:rsidRPr="00571C9D">
        <w:rPr>
          <w:rFonts w:ascii="Arial" w:hAnsi="Arial" w:cs="Arial"/>
          <w:color w:val="000000" w:themeColor="text1"/>
        </w:rPr>
        <w:t xml:space="preserve">to evaluate the use of the calculator.  The questionnaire </w:t>
      </w:r>
      <w:r w:rsidR="009947AC" w:rsidRPr="00571C9D">
        <w:rPr>
          <w:rFonts w:ascii="Arial" w:hAnsi="Arial" w:cs="Arial"/>
          <w:color w:val="000000" w:themeColor="text1"/>
        </w:rPr>
        <w:t>included open and closed ended questi</w:t>
      </w:r>
      <w:r w:rsidR="00B65EA4" w:rsidRPr="00571C9D">
        <w:rPr>
          <w:rFonts w:ascii="Arial" w:hAnsi="Arial" w:cs="Arial"/>
          <w:color w:val="000000" w:themeColor="text1"/>
        </w:rPr>
        <w:t>ons about</w:t>
      </w:r>
      <w:r w:rsidR="004E7871" w:rsidRPr="00571C9D">
        <w:rPr>
          <w:rFonts w:ascii="Arial" w:hAnsi="Arial" w:cs="Arial"/>
          <w:color w:val="000000" w:themeColor="text1"/>
        </w:rPr>
        <w:t xml:space="preserve"> using</w:t>
      </w:r>
      <w:r w:rsidR="00B65EA4" w:rsidRPr="00571C9D">
        <w:rPr>
          <w:rFonts w:ascii="Arial" w:hAnsi="Arial" w:cs="Arial"/>
          <w:color w:val="000000" w:themeColor="text1"/>
        </w:rPr>
        <w:t xml:space="preserve"> the</w:t>
      </w:r>
      <w:r w:rsidR="000432E5" w:rsidRPr="00571C9D">
        <w:rPr>
          <w:rFonts w:ascii="Arial" w:hAnsi="Arial" w:cs="Arial"/>
          <w:color w:val="000000" w:themeColor="text1"/>
        </w:rPr>
        <w:t xml:space="preserve"> MSK-HQ</w:t>
      </w:r>
      <w:r w:rsidR="005550A9" w:rsidRPr="00571C9D">
        <w:rPr>
          <w:rFonts w:ascii="Arial" w:hAnsi="Arial" w:cs="Arial"/>
          <w:color w:val="000000" w:themeColor="text1"/>
        </w:rPr>
        <w:t xml:space="preserve"> calculator and it </w:t>
      </w:r>
      <w:r w:rsidR="009947AC" w:rsidRPr="00571C9D">
        <w:rPr>
          <w:rFonts w:ascii="Arial" w:hAnsi="Arial" w:cs="Arial"/>
          <w:color w:val="000000" w:themeColor="text1"/>
        </w:rPr>
        <w:t xml:space="preserve">was piloted prior to its release.  </w:t>
      </w:r>
      <w:r w:rsidR="004E7871" w:rsidRPr="00571C9D">
        <w:rPr>
          <w:rFonts w:ascii="Arial" w:hAnsi="Arial" w:cs="Arial"/>
          <w:color w:val="000000" w:themeColor="text1"/>
        </w:rPr>
        <w:t xml:space="preserve">The aim was to keep its design as short and simple as possible in order to improve response rates </w:t>
      </w:r>
      <w:r w:rsidR="000E539B" w:rsidRPr="00571C9D">
        <w:rPr>
          <w:rFonts w:ascii="Arial" w:hAnsi="Arial" w:cs="Arial"/>
          <w:color w:val="000000" w:themeColor="text1"/>
        </w:rPr>
        <w:t>while collecting the data required</w:t>
      </w:r>
      <w:r w:rsidR="004E7871" w:rsidRPr="00571C9D">
        <w:rPr>
          <w:rFonts w:ascii="Arial" w:hAnsi="Arial" w:cs="Arial"/>
          <w:color w:val="000000" w:themeColor="text1"/>
        </w:rPr>
        <w:t xml:space="preserve"> </w:t>
      </w:r>
      <w:r w:rsidR="000E539B" w:rsidRPr="00571C9D">
        <w:rPr>
          <w:rFonts w:ascii="Arial" w:hAnsi="Arial" w:cs="Arial"/>
          <w:color w:val="000000" w:themeColor="text1"/>
        </w:rPr>
        <w:t xml:space="preserve">to evaluate the </w:t>
      </w:r>
      <w:r w:rsidR="004E554E" w:rsidRPr="00571C9D">
        <w:rPr>
          <w:rFonts w:ascii="Arial" w:hAnsi="Arial" w:cs="Arial"/>
          <w:color w:val="000000" w:themeColor="text1"/>
        </w:rPr>
        <w:t>calculator</w:t>
      </w:r>
      <w:r w:rsidR="000E539B" w:rsidRPr="00571C9D">
        <w:rPr>
          <w:rFonts w:ascii="Arial" w:hAnsi="Arial" w:cs="Arial"/>
          <w:color w:val="000000" w:themeColor="text1"/>
        </w:rPr>
        <w:t xml:space="preserve">.  </w:t>
      </w:r>
      <w:r w:rsidR="009947AC" w:rsidRPr="00571C9D">
        <w:rPr>
          <w:rFonts w:ascii="Arial" w:hAnsi="Arial" w:cs="Arial"/>
          <w:color w:val="000000" w:themeColor="text1"/>
        </w:rPr>
        <w:t xml:space="preserve">Finally, it was distributed via Google Drive to all clinicians and/or </w:t>
      </w:r>
      <w:r w:rsidR="00400AEC" w:rsidRPr="00571C9D">
        <w:rPr>
          <w:rFonts w:ascii="Arial" w:hAnsi="Arial" w:cs="Arial"/>
          <w:color w:val="000000" w:themeColor="text1"/>
        </w:rPr>
        <w:t>managers who</w:t>
      </w:r>
      <w:r w:rsidR="009947AC" w:rsidRPr="00571C9D">
        <w:rPr>
          <w:rFonts w:ascii="Arial" w:hAnsi="Arial" w:cs="Arial"/>
          <w:color w:val="000000" w:themeColor="text1"/>
        </w:rPr>
        <w:t xml:space="preserve"> received a copy of the MSK-HQ calculator (N=53).  Responses were collected over a four-week-period.</w:t>
      </w:r>
      <w:r w:rsidR="004E7871" w:rsidRPr="00571C9D">
        <w:rPr>
          <w:rFonts w:ascii="Arial" w:hAnsi="Arial" w:cs="Arial"/>
          <w:color w:val="000000" w:themeColor="text1"/>
        </w:rPr>
        <w:t xml:space="preserve">  A personalised email explaining the purpose of the evaluation was</w:t>
      </w:r>
      <w:r w:rsidR="009947AC" w:rsidRPr="00571C9D">
        <w:rPr>
          <w:rFonts w:ascii="Arial" w:hAnsi="Arial" w:cs="Arial"/>
          <w:color w:val="000000" w:themeColor="text1"/>
        </w:rPr>
        <w:t xml:space="preserve"> sent to all </w:t>
      </w:r>
      <w:r w:rsidR="00B65EA4" w:rsidRPr="00571C9D">
        <w:rPr>
          <w:rFonts w:ascii="Arial" w:hAnsi="Arial" w:cs="Arial"/>
          <w:color w:val="000000" w:themeColor="text1"/>
        </w:rPr>
        <w:t xml:space="preserve">clinicians/managers </w:t>
      </w:r>
      <w:r w:rsidR="009947AC" w:rsidRPr="00571C9D">
        <w:rPr>
          <w:rFonts w:ascii="Arial" w:hAnsi="Arial" w:cs="Arial"/>
          <w:color w:val="000000" w:themeColor="text1"/>
        </w:rPr>
        <w:t xml:space="preserve">to enhance participation followed by </w:t>
      </w:r>
      <w:r w:rsidR="004E7871" w:rsidRPr="00571C9D">
        <w:rPr>
          <w:rFonts w:ascii="Arial" w:hAnsi="Arial" w:cs="Arial"/>
          <w:color w:val="000000" w:themeColor="text1"/>
        </w:rPr>
        <w:t>a personalised reminder</w:t>
      </w:r>
      <w:r w:rsidR="009947AC" w:rsidRPr="00571C9D">
        <w:rPr>
          <w:rFonts w:ascii="Arial" w:hAnsi="Arial" w:cs="Arial"/>
          <w:color w:val="000000" w:themeColor="text1"/>
        </w:rPr>
        <w:t xml:space="preserve"> two weeks after the </w:t>
      </w:r>
      <w:r w:rsidR="000432E5" w:rsidRPr="00571C9D">
        <w:rPr>
          <w:rFonts w:ascii="Arial" w:hAnsi="Arial" w:cs="Arial"/>
          <w:color w:val="000000" w:themeColor="text1"/>
        </w:rPr>
        <w:t xml:space="preserve">initial </w:t>
      </w:r>
      <w:r w:rsidR="009947AC" w:rsidRPr="00571C9D">
        <w:rPr>
          <w:rFonts w:ascii="Arial" w:hAnsi="Arial" w:cs="Arial"/>
          <w:color w:val="000000" w:themeColor="text1"/>
        </w:rPr>
        <w:t>distribution.</w:t>
      </w:r>
    </w:p>
    <w:p w:rsidR="002A1FB9" w:rsidRPr="00571C9D" w:rsidRDefault="002A1FB9" w:rsidP="00940CBA">
      <w:pPr>
        <w:spacing w:line="480" w:lineRule="auto"/>
        <w:jc w:val="both"/>
        <w:rPr>
          <w:rFonts w:ascii="Arial" w:hAnsi="Arial" w:cs="Arial"/>
          <w:b/>
          <w:color w:val="000000" w:themeColor="text1"/>
        </w:rPr>
      </w:pPr>
    </w:p>
    <w:p w:rsidR="00D1578D" w:rsidRPr="00571C9D" w:rsidRDefault="00D1578D" w:rsidP="00940CBA">
      <w:pPr>
        <w:spacing w:line="480" w:lineRule="auto"/>
        <w:jc w:val="both"/>
        <w:rPr>
          <w:rFonts w:ascii="Arial" w:hAnsi="Arial" w:cs="Arial"/>
          <w:color w:val="000000" w:themeColor="text1"/>
        </w:rPr>
      </w:pPr>
      <w:r w:rsidRPr="00571C9D">
        <w:rPr>
          <w:rFonts w:ascii="Arial" w:hAnsi="Arial" w:cs="Arial"/>
          <w:b/>
          <w:color w:val="000000" w:themeColor="text1"/>
        </w:rPr>
        <w:t>Results:</w:t>
      </w:r>
      <w:r w:rsidRPr="00571C9D">
        <w:rPr>
          <w:rFonts w:ascii="Arial" w:hAnsi="Arial" w:cs="Arial"/>
          <w:color w:val="000000" w:themeColor="text1"/>
        </w:rPr>
        <w:t xml:space="preserve"> </w:t>
      </w:r>
    </w:p>
    <w:p w:rsidR="00D740FA" w:rsidRPr="00571C9D" w:rsidRDefault="00D740FA" w:rsidP="006D25B9">
      <w:pPr>
        <w:pStyle w:val="ListParagraph"/>
        <w:numPr>
          <w:ilvl w:val="0"/>
          <w:numId w:val="2"/>
        </w:numPr>
        <w:spacing w:line="480" w:lineRule="auto"/>
        <w:jc w:val="both"/>
        <w:rPr>
          <w:rFonts w:ascii="Arial" w:hAnsi="Arial" w:cs="Arial"/>
          <w:color w:val="000000" w:themeColor="text1"/>
        </w:rPr>
      </w:pPr>
      <w:r w:rsidRPr="00571C9D">
        <w:rPr>
          <w:rFonts w:ascii="Arial" w:hAnsi="Arial" w:cs="Arial"/>
          <w:color w:val="000000" w:themeColor="text1"/>
        </w:rPr>
        <w:t xml:space="preserve"> </w:t>
      </w:r>
      <w:r w:rsidR="00666CAB" w:rsidRPr="00571C9D">
        <w:rPr>
          <w:rFonts w:ascii="Arial" w:hAnsi="Arial" w:cs="Arial"/>
          <w:color w:val="000000" w:themeColor="text1"/>
        </w:rPr>
        <w:t>Introduction of the MSK-</w:t>
      </w:r>
      <w:r w:rsidRPr="00571C9D">
        <w:rPr>
          <w:rFonts w:ascii="Arial" w:hAnsi="Arial" w:cs="Arial"/>
          <w:color w:val="000000" w:themeColor="text1"/>
        </w:rPr>
        <w:t>HQ and data analysis</w:t>
      </w:r>
    </w:p>
    <w:p w:rsidR="00D740FA" w:rsidRPr="00571C9D" w:rsidRDefault="00D740FA" w:rsidP="00940CBA">
      <w:pPr>
        <w:spacing w:line="480" w:lineRule="auto"/>
        <w:jc w:val="both"/>
        <w:rPr>
          <w:rFonts w:ascii="Arial" w:hAnsi="Arial" w:cs="Arial"/>
          <w:color w:val="000000" w:themeColor="text1"/>
        </w:rPr>
      </w:pPr>
      <w:r w:rsidRPr="00571C9D">
        <w:rPr>
          <w:rFonts w:ascii="Arial" w:hAnsi="Arial" w:cs="Arial"/>
          <w:color w:val="000000" w:themeColor="text1"/>
        </w:rPr>
        <w:t xml:space="preserve">Over 6,000 complete data sets (6,044 in February 2019) </w:t>
      </w:r>
      <w:r w:rsidR="001C11D8" w:rsidRPr="00571C9D">
        <w:rPr>
          <w:rFonts w:ascii="Arial" w:hAnsi="Arial" w:cs="Arial"/>
          <w:color w:val="000000" w:themeColor="text1"/>
        </w:rPr>
        <w:t>were</w:t>
      </w:r>
      <w:r w:rsidRPr="00571C9D">
        <w:rPr>
          <w:rFonts w:ascii="Arial" w:hAnsi="Arial" w:cs="Arial"/>
          <w:color w:val="000000" w:themeColor="text1"/>
        </w:rPr>
        <w:t xml:space="preserve"> recorded since the introduction of the MSK-HQ. Overall completion rates across MPFT </w:t>
      </w:r>
      <w:r w:rsidR="001C11D8" w:rsidRPr="00571C9D">
        <w:rPr>
          <w:rFonts w:ascii="Arial" w:hAnsi="Arial" w:cs="Arial"/>
          <w:color w:val="000000" w:themeColor="text1"/>
        </w:rPr>
        <w:t xml:space="preserve">were </w:t>
      </w:r>
      <w:r w:rsidRPr="00571C9D">
        <w:rPr>
          <w:rFonts w:ascii="Arial" w:hAnsi="Arial" w:cs="Arial"/>
          <w:color w:val="000000" w:themeColor="text1"/>
        </w:rPr>
        <w:t>10.2%; these var</w:t>
      </w:r>
      <w:r w:rsidR="001C11D8" w:rsidRPr="00571C9D">
        <w:rPr>
          <w:rFonts w:ascii="Arial" w:hAnsi="Arial" w:cs="Arial"/>
          <w:color w:val="000000" w:themeColor="text1"/>
        </w:rPr>
        <w:t>ied</w:t>
      </w:r>
      <w:r w:rsidRPr="00571C9D">
        <w:rPr>
          <w:rFonts w:ascii="Arial" w:hAnsi="Arial" w:cs="Arial"/>
          <w:color w:val="000000" w:themeColor="text1"/>
        </w:rPr>
        <w:t xml:space="preserve"> considerably between teams that </w:t>
      </w:r>
      <w:r w:rsidR="001C11D8" w:rsidRPr="00571C9D">
        <w:rPr>
          <w:rFonts w:ascii="Arial" w:hAnsi="Arial" w:cs="Arial"/>
          <w:color w:val="000000" w:themeColor="text1"/>
        </w:rPr>
        <w:t xml:space="preserve">had </w:t>
      </w:r>
      <w:r w:rsidRPr="00571C9D">
        <w:rPr>
          <w:rFonts w:ascii="Arial" w:hAnsi="Arial" w:cs="Arial"/>
          <w:color w:val="000000" w:themeColor="text1"/>
        </w:rPr>
        <w:t>administrative support (19.1%) and teams that d</w:t>
      </w:r>
      <w:r w:rsidR="001C11D8" w:rsidRPr="00571C9D">
        <w:rPr>
          <w:rFonts w:ascii="Arial" w:hAnsi="Arial" w:cs="Arial"/>
          <w:color w:val="000000" w:themeColor="text1"/>
        </w:rPr>
        <w:t>id</w:t>
      </w:r>
      <w:r w:rsidRPr="00571C9D">
        <w:rPr>
          <w:rFonts w:ascii="Arial" w:hAnsi="Arial" w:cs="Arial"/>
          <w:color w:val="000000" w:themeColor="text1"/>
        </w:rPr>
        <w:t xml:space="preserve"> not have administrative support (3.7%). Data </w:t>
      </w:r>
      <w:r w:rsidR="001C11D8" w:rsidRPr="00571C9D">
        <w:rPr>
          <w:rFonts w:ascii="Arial" w:hAnsi="Arial" w:cs="Arial"/>
          <w:color w:val="000000" w:themeColor="text1"/>
        </w:rPr>
        <w:t xml:space="preserve">was </w:t>
      </w:r>
      <w:r w:rsidRPr="00571C9D">
        <w:rPr>
          <w:rFonts w:ascii="Arial" w:hAnsi="Arial" w:cs="Arial"/>
          <w:color w:val="000000" w:themeColor="text1"/>
        </w:rPr>
        <w:t>consistent across all teams and demonstrate</w:t>
      </w:r>
      <w:r w:rsidR="001C11D8" w:rsidRPr="00571C9D">
        <w:rPr>
          <w:rFonts w:ascii="Arial" w:hAnsi="Arial" w:cs="Arial"/>
          <w:color w:val="000000" w:themeColor="text1"/>
        </w:rPr>
        <w:t>d</w:t>
      </w:r>
      <w:r w:rsidRPr="00571C9D">
        <w:rPr>
          <w:rFonts w:ascii="Arial" w:hAnsi="Arial" w:cs="Arial"/>
          <w:color w:val="000000" w:themeColor="text1"/>
        </w:rPr>
        <w:t xml:space="preserve"> that over 80% of patients achieve</w:t>
      </w:r>
      <w:r w:rsidR="001C11D8" w:rsidRPr="00571C9D">
        <w:rPr>
          <w:rFonts w:ascii="Arial" w:hAnsi="Arial" w:cs="Arial"/>
          <w:color w:val="000000" w:themeColor="text1"/>
        </w:rPr>
        <w:t>d</w:t>
      </w:r>
      <w:r w:rsidRPr="00571C9D">
        <w:rPr>
          <w:rFonts w:ascii="Arial" w:hAnsi="Arial" w:cs="Arial"/>
          <w:color w:val="000000" w:themeColor="text1"/>
        </w:rPr>
        <w:t xml:space="preserve"> a significant clinical improvement following physiotherapy treatment. Specifically, 5114 patients (84.6%) achieved an </w:t>
      </w:r>
      <w:r w:rsidRPr="00571C9D">
        <w:rPr>
          <w:rFonts w:ascii="Arial" w:hAnsi="Arial" w:cs="Arial"/>
          <w:color w:val="000000" w:themeColor="text1"/>
        </w:rPr>
        <w:lastRenderedPageBreak/>
        <w:t>improvement equal to or greater than the minimal clinically important difference (MCID) for the MSK-HQ; whereas 866 patients (14.3%) had no clinically significant change and 64 patients (1.1%) had a clinically important deterioration. Patients with duration of symptoms up to 2 weeks (N=109) had the greatest improvement in MSK-HQ score (19.4), followed by those who had duration of symptoms 2-6 weeks (N=648) with average positive improvement of 17.6 whereas patients with duration of symptoms of over 1 year (N=1909) had the smallest improvement (13.1). Patients who achieved a significant clinical improvement had an average initial MSK-HQ score of 30 or lower whereas patients who did not had an initial score of 34 or greater.</w:t>
      </w:r>
    </w:p>
    <w:p w:rsidR="00D740FA" w:rsidRPr="00571C9D" w:rsidRDefault="00D740FA" w:rsidP="00940CBA">
      <w:pPr>
        <w:spacing w:line="480" w:lineRule="auto"/>
        <w:jc w:val="both"/>
        <w:rPr>
          <w:rFonts w:ascii="Arial" w:hAnsi="Arial" w:cs="Arial"/>
          <w:color w:val="000000" w:themeColor="text1"/>
        </w:rPr>
      </w:pPr>
    </w:p>
    <w:p w:rsidR="00D740FA" w:rsidRPr="00571C9D" w:rsidRDefault="00D740FA" w:rsidP="006D25B9">
      <w:pPr>
        <w:pStyle w:val="ListParagraph"/>
        <w:numPr>
          <w:ilvl w:val="0"/>
          <w:numId w:val="2"/>
        </w:numPr>
        <w:spacing w:line="480" w:lineRule="auto"/>
        <w:jc w:val="both"/>
        <w:rPr>
          <w:rFonts w:ascii="Arial" w:hAnsi="Arial" w:cs="Arial"/>
          <w:color w:val="000000" w:themeColor="text1"/>
        </w:rPr>
      </w:pPr>
      <w:r w:rsidRPr="00571C9D">
        <w:rPr>
          <w:rFonts w:ascii="Arial" w:hAnsi="Arial" w:cs="Arial"/>
          <w:color w:val="000000" w:themeColor="text1"/>
        </w:rPr>
        <w:t xml:space="preserve">  Evaluation of the MSK HQ calculator</w:t>
      </w:r>
    </w:p>
    <w:p w:rsidR="00597C50" w:rsidRPr="00571C9D" w:rsidRDefault="00762A92" w:rsidP="00940CBA">
      <w:pPr>
        <w:spacing w:line="480" w:lineRule="auto"/>
        <w:jc w:val="both"/>
        <w:rPr>
          <w:rFonts w:ascii="Arial" w:hAnsi="Arial" w:cs="Arial"/>
          <w:color w:val="000000" w:themeColor="text1"/>
        </w:rPr>
      </w:pPr>
      <w:r w:rsidRPr="00571C9D">
        <w:rPr>
          <w:rFonts w:ascii="Arial" w:hAnsi="Arial" w:cs="Arial"/>
          <w:color w:val="000000" w:themeColor="text1"/>
        </w:rPr>
        <w:t xml:space="preserve">32 questionnaires were </w:t>
      </w:r>
      <w:r w:rsidR="00447D9E" w:rsidRPr="00571C9D">
        <w:rPr>
          <w:rFonts w:ascii="Arial" w:hAnsi="Arial" w:cs="Arial"/>
          <w:color w:val="000000" w:themeColor="text1"/>
        </w:rPr>
        <w:t xml:space="preserve">returned </w:t>
      </w:r>
      <w:r w:rsidRPr="00571C9D">
        <w:rPr>
          <w:rFonts w:ascii="Arial" w:hAnsi="Arial" w:cs="Arial"/>
          <w:color w:val="000000" w:themeColor="text1"/>
        </w:rPr>
        <w:t xml:space="preserve">(60.4%).   </w:t>
      </w:r>
      <w:r w:rsidR="000E539B" w:rsidRPr="00571C9D">
        <w:rPr>
          <w:rFonts w:ascii="Arial" w:hAnsi="Arial" w:cs="Arial"/>
          <w:color w:val="000000" w:themeColor="text1"/>
        </w:rPr>
        <w:t>31</w:t>
      </w:r>
      <w:r w:rsidR="00467584" w:rsidRPr="00571C9D">
        <w:rPr>
          <w:rFonts w:ascii="Arial" w:hAnsi="Arial" w:cs="Arial"/>
          <w:color w:val="000000" w:themeColor="text1"/>
        </w:rPr>
        <w:t xml:space="preserve"> respondents w</w:t>
      </w:r>
      <w:r w:rsidR="000E539B" w:rsidRPr="00571C9D">
        <w:rPr>
          <w:rFonts w:ascii="Arial" w:hAnsi="Arial" w:cs="Arial"/>
          <w:color w:val="000000" w:themeColor="text1"/>
        </w:rPr>
        <w:t>ere practicing physiotherapists</w:t>
      </w:r>
      <w:r w:rsidR="00467584" w:rsidRPr="00571C9D">
        <w:rPr>
          <w:rFonts w:ascii="Arial" w:hAnsi="Arial" w:cs="Arial"/>
          <w:color w:val="000000" w:themeColor="text1"/>
        </w:rPr>
        <w:t>,</w:t>
      </w:r>
      <w:r w:rsidR="00597C50" w:rsidRPr="00571C9D">
        <w:rPr>
          <w:rFonts w:ascii="Arial" w:hAnsi="Arial" w:cs="Arial"/>
          <w:color w:val="000000" w:themeColor="text1"/>
        </w:rPr>
        <w:t xml:space="preserve"> 81% </w:t>
      </w:r>
      <w:r w:rsidR="00467584" w:rsidRPr="00571C9D">
        <w:rPr>
          <w:rFonts w:ascii="Arial" w:hAnsi="Arial" w:cs="Arial"/>
          <w:color w:val="000000" w:themeColor="text1"/>
        </w:rPr>
        <w:t>of them (</w:t>
      </w:r>
      <w:r w:rsidR="006D25B9" w:rsidRPr="00571C9D">
        <w:rPr>
          <w:rFonts w:ascii="Arial" w:hAnsi="Arial" w:cs="Arial"/>
          <w:color w:val="000000" w:themeColor="text1"/>
        </w:rPr>
        <w:t>n=</w:t>
      </w:r>
      <w:r w:rsidR="00467584" w:rsidRPr="00571C9D">
        <w:rPr>
          <w:rFonts w:ascii="Arial" w:hAnsi="Arial" w:cs="Arial"/>
          <w:color w:val="000000" w:themeColor="text1"/>
        </w:rPr>
        <w:t>25)</w:t>
      </w:r>
      <w:r w:rsidR="00597C50" w:rsidRPr="00571C9D">
        <w:rPr>
          <w:rFonts w:ascii="Arial" w:hAnsi="Arial" w:cs="Arial"/>
          <w:color w:val="000000" w:themeColor="text1"/>
        </w:rPr>
        <w:t xml:space="preserve"> for over 10 years, 16% for over 5 and 3% less than 5</w:t>
      </w:r>
      <w:r w:rsidR="00022AF7" w:rsidRPr="00571C9D">
        <w:rPr>
          <w:rFonts w:ascii="Arial" w:hAnsi="Arial" w:cs="Arial"/>
          <w:color w:val="000000" w:themeColor="text1"/>
        </w:rPr>
        <w:t xml:space="preserve"> years</w:t>
      </w:r>
      <w:r w:rsidR="00597C50" w:rsidRPr="00571C9D">
        <w:rPr>
          <w:rFonts w:ascii="Arial" w:hAnsi="Arial" w:cs="Arial"/>
          <w:color w:val="000000" w:themeColor="text1"/>
        </w:rPr>
        <w:t xml:space="preserve">.  </w:t>
      </w:r>
      <w:r w:rsidR="007B5D59" w:rsidRPr="00571C9D">
        <w:rPr>
          <w:rFonts w:ascii="Arial" w:hAnsi="Arial" w:cs="Arial"/>
          <w:color w:val="000000" w:themeColor="text1"/>
        </w:rPr>
        <w:t>As can be seen in Table 1 around one half of respondents reported masters level qualification and nearly a half (46.9%) described their current post as clinical. The majority (68.9%) of respondents worked in primary care settings.</w:t>
      </w:r>
      <w:r w:rsidR="00597C50" w:rsidRPr="00571C9D">
        <w:rPr>
          <w:rFonts w:ascii="Arial" w:hAnsi="Arial" w:cs="Arial"/>
          <w:color w:val="000000" w:themeColor="text1"/>
        </w:rPr>
        <w:t xml:space="preserve"> </w:t>
      </w:r>
      <w:r w:rsidR="008A39B3" w:rsidRPr="00571C9D">
        <w:rPr>
          <w:rFonts w:ascii="Arial" w:hAnsi="Arial" w:cs="Arial"/>
          <w:color w:val="000000" w:themeColor="text1"/>
        </w:rPr>
        <w:t xml:space="preserve">The respondents’ characteristics are presented in table 1.  </w:t>
      </w:r>
      <w:r w:rsidR="00CC720D" w:rsidRPr="00571C9D">
        <w:rPr>
          <w:rFonts w:ascii="Arial" w:hAnsi="Arial" w:cs="Arial"/>
          <w:color w:val="000000" w:themeColor="text1"/>
        </w:rPr>
        <w:t xml:space="preserve">When they </w:t>
      </w:r>
      <w:r w:rsidR="00022AF7" w:rsidRPr="00571C9D">
        <w:rPr>
          <w:rFonts w:ascii="Arial" w:hAnsi="Arial" w:cs="Arial"/>
          <w:color w:val="000000" w:themeColor="text1"/>
        </w:rPr>
        <w:t xml:space="preserve">were </w:t>
      </w:r>
      <w:r w:rsidR="00CC720D" w:rsidRPr="00571C9D">
        <w:rPr>
          <w:rFonts w:ascii="Arial" w:hAnsi="Arial" w:cs="Arial"/>
          <w:color w:val="000000" w:themeColor="text1"/>
        </w:rPr>
        <w:t>asked whether th</w:t>
      </w:r>
      <w:r w:rsidR="00514865" w:rsidRPr="00571C9D">
        <w:rPr>
          <w:rFonts w:ascii="Arial" w:hAnsi="Arial" w:cs="Arial"/>
          <w:color w:val="000000" w:themeColor="text1"/>
        </w:rPr>
        <w:t>ey used the MSK-HQ calculator 59</w:t>
      </w:r>
      <w:r w:rsidRPr="00571C9D">
        <w:rPr>
          <w:rFonts w:ascii="Arial" w:hAnsi="Arial" w:cs="Arial"/>
          <w:color w:val="000000" w:themeColor="text1"/>
        </w:rPr>
        <w:t>.4</w:t>
      </w:r>
      <w:r w:rsidR="00514865" w:rsidRPr="00571C9D">
        <w:rPr>
          <w:rFonts w:ascii="Arial" w:hAnsi="Arial" w:cs="Arial"/>
          <w:color w:val="000000" w:themeColor="text1"/>
        </w:rPr>
        <w:t>% (</w:t>
      </w:r>
      <w:r w:rsidR="002A66D4" w:rsidRPr="00571C9D">
        <w:rPr>
          <w:rFonts w:ascii="Arial" w:hAnsi="Arial" w:cs="Arial"/>
          <w:color w:val="000000" w:themeColor="text1"/>
        </w:rPr>
        <w:t>n</w:t>
      </w:r>
      <w:r w:rsidR="00514865" w:rsidRPr="00571C9D">
        <w:rPr>
          <w:rFonts w:ascii="Arial" w:hAnsi="Arial" w:cs="Arial"/>
          <w:color w:val="000000" w:themeColor="text1"/>
        </w:rPr>
        <w:t>=19) replied that they used it.</w:t>
      </w:r>
      <w:r w:rsidR="00104253" w:rsidRPr="00571C9D">
        <w:rPr>
          <w:rFonts w:ascii="Arial" w:hAnsi="Arial" w:cs="Arial"/>
          <w:color w:val="000000" w:themeColor="text1"/>
        </w:rPr>
        <w:t xml:space="preserve"> </w:t>
      </w:r>
      <w:r w:rsidR="00022AF7" w:rsidRPr="00571C9D">
        <w:rPr>
          <w:rFonts w:ascii="Arial" w:hAnsi="Arial" w:cs="Arial"/>
          <w:color w:val="000000" w:themeColor="text1"/>
        </w:rPr>
        <w:t xml:space="preserve">When the respondents who did not use the </w:t>
      </w:r>
      <w:r w:rsidR="004E554E" w:rsidRPr="00571C9D">
        <w:rPr>
          <w:rFonts w:ascii="Arial" w:hAnsi="Arial" w:cs="Arial"/>
          <w:color w:val="000000" w:themeColor="text1"/>
        </w:rPr>
        <w:t>calculator</w:t>
      </w:r>
      <w:r w:rsidR="00022AF7" w:rsidRPr="00571C9D">
        <w:rPr>
          <w:rFonts w:ascii="Arial" w:hAnsi="Arial" w:cs="Arial"/>
          <w:color w:val="000000" w:themeColor="text1"/>
        </w:rPr>
        <w:t xml:space="preserve"> (</w:t>
      </w:r>
      <w:r w:rsidR="002A66D4" w:rsidRPr="00571C9D">
        <w:rPr>
          <w:rFonts w:ascii="Arial" w:hAnsi="Arial" w:cs="Arial"/>
          <w:color w:val="000000" w:themeColor="text1"/>
        </w:rPr>
        <w:t>n</w:t>
      </w:r>
      <w:r w:rsidR="00022AF7" w:rsidRPr="00571C9D">
        <w:rPr>
          <w:rFonts w:ascii="Arial" w:hAnsi="Arial" w:cs="Arial"/>
          <w:color w:val="000000" w:themeColor="text1"/>
        </w:rPr>
        <w:t>=13)</w:t>
      </w:r>
      <w:r w:rsidR="00107356" w:rsidRPr="00571C9D">
        <w:rPr>
          <w:rFonts w:ascii="Arial" w:hAnsi="Arial" w:cs="Arial"/>
          <w:color w:val="000000" w:themeColor="text1"/>
        </w:rPr>
        <w:t xml:space="preserve"> were asked to provide any other feedback of why they did not use the original calculator</w:t>
      </w:r>
      <w:r w:rsidR="00BB3E31" w:rsidRPr="00571C9D">
        <w:rPr>
          <w:rFonts w:ascii="Arial" w:hAnsi="Arial" w:cs="Arial"/>
          <w:color w:val="000000" w:themeColor="text1"/>
        </w:rPr>
        <w:t>, 46.1% (</w:t>
      </w:r>
      <w:r w:rsidR="002A66D4" w:rsidRPr="00571C9D">
        <w:rPr>
          <w:rFonts w:ascii="Arial" w:hAnsi="Arial" w:cs="Arial"/>
          <w:color w:val="000000" w:themeColor="text1"/>
        </w:rPr>
        <w:t>n</w:t>
      </w:r>
      <w:r w:rsidR="00BB3E31" w:rsidRPr="00571C9D">
        <w:rPr>
          <w:rFonts w:ascii="Arial" w:hAnsi="Arial" w:cs="Arial"/>
          <w:color w:val="000000" w:themeColor="text1"/>
        </w:rPr>
        <w:t>=6)</w:t>
      </w:r>
      <w:r w:rsidR="000A2029" w:rsidRPr="00571C9D">
        <w:rPr>
          <w:rFonts w:ascii="Arial" w:hAnsi="Arial" w:cs="Arial"/>
          <w:color w:val="000000" w:themeColor="text1"/>
        </w:rPr>
        <w:t xml:space="preserve"> </w:t>
      </w:r>
      <w:r w:rsidRPr="00571C9D">
        <w:rPr>
          <w:rFonts w:ascii="Arial" w:hAnsi="Arial" w:cs="Arial"/>
          <w:color w:val="000000" w:themeColor="text1"/>
        </w:rPr>
        <w:t>reported that they</w:t>
      </w:r>
      <w:r w:rsidR="000A2029" w:rsidRPr="00571C9D">
        <w:rPr>
          <w:rFonts w:ascii="Arial" w:hAnsi="Arial" w:cs="Arial"/>
          <w:color w:val="000000" w:themeColor="text1"/>
        </w:rPr>
        <w:t xml:space="preserve"> devised </w:t>
      </w:r>
      <w:r w:rsidR="00BB3E31" w:rsidRPr="00571C9D">
        <w:rPr>
          <w:rFonts w:ascii="Arial" w:hAnsi="Arial" w:cs="Arial"/>
          <w:color w:val="000000" w:themeColor="text1"/>
        </w:rPr>
        <w:t xml:space="preserve">their own </w:t>
      </w:r>
      <w:r w:rsidR="004E554E" w:rsidRPr="00571C9D">
        <w:rPr>
          <w:rFonts w:ascii="Arial" w:hAnsi="Arial" w:cs="Arial"/>
          <w:color w:val="000000" w:themeColor="text1"/>
        </w:rPr>
        <w:t>calculator</w:t>
      </w:r>
      <w:r w:rsidR="00BB3E31" w:rsidRPr="00571C9D">
        <w:rPr>
          <w:rFonts w:ascii="Arial" w:hAnsi="Arial" w:cs="Arial"/>
          <w:color w:val="000000" w:themeColor="text1"/>
        </w:rPr>
        <w:t xml:space="preserve"> </w:t>
      </w:r>
      <w:r w:rsidR="000A2029" w:rsidRPr="00571C9D">
        <w:rPr>
          <w:rFonts w:ascii="Arial" w:hAnsi="Arial" w:cs="Arial"/>
          <w:color w:val="000000" w:themeColor="text1"/>
        </w:rPr>
        <w:t xml:space="preserve">and </w:t>
      </w:r>
      <w:r w:rsidR="00BB3E31" w:rsidRPr="00571C9D">
        <w:rPr>
          <w:rFonts w:ascii="Arial" w:hAnsi="Arial" w:cs="Arial"/>
          <w:color w:val="000000" w:themeColor="text1"/>
        </w:rPr>
        <w:t>38.5 % (</w:t>
      </w:r>
      <w:r w:rsidR="002A66D4" w:rsidRPr="00571C9D">
        <w:rPr>
          <w:rFonts w:ascii="Arial" w:hAnsi="Arial" w:cs="Arial"/>
          <w:color w:val="000000" w:themeColor="text1"/>
        </w:rPr>
        <w:t>n</w:t>
      </w:r>
      <w:r w:rsidR="00BB3E31" w:rsidRPr="00571C9D">
        <w:rPr>
          <w:rFonts w:ascii="Arial" w:hAnsi="Arial" w:cs="Arial"/>
          <w:color w:val="000000" w:themeColor="text1"/>
        </w:rPr>
        <w:t>=</w:t>
      </w:r>
      <w:r w:rsidR="000A2029" w:rsidRPr="00571C9D">
        <w:rPr>
          <w:rFonts w:ascii="Arial" w:hAnsi="Arial" w:cs="Arial"/>
          <w:color w:val="000000" w:themeColor="text1"/>
        </w:rPr>
        <w:t>5</w:t>
      </w:r>
      <w:r w:rsidR="00BB3E31" w:rsidRPr="00571C9D">
        <w:rPr>
          <w:rFonts w:ascii="Arial" w:hAnsi="Arial" w:cs="Arial"/>
          <w:color w:val="000000" w:themeColor="text1"/>
        </w:rPr>
        <w:t>)</w:t>
      </w:r>
      <w:r w:rsidRPr="00571C9D">
        <w:rPr>
          <w:rFonts w:ascii="Arial" w:hAnsi="Arial" w:cs="Arial"/>
          <w:color w:val="000000" w:themeColor="text1"/>
        </w:rPr>
        <w:t xml:space="preserve"> </w:t>
      </w:r>
      <w:r w:rsidR="000A2029" w:rsidRPr="00571C9D">
        <w:rPr>
          <w:rFonts w:ascii="Arial" w:hAnsi="Arial" w:cs="Arial"/>
          <w:color w:val="000000" w:themeColor="text1"/>
        </w:rPr>
        <w:t>that they had not implemented the MSK-HQ.</w:t>
      </w:r>
      <w:r w:rsidR="00107356" w:rsidRPr="00571C9D">
        <w:rPr>
          <w:rFonts w:ascii="Arial" w:hAnsi="Arial" w:cs="Arial"/>
          <w:color w:val="000000" w:themeColor="text1"/>
        </w:rPr>
        <w:t xml:space="preserve">  </w:t>
      </w:r>
    </w:p>
    <w:p w:rsidR="00814CB6" w:rsidRDefault="0086234E" w:rsidP="00A7022E">
      <w:pPr>
        <w:spacing w:line="480" w:lineRule="auto"/>
        <w:jc w:val="both"/>
        <w:rPr>
          <w:rFonts w:ascii="Arial" w:hAnsi="Arial" w:cs="Arial"/>
          <w:color w:val="000000" w:themeColor="text1"/>
        </w:rPr>
      </w:pPr>
      <w:r w:rsidRPr="00571C9D">
        <w:rPr>
          <w:rFonts w:ascii="Arial" w:hAnsi="Arial" w:cs="Arial"/>
          <w:color w:val="000000" w:themeColor="text1"/>
        </w:rPr>
        <w:t>78.9</w:t>
      </w:r>
      <w:r w:rsidR="00D1578D" w:rsidRPr="00571C9D">
        <w:rPr>
          <w:rFonts w:ascii="Arial" w:hAnsi="Arial" w:cs="Arial"/>
          <w:color w:val="000000" w:themeColor="text1"/>
        </w:rPr>
        <w:t xml:space="preserve">% </w:t>
      </w:r>
      <w:r w:rsidR="000E539B" w:rsidRPr="00571C9D">
        <w:rPr>
          <w:rFonts w:ascii="Arial" w:hAnsi="Arial" w:cs="Arial"/>
          <w:color w:val="000000" w:themeColor="text1"/>
        </w:rPr>
        <w:t>(</w:t>
      </w:r>
      <w:r w:rsidR="002A66D4" w:rsidRPr="00571C9D">
        <w:rPr>
          <w:rFonts w:ascii="Arial" w:hAnsi="Arial" w:cs="Arial"/>
          <w:color w:val="000000" w:themeColor="text1"/>
        </w:rPr>
        <w:t>n</w:t>
      </w:r>
      <w:r w:rsidR="000E539B" w:rsidRPr="00571C9D">
        <w:rPr>
          <w:rFonts w:ascii="Arial" w:hAnsi="Arial" w:cs="Arial"/>
          <w:color w:val="000000" w:themeColor="text1"/>
        </w:rPr>
        <w:t xml:space="preserve">=15) </w:t>
      </w:r>
      <w:r w:rsidR="00160CB6" w:rsidRPr="00571C9D">
        <w:rPr>
          <w:rFonts w:ascii="Arial" w:hAnsi="Arial" w:cs="Arial"/>
          <w:color w:val="000000" w:themeColor="text1"/>
        </w:rPr>
        <w:t xml:space="preserve">of the 19 respondents who used the MSK-HQ calculator </w:t>
      </w:r>
      <w:r w:rsidR="000E539B" w:rsidRPr="00571C9D">
        <w:rPr>
          <w:rFonts w:ascii="Arial" w:hAnsi="Arial" w:cs="Arial"/>
          <w:color w:val="000000" w:themeColor="text1"/>
        </w:rPr>
        <w:t xml:space="preserve">in their clinical </w:t>
      </w:r>
      <w:r w:rsidR="00400AEC" w:rsidRPr="00571C9D">
        <w:rPr>
          <w:rFonts w:ascii="Arial" w:hAnsi="Arial" w:cs="Arial"/>
          <w:color w:val="000000" w:themeColor="text1"/>
        </w:rPr>
        <w:t>setting reported</w:t>
      </w:r>
      <w:r w:rsidR="00D1578D" w:rsidRPr="00571C9D">
        <w:rPr>
          <w:rFonts w:ascii="Arial" w:hAnsi="Arial" w:cs="Arial"/>
          <w:color w:val="000000" w:themeColor="text1"/>
        </w:rPr>
        <w:t xml:space="preserve"> that the </w:t>
      </w:r>
      <w:r w:rsidR="004E554E" w:rsidRPr="00571C9D">
        <w:rPr>
          <w:rFonts w:ascii="Arial" w:hAnsi="Arial" w:cs="Arial"/>
          <w:color w:val="000000" w:themeColor="text1"/>
        </w:rPr>
        <w:t>calculator</w:t>
      </w:r>
      <w:r w:rsidR="00D1578D" w:rsidRPr="00571C9D">
        <w:rPr>
          <w:rFonts w:ascii="Arial" w:hAnsi="Arial" w:cs="Arial"/>
          <w:color w:val="000000" w:themeColor="text1"/>
        </w:rPr>
        <w:t xml:space="preserve"> was </w:t>
      </w:r>
      <w:r w:rsidRPr="00571C9D">
        <w:rPr>
          <w:rFonts w:ascii="Arial" w:hAnsi="Arial" w:cs="Arial"/>
          <w:color w:val="000000" w:themeColor="text1"/>
        </w:rPr>
        <w:t xml:space="preserve">either very simple or simple to use.  </w:t>
      </w:r>
      <w:r w:rsidR="00160CB6" w:rsidRPr="00571C9D">
        <w:rPr>
          <w:rFonts w:ascii="Arial" w:hAnsi="Arial" w:cs="Arial"/>
          <w:color w:val="000000" w:themeColor="text1"/>
        </w:rPr>
        <w:t xml:space="preserve">Furthermore, </w:t>
      </w:r>
      <w:r w:rsidRPr="00571C9D">
        <w:rPr>
          <w:rFonts w:ascii="Arial" w:hAnsi="Arial" w:cs="Arial"/>
          <w:color w:val="000000" w:themeColor="text1"/>
        </w:rPr>
        <w:t>78.9</w:t>
      </w:r>
      <w:r w:rsidR="00D1578D" w:rsidRPr="00571C9D">
        <w:rPr>
          <w:rFonts w:ascii="Arial" w:hAnsi="Arial" w:cs="Arial"/>
          <w:color w:val="000000" w:themeColor="text1"/>
        </w:rPr>
        <w:t xml:space="preserve">% </w:t>
      </w:r>
      <w:r w:rsidR="00160CB6" w:rsidRPr="00571C9D">
        <w:rPr>
          <w:rFonts w:ascii="Arial" w:hAnsi="Arial" w:cs="Arial"/>
          <w:color w:val="000000" w:themeColor="text1"/>
        </w:rPr>
        <w:t>(</w:t>
      </w:r>
      <w:r w:rsidR="002A66D4" w:rsidRPr="00571C9D">
        <w:rPr>
          <w:rFonts w:ascii="Arial" w:hAnsi="Arial" w:cs="Arial"/>
          <w:color w:val="000000" w:themeColor="text1"/>
        </w:rPr>
        <w:t>n</w:t>
      </w:r>
      <w:r w:rsidR="00160CB6" w:rsidRPr="00571C9D">
        <w:rPr>
          <w:rFonts w:ascii="Arial" w:hAnsi="Arial" w:cs="Arial"/>
          <w:color w:val="000000" w:themeColor="text1"/>
        </w:rPr>
        <w:t>=15)</w:t>
      </w:r>
      <w:r w:rsidR="00D1578D" w:rsidRPr="00571C9D">
        <w:rPr>
          <w:rFonts w:ascii="Arial" w:hAnsi="Arial" w:cs="Arial"/>
          <w:color w:val="000000" w:themeColor="text1"/>
        </w:rPr>
        <w:t xml:space="preserve"> reported that the </w:t>
      </w:r>
      <w:r w:rsidR="004E554E" w:rsidRPr="00571C9D">
        <w:rPr>
          <w:rFonts w:ascii="Arial" w:hAnsi="Arial" w:cs="Arial"/>
          <w:color w:val="000000" w:themeColor="text1"/>
        </w:rPr>
        <w:t>calculator</w:t>
      </w:r>
      <w:r w:rsidR="00D1578D" w:rsidRPr="00571C9D">
        <w:rPr>
          <w:rFonts w:ascii="Arial" w:hAnsi="Arial" w:cs="Arial"/>
          <w:color w:val="000000" w:themeColor="text1"/>
        </w:rPr>
        <w:t xml:space="preserve"> helped them implement the MSK</w:t>
      </w:r>
      <w:r w:rsidR="00A76CB4" w:rsidRPr="00571C9D">
        <w:rPr>
          <w:rFonts w:ascii="Arial" w:hAnsi="Arial" w:cs="Arial"/>
          <w:color w:val="000000" w:themeColor="text1"/>
        </w:rPr>
        <w:t>-</w:t>
      </w:r>
      <w:r w:rsidR="00D1578D" w:rsidRPr="00571C9D">
        <w:rPr>
          <w:rFonts w:ascii="Arial" w:hAnsi="Arial" w:cs="Arial"/>
          <w:color w:val="000000" w:themeColor="text1"/>
        </w:rPr>
        <w:t>HQ outcome</w:t>
      </w:r>
    </w:p>
    <w:p w:rsidR="00283C54" w:rsidRDefault="001A168C" w:rsidP="00A7022E">
      <w:pPr>
        <w:spacing w:line="480" w:lineRule="auto"/>
        <w:jc w:val="both"/>
        <w:rPr>
          <w:rFonts w:ascii="Arial" w:hAnsi="Arial" w:cs="Arial"/>
          <w:color w:val="000000" w:themeColor="text1"/>
        </w:rPr>
      </w:pPr>
      <w:r w:rsidRPr="001A168C">
        <w:rPr>
          <w:rFonts w:ascii="Arial" w:hAnsi="Arial" w:cs="Arial"/>
          <w:color w:val="000000" w:themeColor="text1"/>
        </w:rPr>
        <w:lastRenderedPageBreak/>
        <w:t>measure (figure 1).  When they were asked to describe one way the MSK</w:t>
      </w:r>
      <w:r w:rsidR="009E054C">
        <w:rPr>
          <w:rFonts w:ascii="Arial" w:hAnsi="Arial" w:cs="Arial"/>
          <w:color w:val="000000" w:themeColor="text1"/>
        </w:rPr>
        <w:t>-</w:t>
      </w:r>
      <w:r w:rsidRPr="001A168C">
        <w:rPr>
          <w:rFonts w:ascii="Arial" w:hAnsi="Arial" w:cs="Arial"/>
          <w:color w:val="000000" w:themeColor="text1"/>
        </w:rPr>
        <w:t>HQ calculator had impacted on their clinical practice, comments included that the calculator simplified data collection, analysis and reporting (n=7) and that it facilitated staff engagement (n=5).  68.7% of all respondents (n=22) reported that they would find it either useful or very useful to have a similar calculator when implementing other outcome measures (figure 2).  Finally, when asked how they would improve the MSK-HQ calculator, 9 respondents indicated that they would prefer a calculator compatible with the patient electronic record systems, 2 that they would simplify it and 4 that they would prefer more support.</w:t>
      </w:r>
    </w:p>
    <w:p w:rsidR="001A168C" w:rsidRPr="00571C9D" w:rsidRDefault="001A168C" w:rsidP="00A7022E">
      <w:pPr>
        <w:spacing w:line="480" w:lineRule="auto"/>
        <w:jc w:val="both"/>
        <w:rPr>
          <w:rFonts w:ascii="Arial" w:hAnsi="Arial" w:cs="Arial"/>
          <w:color w:val="000000" w:themeColor="text1"/>
        </w:rPr>
      </w:pPr>
    </w:p>
    <w:p w:rsidR="00D1578D" w:rsidRPr="00571C9D" w:rsidRDefault="00C73739" w:rsidP="00940CBA">
      <w:pPr>
        <w:spacing w:line="480" w:lineRule="auto"/>
        <w:jc w:val="both"/>
        <w:rPr>
          <w:rFonts w:ascii="Arial" w:hAnsi="Arial" w:cs="Arial"/>
          <w:b/>
          <w:color w:val="000000" w:themeColor="text1"/>
        </w:rPr>
      </w:pPr>
      <w:r w:rsidRPr="00571C9D">
        <w:rPr>
          <w:rFonts w:ascii="Arial" w:hAnsi="Arial" w:cs="Arial"/>
          <w:b/>
          <w:color w:val="000000" w:themeColor="text1"/>
        </w:rPr>
        <w:t>Discussion:</w:t>
      </w:r>
    </w:p>
    <w:p w:rsidR="00814CB6" w:rsidRPr="00571C9D" w:rsidRDefault="008731FB" w:rsidP="00940CBA">
      <w:pPr>
        <w:spacing w:line="480" w:lineRule="auto"/>
        <w:jc w:val="both"/>
        <w:rPr>
          <w:rFonts w:ascii="Arial" w:hAnsi="Arial" w:cs="Arial"/>
          <w:color w:val="000000" w:themeColor="text1"/>
        </w:rPr>
      </w:pPr>
      <w:r w:rsidRPr="00571C9D">
        <w:rPr>
          <w:rFonts w:ascii="Arial" w:hAnsi="Arial" w:cs="Arial"/>
          <w:color w:val="000000" w:themeColor="text1"/>
        </w:rPr>
        <w:t xml:space="preserve">59.4% of all respondents (n=19) replied that they used the calculator.  </w:t>
      </w:r>
      <w:r w:rsidR="00C947E1" w:rsidRPr="00571C9D">
        <w:rPr>
          <w:rFonts w:ascii="Arial" w:hAnsi="Arial" w:cs="Arial"/>
          <w:color w:val="000000" w:themeColor="text1"/>
        </w:rPr>
        <w:t>T</w:t>
      </w:r>
      <w:r w:rsidR="00D67128" w:rsidRPr="00571C9D">
        <w:rPr>
          <w:rFonts w:ascii="Arial" w:hAnsi="Arial" w:cs="Arial"/>
          <w:color w:val="000000" w:themeColor="text1"/>
        </w:rPr>
        <w:t xml:space="preserve">he outcome measure calculator </w:t>
      </w:r>
      <w:r w:rsidR="00187711" w:rsidRPr="00571C9D">
        <w:rPr>
          <w:rFonts w:ascii="Arial" w:hAnsi="Arial" w:cs="Arial"/>
          <w:color w:val="000000" w:themeColor="text1"/>
        </w:rPr>
        <w:t xml:space="preserve">simplifies data collection, analysis and interpretation. This practical guidance is important when implementing a PROM in clinical practice.  </w:t>
      </w:r>
      <w:r w:rsidR="00A37470" w:rsidRPr="00571C9D">
        <w:rPr>
          <w:rFonts w:ascii="Arial" w:hAnsi="Arial" w:cs="Arial"/>
          <w:color w:val="000000" w:themeColor="text1"/>
        </w:rPr>
        <w:t>T</w:t>
      </w:r>
      <w:r w:rsidR="005550A9" w:rsidRPr="00571C9D">
        <w:rPr>
          <w:rFonts w:ascii="Arial" w:hAnsi="Arial" w:cs="Arial"/>
          <w:color w:val="000000" w:themeColor="text1"/>
        </w:rPr>
        <w:t xml:space="preserve">he </w:t>
      </w:r>
      <w:r w:rsidR="00A76CB4" w:rsidRPr="00571C9D">
        <w:rPr>
          <w:rFonts w:ascii="Arial" w:hAnsi="Arial" w:cs="Arial"/>
          <w:color w:val="000000" w:themeColor="text1"/>
        </w:rPr>
        <w:t xml:space="preserve">evaluation </w:t>
      </w:r>
      <w:r w:rsidR="005550A9" w:rsidRPr="00571C9D">
        <w:rPr>
          <w:rFonts w:ascii="Arial" w:hAnsi="Arial" w:cs="Arial"/>
          <w:color w:val="000000" w:themeColor="text1"/>
        </w:rPr>
        <w:t xml:space="preserve">results </w:t>
      </w:r>
      <w:r w:rsidR="00A76CB4" w:rsidRPr="00571C9D">
        <w:rPr>
          <w:rFonts w:ascii="Arial" w:hAnsi="Arial" w:cs="Arial"/>
          <w:color w:val="000000" w:themeColor="text1"/>
        </w:rPr>
        <w:t xml:space="preserve">(phase 2) </w:t>
      </w:r>
      <w:r w:rsidR="00CB44DC" w:rsidRPr="00571C9D">
        <w:rPr>
          <w:rFonts w:ascii="Arial" w:hAnsi="Arial" w:cs="Arial"/>
          <w:color w:val="000000" w:themeColor="text1"/>
        </w:rPr>
        <w:t>highlight that clinicians and managers consider practical guidance in relation to data collection, analysis and interpretation</w:t>
      </w:r>
      <w:r w:rsidR="00A37470" w:rsidRPr="00571C9D">
        <w:rPr>
          <w:rFonts w:ascii="Arial" w:hAnsi="Arial" w:cs="Arial"/>
          <w:color w:val="000000" w:themeColor="text1"/>
        </w:rPr>
        <w:t>,</w:t>
      </w:r>
      <w:r w:rsidR="00CB44DC" w:rsidRPr="00571C9D">
        <w:rPr>
          <w:rFonts w:ascii="Arial" w:hAnsi="Arial" w:cs="Arial"/>
          <w:color w:val="000000" w:themeColor="text1"/>
        </w:rPr>
        <w:t xml:space="preserve"> enhanced by the use of a </w:t>
      </w:r>
      <w:r w:rsidR="004E554E" w:rsidRPr="00571C9D">
        <w:rPr>
          <w:rFonts w:ascii="Arial" w:hAnsi="Arial" w:cs="Arial"/>
          <w:color w:val="000000" w:themeColor="text1"/>
        </w:rPr>
        <w:t>calculator</w:t>
      </w:r>
      <w:r w:rsidR="00CB44DC" w:rsidRPr="00571C9D">
        <w:rPr>
          <w:rFonts w:ascii="Arial" w:hAnsi="Arial" w:cs="Arial"/>
          <w:color w:val="000000" w:themeColor="text1"/>
        </w:rPr>
        <w:t xml:space="preserve"> such as the MSK-HQ calculator</w:t>
      </w:r>
      <w:r w:rsidR="00A37470" w:rsidRPr="00571C9D">
        <w:rPr>
          <w:rFonts w:ascii="Arial" w:hAnsi="Arial" w:cs="Arial"/>
          <w:color w:val="000000" w:themeColor="text1"/>
        </w:rPr>
        <w:t>,</w:t>
      </w:r>
      <w:r w:rsidR="00CB44DC" w:rsidRPr="00571C9D">
        <w:rPr>
          <w:rFonts w:ascii="Arial" w:hAnsi="Arial" w:cs="Arial"/>
          <w:color w:val="000000" w:themeColor="text1"/>
        </w:rPr>
        <w:t xml:space="preserve"> important when implementing a PROM in their clinical practice.  </w:t>
      </w:r>
    </w:p>
    <w:p w:rsidR="00B74299" w:rsidRPr="00571C9D" w:rsidRDefault="00597106" w:rsidP="00B74299">
      <w:pPr>
        <w:spacing w:line="480" w:lineRule="auto"/>
        <w:jc w:val="both"/>
        <w:rPr>
          <w:rFonts w:ascii="Arial" w:hAnsi="Arial" w:cs="Arial"/>
          <w:iCs/>
          <w:color w:val="000000" w:themeColor="text1"/>
        </w:rPr>
      </w:pPr>
      <w:r w:rsidRPr="00571C9D">
        <w:rPr>
          <w:rFonts w:ascii="Arial" w:hAnsi="Arial" w:cs="Arial"/>
          <w:color w:val="000000" w:themeColor="text1"/>
        </w:rPr>
        <w:t xml:space="preserve">The themes highlighted in this evaluation are consistent across </w:t>
      </w:r>
      <w:r w:rsidR="00187711" w:rsidRPr="00571C9D">
        <w:rPr>
          <w:rFonts w:ascii="Arial" w:hAnsi="Arial" w:cs="Arial"/>
          <w:color w:val="000000" w:themeColor="text1"/>
        </w:rPr>
        <w:t>other</w:t>
      </w:r>
      <w:r w:rsidRPr="00571C9D">
        <w:rPr>
          <w:rFonts w:ascii="Arial" w:hAnsi="Arial" w:cs="Arial"/>
          <w:color w:val="000000" w:themeColor="text1"/>
        </w:rPr>
        <w:t xml:space="preserve"> studies. </w:t>
      </w:r>
      <w:r w:rsidR="001640BD" w:rsidRPr="00571C9D">
        <w:rPr>
          <w:rFonts w:ascii="Arial" w:hAnsi="Arial" w:cs="Arial"/>
          <w:iCs/>
          <w:color w:val="000000" w:themeColor="text1"/>
        </w:rPr>
        <w:t>Boyce et al (2014)</w:t>
      </w:r>
      <w:r w:rsidR="001640BD" w:rsidRPr="00571C9D">
        <w:rPr>
          <w:rFonts w:ascii="Arial" w:hAnsi="Arial" w:cs="Arial"/>
          <w:i/>
          <w:color w:val="000000" w:themeColor="text1"/>
        </w:rPr>
        <w:t xml:space="preserve"> </w:t>
      </w:r>
      <w:r w:rsidR="00187711" w:rsidRPr="00571C9D">
        <w:rPr>
          <w:rFonts w:ascii="Arial" w:hAnsi="Arial" w:cs="Arial"/>
          <w:iCs/>
          <w:color w:val="000000" w:themeColor="text1"/>
        </w:rPr>
        <w:t>reported that</w:t>
      </w:r>
      <w:r w:rsidR="00187711" w:rsidRPr="00571C9D">
        <w:rPr>
          <w:rFonts w:ascii="Arial" w:hAnsi="Arial" w:cs="Arial"/>
          <w:i/>
          <w:color w:val="000000" w:themeColor="text1"/>
        </w:rPr>
        <w:t xml:space="preserve"> </w:t>
      </w:r>
      <w:r w:rsidR="00187711" w:rsidRPr="00571C9D">
        <w:rPr>
          <w:rFonts w:ascii="Arial" w:hAnsi="Arial" w:cs="Arial"/>
          <w:iCs/>
          <w:color w:val="000000" w:themeColor="text1"/>
        </w:rPr>
        <w:t>practical considerations such as workload implications, the ease of data collection, the level of collaboration among colleagues, the provision of clear guidelines for</w:t>
      </w:r>
      <w:r w:rsidR="00187711" w:rsidRPr="00571C9D">
        <w:rPr>
          <w:rFonts w:ascii="Arial" w:hAnsi="Arial" w:cs="Arial"/>
          <w:i/>
          <w:color w:val="000000" w:themeColor="text1"/>
        </w:rPr>
        <w:t xml:space="preserve"> </w:t>
      </w:r>
      <w:r w:rsidR="00187711" w:rsidRPr="00571C9D">
        <w:rPr>
          <w:rFonts w:ascii="Arial" w:hAnsi="Arial" w:cs="Arial"/>
          <w:iCs/>
          <w:color w:val="000000" w:themeColor="text1"/>
        </w:rPr>
        <w:t>implementation, the level of managerial involvement, the availability of training and support, and the use of technology are all important when implementing PROMs to improve the quality of care.</w:t>
      </w:r>
      <w:r w:rsidR="001640BD" w:rsidRPr="00571C9D">
        <w:rPr>
          <w:rFonts w:ascii="Arial" w:hAnsi="Arial" w:cs="Arial"/>
          <w:iCs/>
          <w:color w:val="000000" w:themeColor="text1"/>
        </w:rPr>
        <w:t xml:space="preserve">  </w:t>
      </w:r>
      <w:r w:rsidR="00F331E7" w:rsidRPr="00571C9D">
        <w:rPr>
          <w:rFonts w:ascii="Arial" w:hAnsi="Arial" w:cs="Arial"/>
          <w:iCs/>
          <w:color w:val="000000" w:themeColor="text1"/>
        </w:rPr>
        <w:t>Duncan and Murray (2012)</w:t>
      </w:r>
      <w:r w:rsidR="001640BD" w:rsidRPr="00571C9D">
        <w:rPr>
          <w:rFonts w:ascii="Arial" w:hAnsi="Arial" w:cs="Arial"/>
          <w:iCs/>
          <w:color w:val="000000" w:themeColor="text1"/>
        </w:rPr>
        <w:t xml:space="preserve"> </w:t>
      </w:r>
      <w:r w:rsidR="00A106EF" w:rsidRPr="00571C9D">
        <w:rPr>
          <w:rFonts w:ascii="Arial" w:hAnsi="Arial" w:cs="Arial"/>
          <w:iCs/>
          <w:color w:val="000000" w:themeColor="text1"/>
        </w:rPr>
        <w:t xml:space="preserve">also </w:t>
      </w:r>
      <w:r w:rsidR="00A7022E" w:rsidRPr="00571C9D">
        <w:rPr>
          <w:rFonts w:ascii="Arial" w:hAnsi="Arial" w:cs="Arial"/>
          <w:iCs/>
          <w:color w:val="000000" w:themeColor="text1"/>
        </w:rPr>
        <w:t>highlighted</w:t>
      </w:r>
      <w:r w:rsidR="00940CBA" w:rsidRPr="00571C9D">
        <w:rPr>
          <w:rFonts w:ascii="Arial" w:hAnsi="Arial" w:cs="Arial"/>
          <w:iCs/>
          <w:color w:val="000000" w:themeColor="text1"/>
        </w:rPr>
        <w:t xml:space="preserve"> that o</w:t>
      </w:r>
      <w:r w:rsidR="00B74299" w:rsidRPr="00571C9D">
        <w:rPr>
          <w:rFonts w:ascii="Arial" w:hAnsi="Arial" w:cs="Arial"/>
          <w:iCs/>
          <w:color w:val="000000" w:themeColor="text1"/>
        </w:rPr>
        <w:t xml:space="preserve">rganisations can </w:t>
      </w:r>
      <w:r w:rsidR="003B54A6" w:rsidRPr="00571C9D">
        <w:rPr>
          <w:rFonts w:ascii="Arial" w:hAnsi="Arial" w:cs="Arial"/>
          <w:iCs/>
          <w:color w:val="000000" w:themeColor="text1"/>
        </w:rPr>
        <w:t>increase the likelihood of successful routine outcome measurement by providing appropriate training, sufficient administrative support and ade</w:t>
      </w:r>
      <w:r w:rsidR="00940CBA" w:rsidRPr="00571C9D">
        <w:rPr>
          <w:rFonts w:ascii="Arial" w:hAnsi="Arial" w:cs="Arial"/>
          <w:iCs/>
          <w:color w:val="000000" w:themeColor="text1"/>
        </w:rPr>
        <w:t xml:space="preserve">quate </w:t>
      </w:r>
      <w:r w:rsidR="00940CBA" w:rsidRPr="00571C9D">
        <w:rPr>
          <w:rFonts w:ascii="Arial" w:hAnsi="Arial" w:cs="Arial"/>
          <w:iCs/>
          <w:color w:val="000000" w:themeColor="text1"/>
        </w:rPr>
        <w:lastRenderedPageBreak/>
        <w:t xml:space="preserve">allocation of resources. </w:t>
      </w:r>
      <w:r w:rsidR="00B74299" w:rsidRPr="00571C9D">
        <w:rPr>
          <w:rFonts w:ascii="Arial" w:hAnsi="Arial" w:cs="Arial"/>
          <w:iCs/>
          <w:color w:val="000000" w:themeColor="text1"/>
        </w:rPr>
        <w:t xml:space="preserve"> </w:t>
      </w:r>
      <w:r w:rsidR="00A7022E" w:rsidRPr="00571C9D">
        <w:rPr>
          <w:rFonts w:ascii="Arial" w:hAnsi="Arial" w:cs="Arial"/>
          <w:iCs/>
          <w:color w:val="000000" w:themeColor="text1"/>
        </w:rPr>
        <w:t xml:space="preserve">Similarly, Jette et al (2009) reported that </w:t>
      </w:r>
      <w:r w:rsidR="008B51A3" w:rsidRPr="00571C9D">
        <w:rPr>
          <w:rFonts w:ascii="Arial" w:hAnsi="Arial" w:cs="Arial"/>
          <w:iCs/>
          <w:color w:val="000000" w:themeColor="text1"/>
        </w:rPr>
        <w:t xml:space="preserve">although </w:t>
      </w:r>
      <w:r w:rsidR="00A7022E" w:rsidRPr="00571C9D">
        <w:rPr>
          <w:rFonts w:ascii="Arial" w:hAnsi="Arial" w:cs="Arial"/>
          <w:iCs/>
          <w:color w:val="000000" w:themeColor="text1"/>
        </w:rPr>
        <w:t>physiotherapists believe that PROMs could aid in directing the plan of care and enhancing the thoroughness of their examinations</w:t>
      </w:r>
      <w:r w:rsidR="008B51A3" w:rsidRPr="00571C9D">
        <w:rPr>
          <w:rFonts w:ascii="Arial" w:hAnsi="Arial" w:cs="Arial"/>
          <w:iCs/>
          <w:color w:val="000000" w:themeColor="text1"/>
        </w:rPr>
        <w:t>,</w:t>
      </w:r>
      <w:r w:rsidR="00A7022E" w:rsidRPr="00571C9D">
        <w:rPr>
          <w:rFonts w:ascii="Arial" w:hAnsi="Arial" w:cs="Arial"/>
          <w:iCs/>
          <w:color w:val="000000" w:themeColor="text1"/>
        </w:rPr>
        <w:t xml:space="preserve"> logistical problems such as time, additional paperwork, and lack of administrative staff were important barriers in their implementation.</w:t>
      </w:r>
      <w:r w:rsidR="00707DAF" w:rsidRPr="00571C9D">
        <w:rPr>
          <w:rFonts w:ascii="Arial" w:hAnsi="Arial" w:cs="Arial"/>
          <w:iCs/>
          <w:color w:val="000000" w:themeColor="text1"/>
        </w:rPr>
        <w:t xml:space="preserve">  Our results </w:t>
      </w:r>
      <w:r w:rsidR="002A1FB9" w:rsidRPr="00571C9D">
        <w:rPr>
          <w:rFonts w:ascii="Arial" w:hAnsi="Arial" w:cs="Arial"/>
          <w:iCs/>
          <w:color w:val="000000" w:themeColor="text1"/>
        </w:rPr>
        <w:t>support the findings of the aforementioned studies.</w:t>
      </w:r>
    </w:p>
    <w:p w:rsidR="007922E7" w:rsidRPr="00571C9D" w:rsidRDefault="007922E7" w:rsidP="00940CBA">
      <w:pPr>
        <w:spacing w:line="480" w:lineRule="auto"/>
        <w:jc w:val="both"/>
        <w:rPr>
          <w:rFonts w:ascii="Arial" w:hAnsi="Arial" w:cs="Arial"/>
          <w:color w:val="000000" w:themeColor="text1"/>
        </w:rPr>
      </w:pPr>
      <w:r w:rsidRPr="00571C9D">
        <w:rPr>
          <w:rFonts w:ascii="Arial" w:hAnsi="Arial" w:cs="Arial"/>
          <w:color w:val="000000" w:themeColor="text1"/>
        </w:rPr>
        <w:t xml:space="preserve">Feedback from the users about improving the </w:t>
      </w:r>
      <w:r w:rsidR="00940CBA" w:rsidRPr="00571C9D">
        <w:rPr>
          <w:rFonts w:ascii="Arial" w:hAnsi="Arial" w:cs="Arial"/>
          <w:color w:val="000000" w:themeColor="text1"/>
        </w:rPr>
        <w:t>MSK-HQ calculator</w:t>
      </w:r>
      <w:r w:rsidRPr="00571C9D">
        <w:rPr>
          <w:rFonts w:ascii="Arial" w:hAnsi="Arial" w:cs="Arial"/>
          <w:color w:val="000000" w:themeColor="text1"/>
        </w:rPr>
        <w:t xml:space="preserve"> indicated that they preferred an electronic form.  </w:t>
      </w:r>
      <w:r w:rsidR="00AD769C" w:rsidRPr="00571C9D">
        <w:rPr>
          <w:rFonts w:ascii="Arial" w:eastAsia="Calibri" w:hAnsi="Arial" w:cs="Arial"/>
          <w:color w:val="000000" w:themeColor="text1"/>
        </w:rPr>
        <w:t>When the MSK-HQ</w:t>
      </w:r>
      <w:r w:rsidRPr="00571C9D">
        <w:rPr>
          <w:rFonts w:ascii="Arial" w:eastAsia="Calibri" w:hAnsi="Arial" w:cs="Arial"/>
          <w:color w:val="000000" w:themeColor="text1"/>
        </w:rPr>
        <w:t xml:space="preserve"> calculator was </w:t>
      </w:r>
      <w:r w:rsidR="00400AEC" w:rsidRPr="00571C9D">
        <w:rPr>
          <w:rFonts w:ascii="Arial" w:eastAsia="Calibri" w:hAnsi="Arial" w:cs="Arial"/>
          <w:color w:val="000000" w:themeColor="text1"/>
        </w:rPr>
        <w:t>developed,</w:t>
      </w:r>
      <w:r w:rsidRPr="00571C9D">
        <w:rPr>
          <w:rFonts w:ascii="Arial" w:eastAsia="Calibri" w:hAnsi="Arial" w:cs="Arial"/>
          <w:color w:val="000000" w:themeColor="text1"/>
        </w:rPr>
        <w:t xml:space="preserve"> the aim was to integrate it in the </w:t>
      </w:r>
      <w:r w:rsidR="004C5188" w:rsidRPr="00571C9D">
        <w:rPr>
          <w:rFonts w:ascii="Arial" w:eastAsia="Calibri" w:hAnsi="Arial" w:cs="Arial"/>
          <w:color w:val="000000" w:themeColor="text1"/>
        </w:rPr>
        <w:t xml:space="preserve">development </w:t>
      </w:r>
      <w:r w:rsidR="005550A9" w:rsidRPr="00571C9D">
        <w:rPr>
          <w:rFonts w:ascii="Arial" w:eastAsia="Calibri" w:hAnsi="Arial" w:cs="Arial"/>
          <w:color w:val="000000" w:themeColor="text1"/>
        </w:rPr>
        <w:t xml:space="preserve">of the </w:t>
      </w:r>
      <w:r w:rsidRPr="00571C9D">
        <w:rPr>
          <w:rFonts w:ascii="Arial" w:eastAsia="Calibri" w:hAnsi="Arial" w:cs="Arial"/>
          <w:color w:val="000000" w:themeColor="text1"/>
        </w:rPr>
        <w:t>Trust’s electronic clinical systems.  However, this was particularly challenging as a new clinical system was rolled out across the Trust making difficult to incorporate additional feature</w:t>
      </w:r>
      <w:r w:rsidR="00AD769C" w:rsidRPr="00571C9D">
        <w:rPr>
          <w:rFonts w:ascii="Arial" w:eastAsia="Calibri" w:hAnsi="Arial" w:cs="Arial"/>
          <w:color w:val="000000" w:themeColor="text1"/>
        </w:rPr>
        <w:t>s in the software.</w:t>
      </w:r>
      <w:r w:rsidRPr="00571C9D">
        <w:rPr>
          <w:rFonts w:ascii="Arial" w:eastAsia="Calibri" w:hAnsi="Arial" w:cs="Arial"/>
          <w:color w:val="000000" w:themeColor="text1"/>
        </w:rPr>
        <w:t xml:space="preserve"> </w:t>
      </w:r>
      <w:r w:rsidR="00AD769C" w:rsidRPr="00571C9D">
        <w:rPr>
          <w:rFonts w:ascii="Arial" w:eastAsia="Calibri" w:hAnsi="Arial" w:cs="Arial"/>
          <w:color w:val="000000" w:themeColor="text1"/>
        </w:rPr>
        <w:t>The respondents in the MSK-HQ evaluation questionnaire</w:t>
      </w:r>
      <w:r w:rsidRPr="00571C9D">
        <w:rPr>
          <w:rFonts w:ascii="Arial" w:hAnsi="Arial" w:cs="Arial"/>
          <w:color w:val="000000" w:themeColor="text1"/>
        </w:rPr>
        <w:t xml:space="preserve"> commented that they would </w:t>
      </w:r>
      <w:r w:rsidR="007F2EC8" w:rsidRPr="00571C9D">
        <w:rPr>
          <w:rFonts w:ascii="Arial" w:hAnsi="Arial" w:cs="Arial"/>
          <w:color w:val="000000" w:themeColor="text1"/>
        </w:rPr>
        <w:t>p</w:t>
      </w:r>
      <w:r w:rsidRPr="00571C9D">
        <w:rPr>
          <w:rFonts w:ascii="Arial" w:hAnsi="Arial" w:cs="Arial"/>
          <w:color w:val="000000" w:themeColor="text1"/>
        </w:rPr>
        <w:t xml:space="preserve">refer that any </w:t>
      </w:r>
      <w:r w:rsidR="004E554E" w:rsidRPr="00571C9D">
        <w:rPr>
          <w:rFonts w:ascii="Arial" w:hAnsi="Arial" w:cs="Arial"/>
          <w:color w:val="000000" w:themeColor="text1"/>
        </w:rPr>
        <w:t>calculator</w:t>
      </w:r>
      <w:r w:rsidRPr="00571C9D">
        <w:rPr>
          <w:rFonts w:ascii="Arial" w:hAnsi="Arial" w:cs="Arial"/>
          <w:color w:val="000000" w:themeColor="text1"/>
        </w:rPr>
        <w:t xml:space="preserve"> is linked to the electronic patient records system.  This is also highlighted in Gibbon and Fitzpatrick’s (2018) study who reported that electronic capture of data was seen as the ideal method</w:t>
      </w:r>
      <w:r w:rsidR="00A7022E" w:rsidRPr="00571C9D">
        <w:rPr>
          <w:rFonts w:ascii="Arial" w:hAnsi="Arial" w:cs="Arial"/>
          <w:color w:val="000000" w:themeColor="text1"/>
        </w:rPr>
        <w:t xml:space="preserve"> for the MSK</w:t>
      </w:r>
      <w:r w:rsidR="00824A08" w:rsidRPr="00571C9D">
        <w:rPr>
          <w:rFonts w:ascii="Arial" w:hAnsi="Arial" w:cs="Arial"/>
          <w:color w:val="000000" w:themeColor="text1"/>
        </w:rPr>
        <w:t>-</w:t>
      </w:r>
      <w:r w:rsidR="00A7022E" w:rsidRPr="00571C9D">
        <w:rPr>
          <w:rFonts w:ascii="Arial" w:hAnsi="Arial" w:cs="Arial"/>
          <w:color w:val="000000" w:themeColor="text1"/>
        </w:rPr>
        <w:t>HQ outcome measure</w:t>
      </w:r>
      <w:r w:rsidRPr="00571C9D">
        <w:rPr>
          <w:rFonts w:ascii="Arial" w:hAnsi="Arial" w:cs="Arial"/>
          <w:color w:val="000000" w:themeColor="text1"/>
        </w:rPr>
        <w:t xml:space="preserve">, especially if incorporated into clinical systems. </w:t>
      </w:r>
    </w:p>
    <w:p w:rsidR="00AD769C" w:rsidRPr="00571C9D" w:rsidRDefault="00AD769C" w:rsidP="0069528E">
      <w:pPr>
        <w:spacing w:line="480" w:lineRule="auto"/>
        <w:rPr>
          <w:rFonts w:ascii="Arial" w:eastAsia="Calibri" w:hAnsi="Arial" w:cs="Arial"/>
          <w:color w:val="000000" w:themeColor="text1"/>
        </w:rPr>
      </w:pPr>
    </w:p>
    <w:p w:rsidR="00C73739" w:rsidRPr="00571C9D" w:rsidRDefault="00C73739" w:rsidP="0069528E">
      <w:pPr>
        <w:spacing w:line="480" w:lineRule="auto"/>
        <w:rPr>
          <w:rFonts w:ascii="Arial" w:hAnsi="Arial" w:cs="Arial"/>
          <w:b/>
          <w:color w:val="000000" w:themeColor="text1"/>
        </w:rPr>
      </w:pPr>
      <w:r w:rsidRPr="00571C9D">
        <w:rPr>
          <w:rFonts w:ascii="Arial" w:hAnsi="Arial" w:cs="Arial"/>
          <w:b/>
          <w:color w:val="000000" w:themeColor="text1"/>
        </w:rPr>
        <w:t>Conclusion:</w:t>
      </w:r>
    </w:p>
    <w:p w:rsidR="00FF484D" w:rsidRPr="00571C9D" w:rsidRDefault="00B413B3" w:rsidP="00707DAF">
      <w:pPr>
        <w:spacing w:line="480" w:lineRule="auto"/>
        <w:jc w:val="both"/>
        <w:rPr>
          <w:rFonts w:ascii="Arial" w:hAnsi="Arial" w:cs="Arial"/>
          <w:color w:val="000000" w:themeColor="text1"/>
        </w:rPr>
      </w:pPr>
      <w:r w:rsidRPr="00571C9D">
        <w:rPr>
          <w:rFonts w:ascii="Arial" w:hAnsi="Arial" w:cs="Arial"/>
          <w:color w:val="000000" w:themeColor="text1"/>
        </w:rPr>
        <w:t xml:space="preserve">The </w:t>
      </w:r>
      <w:r w:rsidR="00940CBA" w:rsidRPr="00571C9D">
        <w:rPr>
          <w:rFonts w:ascii="Arial" w:hAnsi="Arial" w:cs="Arial"/>
          <w:color w:val="000000" w:themeColor="text1"/>
        </w:rPr>
        <w:t xml:space="preserve">MSK-HQ </w:t>
      </w:r>
      <w:r w:rsidRPr="00571C9D">
        <w:rPr>
          <w:rFonts w:ascii="Arial" w:hAnsi="Arial" w:cs="Arial"/>
          <w:color w:val="000000" w:themeColor="text1"/>
        </w:rPr>
        <w:t xml:space="preserve">calculator enhanced the implementation and clinical use of a standardised outcome measure by providing clear guidance on data collection and interpretation of results. </w:t>
      </w:r>
      <w:r w:rsidR="00940CBA" w:rsidRPr="00571C9D">
        <w:rPr>
          <w:rFonts w:ascii="Arial" w:hAnsi="Arial" w:cs="Arial"/>
          <w:color w:val="000000" w:themeColor="text1"/>
        </w:rPr>
        <w:t xml:space="preserve">  </w:t>
      </w:r>
      <w:r w:rsidR="003B5457" w:rsidRPr="00571C9D">
        <w:rPr>
          <w:rFonts w:ascii="Arial" w:hAnsi="Arial" w:cs="Arial"/>
          <w:color w:val="000000" w:themeColor="text1"/>
        </w:rPr>
        <w:t xml:space="preserve">The evaluation of the calculator highlighted that clinical and operation leads </w:t>
      </w:r>
      <w:r w:rsidR="00940CBA" w:rsidRPr="00571C9D">
        <w:rPr>
          <w:rFonts w:ascii="Arial" w:hAnsi="Arial" w:cs="Arial"/>
          <w:color w:val="000000" w:themeColor="text1"/>
        </w:rPr>
        <w:t xml:space="preserve">would like </w:t>
      </w:r>
      <w:r w:rsidR="003B5457" w:rsidRPr="00571C9D">
        <w:rPr>
          <w:rFonts w:ascii="Arial" w:hAnsi="Arial" w:cs="Arial"/>
          <w:color w:val="000000" w:themeColor="text1"/>
        </w:rPr>
        <w:t xml:space="preserve">similar </w:t>
      </w:r>
      <w:r w:rsidR="004E554E" w:rsidRPr="00571C9D">
        <w:rPr>
          <w:rFonts w:ascii="Arial" w:hAnsi="Arial" w:cs="Arial"/>
          <w:color w:val="000000" w:themeColor="text1"/>
        </w:rPr>
        <w:t>calculator</w:t>
      </w:r>
      <w:r w:rsidR="003B5457" w:rsidRPr="00571C9D">
        <w:rPr>
          <w:rFonts w:ascii="Arial" w:hAnsi="Arial" w:cs="Arial"/>
          <w:color w:val="000000" w:themeColor="text1"/>
        </w:rPr>
        <w:t xml:space="preserve">s to be made available when they implement a new PROM.  Such </w:t>
      </w:r>
      <w:r w:rsidR="004E554E" w:rsidRPr="00571C9D">
        <w:rPr>
          <w:rFonts w:ascii="Arial" w:hAnsi="Arial" w:cs="Arial"/>
          <w:color w:val="000000" w:themeColor="text1"/>
        </w:rPr>
        <w:t>calculator</w:t>
      </w:r>
      <w:r w:rsidR="003B5457" w:rsidRPr="00571C9D">
        <w:rPr>
          <w:rFonts w:ascii="Arial" w:hAnsi="Arial" w:cs="Arial"/>
          <w:color w:val="000000" w:themeColor="text1"/>
        </w:rPr>
        <w:t xml:space="preserve">s should ideally be compatible with electronic clinical systems.  </w:t>
      </w:r>
      <w:r w:rsidR="00FF484D" w:rsidRPr="00571C9D">
        <w:rPr>
          <w:rFonts w:ascii="Arial" w:hAnsi="Arial" w:cs="Arial"/>
          <w:color w:val="000000" w:themeColor="text1"/>
        </w:rPr>
        <w:t xml:space="preserve">Researchers, outcome measures developers and operational leads should consider providing such </w:t>
      </w:r>
      <w:r w:rsidR="004E554E" w:rsidRPr="00571C9D">
        <w:rPr>
          <w:rFonts w:ascii="Arial" w:hAnsi="Arial" w:cs="Arial"/>
          <w:color w:val="000000" w:themeColor="text1"/>
        </w:rPr>
        <w:t>calculator</w:t>
      </w:r>
      <w:r w:rsidR="00FF484D" w:rsidRPr="00571C9D">
        <w:rPr>
          <w:rFonts w:ascii="Arial" w:hAnsi="Arial" w:cs="Arial"/>
          <w:color w:val="000000" w:themeColor="text1"/>
        </w:rPr>
        <w:t xml:space="preserve">s when new outcome measures are released together with the </w:t>
      </w:r>
      <w:r w:rsidR="00FF484D" w:rsidRPr="00571C9D">
        <w:rPr>
          <w:rFonts w:ascii="Arial" w:hAnsi="Arial" w:cs="Arial"/>
          <w:color w:val="000000" w:themeColor="text1"/>
        </w:rPr>
        <w:lastRenderedPageBreak/>
        <w:t>provision of appropriate administrative support to increase clinical uptake and implementation.</w:t>
      </w:r>
    </w:p>
    <w:p w:rsidR="002A1FB9" w:rsidRDefault="002A1FB9" w:rsidP="0069528E">
      <w:pPr>
        <w:spacing w:line="480" w:lineRule="auto"/>
        <w:rPr>
          <w:rFonts w:ascii="Arial" w:hAnsi="Arial" w:cs="Arial"/>
        </w:rPr>
      </w:pPr>
    </w:p>
    <w:p w:rsidR="00571C9D" w:rsidRPr="00411D04" w:rsidRDefault="00571C9D" w:rsidP="00571C9D">
      <w:pPr>
        <w:spacing w:line="480" w:lineRule="auto"/>
        <w:rPr>
          <w:rFonts w:ascii="Arial" w:hAnsi="Arial" w:cs="Arial"/>
          <w:b/>
          <w:color w:val="000000" w:themeColor="text1"/>
        </w:rPr>
      </w:pPr>
      <w:r w:rsidRPr="00411D04">
        <w:rPr>
          <w:rFonts w:ascii="Arial" w:hAnsi="Arial" w:cs="Arial"/>
          <w:b/>
          <w:color w:val="000000" w:themeColor="text1"/>
        </w:rPr>
        <w:t>Funding Statement</w:t>
      </w:r>
    </w:p>
    <w:p w:rsidR="00571C9D" w:rsidRDefault="00571C9D" w:rsidP="00571C9D">
      <w:pPr>
        <w:spacing w:line="480" w:lineRule="auto"/>
        <w:rPr>
          <w:rFonts w:ascii="Arial" w:hAnsi="Arial" w:cs="Arial"/>
        </w:rPr>
      </w:pPr>
      <w:r w:rsidRPr="00571C9D">
        <w:rPr>
          <w:rFonts w:ascii="Arial" w:hAnsi="Arial" w:cs="Arial"/>
        </w:rPr>
        <w:t>Panos Sarigiovannis is funded by a National Institute for Health Research (NIHR)</w:t>
      </w:r>
      <w:r>
        <w:rPr>
          <w:rFonts w:ascii="Arial" w:hAnsi="Arial" w:cs="Arial"/>
        </w:rPr>
        <w:t xml:space="preserve"> award </w:t>
      </w:r>
      <w:r w:rsidRPr="00571C9D">
        <w:rPr>
          <w:rFonts w:ascii="Arial" w:hAnsi="Arial" w:cs="Arial"/>
        </w:rPr>
        <w:t>(Pre</w:t>
      </w:r>
      <w:r w:rsidRPr="00571C9D">
        <w:rPr>
          <w:rFonts w:ascii="Cambria Math" w:hAnsi="Cambria Math" w:cs="Cambria Math"/>
        </w:rPr>
        <w:t>‐</w:t>
      </w:r>
      <w:r w:rsidRPr="00571C9D">
        <w:rPr>
          <w:rFonts w:ascii="Arial" w:hAnsi="Arial" w:cs="Arial"/>
        </w:rPr>
        <w:t>Doctoral Clinical Academic Fellowship ICA-PCAF-2018-01-014) for this research project.</w:t>
      </w:r>
    </w:p>
    <w:p w:rsidR="0038692E" w:rsidRPr="00571C9D" w:rsidRDefault="0038692E" w:rsidP="00571C9D">
      <w:pPr>
        <w:spacing w:line="480" w:lineRule="auto"/>
        <w:rPr>
          <w:rFonts w:ascii="Arial" w:hAnsi="Arial" w:cs="Arial"/>
        </w:rPr>
      </w:pPr>
    </w:p>
    <w:p w:rsidR="0038692E" w:rsidRDefault="0038692E" w:rsidP="00571C9D">
      <w:pPr>
        <w:spacing w:line="480" w:lineRule="auto"/>
        <w:rPr>
          <w:rFonts w:ascii="Arial" w:hAnsi="Arial" w:cs="Arial"/>
          <w:b/>
        </w:rPr>
      </w:pPr>
      <w:r>
        <w:rPr>
          <w:rFonts w:ascii="Arial" w:hAnsi="Arial" w:cs="Arial"/>
          <w:b/>
        </w:rPr>
        <w:t>Disclaimer</w:t>
      </w:r>
    </w:p>
    <w:p w:rsidR="00A106EF" w:rsidRPr="0038692E" w:rsidRDefault="00571C9D" w:rsidP="00571C9D">
      <w:pPr>
        <w:spacing w:line="480" w:lineRule="auto"/>
        <w:rPr>
          <w:rFonts w:ascii="Arial" w:hAnsi="Arial" w:cs="Arial"/>
          <w:b/>
        </w:rPr>
      </w:pPr>
      <w:r>
        <w:rPr>
          <w:rFonts w:ascii="Arial" w:hAnsi="Arial" w:cs="Arial"/>
        </w:rPr>
        <w:t>This publication</w:t>
      </w:r>
      <w:r w:rsidRPr="00571C9D">
        <w:rPr>
          <w:rFonts w:ascii="Arial" w:hAnsi="Arial" w:cs="Arial"/>
        </w:rPr>
        <w:t xml:space="preserve"> presents independent research funded by the National Institute for Health Research (NIHR). The views expressed are those of the author(s) and not necessarily those of the NHS, the NIHR or the Department of Health and Social Care.</w:t>
      </w:r>
    </w:p>
    <w:p w:rsidR="00571C9D" w:rsidRDefault="00571C9D" w:rsidP="00571C9D">
      <w:pPr>
        <w:spacing w:line="480" w:lineRule="auto"/>
        <w:rPr>
          <w:rFonts w:ascii="Arial" w:hAnsi="Arial" w:cs="Arial"/>
        </w:rPr>
      </w:pPr>
      <w:r>
        <w:rPr>
          <w:noProof/>
          <w:lang w:eastAsia="en-GB"/>
        </w:rPr>
        <w:drawing>
          <wp:inline distT="0" distB="0" distL="0" distR="0" wp14:anchorId="77D75444" wp14:editId="1AC8A805">
            <wp:extent cx="2301663" cy="497434"/>
            <wp:effectExtent l="0" t="0" r="381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067" cy="504869"/>
                    </a:xfrm>
                    <a:prstGeom prst="rect">
                      <a:avLst/>
                    </a:prstGeom>
                    <a:noFill/>
                    <a:ln>
                      <a:noFill/>
                    </a:ln>
                  </pic:spPr>
                </pic:pic>
              </a:graphicData>
            </a:graphic>
          </wp:inline>
        </w:drawing>
      </w:r>
    </w:p>
    <w:p w:rsidR="00A106EF" w:rsidRDefault="00A106EF" w:rsidP="0069528E">
      <w:pPr>
        <w:spacing w:line="480" w:lineRule="auto"/>
        <w:rPr>
          <w:rFonts w:ascii="Arial" w:hAnsi="Arial" w:cs="Arial"/>
        </w:rPr>
      </w:pPr>
    </w:p>
    <w:p w:rsidR="00A106EF" w:rsidRDefault="00A106EF" w:rsidP="0069528E">
      <w:pPr>
        <w:spacing w:line="480" w:lineRule="auto"/>
        <w:rPr>
          <w:rFonts w:ascii="Arial" w:hAnsi="Arial" w:cs="Arial"/>
        </w:rPr>
      </w:pPr>
    </w:p>
    <w:p w:rsidR="00A106EF" w:rsidRDefault="00A106EF" w:rsidP="0069528E">
      <w:pPr>
        <w:spacing w:line="480" w:lineRule="auto"/>
        <w:rPr>
          <w:rFonts w:ascii="Arial" w:hAnsi="Arial" w:cs="Arial"/>
        </w:rPr>
      </w:pPr>
    </w:p>
    <w:p w:rsidR="00A106EF" w:rsidRDefault="00A106EF" w:rsidP="0069528E">
      <w:pPr>
        <w:spacing w:line="480" w:lineRule="auto"/>
        <w:rPr>
          <w:rFonts w:ascii="Arial" w:hAnsi="Arial" w:cs="Arial"/>
        </w:rPr>
      </w:pPr>
    </w:p>
    <w:p w:rsidR="00A106EF" w:rsidRDefault="00A106EF" w:rsidP="0069528E">
      <w:pPr>
        <w:spacing w:line="480" w:lineRule="auto"/>
        <w:rPr>
          <w:rFonts w:ascii="Arial" w:hAnsi="Arial" w:cs="Arial"/>
        </w:rPr>
      </w:pPr>
    </w:p>
    <w:p w:rsidR="00104253" w:rsidRDefault="00104253" w:rsidP="0069528E">
      <w:pPr>
        <w:spacing w:line="480" w:lineRule="auto"/>
        <w:rPr>
          <w:rFonts w:ascii="Arial" w:hAnsi="Arial" w:cs="Arial"/>
        </w:rPr>
      </w:pPr>
    </w:p>
    <w:p w:rsidR="00C727C5" w:rsidRDefault="00C727C5" w:rsidP="0069528E">
      <w:pPr>
        <w:spacing w:line="480" w:lineRule="auto"/>
        <w:rPr>
          <w:rFonts w:ascii="Arial" w:hAnsi="Arial" w:cs="Arial"/>
        </w:rPr>
      </w:pPr>
    </w:p>
    <w:p w:rsidR="00230E95" w:rsidRPr="00531D5C" w:rsidRDefault="00531D5C" w:rsidP="00531D5C">
      <w:pPr>
        <w:spacing w:line="480" w:lineRule="auto"/>
        <w:rPr>
          <w:rFonts w:ascii="Arial" w:hAnsi="Arial" w:cs="Arial"/>
          <w:b/>
        </w:rPr>
      </w:pPr>
      <w:r>
        <w:rPr>
          <w:rFonts w:ascii="Arial" w:hAnsi="Arial" w:cs="Arial"/>
          <w:b/>
        </w:rPr>
        <w:lastRenderedPageBreak/>
        <w:t>REFERENCES</w:t>
      </w:r>
    </w:p>
    <w:p w:rsidR="00230E95" w:rsidRPr="00531D5C" w:rsidRDefault="00230E95" w:rsidP="00230E95">
      <w:pPr>
        <w:spacing w:after="160" w:line="259" w:lineRule="auto"/>
        <w:rPr>
          <w:rFonts w:ascii="Arial" w:hAnsi="Arial" w:cs="Arial"/>
          <w:lang w:val="en-US"/>
        </w:rPr>
      </w:pPr>
      <w:r w:rsidRPr="00531D5C">
        <w:rPr>
          <w:rFonts w:ascii="Arial" w:hAnsi="Arial" w:cs="Arial"/>
          <w:lang w:val="en-US"/>
        </w:rPr>
        <w:t xml:space="preserve">Boyce MB, Browne JP, Greenhalgh J  2014 The experiences of professionals with using information from patient-reported outcome measures to improve the quality of healthcare: a systematic review of qualitative research. BMJ Quality and Safety; 23(6):508–18.  </w:t>
      </w:r>
      <w:hyperlink r:id="rId10" w:history="1">
        <w:r w:rsidRPr="00531D5C">
          <w:rPr>
            <w:rFonts w:ascii="Arial" w:hAnsi="Arial" w:cs="Arial"/>
            <w:color w:val="0563C1" w:themeColor="hyperlink"/>
            <w:u w:val="single"/>
            <w:lang w:val="en-US"/>
          </w:rPr>
          <w:t>http://dx.doi.org/10.1136/bmjqs-2013-002524</w:t>
        </w:r>
      </w:hyperlink>
    </w:p>
    <w:p w:rsidR="00230E95" w:rsidRPr="00531D5C" w:rsidRDefault="00230E95" w:rsidP="00230E95">
      <w:pPr>
        <w:spacing w:after="160" w:line="259" w:lineRule="auto"/>
        <w:rPr>
          <w:rFonts w:ascii="Arial" w:hAnsi="Arial" w:cs="Arial"/>
          <w:lang w:val="en-US"/>
        </w:rPr>
      </w:pPr>
    </w:p>
    <w:p w:rsidR="00230E95" w:rsidRPr="00531D5C" w:rsidRDefault="00B42199" w:rsidP="00230E95">
      <w:pPr>
        <w:spacing w:after="160" w:line="259" w:lineRule="auto"/>
        <w:rPr>
          <w:rFonts w:ascii="Arial" w:hAnsi="Arial" w:cs="Arial"/>
          <w:lang w:val="en-US"/>
        </w:rPr>
      </w:pPr>
      <w:r>
        <w:rPr>
          <w:rFonts w:ascii="Arial" w:hAnsi="Arial" w:cs="Arial"/>
          <w:lang w:val="en-US"/>
        </w:rPr>
        <w:t xml:space="preserve">Duncan and Murray  </w:t>
      </w:r>
      <w:r w:rsidR="00230E95" w:rsidRPr="00531D5C">
        <w:rPr>
          <w:rFonts w:ascii="Arial" w:hAnsi="Arial" w:cs="Arial"/>
          <w:lang w:val="en-US"/>
        </w:rPr>
        <w:t xml:space="preserve">2012  The barriers and facilitators to routine outcome measurement by allied health professionals in practice: a systematic review.  BMC Health Services Research; 12:96  </w:t>
      </w:r>
      <w:hyperlink r:id="rId11" w:history="1">
        <w:r w:rsidR="00230E95" w:rsidRPr="00531D5C">
          <w:rPr>
            <w:rFonts w:ascii="Arial" w:hAnsi="Arial" w:cs="Arial"/>
            <w:color w:val="0563C1" w:themeColor="hyperlink"/>
            <w:u w:val="single"/>
            <w:lang w:val="en-US"/>
          </w:rPr>
          <w:t>https://doi.org/10.1186/1472-6963-12-96</w:t>
        </w:r>
      </w:hyperlink>
    </w:p>
    <w:p w:rsidR="00375C39" w:rsidRDefault="00375C39" w:rsidP="00375C39">
      <w:pPr>
        <w:spacing w:after="160" w:line="259" w:lineRule="auto"/>
        <w:rPr>
          <w:rFonts w:ascii="Arial" w:hAnsi="Arial" w:cs="Arial"/>
          <w:lang w:val="en-US"/>
        </w:rPr>
      </w:pPr>
    </w:p>
    <w:p w:rsidR="00375C39" w:rsidRDefault="00375C39" w:rsidP="00375C39">
      <w:pPr>
        <w:spacing w:after="160" w:line="259" w:lineRule="auto"/>
        <w:rPr>
          <w:rFonts w:ascii="Arial" w:hAnsi="Arial" w:cs="Arial"/>
          <w:lang w:val="en-US"/>
        </w:rPr>
      </w:pPr>
      <w:r w:rsidRPr="00531D5C">
        <w:rPr>
          <w:rFonts w:ascii="Arial" w:hAnsi="Arial" w:cs="Arial"/>
          <w:lang w:val="en-US"/>
        </w:rPr>
        <w:t>Gibbons E, Fitzpatrick R  2018  An alternative approach to implementing patient-reported outcome measures</w:t>
      </w:r>
      <w:r w:rsidRPr="00531D5C">
        <w:rPr>
          <w:rFonts w:ascii="Arial" w:hAnsi="Arial" w:cs="Arial"/>
        </w:rPr>
        <w:t xml:space="preserve">.  </w:t>
      </w:r>
      <w:r w:rsidRPr="00531D5C">
        <w:rPr>
          <w:rFonts w:ascii="Arial" w:hAnsi="Arial" w:cs="Arial"/>
          <w:lang w:val="en-US"/>
        </w:rPr>
        <w:t xml:space="preserve">Pilot and Feasibility Studies (2018) 4:96  </w:t>
      </w:r>
      <w:hyperlink r:id="rId12" w:history="1">
        <w:r w:rsidRPr="004545E7">
          <w:rPr>
            <w:rStyle w:val="Hyperlink"/>
            <w:rFonts w:ascii="Arial" w:hAnsi="Arial" w:cs="Arial"/>
            <w:lang w:val="en-US"/>
          </w:rPr>
          <w:t>https://doi.org/10.1186/s40814-018-0289-1</w:t>
        </w:r>
      </w:hyperlink>
    </w:p>
    <w:p w:rsidR="00375C39" w:rsidRDefault="00375C39" w:rsidP="00375C39">
      <w:pPr>
        <w:spacing w:after="160" w:line="259" w:lineRule="auto"/>
        <w:rPr>
          <w:rFonts w:ascii="Arial" w:hAnsi="Arial" w:cs="Arial"/>
          <w:lang w:val="en-US"/>
        </w:rPr>
      </w:pPr>
    </w:p>
    <w:p w:rsidR="00375C39" w:rsidRDefault="00375C39" w:rsidP="00375C39">
      <w:pPr>
        <w:spacing w:after="160" w:line="259" w:lineRule="auto"/>
        <w:rPr>
          <w:rFonts w:ascii="Arial" w:hAnsi="Arial" w:cs="Arial"/>
          <w:lang w:val="en-US"/>
        </w:rPr>
      </w:pPr>
      <w:r w:rsidRPr="00531D5C">
        <w:rPr>
          <w:rFonts w:ascii="Arial" w:hAnsi="Arial" w:cs="Arial"/>
          <w:lang w:val="en-US"/>
        </w:rPr>
        <w:t xml:space="preserve">Hill JC, Kang S ,Benedetto E, Myers H, Blackburn S, Smith S, Dunn KM, Hay E, Rees J, Beard D, Glyn-Jones S, Barker K ,Ellis B, Fitzpatrick R, Price A  2016    Development and initial cohort validation of the Arthritis Research UK Musculoskeletal Health Questionnaire (MSK-HQ) for use across musculoskeletal care pathways.  BMJ Open; 6:e012331.   </w:t>
      </w:r>
      <w:hyperlink r:id="rId13" w:history="1">
        <w:r w:rsidRPr="00531D5C">
          <w:rPr>
            <w:rFonts w:ascii="Arial" w:hAnsi="Arial" w:cs="Arial"/>
            <w:color w:val="0563C1" w:themeColor="hyperlink"/>
            <w:u w:val="single"/>
            <w:lang w:val="en-US"/>
          </w:rPr>
          <w:t>http://dx.doi.org/10.1136/bmjopen-2016- 012331</w:t>
        </w:r>
      </w:hyperlink>
    </w:p>
    <w:p w:rsidR="00375C39" w:rsidRDefault="00375C39" w:rsidP="00375C39">
      <w:pPr>
        <w:spacing w:after="160" w:line="259" w:lineRule="auto"/>
        <w:rPr>
          <w:rFonts w:ascii="Arial" w:hAnsi="Arial" w:cs="Arial"/>
          <w:lang w:val="en-US"/>
        </w:rPr>
      </w:pPr>
    </w:p>
    <w:p w:rsidR="00375C39" w:rsidRPr="00531D5C" w:rsidRDefault="00375C39" w:rsidP="00375C39">
      <w:pPr>
        <w:spacing w:after="160" w:line="259" w:lineRule="auto"/>
        <w:rPr>
          <w:rFonts w:ascii="Arial" w:hAnsi="Arial" w:cs="Arial"/>
          <w:lang w:val="en-US"/>
        </w:rPr>
      </w:pPr>
      <w:r w:rsidRPr="00531D5C">
        <w:rPr>
          <w:rFonts w:ascii="Arial" w:hAnsi="Arial" w:cs="Arial"/>
          <w:lang w:val="en-US"/>
        </w:rPr>
        <w:t>Jette DU, Halbert</w:t>
      </w:r>
      <w:r>
        <w:rPr>
          <w:rFonts w:ascii="Arial" w:hAnsi="Arial" w:cs="Arial"/>
          <w:lang w:val="en-US"/>
        </w:rPr>
        <w:t xml:space="preserve"> J, Iverson C, Miceli E, Shah P  2009  </w:t>
      </w:r>
      <w:r w:rsidRPr="00531D5C">
        <w:rPr>
          <w:rFonts w:ascii="Arial" w:hAnsi="Arial" w:cs="Arial"/>
          <w:lang w:val="en-US"/>
        </w:rPr>
        <w:t xml:space="preserve">Use of standardized outcome measures in physical therapist practice: perceptions and applications. Physical  Therapy;89:125-135.  </w:t>
      </w:r>
      <w:hyperlink r:id="rId14" w:history="1">
        <w:r w:rsidRPr="00531D5C">
          <w:rPr>
            <w:rFonts w:ascii="Arial" w:hAnsi="Arial" w:cs="Arial"/>
            <w:color w:val="0563C1" w:themeColor="hyperlink"/>
            <w:u w:val="single"/>
            <w:lang w:val="en-US"/>
          </w:rPr>
          <w:t>http://dx.doi.org/10.2522/ptj.20080234</w:t>
        </w:r>
      </w:hyperlink>
    </w:p>
    <w:p w:rsidR="00375C39" w:rsidRDefault="00375C39" w:rsidP="00375C39">
      <w:pPr>
        <w:spacing w:after="160" w:line="259" w:lineRule="auto"/>
        <w:rPr>
          <w:rFonts w:ascii="Arial" w:hAnsi="Arial" w:cs="Arial"/>
          <w:lang w:val="en-US"/>
        </w:rPr>
      </w:pPr>
    </w:p>
    <w:p w:rsidR="00375C39" w:rsidRPr="00531D5C" w:rsidRDefault="00375C39" w:rsidP="00375C39">
      <w:pPr>
        <w:spacing w:after="160" w:line="259" w:lineRule="auto"/>
        <w:rPr>
          <w:rFonts w:ascii="Arial" w:hAnsi="Arial" w:cs="Arial"/>
          <w:lang w:val="en-US"/>
        </w:rPr>
      </w:pPr>
      <w:r w:rsidRPr="00531D5C">
        <w:rPr>
          <w:rFonts w:ascii="Arial" w:hAnsi="Arial" w:cs="Arial"/>
          <w:lang w:val="en-US"/>
        </w:rPr>
        <w:t>Kyte DG,</w:t>
      </w:r>
      <w:r w:rsidRPr="00531D5C">
        <w:rPr>
          <w:rFonts w:ascii="Arial" w:hAnsi="Arial" w:cs="Arial"/>
        </w:rPr>
        <w:t xml:space="preserve"> </w:t>
      </w:r>
      <w:r w:rsidRPr="00531D5C">
        <w:rPr>
          <w:rFonts w:ascii="Arial" w:hAnsi="Arial" w:cs="Arial"/>
          <w:lang w:val="en-US"/>
        </w:rPr>
        <w:t>Calvert M, van der Wees PJ, ten Hove R, Tolan S, Hill JC</w:t>
      </w:r>
      <w:r>
        <w:rPr>
          <w:rFonts w:ascii="Arial" w:hAnsi="Arial" w:cs="Arial"/>
          <w:lang w:val="en-US"/>
        </w:rPr>
        <w:t xml:space="preserve">  </w:t>
      </w:r>
      <w:r w:rsidRPr="00531D5C">
        <w:rPr>
          <w:rFonts w:ascii="Arial" w:hAnsi="Arial" w:cs="Arial"/>
          <w:lang w:val="en-US"/>
        </w:rPr>
        <w:t>2015</w:t>
      </w:r>
      <w:r>
        <w:rPr>
          <w:rFonts w:ascii="Arial" w:hAnsi="Arial" w:cs="Arial"/>
          <w:lang w:val="en-US"/>
        </w:rPr>
        <w:t xml:space="preserve">  </w:t>
      </w:r>
      <w:r w:rsidRPr="00531D5C">
        <w:rPr>
          <w:rFonts w:ascii="Arial" w:hAnsi="Arial" w:cs="Arial"/>
          <w:lang w:val="en-US"/>
        </w:rPr>
        <w:t xml:space="preserve">An introduction to patient-reported outcome measures (PROMs) in physiotherapy.  Physiotherapy 101:119–125.  </w:t>
      </w:r>
      <w:hyperlink r:id="rId15" w:history="1">
        <w:r w:rsidRPr="00531D5C">
          <w:rPr>
            <w:rFonts w:ascii="Arial" w:hAnsi="Arial" w:cs="Arial"/>
            <w:color w:val="0563C1" w:themeColor="hyperlink"/>
            <w:u w:val="single"/>
            <w:lang w:val="en-US"/>
          </w:rPr>
          <w:t>http://dx.doi.org/10.1016/j.physio.2014.11.003</w:t>
        </w:r>
      </w:hyperlink>
    </w:p>
    <w:p w:rsidR="00375C39" w:rsidRDefault="00375C39" w:rsidP="00375C39">
      <w:pPr>
        <w:spacing w:after="160" w:line="259" w:lineRule="auto"/>
        <w:rPr>
          <w:rFonts w:ascii="Arial" w:hAnsi="Arial" w:cs="Arial"/>
          <w:lang w:val="en-US"/>
        </w:rPr>
      </w:pPr>
    </w:p>
    <w:p w:rsidR="00375C39" w:rsidRPr="00531D5C" w:rsidRDefault="00375C39" w:rsidP="00375C39">
      <w:pPr>
        <w:spacing w:after="160" w:line="259" w:lineRule="auto"/>
        <w:rPr>
          <w:rFonts w:ascii="Arial" w:hAnsi="Arial" w:cs="Arial"/>
          <w:lang w:val="en-US"/>
        </w:rPr>
      </w:pPr>
      <w:r w:rsidRPr="00531D5C">
        <w:rPr>
          <w:rFonts w:ascii="Arial" w:hAnsi="Arial" w:cs="Arial"/>
          <w:lang w:val="en-US"/>
        </w:rPr>
        <w:t xml:space="preserve">Sarigiovannis P, Porter I, Beardmore  2017   Producing a data-inputting and analysis calculator to facilitate the implementation and standardisation of outcome measures in a community physiotherapy service. Physiotherapy 103, Supplement 1, p e126.  </w:t>
      </w:r>
      <w:hyperlink r:id="rId16" w:history="1">
        <w:r w:rsidRPr="00531D5C">
          <w:rPr>
            <w:rFonts w:ascii="Arial" w:hAnsi="Arial" w:cs="Arial"/>
            <w:color w:val="0563C1" w:themeColor="hyperlink"/>
            <w:u w:val="single"/>
            <w:lang w:val="en-US"/>
          </w:rPr>
          <w:t>https://doi.org/10.1016/j.physio.2017.11.111</w:t>
        </w:r>
      </w:hyperlink>
    </w:p>
    <w:p w:rsidR="00375C39" w:rsidRDefault="00375C39" w:rsidP="00375C39">
      <w:pPr>
        <w:spacing w:after="160" w:line="259" w:lineRule="auto"/>
        <w:rPr>
          <w:rFonts w:ascii="Arial" w:hAnsi="Arial" w:cs="Arial"/>
          <w:lang w:val="en-US"/>
        </w:rPr>
      </w:pPr>
    </w:p>
    <w:p w:rsidR="00375C39" w:rsidRPr="00531D5C" w:rsidRDefault="00375C39" w:rsidP="00375C39">
      <w:pPr>
        <w:spacing w:after="160" w:line="259" w:lineRule="auto"/>
        <w:rPr>
          <w:rFonts w:ascii="Arial" w:hAnsi="Arial" w:cs="Arial"/>
          <w:lang w:val="en-US"/>
        </w:rPr>
      </w:pPr>
      <w:r w:rsidRPr="00531D5C">
        <w:rPr>
          <w:rFonts w:ascii="Arial" w:hAnsi="Arial" w:cs="Arial"/>
          <w:lang w:val="en-US"/>
        </w:rPr>
        <w:t>Swinkels RAH, van Peppen RPS, Wittink H,</w:t>
      </w:r>
      <w:r>
        <w:rPr>
          <w:rFonts w:ascii="Arial" w:hAnsi="Arial" w:cs="Arial"/>
          <w:lang w:val="en-US"/>
        </w:rPr>
        <w:t xml:space="preserve"> Custers JWH &amp; Beurskens AJH  </w:t>
      </w:r>
      <w:r w:rsidRPr="00531D5C">
        <w:rPr>
          <w:rFonts w:ascii="Arial" w:hAnsi="Arial" w:cs="Arial"/>
          <w:lang w:val="en-US"/>
        </w:rPr>
        <w:t xml:space="preserve">2011   Current use and barriers and facilitators for implementation of standardized measures in physical therapy in the Netherlands.  Swinkels et al. BMC Musculoskeletal Disorders 2011, 12:106 </w:t>
      </w:r>
      <w:hyperlink r:id="rId17" w:history="1">
        <w:r w:rsidRPr="00531D5C">
          <w:rPr>
            <w:rFonts w:ascii="Arial" w:hAnsi="Arial" w:cs="Arial"/>
            <w:color w:val="0563C1" w:themeColor="hyperlink"/>
            <w:u w:val="single"/>
            <w:lang w:val="en-US"/>
          </w:rPr>
          <w:t>http://www.biomedcentral.com/1471-2474/12/106</w:t>
        </w:r>
      </w:hyperlink>
    </w:p>
    <w:p w:rsidR="00283C54" w:rsidRDefault="00283C54" w:rsidP="00283C54">
      <w:pPr>
        <w:spacing w:line="480" w:lineRule="auto"/>
        <w:rPr>
          <w:rFonts w:ascii="Arial" w:hAnsi="Arial" w:cs="Arial"/>
        </w:rPr>
      </w:pPr>
    </w:p>
    <w:p w:rsidR="00D03935" w:rsidRDefault="00D03935" w:rsidP="00283C54">
      <w:pPr>
        <w:spacing w:line="480" w:lineRule="auto"/>
        <w:jc w:val="center"/>
        <w:rPr>
          <w:rFonts w:ascii="Arial" w:hAnsi="Arial" w:cs="Arial"/>
          <w:b/>
        </w:rPr>
      </w:pPr>
      <w:r>
        <w:rPr>
          <w:rFonts w:ascii="Arial" w:hAnsi="Arial" w:cs="Arial"/>
          <w:b/>
        </w:rPr>
        <w:lastRenderedPageBreak/>
        <w:t>APPENDICES</w:t>
      </w:r>
    </w:p>
    <w:p w:rsidR="00D03935" w:rsidRPr="00814CB6" w:rsidRDefault="00814CB6" w:rsidP="00814CB6">
      <w:pPr>
        <w:spacing w:line="480" w:lineRule="auto"/>
        <w:jc w:val="center"/>
        <w:rPr>
          <w:rFonts w:ascii="Arial" w:hAnsi="Arial" w:cs="Arial"/>
          <w:b/>
        </w:rPr>
      </w:pPr>
      <w:r>
        <w:rPr>
          <w:rFonts w:ascii="Arial" w:hAnsi="Arial" w:cs="Arial"/>
          <w:b/>
        </w:rPr>
        <w:t>TABLES &amp; GRAPHS</w:t>
      </w:r>
    </w:p>
    <w:p w:rsidR="00D03935" w:rsidRPr="00386634" w:rsidRDefault="00D03935" w:rsidP="00D03935">
      <w:pPr>
        <w:spacing w:after="0" w:line="240" w:lineRule="auto"/>
        <w:jc w:val="both"/>
        <w:rPr>
          <w:rFonts w:ascii="Arial" w:eastAsia="Times New Roman" w:hAnsi="Arial" w:cs="Arial"/>
          <w:lang w:eastAsia="en-GB"/>
        </w:rPr>
      </w:pPr>
      <w:r w:rsidRPr="00386634">
        <w:rPr>
          <w:rFonts w:ascii="Arial" w:eastAsia="Times New Roman" w:hAnsi="Arial" w:cs="Arial"/>
          <w:b/>
          <w:lang w:eastAsia="en-GB"/>
        </w:rPr>
        <w:t>Table 1</w:t>
      </w:r>
      <w:r w:rsidR="00283C54">
        <w:rPr>
          <w:rFonts w:ascii="Arial" w:eastAsia="Times New Roman" w:hAnsi="Arial" w:cs="Arial"/>
          <w:b/>
          <w:lang w:eastAsia="en-GB"/>
        </w:rPr>
        <w:t>:</w:t>
      </w:r>
      <w:r w:rsidR="00283C54">
        <w:rPr>
          <w:rFonts w:ascii="Arial" w:eastAsia="Times New Roman" w:hAnsi="Arial" w:cs="Arial"/>
          <w:lang w:eastAsia="en-GB"/>
        </w:rPr>
        <w:t xml:space="preserve">  </w:t>
      </w:r>
      <w:r w:rsidRPr="00386634">
        <w:rPr>
          <w:rFonts w:ascii="Arial" w:eastAsia="Times New Roman" w:hAnsi="Arial" w:cs="Arial"/>
          <w:lang w:eastAsia="en-GB"/>
        </w:rPr>
        <w:t>Characteristics of respondents</w:t>
      </w:r>
    </w:p>
    <w:p w:rsidR="00D03935" w:rsidRPr="00386634" w:rsidRDefault="00D03935" w:rsidP="00D03935">
      <w:pPr>
        <w:spacing w:after="0" w:line="240" w:lineRule="auto"/>
        <w:rPr>
          <w:rFonts w:ascii="Arial" w:eastAsia="Times New Roman" w:hAnsi="Arial" w:cs="Arial"/>
          <w:lang w:eastAsia="en-GB"/>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D03935" w:rsidRPr="00386634" w:rsidTr="00283C54">
        <w:tc>
          <w:tcPr>
            <w:tcW w:w="5098" w:type="dxa"/>
            <w:shd w:val="clear" w:color="auto" w:fill="CCCCCC"/>
          </w:tcPr>
          <w:p w:rsidR="00D03935" w:rsidRPr="00386634" w:rsidRDefault="00D03935" w:rsidP="00283C54">
            <w:pPr>
              <w:spacing w:after="0" w:line="360" w:lineRule="auto"/>
              <w:rPr>
                <w:rFonts w:ascii="Arial" w:eastAsia="Times New Roman" w:hAnsi="Arial" w:cs="Arial"/>
                <w:b/>
                <w:lang w:eastAsia="en-GB"/>
              </w:rPr>
            </w:pPr>
            <w:r w:rsidRPr="00386634">
              <w:rPr>
                <w:rFonts w:ascii="Arial" w:eastAsia="Times New Roman" w:hAnsi="Arial" w:cs="Arial"/>
                <w:b/>
                <w:lang w:eastAsia="en-GB"/>
              </w:rPr>
              <w:t>Characteristics</w:t>
            </w:r>
          </w:p>
        </w:tc>
        <w:tc>
          <w:tcPr>
            <w:tcW w:w="2127" w:type="dxa"/>
            <w:shd w:val="clear" w:color="auto" w:fill="CCCCCC"/>
          </w:tcPr>
          <w:p w:rsidR="00D03935" w:rsidRPr="00386634" w:rsidRDefault="00D03935" w:rsidP="00283C54">
            <w:pPr>
              <w:spacing w:after="0" w:line="360" w:lineRule="auto"/>
              <w:rPr>
                <w:rFonts w:ascii="Arial" w:eastAsia="Times New Roman" w:hAnsi="Arial" w:cs="Arial"/>
                <w:lang w:eastAsia="en-GB"/>
              </w:rPr>
            </w:pPr>
            <w:r w:rsidRPr="00386634">
              <w:rPr>
                <w:rFonts w:ascii="Arial" w:eastAsia="Times New Roman" w:hAnsi="Arial" w:cs="Arial"/>
                <w:b/>
                <w:lang w:eastAsia="en-GB"/>
              </w:rPr>
              <w:t>No of responses  (% of responses)</w:t>
            </w:r>
          </w:p>
        </w:tc>
      </w:tr>
      <w:tr w:rsidR="00D03935" w:rsidRPr="00386634" w:rsidTr="00283C54">
        <w:tc>
          <w:tcPr>
            <w:tcW w:w="5098" w:type="dxa"/>
            <w:shd w:val="clear" w:color="auto" w:fill="auto"/>
          </w:tcPr>
          <w:p w:rsidR="00D03935" w:rsidRPr="00386634" w:rsidRDefault="00D03935" w:rsidP="00283C54">
            <w:pPr>
              <w:spacing w:after="0" w:line="240" w:lineRule="auto"/>
              <w:rPr>
                <w:rFonts w:ascii="Arial" w:eastAsia="Times New Roman" w:hAnsi="Arial" w:cs="Arial"/>
                <w:b/>
                <w:color w:val="000000" w:themeColor="text1"/>
                <w:lang w:eastAsia="en-GB"/>
              </w:rPr>
            </w:pPr>
            <w:r w:rsidRPr="00386634">
              <w:rPr>
                <w:rFonts w:ascii="Arial" w:eastAsia="Times New Roman" w:hAnsi="Arial" w:cs="Arial"/>
                <w:b/>
                <w:color w:val="000000" w:themeColor="text1"/>
                <w:lang w:eastAsia="en-GB"/>
              </w:rPr>
              <w:t>Occupation:</w:t>
            </w:r>
          </w:p>
          <w:p w:rsidR="00D03935" w:rsidRPr="00386634" w:rsidRDefault="00D03935" w:rsidP="00283C54">
            <w:pPr>
              <w:spacing w:after="0" w:line="240" w:lineRule="auto"/>
              <w:rPr>
                <w:rFonts w:ascii="Arial" w:eastAsia="Times New Roman" w:hAnsi="Arial" w:cs="Arial"/>
                <w:lang w:eastAsia="en-GB"/>
              </w:rPr>
            </w:pPr>
            <w:r w:rsidRPr="00386634">
              <w:rPr>
                <w:rFonts w:ascii="Arial" w:eastAsia="Times New Roman" w:hAnsi="Arial" w:cs="Arial"/>
                <w:lang w:eastAsia="en-GB"/>
              </w:rPr>
              <w:t>Physiotherapist</w:t>
            </w:r>
          </w:p>
          <w:p w:rsidR="00D03935" w:rsidRPr="00386634" w:rsidRDefault="00D03935" w:rsidP="00283C54">
            <w:pPr>
              <w:spacing w:after="0" w:line="240" w:lineRule="auto"/>
              <w:rPr>
                <w:rFonts w:ascii="Arial" w:eastAsia="Times New Roman" w:hAnsi="Arial" w:cs="Arial"/>
                <w:lang w:eastAsia="en-GB"/>
              </w:rPr>
            </w:pPr>
            <w:r>
              <w:rPr>
                <w:rFonts w:ascii="Arial" w:eastAsia="Times New Roman" w:hAnsi="Arial" w:cs="Arial"/>
                <w:lang w:eastAsia="en-GB"/>
              </w:rPr>
              <w:t>Other</w:t>
            </w:r>
          </w:p>
        </w:tc>
        <w:tc>
          <w:tcPr>
            <w:tcW w:w="2127" w:type="dxa"/>
            <w:shd w:val="clear" w:color="auto" w:fill="auto"/>
          </w:tcPr>
          <w:p w:rsidR="00D03935" w:rsidRDefault="00D03935" w:rsidP="00283C54">
            <w:pPr>
              <w:spacing w:after="0" w:line="240" w:lineRule="auto"/>
              <w:jc w:val="center"/>
              <w:rPr>
                <w:rFonts w:ascii="Arial" w:eastAsia="Times New Roman" w:hAnsi="Arial" w:cs="Arial"/>
                <w:lang w:eastAsia="en-GB"/>
              </w:rPr>
            </w:pPr>
          </w:p>
          <w:p w:rsidR="00D03935" w:rsidRDefault="00D03935" w:rsidP="00283C54">
            <w:pPr>
              <w:spacing w:after="0" w:line="240" w:lineRule="auto"/>
              <w:jc w:val="center"/>
              <w:rPr>
                <w:rFonts w:ascii="Arial" w:eastAsia="Times New Roman" w:hAnsi="Arial" w:cs="Arial"/>
                <w:lang w:eastAsia="en-GB"/>
              </w:rPr>
            </w:pPr>
            <w:r>
              <w:rPr>
                <w:rFonts w:ascii="Arial" w:eastAsia="Times New Roman" w:hAnsi="Arial" w:cs="Arial"/>
                <w:lang w:eastAsia="en-GB"/>
              </w:rPr>
              <w:t>31 (96.9%)</w:t>
            </w:r>
          </w:p>
          <w:p w:rsidR="00D03935" w:rsidRPr="00386634" w:rsidRDefault="00D03935" w:rsidP="00283C54">
            <w:pPr>
              <w:spacing w:after="0" w:line="240" w:lineRule="auto"/>
              <w:jc w:val="center"/>
              <w:rPr>
                <w:rFonts w:ascii="Arial" w:eastAsia="Times New Roman" w:hAnsi="Arial" w:cs="Arial"/>
                <w:lang w:eastAsia="en-GB"/>
              </w:rPr>
            </w:pPr>
            <w:r>
              <w:rPr>
                <w:rFonts w:ascii="Arial" w:eastAsia="Times New Roman" w:hAnsi="Arial" w:cs="Arial"/>
                <w:lang w:eastAsia="en-GB"/>
              </w:rPr>
              <w:t>1 (3.1%)</w:t>
            </w:r>
          </w:p>
        </w:tc>
      </w:tr>
      <w:tr w:rsidR="00D03935" w:rsidRPr="00386634" w:rsidTr="00283C54">
        <w:tc>
          <w:tcPr>
            <w:tcW w:w="5098" w:type="dxa"/>
            <w:shd w:val="clear" w:color="auto" w:fill="auto"/>
          </w:tcPr>
          <w:p w:rsidR="00D03935" w:rsidRPr="00386634" w:rsidRDefault="00D03935" w:rsidP="00283C54">
            <w:pPr>
              <w:spacing w:after="0" w:line="240" w:lineRule="auto"/>
              <w:rPr>
                <w:rFonts w:ascii="Arial" w:eastAsia="Times New Roman" w:hAnsi="Arial" w:cs="Arial"/>
                <w:b/>
                <w:lang w:eastAsia="en-GB"/>
              </w:rPr>
            </w:pPr>
            <w:r w:rsidRPr="00386634">
              <w:rPr>
                <w:rFonts w:ascii="Arial" w:eastAsia="Times New Roman" w:hAnsi="Arial" w:cs="Arial"/>
                <w:b/>
                <w:lang w:eastAsia="en-GB"/>
              </w:rPr>
              <w:t>Years qualified as physiotherapist</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10 years or more</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1-5 years</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5-10 years</w:t>
            </w:r>
          </w:p>
        </w:tc>
        <w:tc>
          <w:tcPr>
            <w:tcW w:w="2127" w:type="dxa"/>
            <w:shd w:val="clear" w:color="auto" w:fill="auto"/>
          </w:tcPr>
          <w:p w:rsidR="00D03935" w:rsidRDefault="00D03935" w:rsidP="00283C54">
            <w:pPr>
              <w:spacing w:after="0" w:line="240" w:lineRule="auto"/>
              <w:jc w:val="center"/>
              <w:rPr>
                <w:rFonts w:ascii="Arial" w:eastAsia="Times New Roman" w:hAnsi="Arial" w:cs="Arial"/>
                <w:lang w:eastAsia="en-GB"/>
              </w:rPr>
            </w:pP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25</w:t>
            </w:r>
            <w:r>
              <w:rPr>
                <w:rFonts w:ascii="Arial" w:eastAsia="Times New Roman" w:hAnsi="Arial" w:cs="Arial"/>
                <w:lang w:eastAsia="en-GB"/>
              </w:rPr>
              <w:t xml:space="preserve"> (80.6%)</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w:t>
            </w:r>
            <w:r>
              <w:rPr>
                <w:rFonts w:ascii="Arial" w:eastAsia="Times New Roman" w:hAnsi="Arial" w:cs="Arial"/>
                <w:lang w:eastAsia="en-GB"/>
              </w:rPr>
              <w:t xml:space="preserve"> (3.2%)</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5</w:t>
            </w:r>
            <w:r>
              <w:rPr>
                <w:rFonts w:ascii="Arial" w:eastAsia="Times New Roman" w:hAnsi="Arial" w:cs="Arial"/>
                <w:lang w:eastAsia="en-GB"/>
              </w:rPr>
              <w:t xml:space="preserve"> (16.1%)</w:t>
            </w:r>
          </w:p>
        </w:tc>
      </w:tr>
      <w:tr w:rsidR="00D03935" w:rsidRPr="00386634" w:rsidTr="00283C54">
        <w:tc>
          <w:tcPr>
            <w:tcW w:w="5098" w:type="dxa"/>
            <w:shd w:val="clear" w:color="auto" w:fill="auto"/>
          </w:tcPr>
          <w:p w:rsidR="00D03935" w:rsidRPr="00386634" w:rsidRDefault="00D03935" w:rsidP="00283C54">
            <w:pPr>
              <w:spacing w:after="0" w:line="240" w:lineRule="auto"/>
              <w:rPr>
                <w:rFonts w:ascii="Arial" w:eastAsia="Times New Roman" w:hAnsi="Arial" w:cs="Arial"/>
                <w:b/>
                <w:lang w:eastAsia="en-GB"/>
              </w:rPr>
            </w:pPr>
            <w:r w:rsidRPr="00386634">
              <w:rPr>
                <w:rFonts w:ascii="Arial" w:eastAsia="Times New Roman" w:hAnsi="Arial" w:cs="Arial"/>
                <w:b/>
                <w:lang w:eastAsia="en-GB"/>
              </w:rPr>
              <w:t>Highest qualification</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Diploma</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BSc</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Master module(s)</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Masters (MSc, MPhil, MBA)</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Post graduate Certificate</w:t>
            </w:r>
          </w:p>
          <w:p w:rsidR="00D03935" w:rsidRPr="00386634" w:rsidRDefault="00D03935" w:rsidP="00283C54">
            <w:pPr>
              <w:spacing w:after="0" w:line="240" w:lineRule="auto"/>
              <w:ind w:left="720"/>
              <w:rPr>
                <w:rFonts w:ascii="Arial" w:eastAsia="Times New Roman" w:hAnsi="Arial" w:cs="Arial"/>
                <w:lang w:eastAsia="en-GB"/>
              </w:rPr>
            </w:pPr>
            <w:r>
              <w:rPr>
                <w:rFonts w:ascii="Arial" w:eastAsia="Times New Roman" w:hAnsi="Arial" w:cs="Arial"/>
                <w:lang w:eastAsia="en-GB"/>
              </w:rPr>
              <w:t>PhD</w:t>
            </w:r>
          </w:p>
        </w:tc>
        <w:tc>
          <w:tcPr>
            <w:tcW w:w="2127" w:type="dxa"/>
            <w:shd w:val="clear" w:color="auto" w:fill="auto"/>
          </w:tcPr>
          <w:p w:rsidR="00D03935" w:rsidRPr="00386634" w:rsidRDefault="00D03935" w:rsidP="00283C54">
            <w:pPr>
              <w:spacing w:after="0" w:line="240" w:lineRule="auto"/>
              <w:jc w:val="center"/>
              <w:rPr>
                <w:rFonts w:ascii="Arial" w:eastAsia="Times New Roman" w:hAnsi="Arial" w:cs="Arial"/>
                <w:lang w:eastAsia="en-GB"/>
              </w:rPr>
            </w:pP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w:t>
            </w:r>
            <w:r>
              <w:rPr>
                <w:rFonts w:ascii="Arial" w:eastAsia="Times New Roman" w:hAnsi="Arial" w:cs="Arial"/>
                <w:lang w:eastAsia="en-GB"/>
              </w:rPr>
              <w:t xml:space="preserve"> (3.1%)</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8</w:t>
            </w:r>
            <w:r>
              <w:rPr>
                <w:rFonts w:ascii="Arial" w:eastAsia="Times New Roman" w:hAnsi="Arial" w:cs="Arial"/>
                <w:lang w:eastAsia="en-GB"/>
              </w:rPr>
              <w:t xml:space="preserve"> (25%)</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4</w:t>
            </w:r>
            <w:r>
              <w:rPr>
                <w:rFonts w:ascii="Arial" w:eastAsia="Times New Roman" w:hAnsi="Arial" w:cs="Arial"/>
                <w:lang w:eastAsia="en-GB"/>
              </w:rPr>
              <w:t xml:space="preserve"> (12.5%)</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17</w:t>
            </w:r>
            <w:r>
              <w:rPr>
                <w:rFonts w:ascii="Arial" w:eastAsia="Times New Roman" w:hAnsi="Arial" w:cs="Arial"/>
                <w:lang w:eastAsia="en-GB"/>
              </w:rPr>
              <w:t xml:space="preserve"> (53.1</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w:t>
            </w:r>
            <w:r>
              <w:rPr>
                <w:rFonts w:ascii="Arial" w:eastAsia="Times New Roman" w:hAnsi="Arial" w:cs="Arial"/>
                <w:lang w:eastAsia="en-GB"/>
              </w:rPr>
              <w:t xml:space="preserve"> (3.1%)</w:t>
            </w:r>
          </w:p>
          <w:p w:rsidR="00D03935" w:rsidRPr="00386634" w:rsidRDefault="00D03935" w:rsidP="00283C54">
            <w:pPr>
              <w:spacing w:after="0" w:line="240" w:lineRule="auto"/>
              <w:jc w:val="center"/>
              <w:rPr>
                <w:rFonts w:ascii="Arial" w:eastAsia="Times New Roman" w:hAnsi="Arial" w:cs="Arial"/>
                <w:lang w:eastAsia="en-GB"/>
              </w:rPr>
            </w:pPr>
            <w:r>
              <w:rPr>
                <w:rFonts w:ascii="Arial" w:eastAsia="Times New Roman" w:hAnsi="Arial" w:cs="Arial"/>
                <w:lang w:eastAsia="en-GB"/>
              </w:rPr>
              <w:t>1 (3.1%)</w:t>
            </w:r>
          </w:p>
        </w:tc>
      </w:tr>
      <w:tr w:rsidR="00D03935" w:rsidRPr="00386634" w:rsidTr="00283C54">
        <w:tc>
          <w:tcPr>
            <w:tcW w:w="5098" w:type="dxa"/>
            <w:shd w:val="clear" w:color="auto" w:fill="auto"/>
          </w:tcPr>
          <w:p w:rsidR="00D03935" w:rsidRPr="00386634" w:rsidRDefault="00D03935" w:rsidP="00283C54">
            <w:pPr>
              <w:spacing w:after="0" w:line="240" w:lineRule="auto"/>
              <w:rPr>
                <w:rFonts w:ascii="Arial" w:eastAsia="Times New Roman" w:hAnsi="Arial" w:cs="Arial"/>
                <w:b/>
                <w:lang w:eastAsia="en-GB"/>
              </w:rPr>
            </w:pPr>
            <w:r w:rsidRPr="00386634">
              <w:rPr>
                <w:rFonts w:ascii="Arial" w:eastAsia="Times New Roman" w:hAnsi="Arial" w:cs="Arial"/>
                <w:b/>
                <w:lang w:eastAsia="en-GB"/>
              </w:rPr>
              <w:t>Post</w:t>
            </w:r>
            <w:r>
              <w:rPr>
                <w:rFonts w:ascii="Arial" w:eastAsia="Times New Roman" w:hAnsi="Arial" w:cs="Arial"/>
                <w:b/>
                <w:lang w:eastAsia="en-GB"/>
              </w:rPr>
              <w:t xml:space="preserve"> description</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Clinical</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Clinical academic</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Clinical and managerial</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Managerial</w:t>
            </w:r>
          </w:p>
          <w:p w:rsidR="00D03935" w:rsidRPr="00386634" w:rsidRDefault="00D03935" w:rsidP="00283C54">
            <w:pPr>
              <w:spacing w:after="0" w:line="240" w:lineRule="auto"/>
              <w:ind w:left="720"/>
              <w:rPr>
                <w:rFonts w:ascii="Arial" w:eastAsia="Times New Roman" w:hAnsi="Arial" w:cs="Arial"/>
                <w:lang w:eastAsia="en-GB"/>
              </w:rPr>
            </w:pPr>
            <w:r>
              <w:rPr>
                <w:rFonts w:ascii="Arial" w:eastAsia="Times New Roman" w:hAnsi="Arial" w:cs="Arial"/>
                <w:lang w:eastAsia="en-GB"/>
              </w:rPr>
              <w:t>Other (Service improvement)</w:t>
            </w:r>
          </w:p>
        </w:tc>
        <w:tc>
          <w:tcPr>
            <w:tcW w:w="2127" w:type="dxa"/>
            <w:shd w:val="clear" w:color="auto" w:fill="auto"/>
          </w:tcPr>
          <w:p w:rsidR="00D03935" w:rsidRPr="00386634" w:rsidRDefault="00D03935" w:rsidP="00283C54">
            <w:pPr>
              <w:spacing w:after="0" w:line="240" w:lineRule="auto"/>
              <w:jc w:val="center"/>
              <w:rPr>
                <w:rFonts w:ascii="Arial" w:eastAsia="Times New Roman" w:hAnsi="Arial" w:cs="Arial"/>
                <w:lang w:eastAsia="en-GB"/>
              </w:rPr>
            </w:pP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15</w:t>
            </w:r>
            <w:r>
              <w:rPr>
                <w:rFonts w:ascii="Arial" w:eastAsia="Times New Roman" w:hAnsi="Arial" w:cs="Arial"/>
                <w:lang w:eastAsia="en-GB"/>
              </w:rPr>
              <w:t xml:space="preserve"> (46.9%)</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w:t>
            </w:r>
            <w:r>
              <w:rPr>
                <w:rFonts w:ascii="Arial" w:eastAsia="Times New Roman" w:hAnsi="Arial" w:cs="Arial"/>
                <w:lang w:eastAsia="en-GB"/>
              </w:rPr>
              <w:t xml:space="preserve"> (3.1%)</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8</w:t>
            </w:r>
            <w:r>
              <w:rPr>
                <w:rFonts w:ascii="Arial" w:eastAsia="Times New Roman" w:hAnsi="Arial" w:cs="Arial"/>
                <w:lang w:eastAsia="en-GB"/>
              </w:rPr>
              <w:t xml:space="preserve"> (25%)</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7</w:t>
            </w:r>
            <w:r>
              <w:rPr>
                <w:rFonts w:ascii="Arial" w:eastAsia="Times New Roman" w:hAnsi="Arial" w:cs="Arial"/>
                <w:lang w:eastAsia="en-GB"/>
              </w:rPr>
              <w:t xml:space="preserve"> (21.9%)</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w:t>
            </w:r>
            <w:r>
              <w:rPr>
                <w:rFonts w:ascii="Arial" w:eastAsia="Times New Roman" w:hAnsi="Arial" w:cs="Arial"/>
                <w:lang w:eastAsia="en-GB"/>
              </w:rPr>
              <w:t xml:space="preserve"> (3.1%)</w:t>
            </w:r>
          </w:p>
        </w:tc>
      </w:tr>
      <w:tr w:rsidR="00D03935" w:rsidRPr="00386634" w:rsidTr="00283C54">
        <w:tc>
          <w:tcPr>
            <w:tcW w:w="5098" w:type="dxa"/>
            <w:shd w:val="clear" w:color="auto" w:fill="auto"/>
          </w:tcPr>
          <w:p w:rsidR="00D03935" w:rsidRPr="00386634" w:rsidRDefault="00D03935" w:rsidP="00283C54">
            <w:pPr>
              <w:spacing w:after="0" w:line="240" w:lineRule="auto"/>
              <w:rPr>
                <w:rFonts w:ascii="Arial" w:eastAsia="Times New Roman" w:hAnsi="Arial" w:cs="Arial"/>
                <w:b/>
                <w:lang w:eastAsia="en-GB"/>
              </w:rPr>
            </w:pPr>
            <w:r w:rsidRPr="00386634">
              <w:rPr>
                <w:rFonts w:ascii="Arial" w:eastAsia="Times New Roman" w:hAnsi="Arial" w:cs="Arial"/>
                <w:b/>
                <w:lang w:eastAsia="en-GB"/>
              </w:rPr>
              <w:t>Clinical setting</w:t>
            </w:r>
          </w:p>
          <w:p w:rsidR="00D03935" w:rsidRPr="00386634" w:rsidRDefault="00D03935" w:rsidP="00283C54">
            <w:pPr>
              <w:spacing w:after="0" w:line="240" w:lineRule="auto"/>
              <w:ind w:left="720"/>
              <w:rPr>
                <w:rFonts w:ascii="Arial" w:eastAsia="Times New Roman" w:hAnsi="Arial" w:cs="Arial"/>
                <w:lang w:eastAsia="en-GB"/>
              </w:rPr>
            </w:pPr>
            <w:r w:rsidRPr="00386634">
              <w:rPr>
                <w:rFonts w:ascii="Arial" w:eastAsia="Times New Roman" w:hAnsi="Arial" w:cs="Arial"/>
                <w:lang w:eastAsia="en-GB"/>
              </w:rPr>
              <w:t>Primary/Community Care</w:t>
            </w:r>
          </w:p>
          <w:p w:rsidR="00D03935" w:rsidRPr="00386634" w:rsidRDefault="00D03935" w:rsidP="00283C54">
            <w:pPr>
              <w:spacing w:after="0" w:line="240" w:lineRule="auto"/>
              <w:ind w:left="720"/>
              <w:rPr>
                <w:rFonts w:ascii="Arial" w:eastAsia="Times New Roman" w:hAnsi="Arial" w:cs="Arial"/>
                <w:lang w:eastAsia="en-GB"/>
              </w:rPr>
            </w:pPr>
            <w:r>
              <w:rPr>
                <w:rFonts w:ascii="Arial" w:eastAsia="Times New Roman" w:hAnsi="Arial" w:cs="Arial"/>
                <w:lang w:eastAsia="en-GB"/>
              </w:rPr>
              <w:t>Secondary Care</w:t>
            </w:r>
          </w:p>
        </w:tc>
        <w:tc>
          <w:tcPr>
            <w:tcW w:w="2127" w:type="dxa"/>
            <w:shd w:val="clear" w:color="auto" w:fill="auto"/>
          </w:tcPr>
          <w:p w:rsidR="00D03935" w:rsidRPr="00386634" w:rsidRDefault="00D03935" w:rsidP="00283C54">
            <w:pPr>
              <w:spacing w:after="0" w:line="240" w:lineRule="auto"/>
              <w:jc w:val="center"/>
              <w:rPr>
                <w:rFonts w:ascii="Arial" w:eastAsia="Times New Roman" w:hAnsi="Arial" w:cs="Arial"/>
                <w:lang w:eastAsia="en-GB"/>
              </w:rPr>
            </w:pP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22</w:t>
            </w:r>
            <w:r>
              <w:rPr>
                <w:rFonts w:ascii="Arial" w:eastAsia="Times New Roman" w:hAnsi="Arial" w:cs="Arial"/>
                <w:lang w:eastAsia="en-GB"/>
              </w:rPr>
              <w:t xml:space="preserve"> (</w:t>
            </w:r>
            <w:r w:rsidRPr="00164B20">
              <w:rPr>
                <w:rFonts w:ascii="Arial" w:eastAsia="Calibri" w:hAnsi="Arial" w:cs="Arial"/>
              </w:rPr>
              <w:t>68.9%</w:t>
            </w:r>
            <w:r>
              <w:rPr>
                <w:rFonts w:ascii="Arial" w:eastAsia="Calibri" w:hAnsi="Arial" w:cs="Arial"/>
              </w:rPr>
              <w:t>)</w:t>
            </w:r>
          </w:p>
          <w:p w:rsidR="00D03935" w:rsidRPr="00386634" w:rsidRDefault="00D03935" w:rsidP="00283C54">
            <w:pPr>
              <w:spacing w:after="0" w:line="240" w:lineRule="auto"/>
              <w:jc w:val="center"/>
              <w:rPr>
                <w:rFonts w:ascii="Arial" w:eastAsia="Times New Roman" w:hAnsi="Arial" w:cs="Arial"/>
                <w:lang w:eastAsia="en-GB"/>
              </w:rPr>
            </w:pPr>
            <w:r w:rsidRPr="00386634">
              <w:rPr>
                <w:rFonts w:ascii="Arial" w:eastAsia="Times New Roman" w:hAnsi="Arial" w:cs="Arial"/>
                <w:lang w:eastAsia="en-GB"/>
              </w:rPr>
              <w:t>10</w:t>
            </w:r>
            <w:r>
              <w:rPr>
                <w:rFonts w:ascii="Arial" w:eastAsia="Times New Roman" w:hAnsi="Arial" w:cs="Arial"/>
                <w:lang w:eastAsia="en-GB"/>
              </w:rPr>
              <w:t xml:space="preserve"> (31.3%)</w:t>
            </w:r>
          </w:p>
        </w:tc>
      </w:tr>
    </w:tbl>
    <w:p w:rsidR="00D03935" w:rsidRPr="00386634" w:rsidRDefault="00D03935" w:rsidP="00D03935">
      <w:pPr>
        <w:spacing w:after="0" w:line="360" w:lineRule="auto"/>
        <w:jc w:val="both"/>
        <w:rPr>
          <w:rFonts w:ascii="Arial" w:eastAsia="Times New Roman" w:hAnsi="Arial" w:cs="Arial"/>
          <w:b/>
          <w:lang w:eastAsia="en-GB"/>
        </w:rPr>
      </w:pPr>
    </w:p>
    <w:p w:rsidR="00D03935" w:rsidRDefault="00D03935" w:rsidP="00D03935">
      <w:pPr>
        <w:spacing w:after="0" w:line="360" w:lineRule="auto"/>
        <w:jc w:val="both"/>
        <w:rPr>
          <w:rFonts w:ascii="Arial" w:eastAsia="Times New Roman" w:hAnsi="Arial" w:cs="Arial"/>
          <w:b/>
          <w:lang w:eastAsia="en-GB"/>
        </w:rPr>
      </w:pPr>
    </w:p>
    <w:p w:rsidR="00104253" w:rsidRDefault="00104253" w:rsidP="00D03935">
      <w:pPr>
        <w:spacing w:after="0" w:line="360" w:lineRule="auto"/>
        <w:jc w:val="both"/>
        <w:rPr>
          <w:rFonts w:ascii="Arial" w:eastAsia="Times New Roman" w:hAnsi="Arial" w:cs="Arial"/>
          <w:b/>
          <w:lang w:eastAsia="en-GB"/>
        </w:rPr>
      </w:pPr>
    </w:p>
    <w:p w:rsidR="00104253" w:rsidRDefault="00104253" w:rsidP="00D03935">
      <w:pPr>
        <w:spacing w:after="0" w:line="360" w:lineRule="auto"/>
        <w:jc w:val="both"/>
        <w:rPr>
          <w:rFonts w:ascii="Arial" w:eastAsia="Times New Roman" w:hAnsi="Arial" w:cs="Arial"/>
          <w:b/>
          <w:lang w:eastAsia="en-GB"/>
        </w:rPr>
      </w:pPr>
    </w:p>
    <w:p w:rsidR="00104253" w:rsidRDefault="00104253" w:rsidP="00D03935">
      <w:pPr>
        <w:spacing w:after="0" w:line="360" w:lineRule="auto"/>
        <w:jc w:val="both"/>
        <w:rPr>
          <w:rFonts w:ascii="Arial" w:eastAsia="Times New Roman" w:hAnsi="Arial" w:cs="Arial"/>
          <w:b/>
          <w:lang w:eastAsia="en-GB"/>
        </w:rPr>
      </w:pPr>
    </w:p>
    <w:p w:rsidR="00104253" w:rsidRDefault="00104253" w:rsidP="00D03935">
      <w:pPr>
        <w:spacing w:after="0" w:line="360" w:lineRule="auto"/>
        <w:jc w:val="both"/>
        <w:rPr>
          <w:rFonts w:ascii="Arial" w:eastAsia="Times New Roman" w:hAnsi="Arial" w:cs="Arial"/>
          <w:b/>
          <w:lang w:eastAsia="en-GB"/>
        </w:rPr>
      </w:pPr>
    </w:p>
    <w:p w:rsidR="00C727C5" w:rsidRDefault="00C727C5" w:rsidP="00D03935">
      <w:pPr>
        <w:spacing w:after="0" w:line="360" w:lineRule="auto"/>
        <w:jc w:val="both"/>
        <w:rPr>
          <w:rFonts w:ascii="Arial" w:eastAsia="Times New Roman" w:hAnsi="Arial" w:cs="Arial"/>
          <w:b/>
          <w:lang w:eastAsia="en-GB"/>
        </w:rPr>
      </w:pPr>
    </w:p>
    <w:p w:rsidR="00C727C5" w:rsidRDefault="00C727C5" w:rsidP="00D03935">
      <w:pPr>
        <w:spacing w:after="0" w:line="360" w:lineRule="auto"/>
        <w:jc w:val="both"/>
        <w:rPr>
          <w:rFonts w:ascii="Arial" w:eastAsia="Times New Roman" w:hAnsi="Arial" w:cs="Arial"/>
          <w:b/>
          <w:lang w:eastAsia="en-GB"/>
        </w:rPr>
      </w:pPr>
    </w:p>
    <w:p w:rsidR="00C727C5" w:rsidRDefault="00C727C5" w:rsidP="00D03935">
      <w:pPr>
        <w:spacing w:after="0" w:line="360" w:lineRule="auto"/>
        <w:jc w:val="both"/>
        <w:rPr>
          <w:rFonts w:ascii="Arial" w:eastAsia="Times New Roman" w:hAnsi="Arial" w:cs="Arial"/>
          <w:b/>
          <w:lang w:eastAsia="en-GB"/>
        </w:rPr>
      </w:pPr>
    </w:p>
    <w:p w:rsidR="00C727C5" w:rsidRDefault="00C727C5" w:rsidP="00D03935">
      <w:pPr>
        <w:spacing w:after="0" w:line="360" w:lineRule="auto"/>
        <w:jc w:val="both"/>
        <w:rPr>
          <w:rFonts w:ascii="Arial" w:eastAsia="Times New Roman" w:hAnsi="Arial" w:cs="Arial"/>
          <w:b/>
          <w:lang w:eastAsia="en-GB"/>
        </w:rPr>
      </w:pPr>
    </w:p>
    <w:p w:rsidR="00104253" w:rsidRDefault="00104253" w:rsidP="00D03935">
      <w:pPr>
        <w:spacing w:after="0" w:line="360" w:lineRule="auto"/>
        <w:jc w:val="both"/>
        <w:rPr>
          <w:rFonts w:ascii="Arial" w:eastAsia="Times New Roman" w:hAnsi="Arial" w:cs="Arial"/>
          <w:b/>
          <w:lang w:eastAsia="en-GB"/>
        </w:rPr>
      </w:pPr>
    </w:p>
    <w:p w:rsidR="00610FA2" w:rsidRDefault="00610FA2" w:rsidP="00D03935">
      <w:pPr>
        <w:rPr>
          <w:rFonts w:ascii="Arial" w:eastAsia="Times New Roman" w:hAnsi="Arial" w:cs="Arial"/>
          <w:b/>
          <w:lang w:eastAsia="en-GB"/>
        </w:rPr>
      </w:pPr>
    </w:p>
    <w:p w:rsidR="00D03935" w:rsidRDefault="00824A08" w:rsidP="00D03935">
      <w:pPr>
        <w:rPr>
          <w:b/>
          <w:lang w:val="en-US"/>
        </w:rPr>
      </w:pPr>
      <w:r>
        <w:rPr>
          <w:b/>
        </w:rPr>
        <w:lastRenderedPageBreak/>
        <w:t xml:space="preserve">Figure </w:t>
      </w:r>
      <w:r w:rsidR="00D03935">
        <w:rPr>
          <w:b/>
          <w:lang w:val="en-US"/>
        </w:rPr>
        <w:t xml:space="preserve">1:  </w:t>
      </w:r>
      <w:r w:rsidR="00D03935" w:rsidRPr="00B04EA0">
        <w:rPr>
          <w:b/>
          <w:lang w:val="en-US"/>
        </w:rPr>
        <w:t>How much ha</w:t>
      </w:r>
      <w:r w:rsidR="00D03935">
        <w:rPr>
          <w:b/>
          <w:lang w:val="en-US"/>
        </w:rPr>
        <w:t xml:space="preserve">s the MSK HQ calculator helped </w:t>
      </w:r>
      <w:r w:rsidR="00D03935" w:rsidRPr="00B04EA0">
        <w:rPr>
          <w:b/>
          <w:lang w:val="en-US"/>
        </w:rPr>
        <w:t>you implement the MSK HQ outcome measure?</w:t>
      </w:r>
      <w:r w:rsidR="00D03935">
        <w:rPr>
          <w:b/>
          <w:lang w:val="en-US"/>
        </w:rPr>
        <w:t xml:space="preserve">  (1= little, 5=a lot)</w:t>
      </w:r>
    </w:p>
    <w:p w:rsidR="00D03935" w:rsidRDefault="00D03935" w:rsidP="00D03935">
      <w:pPr>
        <w:spacing w:line="360" w:lineRule="auto"/>
        <w:jc w:val="both"/>
        <w:rPr>
          <w:b/>
        </w:rPr>
      </w:pPr>
    </w:p>
    <w:p w:rsidR="00D03935" w:rsidRDefault="00D03935" w:rsidP="00D03935">
      <w:pPr>
        <w:spacing w:line="360" w:lineRule="auto"/>
        <w:jc w:val="both"/>
        <w:rPr>
          <w:b/>
        </w:rPr>
      </w:pPr>
      <w:r>
        <w:rPr>
          <w:noProof/>
          <w:lang w:eastAsia="en-GB"/>
        </w:rPr>
        <w:drawing>
          <wp:inline distT="0" distB="0" distL="0" distR="0" wp14:anchorId="5039B22C" wp14:editId="799B0C94">
            <wp:extent cx="4572000" cy="2857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3935" w:rsidRDefault="00D03935" w:rsidP="00D03935">
      <w:pPr>
        <w:rPr>
          <w:b/>
          <w:lang w:val="en-US"/>
        </w:rPr>
      </w:pPr>
    </w:p>
    <w:p w:rsidR="00D03935" w:rsidRPr="00B8125A" w:rsidRDefault="00824A08" w:rsidP="00D03935">
      <w:pPr>
        <w:rPr>
          <w:b/>
          <w:lang w:val="en-US"/>
        </w:rPr>
      </w:pPr>
      <w:r>
        <w:rPr>
          <w:b/>
          <w:lang w:val="en-US"/>
        </w:rPr>
        <w:t xml:space="preserve">Figure </w:t>
      </w:r>
      <w:r w:rsidR="00D03935">
        <w:rPr>
          <w:b/>
          <w:lang w:val="en-US"/>
        </w:rPr>
        <w:t xml:space="preserve">2:  </w:t>
      </w:r>
      <w:r w:rsidR="00D03935" w:rsidRPr="00B8125A">
        <w:rPr>
          <w:b/>
          <w:lang w:val="en-US"/>
        </w:rPr>
        <w:t>Would you find it useful to have a similar calculator for other outcome measures that you use?  (1= very useful, 5= no useful at all)</w:t>
      </w:r>
    </w:p>
    <w:p w:rsidR="00D03935" w:rsidRPr="00A106EF" w:rsidRDefault="00D03935" w:rsidP="00A106EF">
      <w:pPr>
        <w:rPr>
          <w:b/>
          <w:lang w:val="en-US"/>
        </w:rPr>
      </w:pPr>
      <w:r>
        <w:rPr>
          <w:noProof/>
          <w:lang w:eastAsia="en-GB"/>
        </w:rPr>
        <w:drawing>
          <wp:inline distT="0" distB="0" distL="0" distR="0" wp14:anchorId="38DB9243" wp14:editId="4DAE09A8">
            <wp:extent cx="4572000"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D03935" w:rsidRPr="00A106EF" w:rsidSect="00B76E14">
      <w:footerReference w:type="default" r:id="rId2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20" w:rsidRDefault="007B4E20" w:rsidP="004B639D">
      <w:pPr>
        <w:spacing w:after="0" w:line="240" w:lineRule="auto"/>
      </w:pPr>
      <w:r>
        <w:separator/>
      </w:r>
    </w:p>
  </w:endnote>
  <w:endnote w:type="continuationSeparator" w:id="0">
    <w:p w:rsidR="007B4E20" w:rsidRDefault="007B4E20" w:rsidP="004B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9D" w:rsidRDefault="00571C9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E054C">
      <w:rPr>
        <w:caps/>
        <w:noProof/>
        <w:color w:val="4472C4" w:themeColor="accent1"/>
      </w:rPr>
      <w:t>7</w:t>
    </w:r>
    <w:r>
      <w:rPr>
        <w:caps/>
        <w:noProof/>
        <w:color w:val="4472C4" w:themeColor="accent1"/>
      </w:rPr>
      <w:fldChar w:fldCharType="end"/>
    </w:r>
  </w:p>
  <w:p w:rsidR="00571C9D" w:rsidRDefault="00571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20" w:rsidRDefault="007B4E20" w:rsidP="004B639D">
      <w:pPr>
        <w:spacing w:after="0" w:line="240" w:lineRule="auto"/>
      </w:pPr>
      <w:r>
        <w:separator/>
      </w:r>
    </w:p>
  </w:footnote>
  <w:footnote w:type="continuationSeparator" w:id="0">
    <w:p w:rsidR="007B4E20" w:rsidRDefault="007B4E20" w:rsidP="004B6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B2151"/>
    <w:multiLevelType w:val="hybridMultilevel"/>
    <w:tmpl w:val="32487206"/>
    <w:lvl w:ilvl="0" w:tplc="3E28EC2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6B42216F"/>
    <w:multiLevelType w:val="hybridMultilevel"/>
    <w:tmpl w:val="2536E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E3424"/>
    <w:multiLevelType w:val="hybridMultilevel"/>
    <w:tmpl w:val="12A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9228E"/>
    <w:multiLevelType w:val="hybridMultilevel"/>
    <w:tmpl w:val="404C0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04"/>
    <w:rsid w:val="000127E5"/>
    <w:rsid w:val="00022AF7"/>
    <w:rsid w:val="00025FB1"/>
    <w:rsid w:val="00033269"/>
    <w:rsid w:val="000432E5"/>
    <w:rsid w:val="000A2029"/>
    <w:rsid w:val="000D2121"/>
    <w:rsid w:val="000E539B"/>
    <w:rsid w:val="001004AD"/>
    <w:rsid w:val="00104253"/>
    <w:rsid w:val="001044B5"/>
    <w:rsid w:val="00107356"/>
    <w:rsid w:val="001208C8"/>
    <w:rsid w:val="0012494A"/>
    <w:rsid w:val="00160CB6"/>
    <w:rsid w:val="001640BD"/>
    <w:rsid w:val="0017678F"/>
    <w:rsid w:val="00182A41"/>
    <w:rsid w:val="00187711"/>
    <w:rsid w:val="001A168C"/>
    <w:rsid w:val="001B698B"/>
    <w:rsid w:val="001C11D8"/>
    <w:rsid w:val="001C64AE"/>
    <w:rsid w:val="001E5EC2"/>
    <w:rsid w:val="00230E95"/>
    <w:rsid w:val="002402C3"/>
    <w:rsid w:val="00245916"/>
    <w:rsid w:val="00260827"/>
    <w:rsid w:val="00283C54"/>
    <w:rsid w:val="002A1FB9"/>
    <w:rsid w:val="002A66D4"/>
    <w:rsid w:val="002A7813"/>
    <w:rsid w:val="002D09B5"/>
    <w:rsid w:val="00367BB5"/>
    <w:rsid w:val="00370BEF"/>
    <w:rsid w:val="00375C39"/>
    <w:rsid w:val="0038692E"/>
    <w:rsid w:val="00392E99"/>
    <w:rsid w:val="00397B2B"/>
    <w:rsid w:val="003B2DCA"/>
    <w:rsid w:val="003B5457"/>
    <w:rsid w:val="003B54A6"/>
    <w:rsid w:val="003C078F"/>
    <w:rsid w:val="003D59DE"/>
    <w:rsid w:val="00400AEC"/>
    <w:rsid w:val="0043349D"/>
    <w:rsid w:val="00447D9E"/>
    <w:rsid w:val="004535B0"/>
    <w:rsid w:val="00467584"/>
    <w:rsid w:val="00467F0E"/>
    <w:rsid w:val="00470DCF"/>
    <w:rsid w:val="00490E00"/>
    <w:rsid w:val="004B639D"/>
    <w:rsid w:val="004C5188"/>
    <w:rsid w:val="004E554E"/>
    <w:rsid w:val="004E7871"/>
    <w:rsid w:val="00512CFE"/>
    <w:rsid w:val="00514865"/>
    <w:rsid w:val="00531D5C"/>
    <w:rsid w:val="005525F5"/>
    <w:rsid w:val="005550A9"/>
    <w:rsid w:val="00556476"/>
    <w:rsid w:val="005668E9"/>
    <w:rsid w:val="00571C9D"/>
    <w:rsid w:val="0058651D"/>
    <w:rsid w:val="005934F1"/>
    <w:rsid w:val="00597106"/>
    <w:rsid w:val="00597C50"/>
    <w:rsid w:val="005A5480"/>
    <w:rsid w:val="005E7A94"/>
    <w:rsid w:val="00604368"/>
    <w:rsid w:val="00610FA2"/>
    <w:rsid w:val="0063580D"/>
    <w:rsid w:val="00666CAB"/>
    <w:rsid w:val="006900ED"/>
    <w:rsid w:val="0069528E"/>
    <w:rsid w:val="006D25B9"/>
    <w:rsid w:val="00707DAF"/>
    <w:rsid w:val="007323C9"/>
    <w:rsid w:val="00743EF3"/>
    <w:rsid w:val="007541F4"/>
    <w:rsid w:val="00762A92"/>
    <w:rsid w:val="007922E7"/>
    <w:rsid w:val="007B2545"/>
    <w:rsid w:val="007B4E20"/>
    <w:rsid w:val="007B5D59"/>
    <w:rsid w:val="007F2EC8"/>
    <w:rsid w:val="00811258"/>
    <w:rsid w:val="00814CB6"/>
    <w:rsid w:val="00824A08"/>
    <w:rsid w:val="00851933"/>
    <w:rsid w:val="008558A8"/>
    <w:rsid w:val="0086234E"/>
    <w:rsid w:val="008731FB"/>
    <w:rsid w:val="00891458"/>
    <w:rsid w:val="008A337F"/>
    <w:rsid w:val="008A39B3"/>
    <w:rsid w:val="008B51A3"/>
    <w:rsid w:val="008B5F22"/>
    <w:rsid w:val="008C7F17"/>
    <w:rsid w:val="008D45B1"/>
    <w:rsid w:val="008F776B"/>
    <w:rsid w:val="00901B25"/>
    <w:rsid w:val="00904D93"/>
    <w:rsid w:val="00940CBA"/>
    <w:rsid w:val="00943451"/>
    <w:rsid w:val="00947144"/>
    <w:rsid w:val="00986FD2"/>
    <w:rsid w:val="009947AC"/>
    <w:rsid w:val="009D63D0"/>
    <w:rsid w:val="009E054C"/>
    <w:rsid w:val="00A045B7"/>
    <w:rsid w:val="00A106EF"/>
    <w:rsid w:val="00A125CC"/>
    <w:rsid w:val="00A25854"/>
    <w:rsid w:val="00A37470"/>
    <w:rsid w:val="00A53495"/>
    <w:rsid w:val="00A569BE"/>
    <w:rsid w:val="00A7022E"/>
    <w:rsid w:val="00A76CB4"/>
    <w:rsid w:val="00A82271"/>
    <w:rsid w:val="00AD02A9"/>
    <w:rsid w:val="00AD769C"/>
    <w:rsid w:val="00B1530C"/>
    <w:rsid w:val="00B231DC"/>
    <w:rsid w:val="00B26FC2"/>
    <w:rsid w:val="00B413B3"/>
    <w:rsid w:val="00B42199"/>
    <w:rsid w:val="00B616C7"/>
    <w:rsid w:val="00B65EA4"/>
    <w:rsid w:val="00B74299"/>
    <w:rsid w:val="00B76E14"/>
    <w:rsid w:val="00B97E04"/>
    <w:rsid w:val="00BA3995"/>
    <w:rsid w:val="00BB3E31"/>
    <w:rsid w:val="00BE30D3"/>
    <w:rsid w:val="00BF79C1"/>
    <w:rsid w:val="00C23319"/>
    <w:rsid w:val="00C37785"/>
    <w:rsid w:val="00C727C5"/>
    <w:rsid w:val="00C73739"/>
    <w:rsid w:val="00C947E1"/>
    <w:rsid w:val="00CB44DC"/>
    <w:rsid w:val="00CB5E9C"/>
    <w:rsid w:val="00CC720D"/>
    <w:rsid w:val="00CE3028"/>
    <w:rsid w:val="00CE5B6C"/>
    <w:rsid w:val="00D03935"/>
    <w:rsid w:val="00D07CF1"/>
    <w:rsid w:val="00D14F0D"/>
    <w:rsid w:val="00D1578D"/>
    <w:rsid w:val="00D64A2D"/>
    <w:rsid w:val="00D67128"/>
    <w:rsid w:val="00D71875"/>
    <w:rsid w:val="00D740FA"/>
    <w:rsid w:val="00D7489A"/>
    <w:rsid w:val="00DA3BA8"/>
    <w:rsid w:val="00DB44A5"/>
    <w:rsid w:val="00DD45FA"/>
    <w:rsid w:val="00E078ED"/>
    <w:rsid w:val="00E437A8"/>
    <w:rsid w:val="00E44F0F"/>
    <w:rsid w:val="00E6397F"/>
    <w:rsid w:val="00E65F7C"/>
    <w:rsid w:val="00E9216A"/>
    <w:rsid w:val="00EB2CDE"/>
    <w:rsid w:val="00F2752A"/>
    <w:rsid w:val="00F331E7"/>
    <w:rsid w:val="00F45806"/>
    <w:rsid w:val="00F656D9"/>
    <w:rsid w:val="00F66103"/>
    <w:rsid w:val="00F7363A"/>
    <w:rsid w:val="00F74EDE"/>
    <w:rsid w:val="00F81A31"/>
    <w:rsid w:val="00F970BF"/>
    <w:rsid w:val="00FA09F4"/>
    <w:rsid w:val="00FE7631"/>
    <w:rsid w:val="00FF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AC1B-E388-4CD9-82A5-8DBF181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9D"/>
  </w:style>
  <w:style w:type="paragraph" w:styleId="Footer">
    <w:name w:val="footer"/>
    <w:basedOn w:val="Normal"/>
    <w:link w:val="FooterChar"/>
    <w:uiPriority w:val="99"/>
    <w:unhideWhenUsed/>
    <w:rsid w:val="004B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9D"/>
  </w:style>
  <w:style w:type="paragraph" w:styleId="ListParagraph">
    <w:name w:val="List Paragraph"/>
    <w:basedOn w:val="Normal"/>
    <w:uiPriority w:val="34"/>
    <w:qFormat/>
    <w:rsid w:val="00C23319"/>
    <w:pPr>
      <w:ind w:left="720"/>
      <w:contextualSpacing/>
    </w:pPr>
  </w:style>
  <w:style w:type="character" w:styleId="Hyperlink">
    <w:name w:val="Hyperlink"/>
    <w:basedOn w:val="DefaultParagraphFont"/>
    <w:uiPriority w:val="99"/>
    <w:unhideWhenUsed/>
    <w:rsid w:val="00B42199"/>
    <w:rPr>
      <w:color w:val="0563C1" w:themeColor="hyperlink"/>
      <w:u w:val="single"/>
    </w:rPr>
  </w:style>
  <w:style w:type="paragraph" w:styleId="BalloonText">
    <w:name w:val="Balloon Text"/>
    <w:basedOn w:val="Normal"/>
    <w:link w:val="BalloonTextChar"/>
    <w:uiPriority w:val="99"/>
    <w:semiHidden/>
    <w:unhideWhenUsed/>
    <w:rsid w:val="00F458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8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45806"/>
    <w:rPr>
      <w:sz w:val="16"/>
      <w:szCs w:val="16"/>
    </w:rPr>
  </w:style>
  <w:style w:type="paragraph" w:styleId="CommentText">
    <w:name w:val="annotation text"/>
    <w:basedOn w:val="Normal"/>
    <w:link w:val="CommentTextChar"/>
    <w:uiPriority w:val="99"/>
    <w:unhideWhenUsed/>
    <w:rsid w:val="00F45806"/>
    <w:pPr>
      <w:spacing w:line="240" w:lineRule="auto"/>
    </w:pPr>
    <w:rPr>
      <w:sz w:val="20"/>
      <w:szCs w:val="20"/>
    </w:rPr>
  </w:style>
  <w:style w:type="character" w:customStyle="1" w:styleId="CommentTextChar">
    <w:name w:val="Comment Text Char"/>
    <w:basedOn w:val="DefaultParagraphFont"/>
    <w:link w:val="CommentText"/>
    <w:uiPriority w:val="99"/>
    <w:rsid w:val="00F45806"/>
    <w:rPr>
      <w:sz w:val="20"/>
      <w:szCs w:val="20"/>
    </w:rPr>
  </w:style>
  <w:style w:type="paragraph" w:styleId="CommentSubject">
    <w:name w:val="annotation subject"/>
    <w:basedOn w:val="CommentText"/>
    <w:next w:val="CommentText"/>
    <w:link w:val="CommentSubjectChar"/>
    <w:uiPriority w:val="99"/>
    <w:semiHidden/>
    <w:unhideWhenUsed/>
    <w:rsid w:val="00F45806"/>
    <w:rPr>
      <w:b/>
      <w:bCs/>
    </w:rPr>
  </w:style>
  <w:style w:type="character" w:customStyle="1" w:styleId="CommentSubjectChar">
    <w:name w:val="Comment Subject Char"/>
    <w:basedOn w:val="CommentTextChar"/>
    <w:link w:val="CommentSubject"/>
    <w:uiPriority w:val="99"/>
    <w:semiHidden/>
    <w:rsid w:val="00F45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s.Sarigiovannis@mpft.nhs.uk" TargetMode="External"/><Relationship Id="rId13" Type="http://schemas.openxmlformats.org/officeDocument/2006/relationships/hyperlink" Target="http://dx.doi.org/10.1136/bmjopen-2016-%20012331"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86/s40814-018-0289-1" TargetMode="External"/><Relationship Id="rId17" Type="http://schemas.openxmlformats.org/officeDocument/2006/relationships/hyperlink" Target="http://www.biomedcentral.com/1471-2474/12/106" TargetMode="External"/><Relationship Id="rId2" Type="http://schemas.openxmlformats.org/officeDocument/2006/relationships/numbering" Target="numbering.xml"/><Relationship Id="rId16" Type="http://schemas.openxmlformats.org/officeDocument/2006/relationships/hyperlink" Target="https://doi.org/10.1016/j.physio.2017.11.1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472-6963-12-96" TargetMode="External"/><Relationship Id="rId5" Type="http://schemas.openxmlformats.org/officeDocument/2006/relationships/webSettings" Target="webSettings.xml"/><Relationship Id="rId15" Type="http://schemas.openxmlformats.org/officeDocument/2006/relationships/hyperlink" Target="http://dx.doi.org/10.1016/j.physio.2014.11.003" TargetMode="External"/><Relationship Id="rId10" Type="http://schemas.openxmlformats.org/officeDocument/2006/relationships/hyperlink" Target="http://dx.doi.org/10.1136/bmjqs-2013-002524"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x.doi.org/10.2522/ptj.2008023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[MSK_HQ_Google_2Oct2019_FINAL.xlsx]Q9!PivotTable2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dLbl>
          <c:idx val="0"/>
          <c:spPr/>
          <c:txPr>
            <a:bodyPr/>
            <a:lstStyle/>
            <a:p>
              <a:pPr>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'Q9'!$B$1</c:f>
              <c:strCache>
                <c:ptCount val="1"/>
                <c:pt idx="0">
                  <c:v>Total</c:v>
                </c:pt>
              </c:strCache>
            </c:strRef>
          </c:tx>
          <c:spPr>
            <a:ln>
              <a:solidFill>
                <a:schemeClr val="tx1"/>
              </a:solidFill>
            </a:ln>
          </c:spPr>
          <c:invertIfNegative val="0"/>
          <c:dLbls>
            <c:spPr>
              <a:noFill/>
              <a:ln>
                <a:noFill/>
              </a:ln>
              <a:effectLst/>
            </c:spPr>
            <c:txPr>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'Q9'!$A$2:$A$7</c:f>
              <c:strCache>
                <c:ptCount val="5"/>
                <c:pt idx="0">
                  <c:v>1</c:v>
                </c:pt>
                <c:pt idx="1">
                  <c:v>2</c:v>
                </c:pt>
                <c:pt idx="2">
                  <c:v>3</c:v>
                </c:pt>
                <c:pt idx="3">
                  <c:v>4</c:v>
                </c:pt>
                <c:pt idx="4">
                  <c:v>5</c:v>
                </c:pt>
              </c:strCache>
            </c:strRef>
          </c:cat>
          <c:val>
            <c:numRef>
              <c:f>'Q9'!$B$2:$B$7</c:f>
              <c:numCache>
                <c:formatCode>General</c:formatCode>
                <c:ptCount val="5"/>
                <c:pt idx="0">
                  <c:v>1</c:v>
                </c:pt>
                <c:pt idx="1">
                  <c:v>1</c:v>
                </c:pt>
                <c:pt idx="2">
                  <c:v>2</c:v>
                </c:pt>
                <c:pt idx="3">
                  <c:v>13</c:v>
                </c:pt>
                <c:pt idx="4">
                  <c:v>2</c:v>
                </c:pt>
              </c:numCache>
            </c:numRef>
          </c:val>
          <c:extLst>
            <c:ext xmlns:c16="http://schemas.microsoft.com/office/drawing/2014/chart" uri="{C3380CC4-5D6E-409C-BE32-E72D297353CC}">
              <c16:uniqueId val="{00000000-A362-45D0-8930-2C4FDA217C12}"/>
            </c:ext>
          </c:extLst>
        </c:ser>
        <c:dLbls>
          <c:showLegendKey val="0"/>
          <c:showVal val="0"/>
          <c:showCatName val="0"/>
          <c:showSerName val="0"/>
          <c:showPercent val="0"/>
          <c:showBubbleSize val="0"/>
        </c:dLbls>
        <c:gapWidth val="100"/>
        <c:overlap val="100"/>
        <c:axId val="58793344"/>
        <c:axId val="58791808"/>
      </c:barChart>
      <c:valAx>
        <c:axId val="58791808"/>
        <c:scaling>
          <c:orientation val="minMax"/>
        </c:scaling>
        <c:delete val="0"/>
        <c:axPos val="l"/>
        <c:majorGridlines/>
        <c:numFmt formatCode="General" sourceLinked="1"/>
        <c:majorTickMark val="out"/>
        <c:minorTickMark val="none"/>
        <c:tickLblPos val="nextTo"/>
        <c:crossAx val="58793344"/>
        <c:crosses val="autoZero"/>
        <c:crossBetween val="between"/>
      </c:valAx>
      <c:catAx>
        <c:axId val="58793344"/>
        <c:scaling>
          <c:orientation val="minMax"/>
        </c:scaling>
        <c:delete val="0"/>
        <c:axPos val="b"/>
        <c:numFmt formatCode="General" sourceLinked="0"/>
        <c:majorTickMark val="out"/>
        <c:minorTickMark val="none"/>
        <c:tickLblPos val="nextTo"/>
        <c:crossAx val="58791808"/>
        <c:crosses val="autoZero"/>
        <c:auto val="1"/>
        <c:lblAlgn val="ctr"/>
        <c:lblOffset val="100"/>
        <c:noMultiLvlLbl val="0"/>
      </c:cat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[MSK_HQ_Google_20Sept2019_FINAL.xlsx]Q12!PivotTable2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'Q12'!$B$1</c:f>
              <c:strCache>
                <c:ptCount val="1"/>
                <c:pt idx="0">
                  <c:v>Total</c:v>
                </c:pt>
              </c:strCache>
            </c:strRef>
          </c:tx>
          <c:spPr>
            <a:ln>
              <a:solidFill>
                <a:sysClr val="windowText" lastClr="000000"/>
              </a:solidFill>
            </a:ln>
          </c:spPr>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'Q12'!$A$2:$A$7</c:f>
              <c:strCache>
                <c:ptCount val="5"/>
                <c:pt idx="0">
                  <c:v>1</c:v>
                </c:pt>
                <c:pt idx="1">
                  <c:v>2</c:v>
                </c:pt>
                <c:pt idx="2">
                  <c:v>3</c:v>
                </c:pt>
                <c:pt idx="3">
                  <c:v>4</c:v>
                </c:pt>
                <c:pt idx="4">
                  <c:v>5</c:v>
                </c:pt>
              </c:strCache>
            </c:strRef>
          </c:cat>
          <c:val>
            <c:numRef>
              <c:f>'Q12'!$B$2:$B$7</c:f>
              <c:numCache>
                <c:formatCode>General</c:formatCode>
                <c:ptCount val="5"/>
                <c:pt idx="0">
                  <c:v>20</c:v>
                </c:pt>
                <c:pt idx="1">
                  <c:v>2</c:v>
                </c:pt>
                <c:pt idx="2">
                  <c:v>6</c:v>
                </c:pt>
                <c:pt idx="3">
                  <c:v>2</c:v>
                </c:pt>
                <c:pt idx="4">
                  <c:v>2</c:v>
                </c:pt>
              </c:numCache>
            </c:numRef>
          </c:val>
          <c:extLst>
            <c:ext xmlns:c16="http://schemas.microsoft.com/office/drawing/2014/chart" uri="{C3380CC4-5D6E-409C-BE32-E72D297353CC}">
              <c16:uniqueId val="{00000000-BC95-4FC7-8B41-650AE178A5DA}"/>
            </c:ext>
          </c:extLst>
        </c:ser>
        <c:dLbls>
          <c:showLegendKey val="0"/>
          <c:showVal val="0"/>
          <c:showCatName val="0"/>
          <c:showSerName val="0"/>
          <c:showPercent val="0"/>
          <c:showBubbleSize val="0"/>
        </c:dLbls>
        <c:gapWidth val="100"/>
        <c:overlap val="100"/>
        <c:axId val="59120640"/>
        <c:axId val="59119104"/>
      </c:barChart>
      <c:valAx>
        <c:axId val="59119104"/>
        <c:scaling>
          <c:orientation val="minMax"/>
        </c:scaling>
        <c:delete val="0"/>
        <c:axPos val="l"/>
        <c:majorGridlines/>
        <c:numFmt formatCode="General" sourceLinked="1"/>
        <c:majorTickMark val="out"/>
        <c:minorTickMark val="none"/>
        <c:tickLblPos val="nextTo"/>
        <c:crossAx val="59120640"/>
        <c:crosses val="autoZero"/>
        <c:crossBetween val="between"/>
      </c:valAx>
      <c:catAx>
        <c:axId val="59120640"/>
        <c:scaling>
          <c:orientation val="minMax"/>
        </c:scaling>
        <c:delete val="0"/>
        <c:axPos val="b"/>
        <c:numFmt formatCode="General" sourceLinked="0"/>
        <c:majorTickMark val="out"/>
        <c:minorTickMark val="none"/>
        <c:tickLblPos val="nextTo"/>
        <c:crossAx val="59119104"/>
        <c:crosses val="autoZero"/>
        <c:auto val="1"/>
        <c:lblAlgn val="ctr"/>
        <c:lblOffset val="100"/>
        <c:noMultiLvlLbl val="0"/>
      </c:cat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8691-70C3-014D-B550-DB9D004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Sarigiovannis</dc:creator>
  <cp:keywords/>
  <dc:description/>
  <cp:lastModifiedBy>Annette Bishop</cp:lastModifiedBy>
  <cp:revision>2</cp:revision>
  <cp:lastPrinted>2019-11-21T08:52:00Z</cp:lastPrinted>
  <dcterms:created xsi:type="dcterms:W3CDTF">2020-02-27T12:28:00Z</dcterms:created>
  <dcterms:modified xsi:type="dcterms:W3CDTF">2020-02-27T12:28:00Z</dcterms:modified>
</cp:coreProperties>
</file>