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color w:val="ff2c21"/>
          <w:sz w:val="30"/>
          <w:szCs w:val="30"/>
        </w:rPr>
      </w:pPr>
      <w:r>
        <w:rPr>
          <w:color w:val="ff2c21"/>
          <w:sz w:val="30"/>
          <w:szCs w:val="30"/>
          <w:rtl w:val="0"/>
          <w:lang w:val="en-US"/>
        </w:rPr>
        <w:t>‘</w:t>
      </w:r>
      <w:r>
        <w:rPr>
          <w:rFonts w:ascii="Times New Roman"/>
          <w:color w:val="ff2c21"/>
          <w:sz w:val="30"/>
          <w:szCs w:val="30"/>
          <w:rtl w:val="0"/>
          <w:lang w:val="en-US"/>
        </w:rPr>
        <w:t xml:space="preserve">The Dark Truth Behind the Convictions for </w:t>
      </w:r>
      <w:r>
        <w:rPr>
          <w:color w:val="ff2c21"/>
          <w:sz w:val="30"/>
          <w:szCs w:val="30"/>
          <w:rtl w:val="0"/>
          <w:lang w:val="en-US"/>
        </w:rPr>
        <w:t>‘</w:t>
      </w:r>
      <w:r>
        <w:rPr>
          <w:rFonts w:ascii="Times New Roman"/>
          <w:color w:val="ff2c21"/>
          <w:sz w:val="30"/>
          <w:szCs w:val="30"/>
          <w:rtl w:val="0"/>
          <w:lang w:val="en-US"/>
        </w:rPr>
        <w:t>Gender Fraud</w:t>
      </w:r>
      <w:r>
        <w:rPr>
          <w:color w:val="ff2c21"/>
          <w:sz w:val="30"/>
          <w:szCs w:val="30"/>
          <w:rtl w:val="0"/>
          <w:lang w:val="en-US"/>
        </w:rPr>
        <w:t>’’</w:t>
      </w:r>
    </w:p>
    <w:p>
      <w:pPr>
        <w:pStyle w:val="Body A"/>
        <w:jc w:val="both"/>
        <w:rPr>
          <w:color w:val="ff2c21"/>
          <w:sz w:val="30"/>
          <w:szCs w:val="30"/>
        </w:rPr>
      </w:pPr>
    </w:p>
    <w:p>
      <w:pPr>
        <w:pStyle w:val="Body A"/>
        <w:jc w:val="both"/>
        <w:rPr>
          <w:color w:val="ff2c21"/>
          <w:sz w:val="30"/>
          <w:szCs w:val="30"/>
        </w:rPr>
      </w:pPr>
      <w:r>
        <w:rPr>
          <w:rFonts w:ascii="Times New Roman"/>
          <w:color w:val="ff2c21"/>
          <w:sz w:val="30"/>
          <w:szCs w:val="30"/>
          <w:rtl w:val="0"/>
          <w:lang w:val="en-US"/>
        </w:rPr>
        <w:t xml:space="preserve">available at: </w:t>
      </w:r>
    </w:p>
    <w:p>
      <w:pPr>
        <w:pStyle w:val="Body A"/>
        <w:jc w:val="both"/>
        <w:rPr>
          <w:color w:val="ff2c21"/>
          <w:sz w:val="30"/>
          <w:szCs w:val="30"/>
        </w:rPr>
      </w:pPr>
    </w:p>
    <w:p>
      <w:pPr>
        <w:pStyle w:val="Body A"/>
        <w:jc w:val="both"/>
        <w:rPr>
          <w:color w:val="ff2c21"/>
          <w:sz w:val="30"/>
          <w:szCs w:val="30"/>
        </w:rPr>
      </w:pPr>
      <w:hyperlink r:id="rId4" w:history="1">
        <w:r>
          <w:rPr>
            <w:rStyle w:val="Hyperlink.0"/>
            <w:rFonts w:ascii="Times New Roman"/>
            <w:color w:val="ff2c21"/>
            <w:sz w:val="30"/>
            <w:szCs w:val="30"/>
            <w:rtl w:val="0"/>
            <w:lang w:val="en-US"/>
          </w:rPr>
          <w:t>http://www.newstatesman.com/politics/feminism/2015/12/dark-truth-behind-convictions-gender-fraud</w:t>
        </w:r>
      </w:hyperlink>
    </w:p>
    <w:p>
      <w:pPr>
        <w:pStyle w:val="Body A"/>
        <w:jc w:val="both"/>
        <w:rPr>
          <w:color w:val="ff2c21"/>
          <w:sz w:val="30"/>
          <w:szCs w:val="30"/>
        </w:rPr>
      </w:pPr>
    </w:p>
    <w:p>
      <w:pPr>
        <w:pStyle w:val="Body A"/>
        <w:jc w:val="both"/>
        <w:rPr>
          <w:color w:val="ff2c21"/>
          <w:sz w:val="30"/>
          <w:szCs w:val="30"/>
        </w:rPr>
      </w:pPr>
    </w:p>
    <w:p>
      <w:pPr>
        <w:pStyle w:val="Body A"/>
        <w:jc w:val="both"/>
      </w:pPr>
      <w:r>
        <w:rPr>
          <w:rFonts w:ascii="Times New Roman"/>
          <w:color w:val="ff2c21"/>
          <w:sz w:val="30"/>
          <w:szCs w:val="3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Arial"/>
        <w:color w:val="999999"/>
        <w:sz w:val="18"/>
        <w:szCs w:val="18"/>
        <w:u w:color="999999"/>
        <w:rtl w:val="0"/>
      </w:rPr>
      <w:fldChar w:fldCharType="begin" w:fldLock="0"/>
    </w:r>
    <w:r>
      <w:rPr>
        <w:rFonts w:ascii="Arial"/>
        <w:color w:val="999999"/>
        <w:sz w:val="18"/>
        <w:szCs w:val="18"/>
        <w:u w:color="999999"/>
        <w:rtl w:val="0"/>
      </w:rPr>
      <w:t xml:space="preserve"> PAGE </w:t>
    </w:r>
    <w:r>
      <w:rPr>
        <w:rFonts w:ascii="Arial"/>
        <w:color w:val="999999"/>
        <w:sz w:val="18"/>
        <w:szCs w:val="18"/>
        <w:u w:color="999999"/>
        <w:rtl w:val="0"/>
      </w:rPr>
      <w:fldChar w:fldCharType="separate" w:fldLock="0"/>
    </w:r>
    <w:r>
      <w:rPr>
        <w:rFonts w:ascii="Arial"/>
        <w:color w:val="999999"/>
        <w:sz w:val="18"/>
        <w:szCs w:val="18"/>
        <w:u w:color="999999"/>
        <w:rtl w:val="0"/>
      </w:rPr>
      <w:t>1</w:t>
    </w:r>
    <w:r>
      <w:rPr>
        <w:rFonts w:ascii="Arial"/>
        <w:color w:val="999999"/>
        <w:sz w:val="18"/>
        <w:szCs w:val="18"/>
        <w:u w:color="999999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newstatesman.com/politics/feminism/2015/12/dark-truth-behind-convictions-gender-fraud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